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5B61C8" w14:textId="09D1D673" w:rsidR="00EC567F" w:rsidRPr="00781B30" w:rsidRDefault="00EC567F" w:rsidP="00781B30">
      <w:pPr>
        <w:pStyle w:val="Heading1"/>
        <w:rPr>
          <w:bCs w:val="0"/>
          <w:sz w:val="24"/>
          <w:szCs w:val="24"/>
        </w:rPr>
      </w:pPr>
      <w:r w:rsidRPr="00781B30">
        <w:rPr>
          <w:sz w:val="24"/>
          <w:szCs w:val="24"/>
        </w:rPr>
        <w:t>Is Barbara Bender’s theory of contested space complemented by Christopher Tilley’s phenomenological perspective?</w:t>
      </w:r>
      <w:r w:rsidR="00781B30">
        <w:rPr>
          <w:sz w:val="24"/>
          <w:szCs w:val="24"/>
        </w:rPr>
        <w:t xml:space="preserve"> </w:t>
      </w:r>
      <w:r w:rsidRPr="00781B30">
        <w:rPr>
          <w:color w:val="80340D" w:themeColor="accent2" w:themeShade="80"/>
          <w:sz w:val="24"/>
          <w:szCs w:val="24"/>
        </w:rPr>
        <w:t>2250 words (up to 2350 max)</w:t>
      </w:r>
    </w:p>
    <w:p w14:paraId="7CC332B5" w14:textId="032C30BD" w:rsidR="00EC567F" w:rsidRPr="00781B30" w:rsidRDefault="00EC567F" w:rsidP="00781B30">
      <w:pPr>
        <w:pStyle w:val="Heading1"/>
        <w:rPr>
          <w:sz w:val="24"/>
          <w:szCs w:val="24"/>
        </w:rPr>
      </w:pPr>
      <w:r w:rsidRPr="00781B30">
        <w:rPr>
          <w:sz w:val="24"/>
          <w:szCs w:val="24"/>
        </w:rPr>
        <w:t>Introduc</w:t>
      </w:r>
      <w:r w:rsidR="002C7298" w:rsidRPr="00781B30">
        <w:rPr>
          <w:sz w:val="24"/>
          <w:szCs w:val="24"/>
        </w:rPr>
        <w:t>tion</w:t>
      </w:r>
    </w:p>
    <w:p w14:paraId="677D5019" w14:textId="15C68683" w:rsidR="00EC567F" w:rsidRPr="00781B30" w:rsidRDefault="00EC567F" w:rsidP="00EC567F">
      <w:pPr>
        <w:rPr>
          <w:sz w:val="24"/>
          <w:szCs w:val="24"/>
        </w:rPr>
      </w:pPr>
      <w:r w:rsidRPr="00781B30">
        <w:rPr>
          <w:sz w:val="24"/>
          <w:szCs w:val="24"/>
        </w:rPr>
        <w:t>Working across the disciplines of archaeology and anthropology, Barbara Bender and Christopher Tilley</w:t>
      </w:r>
      <w:r w:rsidR="00935461" w:rsidRPr="00781B30">
        <w:rPr>
          <w:sz w:val="24"/>
          <w:szCs w:val="24"/>
        </w:rPr>
        <w:t xml:space="preserve"> (</w:t>
      </w:r>
      <w:r w:rsidR="0073280B">
        <w:rPr>
          <w:sz w:val="24"/>
          <w:szCs w:val="24"/>
        </w:rPr>
        <w:t>1955-2024</w:t>
      </w:r>
      <w:r w:rsidR="00935461" w:rsidRPr="00781B30">
        <w:rPr>
          <w:sz w:val="24"/>
          <w:szCs w:val="24"/>
        </w:rPr>
        <w:t>)</w:t>
      </w:r>
      <w:r w:rsidRPr="00781B30">
        <w:rPr>
          <w:sz w:val="24"/>
          <w:szCs w:val="24"/>
        </w:rPr>
        <w:t xml:space="preserve"> collaborated with each other in the 1990s and 2000s, exploring people’s relationships with landscapes, with a particular focus on the archaeology of Neolithic Britain.</w:t>
      </w:r>
      <w:r w:rsidRPr="00781B30">
        <w:rPr>
          <w:rStyle w:val="FootnoteReference"/>
          <w:sz w:val="24"/>
          <w:szCs w:val="24"/>
        </w:rPr>
        <w:footnoteReference w:id="1"/>
      </w:r>
      <w:r w:rsidRPr="00781B30">
        <w:rPr>
          <w:sz w:val="24"/>
          <w:szCs w:val="24"/>
        </w:rPr>
        <w:t xml:space="preserve"> This essay looks at whether and in what ways two of their key approaches </w:t>
      </w:r>
      <w:r w:rsidR="0073280B">
        <w:rPr>
          <w:sz w:val="24"/>
          <w:szCs w:val="24"/>
        </w:rPr>
        <w:t xml:space="preserve">can be seen to </w:t>
      </w:r>
      <w:r w:rsidRPr="00781B30">
        <w:rPr>
          <w:sz w:val="24"/>
          <w:szCs w:val="24"/>
        </w:rPr>
        <w:t>complement one another: Bender’s theory of contested space and Tilley’s phenomenological perspective. To do so, it focus</w:t>
      </w:r>
      <w:r w:rsidR="0073280B">
        <w:rPr>
          <w:sz w:val="24"/>
          <w:szCs w:val="24"/>
        </w:rPr>
        <w:t>es</w:t>
      </w:r>
      <w:r w:rsidRPr="00781B30">
        <w:rPr>
          <w:sz w:val="24"/>
          <w:szCs w:val="24"/>
        </w:rPr>
        <w:t xml:space="preserve"> primarily on Tilley’s </w:t>
      </w:r>
      <w:r w:rsidRPr="00781B30">
        <w:rPr>
          <w:i/>
          <w:iCs/>
          <w:sz w:val="24"/>
          <w:szCs w:val="24"/>
        </w:rPr>
        <w:t xml:space="preserve">A Phenomenology of Landscape: Places, Paths and Monuments, </w:t>
      </w:r>
      <w:r w:rsidRPr="00781B30">
        <w:rPr>
          <w:sz w:val="24"/>
          <w:szCs w:val="24"/>
        </w:rPr>
        <w:t xml:space="preserve">Chapter 1: ‘Space, Place, Landscape and Perception: Phenomenological Perspectives’ </w:t>
      </w:r>
      <w:r w:rsidRPr="00781B30">
        <w:rPr>
          <w:rStyle w:val="FootnoteReference"/>
          <w:sz w:val="24"/>
          <w:szCs w:val="24"/>
        </w:rPr>
        <w:footnoteReference w:id="2"/>
      </w:r>
      <w:r w:rsidRPr="00781B30">
        <w:rPr>
          <w:i/>
          <w:iCs/>
          <w:sz w:val="24"/>
          <w:szCs w:val="24"/>
        </w:rPr>
        <w:t xml:space="preserve"> </w:t>
      </w:r>
      <w:r w:rsidRPr="00781B30">
        <w:rPr>
          <w:sz w:val="24"/>
          <w:szCs w:val="24"/>
        </w:rPr>
        <w:t xml:space="preserve">and Bender’s </w:t>
      </w:r>
      <w:r w:rsidRPr="00781B30">
        <w:rPr>
          <w:i/>
          <w:iCs/>
          <w:sz w:val="24"/>
          <w:szCs w:val="24"/>
        </w:rPr>
        <w:t>Stonehenge: Making Space</w:t>
      </w:r>
      <w:r w:rsidRPr="00781B30">
        <w:rPr>
          <w:sz w:val="24"/>
          <w:szCs w:val="24"/>
        </w:rPr>
        <w:t>, Chapter 4: ‘Contested Landscapes: Medieval to Present Day’,</w:t>
      </w:r>
      <w:r w:rsidRPr="00781B30">
        <w:rPr>
          <w:rStyle w:val="FootnoteReference"/>
          <w:sz w:val="24"/>
          <w:szCs w:val="24"/>
        </w:rPr>
        <w:footnoteReference w:id="3"/>
      </w:r>
      <w:r w:rsidRPr="00781B30">
        <w:rPr>
          <w:sz w:val="24"/>
          <w:szCs w:val="24"/>
        </w:rPr>
        <w:t xml:space="preserve"> whilst also drawing on the wider works of both </w:t>
      </w:r>
      <w:r w:rsidR="0062325C" w:rsidRPr="00781B30">
        <w:rPr>
          <w:sz w:val="24"/>
          <w:szCs w:val="24"/>
        </w:rPr>
        <w:t>scholars</w:t>
      </w:r>
      <w:r w:rsidRPr="00781B30">
        <w:rPr>
          <w:sz w:val="24"/>
          <w:szCs w:val="24"/>
        </w:rPr>
        <w:t xml:space="preserve"> </w:t>
      </w:r>
      <w:r w:rsidR="0073280B">
        <w:rPr>
          <w:sz w:val="24"/>
          <w:szCs w:val="24"/>
        </w:rPr>
        <w:t>and</w:t>
      </w:r>
      <w:r w:rsidRPr="00781B30">
        <w:rPr>
          <w:sz w:val="24"/>
          <w:szCs w:val="24"/>
        </w:rPr>
        <w:t xml:space="preserve"> contributions from other </w:t>
      </w:r>
      <w:r w:rsidR="0062325C" w:rsidRPr="00781B30">
        <w:rPr>
          <w:sz w:val="24"/>
          <w:szCs w:val="24"/>
        </w:rPr>
        <w:t>authors</w:t>
      </w:r>
      <w:r w:rsidRPr="00781B30">
        <w:rPr>
          <w:sz w:val="24"/>
          <w:szCs w:val="24"/>
        </w:rPr>
        <w:t>.</w:t>
      </w:r>
    </w:p>
    <w:p w14:paraId="4D76C325" w14:textId="24B9DCEF" w:rsidR="00EC567F" w:rsidRPr="00781B30" w:rsidRDefault="00781B30" w:rsidP="00781B30">
      <w:pPr>
        <w:pStyle w:val="Heading1"/>
        <w:rPr>
          <w:sz w:val="24"/>
          <w:szCs w:val="24"/>
        </w:rPr>
      </w:pPr>
      <w:r w:rsidRPr="00781B30">
        <w:rPr>
          <w:sz w:val="24"/>
          <w:szCs w:val="24"/>
        </w:rPr>
        <w:t>Background to Bender and Tilley</w:t>
      </w:r>
    </w:p>
    <w:p w14:paraId="1072F9C6" w14:textId="55B1C39C" w:rsidR="00AE4A7C" w:rsidRPr="00781B30" w:rsidRDefault="00EC567F" w:rsidP="00AE4A7C">
      <w:pPr>
        <w:rPr>
          <w:sz w:val="24"/>
          <w:szCs w:val="24"/>
        </w:rPr>
      </w:pPr>
      <w:r w:rsidRPr="00781B30">
        <w:rPr>
          <w:sz w:val="24"/>
          <w:szCs w:val="24"/>
        </w:rPr>
        <w:t xml:space="preserve">Both Bender and Tilley </w:t>
      </w:r>
      <w:r w:rsidR="00935461" w:rsidRPr="00781B30">
        <w:rPr>
          <w:sz w:val="24"/>
          <w:szCs w:val="24"/>
        </w:rPr>
        <w:t>came</w:t>
      </w:r>
      <w:r w:rsidRPr="00781B30">
        <w:rPr>
          <w:sz w:val="24"/>
          <w:szCs w:val="24"/>
        </w:rPr>
        <w:t xml:space="preserve"> from the </w:t>
      </w:r>
      <w:r w:rsidR="003A1A3D" w:rsidRPr="00781B30">
        <w:rPr>
          <w:sz w:val="24"/>
          <w:szCs w:val="24"/>
        </w:rPr>
        <w:t>‘</w:t>
      </w:r>
      <w:r w:rsidRPr="00781B30">
        <w:rPr>
          <w:sz w:val="24"/>
          <w:szCs w:val="24"/>
        </w:rPr>
        <w:t>post-processual</w:t>
      </w:r>
      <w:r w:rsidR="003A1A3D" w:rsidRPr="00781B30">
        <w:rPr>
          <w:sz w:val="24"/>
          <w:szCs w:val="24"/>
        </w:rPr>
        <w:t>’</w:t>
      </w:r>
      <w:r w:rsidRPr="00781B30">
        <w:rPr>
          <w:sz w:val="24"/>
          <w:szCs w:val="24"/>
        </w:rPr>
        <w:t xml:space="preserve"> or </w:t>
      </w:r>
      <w:r w:rsidR="003A1A3D" w:rsidRPr="00781B30">
        <w:rPr>
          <w:sz w:val="24"/>
          <w:szCs w:val="24"/>
        </w:rPr>
        <w:t>‘</w:t>
      </w:r>
      <w:r w:rsidRPr="00781B30">
        <w:rPr>
          <w:sz w:val="24"/>
          <w:szCs w:val="24"/>
        </w:rPr>
        <w:t>interpretive</w:t>
      </w:r>
      <w:r w:rsidR="003A1A3D" w:rsidRPr="00781B30">
        <w:rPr>
          <w:sz w:val="24"/>
          <w:szCs w:val="24"/>
        </w:rPr>
        <w:t>’</w:t>
      </w:r>
      <w:r w:rsidRPr="00781B30">
        <w:rPr>
          <w:sz w:val="24"/>
          <w:szCs w:val="24"/>
        </w:rPr>
        <w:t xml:space="preserve"> school of archaeology that emerged in the 1980s as a reaction to what </w:t>
      </w:r>
      <w:r w:rsidR="005A44C3">
        <w:rPr>
          <w:sz w:val="24"/>
          <w:szCs w:val="24"/>
        </w:rPr>
        <w:t>some</w:t>
      </w:r>
      <w:r w:rsidR="00123B9C">
        <w:rPr>
          <w:sz w:val="24"/>
          <w:szCs w:val="24"/>
        </w:rPr>
        <w:t xml:space="preserve"> saw</w:t>
      </w:r>
      <w:r w:rsidRPr="00781B30">
        <w:rPr>
          <w:sz w:val="24"/>
          <w:szCs w:val="24"/>
        </w:rPr>
        <w:t xml:space="preserve"> as an archaeology overly focused</w:t>
      </w:r>
      <w:r w:rsidR="00935461" w:rsidRPr="00781B30">
        <w:rPr>
          <w:sz w:val="24"/>
          <w:szCs w:val="24"/>
        </w:rPr>
        <w:t xml:space="preserve"> on positivist approaches and quantitative methods</w:t>
      </w:r>
      <w:r w:rsidR="003A1A3D" w:rsidRPr="00781B30">
        <w:rPr>
          <w:sz w:val="24"/>
          <w:szCs w:val="24"/>
        </w:rPr>
        <w:t>.</w:t>
      </w:r>
      <w:r w:rsidR="00935461" w:rsidRPr="00781B30">
        <w:rPr>
          <w:rStyle w:val="FootnoteReference"/>
          <w:color w:val="000000" w:themeColor="text1"/>
          <w:sz w:val="24"/>
          <w:szCs w:val="24"/>
        </w:rPr>
        <w:footnoteReference w:id="4"/>
      </w:r>
      <w:r w:rsidR="003A1A3D" w:rsidRPr="00781B30">
        <w:rPr>
          <w:sz w:val="24"/>
          <w:szCs w:val="24"/>
        </w:rPr>
        <w:t xml:space="preserve"> P</w:t>
      </w:r>
      <w:r w:rsidR="00935461" w:rsidRPr="00781B30">
        <w:rPr>
          <w:sz w:val="24"/>
          <w:szCs w:val="24"/>
        </w:rPr>
        <w:t>ost-</w:t>
      </w:r>
      <w:proofErr w:type="spellStart"/>
      <w:r w:rsidR="00935461" w:rsidRPr="00781B30">
        <w:rPr>
          <w:sz w:val="24"/>
          <w:szCs w:val="24"/>
        </w:rPr>
        <w:t>processualists</w:t>
      </w:r>
      <w:proofErr w:type="spellEnd"/>
      <w:r w:rsidR="00935461" w:rsidRPr="00781B30">
        <w:rPr>
          <w:sz w:val="24"/>
          <w:szCs w:val="24"/>
        </w:rPr>
        <w:t xml:space="preserve"> </w:t>
      </w:r>
      <w:r w:rsidR="003A1A3D" w:rsidRPr="00781B30">
        <w:rPr>
          <w:sz w:val="24"/>
          <w:szCs w:val="24"/>
        </w:rPr>
        <w:t>argued</w:t>
      </w:r>
      <w:r w:rsidR="00935461" w:rsidRPr="00781B30">
        <w:rPr>
          <w:sz w:val="24"/>
          <w:szCs w:val="24"/>
        </w:rPr>
        <w:t xml:space="preserve"> that th</w:t>
      </w:r>
      <w:r w:rsidR="0062325C" w:rsidRPr="00781B30">
        <w:rPr>
          <w:sz w:val="24"/>
          <w:szCs w:val="24"/>
        </w:rPr>
        <w:t xml:space="preserve">is had </w:t>
      </w:r>
      <w:r w:rsidR="003A1A3D" w:rsidRPr="00781B30">
        <w:rPr>
          <w:sz w:val="24"/>
          <w:szCs w:val="24"/>
        </w:rPr>
        <w:t xml:space="preserve">led to </w:t>
      </w:r>
      <w:r w:rsidR="00935461" w:rsidRPr="00781B30">
        <w:rPr>
          <w:sz w:val="24"/>
          <w:szCs w:val="24"/>
        </w:rPr>
        <w:t>too narrow a view of people in the past</w:t>
      </w:r>
      <w:r w:rsidR="003A1A3D" w:rsidRPr="00781B30">
        <w:rPr>
          <w:sz w:val="24"/>
          <w:szCs w:val="24"/>
        </w:rPr>
        <w:t>,</w:t>
      </w:r>
      <w:r w:rsidR="00935461" w:rsidRPr="00781B30">
        <w:rPr>
          <w:rStyle w:val="FootnoteReference"/>
          <w:sz w:val="24"/>
          <w:szCs w:val="24"/>
        </w:rPr>
        <w:t xml:space="preserve"> </w:t>
      </w:r>
      <w:r w:rsidR="00935461" w:rsidRPr="00781B30">
        <w:rPr>
          <w:rStyle w:val="FootnoteReference"/>
          <w:sz w:val="24"/>
          <w:szCs w:val="24"/>
        </w:rPr>
        <w:footnoteReference w:id="5"/>
      </w:r>
      <w:r w:rsidR="00935461" w:rsidRPr="00781B30">
        <w:rPr>
          <w:sz w:val="24"/>
          <w:szCs w:val="24"/>
        </w:rPr>
        <w:t xml:space="preserve"> </w:t>
      </w:r>
      <w:r w:rsidR="003A1A3D" w:rsidRPr="00781B30">
        <w:rPr>
          <w:sz w:val="24"/>
          <w:szCs w:val="24"/>
        </w:rPr>
        <w:t>and t</w:t>
      </w:r>
      <w:r w:rsidR="00935461" w:rsidRPr="00781B30">
        <w:rPr>
          <w:sz w:val="24"/>
          <w:szCs w:val="24"/>
        </w:rPr>
        <w:t xml:space="preserve">hey </w:t>
      </w:r>
      <w:r w:rsidR="0062325C" w:rsidRPr="00781B30">
        <w:rPr>
          <w:sz w:val="24"/>
          <w:szCs w:val="24"/>
        </w:rPr>
        <w:t>sought</w:t>
      </w:r>
      <w:r w:rsidR="00935461" w:rsidRPr="00781B30">
        <w:rPr>
          <w:sz w:val="24"/>
          <w:szCs w:val="24"/>
        </w:rPr>
        <w:t xml:space="preserve"> to develop </w:t>
      </w:r>
      <w:r w:rsidR="00935461" w:rsidRPr="00781B30">
        <w:rPr>
          <w:color w:val="000000" w:themeColor="text1"/>
          <w:sz w:val="24"/>
          <w:szCs w:val="24"/>
        </w:rPr>
        <w:t xml:space="preserve">perspectives on human experience, belief and meaning </w:t>
      </w:r>
      <w:r w:rsidR="0062325C" w:rsidRPr="00781B30">
        <w:rPr>
          <w:color w:val="000000" w:themeColor="text1"/>
          <w:sz w:val="24"/>
          <w:szCs w:val="24"/>
        </w:rPr>
        <w:t>by exploring new approaches</w:t>
      </w:r>
      <w:r w:rsidR="003A1A3D" w:rsidRPr="00781B30">
        <w:rPr>
          <w:color w:val="000000" w:themeColor="text1"/>
          <w:sz w:val="24"/>
          <w:szCs w:val="24"/>
        </w:rPr>
        <w:t>.</w:t>
      </w:r>
      <w:r w:rsidR="00935461" w:rsidRPr="00781B30">
        <w:rPr>
          <w:rStyle w:val="FootnoteReference"/>
          <w:color w:val="000000" w:themeColor="text1"/>
          <w:sz w:val="24"/>
          <w:szCs w:val="24"/>
        </w:rPr>
        <w:t xml:space="preserve"> </w:t>
      </w:r>
      <w:r w:rsidR="00935461" w:rsidRPr="00781B30">
        <w:rPr>
          <w:rStyle w:val="FootnoteReference"/>
          <w:color w:val="000000" w:themeColor="text1"/>
          <w:sz w:val="24"/>
          <w:szCs w:val="24"/>
        </w:rPr>
        <w:footnoteReference w:id="6"/>
      </w:r>
    </w:p>
    <w:p w14:paraId="3FD9A63D" w14:textId="25F71BBD" w:rsidR="00EC567F" w:rsidRPr="00781B30" w:rsidRDefault="003A1A3D" w:rsidP="0062325C">
      <w:pPr>
        <w:rPr>
          <w:sz w:val="24"/>
          <w:szCs w:val="24"/>
        </w:rPr>
      </w:pPr>
      <w:r w:rsidRPr="00781B30">
        <w:rPr>
          <w:sz w:val="24"/>
          <w:szCs w:val="24"/>
        </w:rPr>
        <w:t xml:space="preserve">Tilley </w:t>
      </w:r>
      <w:r w:rsidR="00EC567F" w:rsidRPr="00781B30">
        <w:rPr>
          <w:sz w:val="24"/>
          <w:szCs w:val="24"/>
        </w:rPr>
        <w:t xml:space="preserve">was a Professor </w:t>
      </w:r>
      <w:r w:rsidR="005A44C3" w:rsidRPr="00781B30">
        <w:rPr>
          <w:sz w:val="24"/>
          <w:szCs w:val="24"/>
        </w:rPr>
        <w:t xml:space="preserve">of Anthropology </w:t>
      </w:r>
      <w:r w:rsidR="00EC567F" w:rsidRPr="00781B30">
        <w:rPr>
          <w:sz w:val="24"/>
          <w:szCs w:val="24"/>
        </w:rPr>
        <w:t>at University College London, and was a key figure in both archaeology and anthropology, working to bring the two disciplines together.</w:t>
      </w:r>
      <w:r w:rsidR="00EC567F" w:rsidRPr="00781B30">
        <w:rPr>
          <w:rStyle w:val="FootnoteReference"/>
          <w:sz w:val="24"/>
          <w:szCs w:val="24"/>
        </w:rPr>
        <w:footnoteReference w:id="7"/>
      </w:r>
      <w:r w:rsidR="00EC567F" w:rsidRPr="00781B30">
        <w:rPr>
          <w:sz w:val="24"/>
          <w:szCs w:val="24"/>
        </w:rPr>
        <w:t xml:space="preserve"> Tilley’s phenomenological </w:t>
      </w:r>
      <w:r w:rsidR="00122925">
        <w:rPr>
          <w:sz w:val="24"/>
          <w:szCs w:val="24"/>
        </w:rPr>
        <w:t>approach</w:t>
      </w:r>
      <w:r w:rsidRPr="00781B30">
        <w:rPr>
          <w:sz w:val="24"/>
          <w:szCs w:val="24"/>
        </w:rPr>
        <w:t xml:space="preserve">, first outlined in </w:t>
      </w:r>
      <w:r w:rsidRPr="00781B30">
        <w:rPr>
          <w:color w:val="000000" w:themeColor="text1"/>
          <w:sz w:val="24"/>
          <w:szCs w:val="24"/>
        </w:rPr>
        <w:t xml:space="preserve">detail in his </w:t>
      </w:r>
      <w:r w:rsidRPr="00781B30">
        <w:rPr>
          <w:i/>
          <w:iCs/>
          <w:color w:val="000000" w:themeColor="text1"/>
          <w:sz w:val="24"/>
          <w:szCs w:val="24"/>
        </w:rPr>
        <w:t>A Phenomenology of Landscape</w:t>
      </w:r>
      <w:r w:rsidRPr="00781B30">
        <w:rPr>
          <w:rStyle w:val="FootnoteReference"/>
          <w:i/>
          <w:iCs/>
          <w:color w:val="000000" w:themeColor="text1"/>
          <w:sz w:val="24"/>
          <w:szCs w:val="24"/>
        </w:rPr>
        <w:footnoteReference w:id="8"/>
      </w:r>
      <w:r w:rsidRPr="00781B30">
        <w:rPr>
          <w:i/>
          <w:iCs/>
          <w:color w:val="000000" w:themeColor="text1"/>
          <w:sz w:val="24"/>
          <w:szCs w:val="24"/>
        </w:rPr>
        <w:t>,</w:t>
      </w:r>
      <w:r w:rsidR="00123B9C">
        <w:rPr>
          <w:i/>
          <w:iCs/>
          <w:color w:val="000000" w:themeColor="text1"/>
          <w:sz w:val="24"/>
          <w:szCs w:val="24"/>
        </w:rPr>
        <w:t xml:space="preserve"> </w:t>
      </w:r>
      <w:r w:rsidR="00123B9C">
        <w:rPr>
          <w:color w:val="000000" w:themeColor="text1"/>
          <w:sz w:val="24"/>
          <w:szCs w:val="24"/>
        </w:rPr>
        <w:t>published in 1994,</w:t>
      </w:r>
      <w:r w:rsidR="00EC567F" w:rsidRPr="00781B30">
        <w:rPr>
          <w:color w:val="000000" w:themeColor="text1"/>
          <w:sz w:val="24"/>
          <w:szCs w:val="24"/>
        </w:rPr>
        <w:t xml:space="preserve"> </w:t>
      </w:r>
      <w:r w:rsidRPr="00781B30">
        <w:rPr>
          <w:color w:val="000000" w:themeColor="text1"/>
          <w:sz w:val="24"/>
          <w:szCs w:val="24"/>
        </w:rPr>
        <w:t>became</w:t>
      </w:r>
      <w:r w:rsidR="00EC567F" w:rsidRPr="00781B30">
        <w:rPr>
          <w:color w:val="000000" w:themeColor="text1"/>
          <w:sz w:val="24"/>
          <w:szCs w:val="24"/>
        </w:rPr>
        <w:t xml:space="preserve"> a key perspective in post-processual archaeological theory.</w:t>
      </w:r>
      <w:r w:rsidR="00EC567F" w:rsidRPr="00781B30">
        <w:rPr>
          <w:rStyle w:val="FootnoteReference"/>
          <w:color w:val="000000" w:themeColor="text1"/>
          <w:sz w:val="24"/>
          <w:szCs w:val="24"/>
        </w:rPr>
        <w:footnoteReference w:id="9"/>
      </w:r>
      <w:r w:rsidR="00EC567F" w:rsidRPr="00781B30">
        <w:rPr>
          <w:color w:val="000000" w:themeColor="text1"/>
          <w:sz w:val="24"/>
          <w:szCs w:val="24"/>
        </w:rPr>
        <w:t xml:space="preserve"> </w:t>
      </w:r>
      <w:r w:rsidRPr="00781B30">
        <w:rPr>
          <w:color w:val="000000" w:themeColor="text1"/>
          <w:sz w:val="24"/>
          <w:szCs w:val="24"/>
        </w:rPr>
        <w:t>For Tilley, l</w:t>
      </w:r>
      <w:r w:rsidR="00EC567F" w:rsidRPr="00781B30">
        <w:rPr>
          <w:color w:val="000000" w:themeColor="text1"/>
          <w:sz w:val="24"/>
          <w:szCs w:val="24"/>
        </w:rPr>
        <w:t xml:space="preserve">andscapes </w:t>
      </w:r>
      <w:r w:rsidRPr="00781B30">
        <w:rPr>
          <w:color w:val="000000" w:themeColor="text1"/>
          <w:sz w:val="24"/>
          <w:szCs w:val="24"/>
        </w:rPr>
        <w:t>we</w:t>
      </w:r>
      <w:r w:rsidR="00EC567F" w:rsidRPr="00781B30">
        <w:rPr>
          <w:color w:val="000000" w:themeColor="text1"/>
          <w:sz w:val="24"/>
          <w:szCs w:val="24"/>
        </w:rPr>
        <w:t>re layered with meaning and experience</w:t>
      </w:r>
      <w:r w:rsidRPr="00781B30">
        <w:rPr>
          <w:color w:val="000000" w:themeColor="text1"/>
          <w:sz w:val="24"/>
          <w:szCs w:val="24"/>
        </w:rPr>
        <w:t xml:space="preserve">, and archaeological sites could not be understood outside of </w:t>
      </w:r>
      <w:r w:rsidR="0062325C" w:rsidRPr="00781B30">
        <w:rPr>
          <w:color w:val="000000" w:themeColor="text1"/>
          <w:sz w:val="24"/>
          <w:szCs w:val="24"/>
        </w:rPr>
        <w:t xml:space="preserve">the </w:t>
      </w:r>
      <w:r w:rsidRPr="00781B30">
        <w:rPr>
          <w:color w:val="000000" w:themeColor="text1"/>
          <w:sz w:val="24"/>
          <w:szCs w:val="24"/>
        </w:rPr>
        <w:t xml:space="preserve">wider </w:t>
      </w:r>
      <w:r w:rsidRPr="00781B30">
        <w:rPr>
          <w:color w:val="000000" w:themeColor="text1"/>
          <w:sz w:val="24"/>
          <w:szCs w:val="24"/>
        </w:rPr>
        <w:lastRenderedPageBreak/>
        <w:t>landscapes in which they were embedded</w:t>
      </w:r>
      <w:r w:rsidR="00EC567F" w:rsidRPr="00781B30">
        <w:rPr>
          <w:color w:val="000000" w:themeColor="text1"/>
          <w:sz w:val="24"/>
          <w:szCs w:val="24"/>
        </w:rPr>
        <w:t>.</w:t>
      </w:r>
      <w:r w:rsidRPr="00781B30">
        <w:rPr>
          <w:color w:val="000000" w:themeColor="text1"/>
          <w:sz w:val="24"/>
          <w:szCs w:val="24"/>
        </w:rPr>
        <w:t xml:space="preserve"> His interest lay in </w:t>
      </w:r>
      <w:r w:rsidRPr="00781B30">
        <w:rPr>
          <w:sz w:val="24"/>
          <w:szCs w:val="24"/>
        </w:rPr>
        <w:t xml:space="preserve">building understandings of the ways in which people engage with and comprehend the world, with an emphasis on </w:t>
      </w:r>
      <w:r w:rsidR="0062325C" w:rsidRPr="00781B30">
        <w:rPr>
          <w:sz w:val="24"/>
          <w:szCs w:val="24"/>
        </w:rPr>
        <w:t>the</w:t>
      </w:r>
      <w:r w:rsidRPr="00781B30">
        <w:rPr>
          <w:sz w:val="24"/>
          <w:szCs w:val="24"/>
        </w:rPr>
        <w:t xml:space="preserve"> physical bodily experience of landscapes and what this might tell us about the relationships between </w:t>
      </w:r>
      <w:r w:rsidR="0062325C" w:rsidRPr="00781B30">
        <w:rPr>
          <w:sz w:val="24"/>
          <w:szCs w:val="24"/>
        </w:rPr>
        <w:t xml:space="preserve">the </w:t>
      </w:r>
      <w:r w:rsidRPr="00781B30">
        <w:rPr>
          <w:sz w:val="24"/>
          <w:szCs w:val="24"/>
        </w:rPr>
        <w:t>people and landscapes of the past.</w:t>
      </w:r>
      <w:r w:rsidRPr="00781B30">
        <w:rPr>
          <w:rStyle w:val="FootnoteReference"/>
          <w:sz w:val="24"/>
          <w:szCs w:val="24"/>
        </w:rPr>
        <w:footnoteReference w:id="10"/>
      </w:r>
      <w:r w:rsidRPr="00781B30">
        <w:rPr>
          <w:sz w:val="24"/>
          <w:szCs w:val="24"/>
        </w:rPr>
        <w:t xml:space="preserve"> </w:t>
      </w:r>
    </w:p>
    <w:p w14:paraId="481593EC" w14:textId="3F5A1829" w:rsidR="002C7298" w:rsidRPr="00781B30" w:rsidRDefault="00EC567F" w:rsidP="002C7298">
      <w:pPr>
        <w:rPr>
          <w:color w:val="000000" w:themeColor="text1"/>
          <w:sz w:val="24"/>
          <w:szCs w:val="24"/>
        </w:rPr>
      </w:pPr>
      <w:r w:rsidRPr="00781B30">
        <w:rPr>
          <w:sz w:val="24"/>
          <w:szCs w:val="24"/>
        </w:rPr>
        <w:t>Bender is currently Emeritus Professor of Heritage Anthropology at University College London.</w:t>
      </w:r>
      <w:r w:rsidRPr="00781B30">
        <w:rPr>
          <w:rStyle w:val="FootnoteReference"/>
          <w:sz w:val="24"/>
          <w:szCs w:val="24"/>
        </w:rPr>
        <w:footnoteReference w:id="11"/>
      </w:r>
      <w:r w:rsidRPr="00781B30">
        <w:rPr>
          <w:sz w:val="24"/>
          <w:szCs w:val="24"/>
        </w:rPr>
        <w:t xml:space="preserve"> </w:t>
      </w:r>
      <w:r w:rsidR="00122925">
        <w:rPr>
          <w:sz w:val="24"/>
          <w:szCs w:val="24"/>
        </w:rPr>
        <w:t>Working across</w:t>
      </w:r>
      <w:r w:rsidR="00AE4A7C" w:rsidRPr="00781B30">
        <w:rPr>
          <w:sz w:val="24"/>
          <w:szCs w:val="24"/>
        </w:rPr>
        <w:t xml:space="preserve"> </w:t>
      </w:r>
      <w:r w:rsidRPr="00781B30">
        <w:rPr>
          <w:sz w:val="24"/>
          <w:szCs w:val="24"/>
        </w:rPr>
        <w:t>archaeology and anthropology</w:t>
      </w:r>
      <w:r w:rsidR="00AE4A7C" w:rsidRPr="00781B30">
        <w:rPr>
          <w:sz w:val="24"/>
          <w:szCs w:val="24"/>
        </w:rPr>
        <w:t xml:space="preserve">, </w:t>
      </w:r>
      <w:r w:rsidR="00122925">
        <w:rPr>
          <w:sz w:val="24"/>
          <w:szCs w:val="24"/>
        </w:rPr>
        <w:t xml:space="preserve">she has combined structural and cultural </w:t>
      </w:r>
      <w:r w:rsidR="00122925" w:rsidRPr="00781B30">
        <w:rPr>
          <w:sz w:val="24"/>
          <w:szCs w:val="24"/>
        </w:rPr>
        <w:t>Marxis</w:t>
      </w:r>
      <w:r w:rsidR="00122925">
        <w:rPr>
          <w:sz w:val="24"/>
          <w:szCs w:val="24"/>
        </w:rPr>
        <w:t xml:space="preserve">t </w:t>
      </w:r>
      <w:r w:rsidR="005A44C3">
        <w:rPr>
          <w:sz w:val="24"/>
          <w:szCs w:val="24"/>
        </w:rPr>
        <w:t>theory</w:t>
      </w:r>
      <w:r w:rsidR="00122925">
        <w:rPr>
          <w:sz w:val="24"/>
          <w:szCs w:val="24"/>
        </w:rPr>
        <w:t xml:space="preserve"> with </w:t>
      </w:r>
      <w:r w:rsidR="00122925" w:rsidRPr="00781B30">
        <w:rPr>
          <w:sz w:val="24"/>
          <w:szCs w:val="24"/>
        </w:rPr>
        <w:t>phenomenological approaches</w:t>
      </w:r>
      <w:r w:rsidR="00122925">
        <w:rPr>
          <w:sz w:val="24"/>
          <w:szCs w:val="24"/>
        </w:rPr>
        <w:t xml:space="preserve"> to </w:t>
      </w:r>
      <w:r w:rsidR="005A44C3">
        <w:rPr>
          <w:sz w:val="24"/>
          <w:szCs w:val="24"/>
        </w:rPr>
        <w:t xml:space="preserve">inform a </w:t>
      </w:r>
      <w:r w:rsidR="00122925" w:rsidRPr="00781B30">
        <w:rPr>
          <w:sz w:val="24"/>
          <w:szCs w:val="24"/>
        </w:rPr>
        <w:t>multi-layered analysis of</w:t>
      </w:r>
      <w:r w:rsidR="00122925">
        <w:rPr>
          <w:sz w:val="24"/>
          <w:szCs w:val="24"/>
        </w:rPr>
        <w:t xml:space="preserve"> how</w:t>
      </w:r>
      <w:r w:rsidRPr="00781B30">
        <w:rPr>
          <w:sz w:val="24"/>
          <w:szCs w:val="24"/>
        </w:rPr>
        <w:t xml:space="preserve"> archaeological sites and landscapes are understood and interpreted by different groups and individuals.</w:t>
      </w:r>
      <w:r w:rsidR="00AE4A7C" w:rsidRPr="00781B30">
        <w:rPr>
          <w:sz w:val="24"/>
          <w:szCs w:val="24"/>
        </w:rPr>
        <w:t xml:space="preserve"> </w:t>
      </w:r>
    </w:p>
    <w:p w14:paraId="0CDFD8A4" w14:textId="6C5C9415" w:rsidR="005B02FE" w:rsidRPr="00781B30" w:rsidRDefault="005B02FE" w:rsidP="00781B30">
      <w:pPr>
        <w:pStyle w:val="Heading1"/>
        <w:rPr>
          <w:sz w:val="24"/>
          <w:szCs w:val="24"/>
        </w:rPr>
      </w:pPr>
      <w:r w:rsidRPr="00781B30">
        <w:rPr>
          <w:sz w:val="24"/>
          <w:szCs w:val="24"/>
        </w:rPr>
        <w:t>Summar</w:t>
      </w:r>
      <w:r w:rsidR="00C94FD8" w:rsidRPr="00781B30">
        <w:rPr>
          <w:sz w:val="24"/>
          <w:szCs w:val="24"/>
        </w:rPr>
        <w:t>y</w:t>
      </w:r>
      <w:r w:rsidR="00781B30" w:rsidRPr="00781B30">
        <w:rPr>
          <w:sz w:val="24"/>
          <w:szCs w:val="24"/>
        </w:rPr>
        <w:t xml:space="preserve"> of </w:t>
      </w:r>
      <w:r w:rsidR="005A44C3">
        <w:rPr>
          <w:sz w:val="24"/>
          <w:szCs w:val="24"/>
        </w:rPr>
        <w:t>key approaches</w:t>
      </w:r>
    </w:p>
    <w:p w14:paraId="0286D16A" w14:textId="77777777" w:rsidR="005B02FE" w:rsidRPr="00CB4741" w:rsidRDefault="005B02FE" w:rsidP="00781B30">
      <w:pPr>
        <w:pStyle w:val="Heading2"/>
        <w:rPr>
          <w:b w:val="0"/>
          <w:bCs w:val="0"/>
          <w:i/>
          <w:iCs/>
        </w:rPr>
      </w:pPr>
      <w:r w:rsidRPr="00CB4741">
        <w:rPr>
          <w:b w:val="0"/>
          <w:bCs w:val="0"/>
          <w:i/>
          <w:iCs/>
        </w:rPr>
        <w:t>Bender’s theory of contested space</w:t>
      </w:r>
    </w:p>
    <w:p w14:paraId="5ABB39E3" w14:textId="3C821BA3" w:rsidR="00B43304" w:rsidRDefault="005B02FE" w:rsidP="005B02FE">
      <w:pPr>
        <w:rPr>
          <w:color w:val="000000" w:themeColor="text1"/>
          <w:sz w:val="24"/>
          <w:szCs w:val="24"/>
        </w:rPr>
      </w:pPr>
      <w:r w:rsidRPr="00781B30">
        <w:rPr>
          <w:color w:val="000000" w:themeColor="text1"/>
          <w:sz w:val="24"/>
          <w:szCs w:val="24"/>
        </w:rPr>
        <w:t xml:space="preserve">Bender’s theory of contested space suggests that landscapes cannot be viewed as neutral spaces: </w:t>
      </w:r>
      <w:r w:rsidR="0062325C" w:rsidRPr="00781B30">
        <w:rPr>
          <w:color w:val="000000" w:themeColor="text1"/>
          <w:sz w:val="24"/>
          <w:szCs w:val="24"/>
        </w:rPr>
        <w:t>they</w:t>
      </w:r>
      <w:r w:rsidRPr="00781B30">
        <w:rPr>
          <w:color w:val="000000" w:themeColor="text1"/>
          <w:sz w:val="24"/>
          <w:szCs w:val="24"/>
        </w:rPr>
        <w:t xml:space="preserve"> create and are created by particular cultural, social and political contexts, with people appropriating and contesting landscapes to create and challenge individual and group identities.</w:t>
      </w:r>
      <w:r w:rsidRPr="00781B30">
        <w:rPr>
          <w:rStyle w:val="FootnoteReference"/>
          <w:color w:val="000000" w:themeColor="text1"/>
          <w:sz w:val="24"/>
          <w:szCs w:val="24"/>
        </w:rPr>
        <w:footnoteReference w:id="12"/>
      </w:r>
      <w:r w:rsidRPr="00781B30">
        <w:rPr>
          <w:color w:val="000000" w:themeColor="text1"/>
          <w:sz w:val="24"/>
          <w:szCs w:val="24"/>
        </w:rPr>
        <w:t xml:space="preserve"> Because of this, </w:t>
      </w:r>
      <w:r w:rsidR="00495713" w:rsidRPr="00781B30">
        <w:rPr>
          <w:color w:val="000000" w:themeColor="text1"/>
          <w:sz w:val="24"/>
          <w:szCs w:val="24"/>
        </w:rPr>
        <w:t xml:space="preserve">Bender suggests that </w:t>
      </w:r>
      <w:r w:rsidRPr="00781B30">
        <w:rPr>
          <w:color w:val="000000" w:themeColor="text1"/>
          <w:sz w:val="24"/>
          <w:szCs w:val="24"/>
        </w:rPr>
        <w:t xml:space="preserve">we cannot speak of </w:t>
      </w:r>
      <w:r w:rsidR="00495713" w:rsidRPr="00781B30">
        <w:rPr>
          <w:color w:val="000000" w:themeColor="text1"/>
          <w:sz w:val="24"/>
          <w:szCs w:val="24"/>
        </w:rPr>
        <w:t>‘</w:t>
      </w:r>
      <w:r w:rsidRPr="00781B30">
        <w:rPr>
          <w:i/>
          <w:iCs/>
          <w:color w:val="000000" w:themeColor="text1"/>
          <w:sz w:val="24"/>
          <w:szCs w:val="24"/>
        </w:rPr>
        <w:t>a</w:t>
      </w:r>
      <w:r w:rsidRPr="00781B30">
        <w:rPr>
          <w:color w:val="000000" w:themeColor="text1"/>
          <w:sz w:val="24"/>
          <w:szCs w:val="24"/>
        </w:rPr>
        <w:t xml:space="preserve"> landscape</w:t>
      </w:r>
      <w:r w:rsidR="00495713" w:rsidRPr="00781B30">
        <w:rPr>
          <w:color w:val="000000" w:themeColor="text1"/>
          <w:sz w:val="24"/>
          <w:szCs w:val="24"/>
        </w:rPr>
        <w:t>’</w:t>
      </w:r>
      <w:r w:rsidRPr="00781B30">
        <w:rPr>
          <w:color w:val="000000" w:themeColor="text1"/>
          <w:sz w:val="24"/>
          <w:szCs w:val="24"/>
        </w:rPr>
        <w:t xml:space="preserve">, but instead must recognise the existence </w:t>
      </w:r>
      <w:r w:rsidRPr="00B43304">
        <w:rPr>
          <w:color w:val="000000" w:themeColor="text1"/>
          <w:sz w:val="24"/>
          <w:szCs w:val="24"/>
        </w:rPr>
        <w:t>of many</w:t>
      </w:r>
      <w:r w:rsidR="00B43304" w:rsidRPr="00B43304">
        <w:rPr>
          <w:color w:val="000000" w:themeColor="text1"/>
          <w:sz w:val="24"/>
          <w:szCs w:val="24"/>
        </w:rPr>
        <w:t>, often conflicting,</w:t>
      </w:r>
      <w:r w:rsidRPr="00781B30">
        <w:rPr>
          <w:color w:val="000000" w:themeColor="text1"/>
          <w:sz w:val="24"/>
          <w:szCs w:val="24"/>
        </w:rPr>
        <w:t xml:space="preserve"> landscapes</w:t>
      </w:r>
      <w:r w:rsidR="00B43304">
        <w:rPr>
          <w:color w:val="000000" w:themeColor="text1"/>
          <w:sz w:val="24"/>
          <w:szCs w:val="24"/>
        </w:rPr>
        <w:t>, influenced by the experience of groups and individuals within a particular social and political context</w:t>
      </w:r>
      <w:r w:rsidRPr="00781B30">
        <w:rPr>
          <w:color w:val="000000" w:themeColor="text1"/>
          <w:sz w:val="24"/>
          <w:szCs w:val="24"/>
        </w:rPr>
        <w:t>.</w:t>
      </w:r>
      <w:r w:rsidR="00781B30" w:rsidRPr="00781B30">
        <w:rPr>
          <w:color w:val="000000" w:themeColor="text1"/>
          <w:sz w:val="24"/>
          <w:szCs w:val="24"/>
        </w:rPr>
        <w:t>’</w:t>
      </w:r>
      <w:r w:rsidRPr="00781B30">
        <w:rPr>
          <w:rStyle w:val="FootnoteReference"/>
          <w:color w:val="000000" w:themeColor="text1"/>
          <w:sz w:val="24"/>
          <w:szCs w:val="24"/>
        </w:rPr>
        <w:footnoteReference w:id="13"/>
      </w:r>
      <w:r w:rsidRPr="00781B30">
        <w:rPr>
          <w:color w:val="000000" w:themeColor="text1"/>
          <w:sz w:val="24"/>
          <w:szCs w:val="24"/>
        </w:rPr>
        <w:t xml:space="preserve"> </w:t>
      </w:r>
    </w:p>
    <w:p w14:paraId="70A4BF8B" w14:textId="5E79E613" w:rsidR="005B02FE" w:rsidRPr="00781B30" w:rsidRDefault="005B02FE" w:rsidP="005B02FE">
      <w:pPr>
        <w:rPr>
          <w:color w:val="000000" w:themeColor="text1"/>
          <w:sz w:val="24"/>
          <w:szCs w:val="24"/>
        </w:rPr>
      </w:pPr>
      <w:r w:rsidRPr="00781B30">
        <w:rPr>
          <w:color w:val="000000" w:themeColor="text1"/>
          <w:sz w:val="24"/>
          <w:szCs w:val="24"/>
        </w:rPr>
        <w:t xml:space="preserve">In </w:t>
      </w:r>
      <w:r w:rsidRPr="00781B30">
        <w:rPr>
          <w:sz w:val="24"/>
          <w:szCs w:val="24"/>
        </w:rPr>
        <w:t>‘Contested Landscapes: Medieval to Present Day’</w:t>
      </w:r>
      <w:r w:rsidRPr="00781B30">
        <w:rPr>
          <w:rStyle w:val="FootnoteReference"/>
          <w:sz w:val="24"/>
          <w:szCs w:val="24"/>
        </w:rPr>
        <w:footnoteReference w:id="14"/>
      </w:r>
      <w:r w:rsidRPr="00781B30">
        <w:rPr>
          <w:color w:val="000000" w:themeColor="text1"/>
          <w:sz w:val="24"/>
          <w:szCs w:val="24"/>
        </w:rPr>
        <w:t>, Bender exemplifies and draws on this theory, exploring the</w:t>
      </w:r>
      <w:r w:rsidR="00B43304">
        <w:rPr>
          <w:color w:val="000000" w:themeColor="text1"/>
          <w:sz w:val="24"/>
          <w:szCs w:val="24"/>
        </w:rPr>
        <w:t xml:space="preserve"> </w:t>
      </w:r>
      <w:r w:rsidRPr="00781B30">
        <w:rPr>
          <w:color w:val="000000" w:themeColor="text1"/>
          <w:sz w:val="24"/>
          <w:szCs w:val="24"/>
        </w:rPr>
        <w:t>history of Stonehenge</w:t>
      </w:r>
      <w:r w:rsidR="00B43304">
        <w:rPr>
          <w:color w:val="000000" w:themeColor="text1"/>
          <w:sz w:val="24"/>
          <w:szCs w:val="24"/>
        </w:rPr>
        <w:t>’s contested landscape</w:t>
      </w:r>
      <w:r w:rsidRPr="00781B30">
        <w:rPr>
          <w:color w:val="000000" w:themeColor="text1"/>
          <w:sz w:val="24"/>
          <w:szCs w:val="24"/>
        </w:rPr>
        <w:t xml:space="preserve"> </w:t>
      </w:r>
      <w:r w:rsidR="00CB4741">
        <w:rPr>
          <w:color w:val="000000" w:themeColor="text1"/>
          <w:sz w:val="24"/>
          <w:szCs w:val="24"/>
        </w:rPr>
        <w:t>through</w:t>
      </w:r>
      <w:r w:rsidRPr="00781B30">
        <w:rPr>
          <w:color w:val="000000" w:themeColor="text1"/>
          <w:sz w:val="24"/>
          <w:szCs w:val="24"/>
        </w:rPr>
        <w:t xml:space="preserve"> different types</w:t>
      </w:r>
      <w:r w:rsidR="00B43304">
        <w:rPr>
          <w:color w:val="000000" w:themeColor="text1"/>
          <w:sz w:val="24"/>
          <w:szCs w:val="24"/>
        </w:rPr>
        <w:t xml:space="preserve"> of evidence</w:t>
      </w:r>
      <w:r w:rsidRPr="00781B30">
        <w:rPr>
          <w:color w:val="000000" w:themeColor="text1"/>
          <w:sz w:val="24"/>
          <w:szCs w:val="24"/>
        </w:rPr>
        <w:t>, including archaeological sources,</w:t>
      </w:r>
      <w:r w:rsidR="00495713" w:rsidRPr="00781B30">
        <w:rPr>
          <w:color w:val="000000" w:themeColor="text1"/>
          <w:sz w:val="24"/>
          <w:szCs w:val="24"/>
        </w:rPr>
        <w:t xml:space="preserve"> literary texts,</w:t>
      </w:r>
      <w:r w:rsidRPr="00781B30">
        <w:rPr>
          <w:color w:val="000000" w:themeColor="text1"/>
          <w:sz w:val="24"/>
          <w:szCs w:val="24"/>
        </w:rPr>
        <w:t xml:space="preserve"> </w:t>
      </w:r>
      <w:r w:rsidR="00B43304">
        <w:rPr>
          <w:color w:val="000000" w:themeColor="text1"/>
          <w:sz w:val="24"/>
          <w:szCs w:val="24"/>
        </w:rPr>
        <w:t xml:space="preserve">primary and </w:t>
      </w:r>
      <w:r w:rsidRPr="00781B30">
        <w:rPr>
          <w:color w:val="000000" w:themeColor="text1"/>
          <w:sz w:val="24"/>
          <w:szCs w:val="24"/>
        </w:rPr>
        <w:t>secondary historical sources, media accounts and modern heritage displays</w:t>
      </w:r>
      <w:r w:rsidR="00495713" w:rsidRPr="00781B30">
        <w:rPr>
          <w:color w:val="000000" w:themeColor="text1"/>
          <w:sz w:val="24"/>
          <w:szCs w:val="24"/>
        </w:rPr>
        <w:t>.</w:t>
      </w:r>
      <w:r w:rsidR="00495713" w:rsidRPr="00781B30">
        <w:rPr>
          <w:rStyle w:val="FootnoteReference"/>
          <w:color w:val="000000" w:themeColor="text1"/>
          <w:sz w:val="24"/>
          <w:szCs w:val="24"/>
        </w:rPr>
        <w:footnoteReference w:id="15"/>
      </w:r>
      <w:r w:rsidR="00495713" w:rsidRPr="00781B30">
        <w:rPr>
          <w:color w:val="000000" w:themeColor="text1"/>
          <w:sz w:val="24"/>
          <w:szCs w:val="24"/>
        </w:rPr>
        <w:t xml:space="preserve"> </w:t>
      </w:r>
      <w:r w:rsidRPr="00781B30">
        <w:rPr>
          <w:color w:val="000000" w:themeColor="text1"/>
          <w:sz w:val="24"/>
          <w:szCs w:val="24"/>
        </w:rPr>
        <w:t xml:space="preserve">For example, she </w:t>
      </w:r>
      <w:r w:rsidR="00AE08D1" w:rsidRPr="00781B30">
        <w:rPr>
          <w:color w:val="000000" w:themeColor="text1"/>
          <w:sz w:val="24"/>
          <w:szCs w:val="24"/>
        </w:rPr>
        <w:t>uses</w:t>
      </w:r>
      <w:r w:rsidRPr="00781B30">
        <w:rPr>
          <w:color w:val="000000" w:themeColor="text1"/>
          <w:sz w:val="24"/>
          <w:szCs w:val="24"/>
        </w:rPr>
        <w:t xml:space="preserve"> evidence from the later medieval period to </w:t>
      </w:r>
      <w:r w:rsidR="00495713" w:rsidRPr="00781B30">
        <w:rPr>
          <w:color w:val="000000" w:themeColor="text1"/>
          <w:sz w:val="24"/>
          <w:szCs w:val="24"/>
        </w:rPr>
        <w:t>argue that conf</w:t>
      </w:r>
      <w:r w:rsidRPr="00781B30">
        <w:rPr>
          <w:color w:val="000000" w:themeColor="text1"/>
          <w:sz w:val="24"/>
          <w:szCs w:val="24"/>
        </w:rPr>
        <w:t>lict between the Church and commoners can be seen in the Church</w:t>
      </w:r>
      <w:r w:rsidR="00A77DC7">
        <w:rPr>
          <w:color w:val="000000" w:themeColor="text1"/>
          <w:sz w:val="24"/>
          <w:szCs w:val="24"/>
        </w:rPr>
        <w:t>’s</w:t>
      </w:r>
      <w:r w:rsidRPr="00781B30">
        <w:rPr>
          <w:color w:val="000000" w:themeColor="text1"/>
          <w:sz w:val="24"/>
          <w:szCs w:val="24"/>
        </w:rPr>
        <w:t xml:space="preserve"> attempt</w:t>
      </w:r>
      <w:r w:rsidR="00A77DC7">
        <w:rPr>
          <w:color w:val="000000" w:themeColor="text1"/>
          <w:sz w:val="24"/>
          <w:szCs w:val="24"/>
        </w:rPr>
        <w:t xml:space="preserve">s </w:t>
      </w:r>
      <w:r w:rsidRPr="00781B30">
        <w:rPr>
          <w:color w:val="000000" w:themeColor="text1"/>
          <w:sz w:val="24"/>
          <w:szCs w:val="24"/>
        </w:rPr>
        <w:t xml:space="preserve">to destroy or appropriate the stones and </w:t>
      </w:r>
      <w:r w:rsidR="00A77DC7">
        <w:rPr>
          <w:color w:val="000000" w:themeColor="text1"/>
          <w:sz w:val="24"/>
          <w:szCs w:val="24"/>
        </w:rPr>
        <w:t xml:space="preserve">in </w:t>
      </w:r>
      <w:r w:rsidRPr="00781B30">
        <w:rPr>
          <w:color w:val="000000" w:themeColor="text1"/>
          <w:sz w:val="24"/>
          <w:szCs w:val="24"/>
        </w:rPr>
        <w:t>commoners</w:t>
      </w:r>
      <w:r w:rsidR="00A77DC7">
        <w:rPr>
          <w:color w:val="000000" w:themeColor="text1"/>
          <w:sz w:val="24"/>
          <w:szCs w:val="24"/>
        </w:rPr>
        <w:t>’</w:t>
      </w:r>
      <w:r w:rsidRPr="00781B30">
        <w:rPr>
          <w:color w:val="000000" w:themeColor="text1"/>
          <w:sz w:val="24"/>
          <w:szCs w:val="24"/>
        </w:rPr>
        <w:t xml:space="preserve"> respon</w:t>
      </w:r>
      <w:r w:rsidR="00A77DC7">
        <w:rPr>
          <w:color w:val="000000" w:themeColor="text1"/>
          <w:sz w:val="24"/>
          <w:szCs w:val="24"/>
        </w:rPr>
        <w:t>se</w:t>
      </w:r>
      <w:r w:rsidRPr="00781B30">
        <w:rPr>
          <w:color w:val="000000" w:themeColor="text1"/>
          <w:sz w:val="24"/>
          <w:szCs w:val="24"/>
        </w:rPr>
        <w:t xml:space="preserve"> to this. </w:t>
      </w:r>
      <w:r w:rsidR="00495713" w:rsidRPr="00781B30">
        <w:rPr>
          <w:color w:val="000000" w:themeColor="text1"/>
          <w:sz w:val="24"/>
          <w:szCs w:val="24"/>
        </w:rPr>
        <w:t xml:space="preserve">Bringing </w:t>
      </w:r>
      <w:r w:rsidR="00AE08D1" w:rsidRPr="00781B30">
        <w:rPr>
          <w:color w:val="000000" w:themeColor="text1"/>
          <w:sz w:val="24"/>
          <w:szCs w:val="24"/>
        </w:rPr>
        <w:t>her</w:t>
      </w:r>
      <w:r w:rsidR="00495713" w:rsidRPr="00781B30">
        <w:rPr>
          <w:color w:val="000000" w:themeColor="text1"/>
          <w:sz w:val="24"/>
          <w:szCs w:val="24"/>
        </w:rPr>
        <w:t xml:space="preserve"> analysis into the </w:t>
      </w:r>
      <w:r w:rsidRPr="00781B30">
        <w:rPr>
          <w:color w:val="000000" w:themeColor="text1"/>
          <w:sz w:val="24"/>
          <w:szCs w:val="24"/>
        </w:rPr>
        <w:t>1990s, Bender characterise</w:t>
      </w:r>
      <w:r w:rsidR="00781B30" w:rsidRPr="00781B30">
        <w:rPr>
          <w:color w:val="000000" w:themeColor="text1"/>
          <w:sz w:val="24"/>
          <w:szCs w:val="24"/>
        </w:rPr>
        <w:t>d</w:t>
      </w:r>
      <w:r w:rsidRPr="00781B30">
        <w:rPr>
          <w:color w:val="000000" w:themeColor="text1"/>
          <w:sz w:val="24"/>
          <w:szCs w:val="24"/>
        </w:rPr>
        <w:t xml:space="preserve"> Stonehenge as having </w:t>
      </w:r>
      <w:r w:rsidR="00495713" w:rsidRPr="00781B30">
        <w:rPr>
          <w:color w:val="000000" w:themeColor="text1"/>
          <w:sz w:val="24"/>
          <w:szCs w:val="24"/>
        </w:rPr>
        <w:t xml:space="preserve">been </w:t>
      </w:r>
      <w:r w:rsidRPr="00781B30">
        <w:rPr>
          <w:color w:val="000000" w:themeColor="text1"/>
          <w:sz w:val="24"/>
          <w:szCs w:val="24"/>
        </w:rPr>
        <w:t>physically and interpretatively appropriated by the heritage industry, with alternative voices</w:t>
      </w:r>
      <w:r w:rsidR="00AE08D1" w:rsidRPr="00781B30">
        <w:rPr>
          <w:color w:val="000000" w:themeColor="text1"/>
          <w:sz w:val="24"/>
          <w:szCs w:val="24"/>
        </w:rPr>
        <w:t xml:space="preserve"> of New Age Travellers and Druids</w:t>
      </w:r>
      <w:r w:rsidRPr="00781B30">
        <w:rPr>
          <w:color w:val="000000" w:themeColor="text1"/>
          <w:sz w:val="24"/>
          <w:szCs w:val="24"/>
        </w:rPr>
        <w:t xml:space="preserve"> being sidelined and their physical access to the site restricted. Her analysis focuse</w:t>
      </w:r>
      <w:r w:rsidR="00B43304">
        <w:rPr>
          <w:color w:val="000000" w:themeColor="text1"/>
          <w:sz w:val="24"/>
          <w:szCs w:val="24"/>
        </w:rPr>
        <w:t>d</w:t>
      </w:r>
      <w:r w:rsidRPr="00781B30">
        <w:rPr>
          <w:color w:val="000000" w:themeColor="text1"/>
          <w:sz w:val="24"/>
          <w:szCs w:val="24"/>
        </w:rPr>
        <w:t xml:space="preserve"> </w:t>
      </w:r>
      <w:r w:rsidR="00A77DC7">
        <w:rPr>
          <w:color w:val="000000" w:themeColor="text1"/>
          <w:sz w:val="24"/>
          <w:szCs w:val="24"/>
        </w:rPr>
        <w:t xml:space="preserve">on </w:t>
      </w:r>
      <w:r w:rsidRPr="00781B30">
        <w:rPr>
          <w:color w:val="000000" w:themeColor="text1"/>
          <w:sz w:val="24"/>
          <w:szCs w:val="24"/>
        </w:rPr>
        <w:t xml:space="preserve">class politics, arguing that the contestation of Stonehenge was symptomatic of and added to the ‘othering’ and political oppression of travellers. Bender thus </w:t>
      </w:r>
      <w:r w:rsidR="00AE08D1" w:rsidRPr="00781B30">
        <w:rPr>
          <w:color w:val="000000" w:themeColor="text1"/>
          <w:sz w:val="24"/>
          <w:szCs w:val="24"/>
        </w:rPr>
        <w:t>explores</w:t>
      </w:r>
      <w:r w:rsidRPr="00781B30">
        <w:rPr>
          <w:color w:val="000000" w:themeColor="text1"/>
          <w:sz w:val="24"/>
          <w:szCs w:val="24"/>
        </w:rPr>
        <w:t xml:space="preserve"> the ways in which landscapes </w:t>
      </w:r>
      <w:r w:rsidR="00AE08D1" w:rsidRPr="00781B30">
        <w:rPr>
          <w:color w:val="000000" w:themeColor="text1"/>
          <w:sz w:val="24"/>
          <w:szCs w:val="24"/>
        </w:rPr>
        <w:t>might be</w:t>
      </w:r>
      <w:r w:rsidRPr="00781B30">
        <w:rPr>
          <w:color w:val="000000" w:themeColor="text1"/>
          <w:sz w:val="24"/>
          <w:szCs w:val="24"/>
        </w:rPr>
        <w:t xml:space="preserve"> constructed and contested by groups and individuals within specific historical, political, social and </w:t>
      </w:r>
      <w:r w:rsidRPr="00781B30">
        <w:rPr>
          <w:color w:val="000000" w:themeColor="text1"/>
          <w:sz w:val="24"/>
          <w:szCs w:val="24"/>
        </w:rPr>
        <w:lastRenderedPageBreak/>
        <w:t>economic contexts, with inequalities of power being central to her understanding of these contestations.</w:t>
      </w:r>
      <w:r w:rsidRPr="00781B30">
        <w:rPr>
          <w:rStyle w:val="FootnoteReference"/>
          <w:color w:val="000000" w:themeColor="text1"/>
          <w:sz w:val="24"/>
          <w:szCs w:val="24"/>
        </w:rPr>
        <w:t xml:space="preserve"> </w:t>
      </w:r>
      <w:r w:rsidRPr="00781B30">
        <w:rPr>
          <w:rStyle w:val="FootnoteReference"/>
          <w:color w:val="000000" w:themeColor="text1"/>
          <w:sz w:val="24"/>
          <w:szCs w:val="24"/>
        </w:rPr>
        <w:footnoteReference w:id="16"/>
      </w:r>
    </w:p>
    <w:p w14:paraId="0C73B044" w14:textId="77777777" w:rsidR="005B02FE" w:rsidRPr="00CB4741" w:rsidRDefault="005B02FE" w:rsidP="00781B30">
      <w:pPr>
        <w:pStyle w:val="Heading2"/>
        <w:rPr>
          <w:b w:val="0"/>
          <w:bCs w:val="0"/>
          <w:i/>
          <w:iCs/>
        </w:rPr>
      </w:pPr>
      <w:r w:rsidRPr="00CB4741">
        <w:rPr>
          <w:b w:val="0"/>
          <w:bCs w:val="0"/>
          <w:i/>
          <w:iCs/>
        </w:rPr>
        <w:t>Tilley’s phenomenological perspective</w:t>
      </w:r>
    </w:p>
    <w:p w14:paraId="3C7A2907" w14:textId="48DD0C72" w:rsidR="00DC3641" w:rsidRPr="00781B30" w:rsidRDefault="005B02FE">
      <w:pPr>
        <w:rPr>
          <w:sz w:val="24"/>
          <w:szCs w:val="24"/>
        </w:rPr>
      </w:pPr>
      <w:r w:rsidRPr="00781B30">
        <w:rPr>
          <w:color w:val="000000" w:themeColor="text1"/>
          <w:sz w:val="24"/>
          <w:szCs w:val="24"/>
        </w:rPr>
        <w:t>In ‘Space, Place, Landscape and Perception: Phenomenological Perspectives’</w:t>
      </w:r>
      <w:r w:rsidR="00AE08D1" w:rsidRPr="00781B30">
        <w:rPr>
          <w:rStyle w:val="FootnoteReference"/>
          <w:color w:val="000000" w:themeColor="text1"/>
          <w:sz w:val="24"/>
          <w:szCs w:val="24"/>
        </w:rPr>
        <w:footnoteReference w:id="17"/>
      </w:r>
      <w:r w:rsidRPr="00781B30">
        <w:rPr>
          <w:color w:val="000000" w:themeColor="text1"/>
          <w:sz w:val="24"/>
          <w:szCs w:val="24"/>
        </w:rPr>
        <w:t>, Tilley provides an overview of the development, approaches and implications of his phenomenological perspective.</w:t>
      </w:r>
      <w:r w:rsidRPr="00781B30">
        <w:rPr>
          <w:i/>
          <w:iCs/>
          <w:color w:val="000000" w:themeColor="text1"/>
          <w:sz w:val="24"/>
          <w:szCs w:val="24"/>
        </w:rPr>
        <w:t xml:space="preserve"> </w:t>
      </w:r>
      <w:r w:rsidRPr="00781B30">
        <w:rPr>
          <w:sz w:val="24"/>
          <w:szCs w:val="24"/>
        </w:rPr>
        <w:t xml:space="preserve">He begins by building on Heidegger and </w:t>
      </w:r>
      <w:r w:rsidRPr="00781B30">
        <w:rPr>
          <w:i/>
          <w:iCs/>
          <w:sz w:val="24"/>
          <w:szCs w:val="24"/>
        </w:rPr>
        <w:t xml:space="preserve"> </w:t>
      </w:r>
      <w:r w:rsidRPr="00781B30">
        <w:rPr>
          <w:sz w:val="24"/>
          <w:szCs w:val="24"/>
        </w:rPr>
        <w:t>Merleau-Ponty to theorise the (human) body as</w:t>
      </w:r>
      <w:r w:rsidRPr="00781B30">
        <w:rPr>
          <w:color w:val="000000" w:themeColor="text1"/>
          <w:sz w:val="24"/>
          <w:szCs w:val="24"/>
        </w:rPr>
        <w:t xml:space="preserve"> </w:t>
      </w:r>
      <w:r w:rsidR="00AE08D1" w:rsidRPr="00781B30">
        <w:rPr>
          <w:color w:val="000000" w:themeColor="text1"/>
          <w:sz w:val="24"/>
          <w:szCs w:val="24"/>
        </w:rPr>
        <w:t>‘</w:t>
      </w:r>
      <w:r w:rsidRPr="00781B30">
        <w:rPr>
          <w:color w:val="000000" w:themeColor="text1"/>
          <w:sz w:val="24"/>
          <w:szCs w:val="24"/>
        </w:rPr>
        <w:t>the fundamental mediation point between thought and the world.</w:t>
      </w:r>
      <w:r w:rsidR="00AE08D1" w:rsidRPr="00781B30">
        <w:rPr>
          <w:color w:val="000000" w:themeColor="text1"/>
          <w:sz w:val="24"/>
          <w:szCs w:val="24"/>
        </w:rPr>
        <w:t>’</w:t>
      </w:r>
      <w:r w:rsidRPr="00781B30">
        <w:rPr>
          <w:rStyle w:val="FootnoteReference"/>
          <w:color w:val="000000" w:themeColor="text1"/>
          <w:sz w:val="24"/>
          <w:szCs w:val="24"/>
        </w:rPr>
        <w:footnoteReference w:id="18"/>
      </w:r>
      <w:r w:rsidRPr="00781B30">
        <w:rPr>
          <w:color w:val="000000" w:themeColor="text1"/>
          <w:sz w:val="24"/>
          <w:szCs w:val="24"/>
        </w:rPr>
        <w:t xml:space="preserve"> Thus, he argues, the material world can only be realised and understood through our subjective embodied experience. Tilley argues</w:t>
      </w:r>
      <w:r w:rsidR="00AE08D1" w:rsidRPr="00781B30">
        <w:rPr>
          <w:color w:val="000000" w:themeColor="text1"/>
          <w:sz w:val="24"/>
          <w:szCs w:val="24"/>
        </w:rPr>
        <w:t>,</w:t>
      </w:r>
      <w:r w:rsidRPr="00781B30">
        <w:rPr>
          <w:color w:val="000000" w:themeColor="text1"/>
          <w:sz w:val="24"/>
          <w:szCs w:val="24"/>
        </w:rPr>
        <w:t xml:space="preserve"> </w:t>
      </w:r>
      <w:r w:rsidR="00AE08D1" w:rsidRPr="00781B30">
        <w:rPr>
          <w:color w:val="000000" w:themeColor="text1"/>
          <w:sz w:val="24"/>
          <w:szCs w:val="24"/>
        </w:rPr>
        <w:t xml:space="preserve">therefore, </w:t>
      </w:r>
      <w:r w:rsidRPr="00781B30">
        <w:rPr>
          <w:color w:val="000000" w:themeColor="text1"/>
          <w:sz w:val="24"/>
          <w:szCs w:val="24"/>
        </w:rPr>
        <w:t xml:space="preserve">that to understand a </w:t>
      </w:r>
      <w:r w:rsidR="00AE08D1" w:rsidRPr="00781B30">
        <w:rPr>
          <w:color w:val="000000" w:themeColor="text1"/>
          <w:sz w:val="24"/>
          <w:szCs w:val="24"/>
        </w:rPr>
        <w:t>prehistoric site within its landscape</w:t>
      </w:r>
      <w:r w:rsidRPr="00781B30">
        <w:rPr>
          <w:color w:val="000000" w:themeColor="text1"/>
          <w:sz w:val="24"/>
          <w:szCs w:val="24"/>
        </w:rPr>
        <w:t xml:space="preserve">, archaeologists should analyse and record their own bodily interactions with </w:t>
      </w:r>
      <w:r w:rsidR="00AE08D1" w:rsidRPr="00781B30">
        <w:rPr>
          <w:color w:val="000000" w:themeColor="text1"/>
          <w:sz w:val="24"/>
          <w:szCs w:val="24"/>
        </w:rPr>
        <w:t xml:space="preserve">the place, a process which he suggests </w:t>
      </w:r>
      <w:r w:rsidRPr="00781B30">
        <w:rPr>
          <w:color w:val="000000" w:themeColor="text1"/>
          <w:sz w:val="24"/>
          <w:szCs w:val="24"/>
        </w:rPr>
        <w:t xml:space="preserve">can offer insights into the how people may have engaged with </w:t>
      </w:r>
      <w:r w:rsidR="00AE08D1" w:rsidRPr="00781B30">
        <w:rPr>
          <w:color w:val="000000" w:themeColor="text1"/>
          <w:sz w:val="24"/>
          <w:szCs w:val="24"/>
        </w:rPr>
        <w:t xml:space="preserve">the landscape </w:t>
      </w:r>
      <w:r w:rsidRPr="00781B30">
        <w:rPr>
          <w:color w:val="000000" w:themeColor="text1"/>
          <w:sz w:val="24"/>
          <w:szCs w:val="24"/>
        </w:rPr>
        <w:t>in the past.</w:t>
      </w:r>
      <w:r w:rsidR="00AE08D1" w:rsidRPr="00781B30">
        <w:rPr>
          <w:rStyle w:val="FootnoteReference"/>
          <w:color w:val="000000" w:themeColor="text1"/>
          <w:sz w:val="24"/>
          <w:szCs w:val="24"/>
        </w:rPr>
        <w:footnoteReference w:id="19"/>
      </w:r>
      <w:r w:rsidRPr="00781B30">
        <w:rPr>
          <w:color w:val="000000" w:themeColor="text1"/>
          <w:sz w:val="24"/>
          <w:szCs w:val="24"/>
        </w:rPr>
        <w:t xml:space="preserve"> </w:t>
      </w:r>
    </w:p>
    <w:p w14:paraId="4B041317" w14:textId="1FEAEB24" w:rsidR="00DC3641" w:rsidRPr="00781B30" w:rsidRDefault="00781B30" w:rsidP="00781B30">
      <w:pPr>
        <w:pStyle w:val="Heading1"/>
        <w:rPr>
          <w:sz w:val="24"/>
          <w:szCs w:val="24"/>
        </w:rPr>
      </w:pPr>
      <w:r w:rsidRPr="00781B30">
        <w:rPr>
          <w:sz w:val="24"/>
          <w:szCs w:val="24"/>
        </w:rPr>
        <w:t>Analyses of complementary of approaches</w:t>
      </w:r>
    </w:p>
    <w:p w14:paraId="4AF5B5A2" w14:textId="3518D8D8" w:rsidR="0025629B" w:rsidRPr="00781B30" w:rsidRDefault="00D64607" w:rsidP="0025629B">
      <w:pPr>
        <w:rPr>
          <w:sz w:val="24"/>
          <w:szCs w:val="24"/>
        </w:rPr>
      </w:pPr>
      <w:r w:rsidRPr="00781B30">
        <w:rPr>
          <w:sz w:val="24"/>
          <w:szCs w:val="24"/>
        </w:rPr>
        <w:t>For both Tilley</w:t>
      </w:r>
      <w:r w:rsidRPr="00781B30">
        <w:rPr>
          <w:rStyle w:val="FootnoteReference"/>
          <w:sz w:val="24"/>
          <w:szCs w:val="24"/>
        </w:rPr>
        <w:footnoteReference w:id="20"/>
      </w:r>
      <w:r w:rsidRPr="00781B30">
        <w:rPr>
          <w:sz w:val="24"/>
          <w:szCs w:val="24"/>
        </w:rPr>
        <w:t xml:space="preserve"> and Bender</w:t>
      </w:r>
      <w:r w:rsidRPr="00781B30">
        <w:rPr>
          <w:rStyle w:val="FootnoteReference"/>
          <w:sz w:val="24"/>
          <w:szCs w:val="24"/>
        </w:rPr>
        <w:footnoteReference w:id="21"/>
      </w:r>
      <w:r w:rsidRPr="00781B30">
        <w:rPr>
          <w:sz w:val="24"/>
          <w:szCs w:val="24"/>
        </w:rPr>
        <w:t>, landscapes are never neutral</w:t>
      </w:r>
      <w:r w:rsidR="0038047F" w:rsidRPr="00781B30">
        <w:rPr>
          <w:sz w:val="24"/>
          <w:szCs w:val="24"/>
        </w:rPr>
        <w:t>, but are political</w:t>
      </w:r>
      <w:r w:rsidR="0025629B" w:rsidRPr="00781B30">
        <w:rPr>
          <w:sz w:val="24"/>
          <w:szCs w:val="24"/>
        </w:rPr>
        <w:t xml:space="preserve">, </w:t>
      </w:r>
      <w:r w:rsidR="0038047F" w:rsidRPr="00781B30">
        <w:rPr>
          <w:sz w:val="24"/>
          <w:szCs w:val="24"/>
        </w:rPr>
        <w:t>value-laden</w:t>
      </w:r>
      <w:r w:rsidR="00E102B2" w:rsidRPr="00781B30">
        <w:rPr>
          <w:sz w:val="24"/>
          <w:szCs w:val="24"/>
        </w:rPr>
        <w:t xml:space="preserve"> and</w:t>
      </w:r>
      <w:r w:rsidR="00344B9C" w:rsidRPr="00781B30">
        <w:rPr>
          <w:sz w:val="24"/>
          <w:szCs w:val="24"/>
        </w:rPr>
        <w:t xml:space="preserve"> s</w:t>
      </w:r>
      <w:r w:rsidR="0038047F" w:rsidRPr="00781B30">
        <w:rPr>
          <w:sz w:val="24"/>
          <w:szCs w:val="24"/>
        </w:rPr>
        <w:t>ubjective.</w:t>
      </w:r>
      <w:r w:rsidR="00344B9C" w:rsidRPr="00781B30">
        <w:rPr>
          <w:sz w:val="24"/>
          <w:szCs w:val="24"/>
        </w:rPr>
        <w:t xml:space="preserve"> </w:t>
      </w:r>
      <w:r w:rsidR="00E102B2" w:rsidRPr="00781B30">
        <w:rPr>
          <w:sz w:val="24"/>
          <w:szCs w:val="24"/>
        </w:rPr>
        <w:t>Bender</w:t>
      </w:r>
      <w:r w:rsidR="00931E92" w:rsidRPr="00781B30">
        <w:rPr>
          <w:sz w:val="24"/>
          <w:szCs w:val="24"/>
        </w:rPr>
        <w:t>’s conceptualisation of</w:t>
      </w:r>
      <w:r w:rsidR="00E102B2" w:rsidRPr="00781B30">
        <w:rPr>
          <w:sz w:val="24"/>
          <w:szCs w:val="24"/>
        </w:rPr>
        <w:t xml:space="preserve"> landscapes as ‘polyvalent and multivocal,’</w:t>
      </w:r>
      <w:r w:rsidR="00E102B2" w:rsidRPr="00781B30">
        <w:rPr>
          <w:rStyle w:val="FootnoteReference"/>
          <w:color w:val="000000" w:themeColor="text1"/>
          <w:sz w:val="24"/>
          <w:szCs w:val="24"/>
        </w:rPr>
        <w:footnoteReference w:id="22"/>
      </w:r>
      <w:r w:rsidR="00E102B2" w:rsidRPr="00781B30">
        <w:rPr>
          <w:sz w:val="24"/>
          <w:szCs w:val="24"/>
        </w:rPr>
        <w:t xml:space="preserve"> overlain with many different</w:t>
      </w:r>
      <w:r w:rsidR="00931E92" w:rsidRPr="00781B30">
        <w:rPr>
          <w:sz w:val="24"/>
          <w:szCs w:val="24"/>
        </w:rPr>
        <w:t xml:space="preserve"> </w:t>
      </w:r>
      <w:r w:rsidR="00E102B2" w:rsidRPr="00781B30">
        <w:rPr>
          <w:sz w:val="24"/>
          <w:szCs w:val="24"/>
        </w:rPr>
        <w:t>values</w:t>
      </w:r>
      <w:r w:rsidR="00931E92" w:rsidRPr="00781B30">
        <w:rPr>
          <w:sz w:val="24"/>
          <w:szCs w:val="24"/>
        </w:rPr>
        <w:t xml:space="preserve"> </w:t>
      </w:r>
      <w:r w:rsidR="00E102B2" w:rsidRPr="00781B30">
        <w:rPr>
          <w:sz w:val="24"/>
          <w:szCs w:val="24"/>
        </w:rPr>
        <w:t>and perspectives</w:t>
      </w:r>
      <w:r w:rsidR="00931E92" w:rsidRPr="00781B30">
        <w:rPr>
          <w:sz w:val="24"/>
          <w:szCs w:val="24"/>
        </w:rPr>
        <w:t xml:space="preserve">, can be seen to be supported by </w:t>
      </w:r>
      <w:r w:rsidR="00344B9C" w:rsidRPr="00781B30">
        <w:rPr>
          <w:sz w:val="24"/>
          <w:szCs w:val="24"/>
        </w:rPr>
        <w:t xml:space="preserve"> </w:t>
      </w:r>
      <w:r w:rsidR="0025629B" w:rsidRPr="00781B30">
        <w:rPr>
          <w:sz w:val="24"/>
          <w:szCs w:val="24"/>
        </w:rPr>
        <w:t>Tilley</w:t>
      </w:r>
      <w:r w:rsidR="00931E92" w:rsidRPr="00781B30">
        <w:rPr>
          <w:sz w:val="24"/>
          <w:szCs w:val="24"/>
        </w:rPr>
        <w:t>’s</w:t>
      </w:r>
      <w:r w:rsidR="0025629B" w:rsidRPr="00781B30">
        <w:rPr>
          <w:sz w:val="24"/>
          <w:szCs w:val="24"/>
        </w:rPr>
        <w:t xml:space="preserve"> argu</w:t>
      </w:r>
      <w:r w:rsidR="00931E92" w:rsidRPr="00781B30">
        <w:rPr>
          <w:sz w:val="24"/>
          <w:szCs w:val="24"/>
        </w:rPr>
        <w:t>ment</w:t>
      </w:r>
      <w:r w:rsidR="0025629B" w:rsidRPr="00781B30">
        <w:rPr>
          <w:sz w:val="24"/>
          <w:szCs w:val="24"/>
        </w:rPr>
        <w:t xml:space="preserve"> that places have meaning because of people’s lived experience of them</w:t>
      </w:r>
      <w:r w:rsidR="00931E92" w:rsidRPr="00781B30">
        <w:rPr>
          <w:sz w:val="24"/>
          <w:szCs w:val="24"/>
        </w:rPr>
        <w:t>. Tilley suggests that</w:t>
      </w:r>
      <w:r w:rsidR="0025629B" w:rsidRPr="00781B30">
        <w:rPr>
          <w:sz w:val="24"/>
          <w:szCs w:val="24"/>
        </w:rPr>
        <w:t xml:space="preserve">, </w:t>
      </w:r>
      <w:r w:rsidR="00931E92" w:rsidRPr="00781B30">
        <w:rPr>
          <w:sz w:val="24"/>
          <w:szCs w:val="24"/>
        </w:rPr>
        <w:t xml:space="preserve">because landscapes are </w:t>
      </w:r>
      <w:r w:rsidR="0025629B" w:rsidRPr="00781B30">
        <w:rPr>
          <w:sz w:val="24"/>
          <w:szCs w:val="24"/>
        </w:rPr>
        <w:t>always understood from a particular individual</w:t>
      </w:r>
      <w:r w:rsidR="00931E92" w:rsidRPr="00781B30">
        <w:rPr>
          <w:sz w:val="24"/>
          <w:szCs w:val="24"/>
        </w:rPr>
        <w:t xml:space="preserve"> embodied</w:t>
      </w:r>
      <w:r w:rsidR="0025629B" w:rsidRPr="00781B30">
        <w:rPr>
          <w:sz w:val="24"/>
          <w:szCs w:val="24"/>
        </w:rPr>
        <w:t xml:space="preserve"> viewpoint</w:t>
      </w:r>
      <w:r w:rsidR="00931E92" w:rsidRPr="00781B30">
        <w:rPr>
          <w:sz w:val="24"/>
          <w:szCs w:val="24"/>
        </w:rPr>
        <w:t>,</w:t>
      </w:r>
      <w:r w:rsidR="0025629B" w:rsidRPr="00781B30">
        <w:rPr>
          <w:sz w:val="24"/>
          <w:szCs w:val="24"/>
        </w:rPr>
        <w:t xml:space="preserve"> ‘Places are as diffuse and differentiated as the range of identities and significances accorded to them</w:t>
      </w:r>
      <w:r w:rsidR="00931E92" w:rsidRPr="00781B30">
        <w:rPr>
          <w:sz w:val="24"/>
          <w:szCs w:val="24"/>
        </w:rPr>
        <w:t>.</w:t>
      </w:r>
      <w:r w:rsidR="0025629B" w:rsidRPr="00781B30">
        <w:rPr>
          <w:sz w:val="24"/>
          <w:szCs w:val="24"/>
        </w:rPr>
        <w:t>’</w:t>
      </w:r>
      <w:r w:rsidR="0025629B" w:rsidRPr="00781B30">
        <w:rPr>
          <w:rStyle w:val="FootnoteReference"/>
          <w:sz w:val="24"/>
          <w:szCs w:val="24"/>
        </w:rPr>
        <w:footnoteReference w:id="23"/>
      </w:r>
      <w:r w:rsidR="0025629B" w:rsidRPr="00781B30">
        <w:rPr>
          <w:sz w:val="24"/>
          <w:szCs w:val="24"/>
        </w:rPr>
        <w:t xml:space="preserve">  </w:t>
      </w:r>
    </w:p>
    <w:p w14:paraId="2DC3CCAC" w14:textId="29B4BC09" w:rsidR="0025629B" w:rsidRPr="00781B30" w:rsidRDefault="00233B40" w:rsidP="00E102B2">
      <w:pPr>
        <w:rPr>
          <w:sz w:val="24"/>
          <w:szCs w:val="24"/>
        </w:rPr>
      </w:pPr>
      <w:r w:rsidRPr="00781B30">
        <w:rPr>
          <w:sz w:val="24"/>
          <w:szCs w:val="24"/>
        </w:rPr>
        <w:t>A key difference between their approaches to understanding these subjective experience</w:t>
      </w:r>
      <w:r w:rsidR="004726DE">
        <w:rPr>
          <w:sz w:val="24"/>
          <w:szCs w:val="24"/>
        </w:rPr>
        <w:t>s</w:t>
      </w:r>
      <w:r w:rsidRPr="00781B30">
        <w:rPr>
          <w:sz w:val="24"/>
          <w:szCs w:val="24"/>
        </w:rPr>
        <w:t xml:space="preserve"> of landscapes lies in Bender’s focus on a broad overview of the influence of power, politics and social relations </w:t>
      </w:r>
      <w:r w:rsidR="004726DE">
        <w:rPr>
          <w:sz w:val="24"/>
          <w:szCs w:val="24"/>
        </w:rPr>
        <w:t>while</w:t>
      </w:r>
      <w:r w:rsidRPr="00781B30">
        <w:rPr>
          <w:sz w:val="24"/>
          <w:szCs w:val="24"/>
        </w:rPr>
        <w:t xml:space="preserve"> Tilley focus</w:t>
      </w:r>
      <w:r w:rsidR="004726DE">
        <w:rPr>
          <w:sz w:val="24"/>
          <w:szCs w:val="24"/>
        </w:rPr>
        <w:t>ed</w:t>
      </w:r>
      <w:r w:rsidRPr="00781B30">
        <w:rPr>
          <w:sz w:val="24"/>
          <w:szCs w:val="24"/>
        </w:rPr>
        <w:t xml:space="preserve"> on physical bodily experience. Bender’s analysis foregrounds power and agency in human societies, helping to build understanding of how political and economic forces shape different understandings of landscapes, and how  landscapes may be used to reinforce or contest existing power structures. Tilley’s approach</w:t>
      </w:r>
      <w:r w:rsidR="004726DE">
        <w:rPr>
          <w:sz w:val="24"/>
          <w:szCs w:val="24"/>
        </w:rPr>
        <w:t>, on the other hand, offers</w:t>
      </w:r>
      <w:r w:rsidRPr="00781B30">
        <w:rPr>
          <w:sz w:val="24"/>
          <w:szCs w:val="24"/>
        </w:rPr>
        <w:t xml:space="preserve"> insights into how individuals physically interact with sites and landscapes, helping foreground the bodily and emotional responses that may contribute to and be mediated by the actions and behaviours analysed in Bender’s theory of contested landscapes. Tilley argues that detailed descriptions of the embodied experience of places help to create a ‘thick’ description, which contributes to a richer understanding of the nuance, diversity and </w:t>
      </w:r>
      <w:r w:rsidRPr="00781B30">
        <w:rPr>
          <w:sz w:val="24"/>
          <w:szCs w:val="24"/>
        </w:rPr>
        <w:lastRenderedPageBreak/>
        <w:t>complexity of landscapes.</w:t>
      </w:r>
      <w:r w:rsidRPr="00781B30">
        <w:rPr>
          <w:rStyle w:val="FootnoteReference"/>
          <w:sz w:val="24"/>
          <w:szCs w:val="24"/>
        </w:rPr>
        <w:footnoteReference w:id="24"/>
      </w:r>
      <w:r w:rsidRPr="00781B30">
        <w:rPr>
          <w:sz w:val="24"/>
          <w:szCs w:val="24"/>
        </w:rPr>
        <w:t xml:space="preserve"> </w:t>
      </w:r>
      <w:r w:rsidR="006559D2" w:rsidRPr="00781B30">
        <w:rPr>
          <w:sz w:val="24"/>
          <w:szCs w:val="24"/>
        </w:rPr>
        <w:t>Tilley’s approach</w:t>
      </w:r>
      <w:r w:rsidR="00344B9C" w:rsidRPr="00781B30">
        <w:rPr>
          <w:sz w:val="24"/>
          <w:szCs w:val="24"/>
        </w:rPr>
        <w:t xml:space="preserve"> can</w:t>
      </w:r>
      <w:r w:rsidR="004726DE">
        <w:rPr>
          <w:sz w:val="24"/>
          <w:szCs w:val="24"/>
        </w:rPr>
        <w:t xml:space="preserve"> therefore</w:t>
      </w:r>
      <w:r w:rsidR="00344B9C" w:rsidRPr="00781B30">
        <w:rPr>
          <w:sz w:val="24"/>
          <w:szCs w:val="24"/>
        </w:rPr>
        <w:t xml:space="preserve"> be seen to emphasise </w:t>
      </w:r>
      <w:r w:rsidR="0025629B" w:rsidRPr="00781B30">
        <w:rPr>
          <w:sz w:val="24"/>
          <w:szCs w:val="24"/>
        </w:rPr>
        <w:t xml:space="preserve">the </w:t>
      </w:r>
      <w:r w:rsidR="0025629B" w:rsidRPr="00781B30">
        <w:rPr>
          <w:i/>
          <w:iCs/>
          <w:sz w:val="24"/>
          <w:szCs w:val="24"/>
        </w:rPr>
        <w:t>inherent</w:t>
      </w:r>
      <w:r w:rsidR="00344B9C" w:rsidRPr="00781B30">
        <w:rPr>
          <w:sz w:val="24"/>
          <w:szCs w:val="24"/>
        </w:rPr>
        <w:t xml:space="preserve"> subjectivity of place, supporting </w:t>
      </w:r>
      <w:r w:rsidR="006559D2" w:rsidRPr="00781B30">
        <w:rPr>
          <w:sz w:val="24"/>
          <w:szCs w:val="24"/>
        </w:rPr>
        <w:t>Bender’s view</w:t>
      </w:r>
      <w:r w:rsidR="00344B9C" w:rsidRPr="00781B30">
        <w:rPr>
          <w:sz w:val="24"/>
          <w:szCs w:val="24"/>
        </w:rPr>
        <w:t xml:space="preserve"> that landscapes can be experienced in different ways by different people </w:t>
      </w:r>
      <w:r w:rsidR="00E102B2" w:rsidRPr="00781B30">
        <w:rPr>
          <w:sz w:val="24"/>
          <w:szCs w:val="24"/>
        </w:rPr>
        <w:t xml:space="preserve">at different times, </w:t>
      </w:r>
      <w:r w:rsidR="00344B9C" w:rsidRPr="00781B30">
        <w:rPr>
          <w:sz w:val="24"/>
          <w:szCs w:val="24"/>
        </w:rPr>
        <w:t xml:space="preserve">and helping to show </w:t>
      </w:r>
      <w:r w:rsidR="00344B9C" w:rsidRPr="00781B30">
        <w:rPr>
          <w:i/>
          <w:iCs/>
          <w:sz w:val="24"/>
          <w:szCs w:val="24"/>
        </w:rPr>
        <w:t>how</w:t>
      </w:r>
      <w:r w:rsidR="00344B9C" w:rsidRPr="00781B30">
        <w:rPr>
          <w:sz w:val="24"/>
          <w:szCs w:val="24"/>
        </w:rPr>
        <w:t xml:space="preserve"> </w:t>
      </w:r>
      <w:r w:rsidR="00E102B2" w:rsidRPr="00781B30">
        <w:rPr>
          <w:sz w:val="24"/>
          <w:szCs w:val="24"/>
        </w:rPr>
        <w:t>people’s interactions with the material world might help create and be mediated by</w:t>
      </w:r>
      <w:r w:rsidR="00344B9C" w:rsidRPr="00781B30">
        <w:rPr>
          <w:sz w:val="24"/>
          <w:szCs w:val="24"/>
        </w:rPr>
        <w:t xml:space="preserve"> different, potentially contrasting, meanings.</w:t>
      </w:r>
    </w:p>
    <w:p w14:paraId="29E5620A" w14:textId="268D53FA" w:rsidR="00AB40C7" w:rsidRDefault="00AB40C7" w:rsidP="0025629B">
      <w:pPr>
        <w:rPr>
          <w:color w:val="000000" w:themeColor="text1"/>
          <w:sz w:val="24"/>
          <w:szCs w:val="24"/>
        </w:rPr>
      </w:pPr>
      <w:r w:rsidRPr="00781B30">
        <w:rPr>
          <w:sz w:val="24"/>
          <w:szCs w:val="24"/>
        </w:rPr>
        <w:t>B</w:t>
      </w:r>
      <w:r w:rsidR="006559D2" w:rsidRPr="00781B30">
        <w:rPr>
          <w:sz w:val="24"/>
          <w:szCs w:val="24"/>
        </w:rPr>
        <w:t xml:space="preserve">oth Tilley and Bender have also argued that landscapes are not passive within this relationship. </w:t>
      </w:r>
      <w:r w:rsidR="0025629B" w:rsidRPr="00781B30">
        <w:rPr>
          <w:color w:val="000000" w:themeColor="text1"/>
          <w:sz w:val="24"/>
          <w:szCs w:val="24"/>
        </w:rPr>
        <w:t>Bender stresse</w:t>
      </w:r>
      <w:r w:rsidR="009C3476" w:rsidRPr="00781B30">
        <w:rPr>
          <w:color w:val="000000" w:themeColor="text1"/>
          <w:sz w:val="24"/>
          <w:szCs w:val="24"/>
        </w:rPr>
        <w:t>d</w:t>
      </w:r>
      <w:r w:rsidR="0025629B" w:rsidRPr="00781B30">
        <w:rPr>
          <w:color w:val="000000" w:themeColor="text1"/>
          <w:sz w:val="24"/>
          <w:szCs w:val="24"/>
        </w:rPr>
        <w:t xml:space="preserve"> </w:t>
      </w:r>
      <w:r w:rsidR="00DE56F5" w:rsidRPr="00781B30">
        <w:rPr>
          <w:color w:val="000000" w:themeColor="text1"/>
          <w:sz w:val="24"/>
          <w:szCs w:val="24"/>
        </w:rPr>
        <w:t>that</w:t>
      </w:r>
      <w:r w:rsidR="0025629B" w:rsidRPr="00781B30">
        <w:rPr>
          <w:color w:val="000000" w:themeColor="text1"/>
          <w:sz w:val="24"/>
          <w:szCs w:val="24"/>
        </w:rPr>
        <w:t xml:space="preserve">, </w:t>
      </w:r>
      <w:r w:rsidR="00DE56F5" w:rsidRPr="00781B30">
        <w:rPr>
          <w:color w:val="000000" w:themeColor="text1"/>
          <w:sz w:val="24"/>
          <w:szCs w:val="24"/>
        </w:rPr>
        <w:t>‘</w:t>
      </w:r>
      <w:r w:rsidR="0025629B" w:rsidRPr="00781B30">
        <w:rPr>
          <w:color w:val="000000" w:themeColor="text1"/>
          <w:sz w:val="24"/>
          <w:szCs w:val="24"/>
        </w:rPr>
        <w:t xml:space="preserve">Human interventions are done not so much </w:t>
      </w:r>
      <w:r w:rsidR="0025629B" w:rsidRPr="00781B30">
        <w:rPr>
          <w:i/>
          <w:iCs/>
          <w:color w:val="000000" w:themeColor="text1"/>
          <w:sz w:val="24"/>
          <w:szCs w:val="24"/>
        </w:rPr>
        <w:t xml:space="preserve">to </w:t>
      </w:r>
      <w:r w:rsidR="0025629B" w:rsidRPr="00781B30">
        <w:rPr>
          <w:color w:val="000000" w:themeColor="text1"/>
          <w:sz w:val="24"/>
          <w:szCs w:val="24"/>
        </w:rPr>
        <w:t xml:space="preserve">the landscape as </w:t>
      </w:r>
      <w:r w:rsidR="0025629B" w:rsidRPr="00781B30">
        <w:rPr>
          <w:i/>
          <w:iCs/>
          <w:color w:val="000000" w:themeColor="text1"/>
          <w:sz w:val="24"/>
          <w:szCs w:val="24"/>
        </w:rPr>
        <w:t xml:space="preserve">with </w:t>
      </w:r>
      <w:r w:rsidR="0025629B" w:rsidRPr="00781B30">
        <w:rPr>
          <w:color w:val="000000" w:themeColor="text1"/>
          <w:sz w:val="24"/>
          <w:szCs w:val="24"/>
        </w:rPr>
        <w:t>the landscape.</w:t>
      </w:r>
      <w:r w:rsidR="00DE56F5" w:rsidRPr="00781B30">
        <w:rPr>
          <w:color w:val="000000" w:themeColor="text1"/>
          <w:sz w:val="24"/>
          <w:szCs w:val="24"/>
        </w:rPr>
        <w:t>’</w:t>
      </w:r>
      <w:r w:rsidR="0025629B" w:rsidRPr="00781B30">
        <w:rPr>
          <w:rStyle w:val="FootnoteReference"/>
          <w:color w:val="000000" w:themeColor="text1"/>
          <w:sz w:val="24"/>
          <w:szCs w:val="24"/>
        </w:rPr>
        <w:footnoteReference w:id="25"/>
      </w:r>
      <w:r w:rsidR="0025629B" w:rsidRPr="00781B30">
        <w:rPr>
          <w:color w:val="000000" w:themeColor="text1"/>
          <w:sz w:val="24"/>
          <w:szCs w:val="24"/>
        </w:rPr>
        <w:t xml:space="preserve"> In other words, </w:t>
      </w:r>
      <w:r w:rsidR="00DE56F5" w:rsidRPr="00781B30">
        <w:rPr>
          <w:color w:val="000000" w:themeColor="text1"/>
          <w:sz w:val="24"/>
          <w:szCs w:val="24"/>
        </w:rPr>
        <w:t xml:space="preserve">for Bender, </w:t>
      </w:r>
      <w:r w:rsidR="0025629B" w:rsidRPr="00781B30">
        <w:rPr>
          <w:color w:val="000000" w:themeColor="text1"/>
          <w:sz w:val="24"/>
          <w:szCs w:val="24"/>
        </w:rPr>
        <w:t xml:space="preserve">multiple subjective and often contested landscapes are co-created with the landscape itself. </w:t>
      </w:r>
      <w:r w:rsidR="00244F08" w:rsidRPr="00781B30">
        <w:rPr>
          <w:color w:val="000000" w:themeColor="text1"/>
          <w:sz w:val="24"/>
          <w:szCs w:val="24"/>
        </w:rPr>
        <w:t>Bender’s</w:t>
      </w:r>
      <w:r w:rsidR="0025629B" w:rsidRPr="00781B30">
        <w:rPr>
          <w:color w:val="000000" w:themeColor="text1"/>
          <w:sz w:val="24"/>
          <w:szCs w:val="24"/>
        </w:rPr>
        <w:t xml:space="preserve"> main focus, however, remains on how human politics and social relations shape engagement with and understandings of landscapes</w:t>
      </w:r>
      <w:r w:rsidR="00244F08" w:rsidRPr="00781B30">
        <w:rPr>
          <w:color w:val="000000" w:themeColor="text1"/>
          <w:sz w:val="24"/>
          <w:szCs w:val="24"/>
        </w:rPr>
        <w:t xml:space="preserve">. In contrast, </w:t>
      </w:r>
      <w:r w:rsidR="00DE56F5" w:rsidRPr="00781B30">
        <w:rPr>
          <w:color w:val="000000" w:themeColor="text1"/>
          <w:sz w:val="24"/>
          <w:szCs w:val="24"/>
        </w:rPr>
        <w:t>Tilley</w:t>
      </w:r>
      <w:r w:rsidRPr="00781B30">
        <w:rPr>
          <w:color w:val="000000" w:themeColor="text1"/>
          <w:sz w:val="24"/>
          <w:szCs w:val="24"/>
        </w:rPr>
        <w:t xml:space="preserve"> put </w:t>
      </w:r>
      <w:r w:rsidR="00DE56F5" w:rsidRPr="00781B30">
        <w:rPr>
          <w:color w:val="000000" w:themeColor="text1"/>
          <w:sz w:val="24"/>
          <w:szCs w:val="24"/>
        </w:rPr>
        <w:t>greater emphasis on</w:t>
      </w:r>
      <w:r w:rsidR="009C3476" w:rsidRPr="00781B30">
        <w:rPr>
          <w:color w:val="000000" w:themeColor="text1"/>
          <w:sz w:val="24"/>
          <w:szCs w:val="24"/>
        </w:rPr>
        <w:t xml:space="preserve"> </w:t>
      </w:r>
      <w:r w:rsidR="006811DA" w:rsidRPr="00781B30">
        <w:rPr>
          <w:color w:val="000000" w:themeColor="text1"/>
          <w:sz w:val="24"/>
          <w:szCs w:val="24"/>
        </w:rPr>
        <w:t xml:space="preserve">seeking insights into </w:t>
      </w:r>
      <w:r w:rsidR="009C3476" w:rsidRPr="00781B30">
        <w:rPr>
          <w:color w:val="000000" w:themeColor="text1"/>
          <w:sz w:val="24"/>
          <w:szCs w:val="24"/>
        </w:rPr>
        <w:t>the agency of landscapes</w:t>
      </w:r>
      <w:r w:rsidRPr="00781B30">
        <w:rPr>
          <w:color w:val="000000" w:themeColor="text1"/>
          <w:sz w:val="24"/>
          <w:szCs w:val="24"/>
        </w:rPr>
        <w:t xml:space="preserve"> through</w:t>
      </w:r>
      <w:r w:rsidRPr="00781B30">
        <w:rPr>
          <w:sz w:val="24"/>
          <w:szCs w:val="24"/>
        </w:rPr>
        <w:t xml:space="preserve"> encounters with ‘landscapes as real and physical’ rather than through description and representation,</w:t>
      </w:r>
      <w:r w:rsidRPr="00781B30">
        <w:rPr>
          <w:rStyle w:val="FootnoteReference"/>
          <w:sz w:val="24"/>
          <w:szCs w:val="24"/>
        </w:rPr>
        <w:footnoteReference w:id="26"/>
      </w:r>
      <w:r w:rsidR="006811DA" w:rsidRPr="00781B30">
        <w:rPr>
          <w:color w:val="000000" w:themeColor="text1"/>
          <w:sz w:val="24"/>
          <w:szCs w:val="24"/>
        </w:rPr>
        <w:t xml:space="preserve"> </w:t>
      </w:r>
      <w:r w:rsidR="0097612B" w:rsidRPr="00781B30">
        <w:rPr>
          <w:color w:val="000000" w:themeColor="text1"/>
          <w:sz w:val="24"/>
          <w:szCs w:val="24"/>
        </w:rPr>
        <w:t xml:space="preserve">in this way he sought to </w:t>
      </w:r>
      <w:r w:rsidRPr="00781B30">
        <w:rPr>
          <w:color w:val="000000" w:themeColor="text1"/>
          <w:sz w:val="24"/>
          <w:szCs w:val="24"/>
        </w:rPr>
        <w:t>amplify</w:t>
      </w:r>
      <w:r w:rsidR="006811DA" w:rsidRPr="00781B30">
        <w:rPr>
          <w:color w:val="000000" w:themeColor="text1"/>
          <w:sz w:val="24"/>
          <w:szCs w:val="24"/>
        </w:rPr>
        <w:t xml:space="preserve"> the voice of the land </w:t>
      </w:r>
      <w:r w:rsidR="00244F08" w:rsidRPr="00781B30">
        <w:rPr>
          <w:color w:val="000000" w:themeColor="text1"/>
          <w:sz w:val="24"/>
          <w:szCs w:val="24"/>
        </w:rPr>
        <w:t>and</w:t>
      </w:r>
      <w:r w:rsidRPr="00781B30">
        <w:rPr>
          <w:color w:val="000000" w:themeColor="text1"/>
          <w:sz w:val="24"/>
          <w:szCs w:val="24"/>
        </w:rPr>
        <w:t xml:space="preserve"> focus on</w:t>
      </w:r>
      <w:r w:rsidR="00244F08" w:rsidRPr="00781B30">
        <w:rPr>
          <w:color w:val="000000" w:themeColor="text1"/>
          <w:sz w:val="24"/>
          <w:szCs w:val="24"/>
        </w:rPr>
        <w:t xml:space="preserve"> the effect of this on people’s relationships with </w:t>
      </w:r>
      <w:r w:rsidR="00BA4D35" w:rsidRPr="00781B30">
        <w:rPr>
          <w:color w:val="000000" w:themeColor="text1"/>
          <w:sz w:val="24"/>
          <w:szCs w:val="24"/>
        </w:rPr>
        <w:t>archaeological sites and their environs</w:t>
      </w:r>
      <w:r w:rsidRPr="00781B30">
        <w:rPr>
          <w:color w:val="000000" w:themeColor="text1"/>
          <w:sz w:val="24"/>
          <w:szCs w:val="24"/>
        </w:rPr>
        <w:t xml:space="preserve">. </w:t>
      </w:r>
      <w:r w:rsidR="004726DE">
        <w:rPr>
          <w:sz w:val="24"/>
          <w:szCs w:val="24"/>
        </w:rPr>
        <w:t>He explored, for example,</w:t>
      </w:r>
      <w:r w:rsidR="004726DE" w:rsidRPr="00781B30">
        <w:rPr>
          <w:sz w:val="24"/>
          <w:szCs w:val="24"/>
        </w:rPr>
        <w:t xml:space="preserve"> </w:t>
      </w:r>
      <w:r w:rsidR="004726DE">
        <w:rPr>
          <w:sz w:val="24"/>
          <w:szCs w:val="24"/>
        </w:rPr>
        <w:t xml:space="preserve">the idea </w:t>
      </w:r>
      <w:r w:rsidR="004726DE" w:rsidRPr="00781B30">
        <w:rPr>
          <w:sz w:val="24"/>
          <w:szCs w:val="24"/>
        </w:rPr>
        <w:t>that places created by people ‘draw on’ qualities of the physical landscape</w:t>
      </w:r>
      <w:r w:rsidR="006F7A1F">
        <w:rPr>
          <w:sz w:val="24"/>
          <w:szCs w:val="24"/>
        </w:rPr>
        <w:t>,</w:t>
      </w:r>
      <w:r w:rsidR="004726DE" w:rsidRPr="00781B30">
        <w:rPr>
          <w:rStyle w:val="FootnoteReference"/>
          <w:color w:val="000000" w:themeColor="text1"/>
          <w:sz w:val="24"/>
          <w:szCs w:val="24"/>
        </w:rPr>
        <w:footnoteReference w:id="27"/>
      </w:r>
      <w:r w:rsidR="006F7A1F">
        <w:rPr>
          <w:sz w:val="24"/>
          <w:szCs w:val="24"/>
        </w:rPr>
        <w:t xml:space="preserve"> with</w:t>
      </w:r>
      <w:r w:rsidR="004726DE" w:rsidRPr="00781B30">
        <w:rPr>
          <w:color w:val="000000" w:themeColor="text1"/>
          <w:sz w:val="24"/>
          <w:szCs w:val="24"/>
        </w:rPr>
        <w:t xml:space="preserve"> </w:t>
      </w:r>
      <w:r w:rsidR="006F7A1F">
        <w:rPr>
          <w:color w:val="000000" w:themeColor="text1"/>
          <w:sz w:val="24"/>
          <w:szCs w:val="24"/>
        </w:rPr>
        <w:t>l</w:t>
      </w:r>
      <w:r w:rsidR="004726DE" w:rsidRPr="00781B30">
        <w:rPr>
          <w:color w:val="000000" w:themeColor="text1"/>
          <w:sz w:val="24"/>
          <w:szCs w:val="24"/>
        </w:rPr>
        <w:t>andscapes</w:t>
      </w:r>
      <w:r w:rsidR="006F7A1F">
        <w:rPr>
          <w:color w:val="000000" w:themeColor="text1"/>
          <w:sz w:val="24"/>
          <w:szCs w:val="24"/>
        </w:rPr>
        <w:t xml:space="preserve"> constructing, as well as being</w:t>
      </w:r>
      <w:r w:rsidR="004726DE" w:rsidRPr="00781B30">
        <w:rPr>
          <w:color w:val="000000" w:themeColor="text1"/>
          <w:sz w:val="24"/>
          <w:szCs w:val="24"/>
        </w:rPr>
        <w:t xml:space="preserve"> constructed by</w:t>
      </w:r>
      <w:r w:rsidR="006F7A1F">
        <w:rPr>
          <w:color w:val="000000" w:themeColor="text1"/>
          <w:sz w:val="24"/>
          <w:szCs w:val="24"/>
        </w:rPr>
        <w:t>,</w:t>
      </w:r>
      <w:r w:rsidR="004726DE" w:rsidRPr="00781B30">
        <w:rPr>
          <w:color w:val="000000" w:themeColor="text1"/>
          <w:sz w:val="24"/>
          <w:szCs w:val="24"/>
        </w:rPr>
        <w:t xml:space="preserve"> layers of narrative (placenames, stories, histories) that help bind people and place together, with story and landscape acting in dialogue to help co-create each other.</w:t>
      </w:r>
      <w:r w:rsidR="004726DE" w:rsidRPr="00781B30">
        <w:rPr>
          <w:rStyle w:val="FootnoteReference"/>
          <w:color w:val="000000" w:themeColor="text1"/>
          <w:sz w:val="24"/>
          <w:szCs w:val="24"/>
        </w:rPr>
        <w:footnoteReference w:id="28"/>
      </w:r>
      <w:r w:rsidR="004726DE" w:rsidRPr="00781B30">
        <w:rPr>
          <w:color w:val="000000" w:themeColor="text1"/>
          <w:sz w:val="24"/>
          <w:szCs w:val="24"/>
        </w:rPr>
        <w:t xml:space="preserve"> </w:t>
      </w:r>
      <w:r w:rsidR="004726DE">
        <w:rPr>
          <w:color w:val="000000" w:themeColor="text1"/>
          <w:sz w:val="24"/>
          <w:szCs w:val="24"/>
        </w:rPr>
        <w:t>Other scholars have supported this analysis of the relationship between story and place, for example Belden C.</w:t>
      </w:r>
      <w:r w:rsidR="004726DE" w:rsidRPr="00781B30">
        <w:rPr>
          <w:color w:val="000000" w:themeColor="text1"/>
          <w:sz w:val="24"/>
          <w:szCs w:val="24"/>
        </w:rPr>
        <w:t xml:space="preserve"> Lane sees stories as central to </w:t>
      </w:r>
      <w:r w:rsidR="004726DE">
        <w:rPr>
          <w:color w:val="000000" w:themeColor="text1"/>
          <w:sz w:val="24"/>
          <w:szCs w:val="24"/>
        </w:rPr>
        <w:t xml:space="preserve">sacred </w:t>
      </w:r>
      <w:r w:rsidR="004726DE" w:rsidRPr="00781B30">
        <w:rPr>
          <w:color w:val="000000" w:themeColor="text1"/>
          <w:sz w:val="24"/>
          <w:szCs w:val="24"/>
        </w:rPr>
        <w:t>place</w:t>
      </w:r>
      <w:r w:rsidR="004726DE">
        <w:rPr>
          <w:color w:val="000000" w:themeColor="text1"/>
          <w:sz w:val="24"/>
          <w:szCs w:val="24"/>
        </w:rPr>
        <w:t>s</w:t>
      </w:r>
      <w:r w:rsidR="004726DE" w:rsidRPr="00781B30">
        <w:rPr>
          <w:color w:val="000000" w:themeColor="text1"/>
          <w:sz w:val="24"/>
          <w:szCs w:val="24"/>
        </w:rPr>
        <w:t>, suggesting that the more stories that attach to a place, or the greater the importance of these stories within a culture, the more important and valued a place will be.</w:t>
      </w:r>
      <w:r w:rsidR="004726DE" w:rsidRPr="00781B30">
        <w:rPr>
          <w:rStyle w:val="FootnoteReference"/>
          <w:color w:val="000000" w:themeColor="text1"/>
          <w:sz w:val="24"/>
          <w:szCs w:val="24"/>
        </w:rPr>
        <w:footnoteReference w:id="29"/>
      </w:r>
      <w:r w:rsidR="004726DE" w:rsidRPr="00781B30">
        <w:rPr>
          <w:color w:val="000000" w:themeColor="text1"/>
          <w:sz w:val="24"/>
          <w:szCs w:val="24"/>
        </w:rPr>
        <w:t xml:space="preserve"> </w:t>
      </w:r>
      <w:r w:rsidR="004726DE">
        <w:rPr>
          <w:color w:val="000000" w:themeColor="text1"/>
          <w:sz w:val="24"/>
          <w:szCs w:val="24"/>
        </w:rPr>
        <w:t>Similarly</w:t>
      </w:r>
      <w:r w:rsidR="004726DE" w:rsidRPr="00781B30">
        <w:rPr>
          <w:color w:val="000000" w:themeColor="text1"/>
          <w:sz w:val="24"/>
          <w:szCs w:val="24"/>
        </w:rPr>
        <w:t>, Bob Trubshaw emphasise</w:t>
      </w:r>
      <w:r w:rsidR="006F7A1F">
        <w:rPr>
          <w:color w:val="000000" w:themeColor="text1"/>
          <w:sz w:val="24"/>
          <w:szCs w:val="24"/>
        </w:rPr>
        <w:t>d</w:t>
      </w:r>
      <w:r w:rsidR="004726DE" w:rsidRPr="00781B30">
        <w:rPr>
          <w:color w:val="000000" w:themeColor="text1"/>
          <w:sz w:val="24"/>
          <w:szCs w:val="24"/>
        </w:rPr>
        <w:t xml:space="preserve"> that the meanings people attach to places through placenames and stories can impact on how much a given locale might be valued.</w:t>
      </w:r>
      <w:r w:rsidR="004726DE" w:rsidRPr="00781B30">
        <w:rPr>
          <w:rStyle w:val="FootnoteReference"/>
          <w:color w:val="000000" w:themeColor="text1"/>
          <w:sz w:val="24"/>
          <w:szCs w:val="24"/>
        </w:rPr>
        <w:footnoteReference w:id="30"/>
      </w:r>
      <w:r w:rsidR="006F7A1F">
        <w:rPr>
          <w:color w:val="000000" w:themeColor="text1"/>
          <w:sz w:val="24"/>
          <w:szCs w:val="24"/>
        </w:rPr>
        <w:t xml:space="preserve"> </w:t>
      </w:r>
      <w:r w:rsidRPr="00781B30">
        <w:rPr>
          <w:color w:val="000000" w:themeColor="text1"/>
          <w:sz w:val="24"/>
          <w:szCs w:val="24"/>
        </w:rPr>
        <w:t>Tilley’s phenomenological perspective</w:t>
      </w:r>
      <w:r w:rsidR="00244F08" w:rsidRPr="00781B30">
        <w:rPr>
          <w:color w:val="000000" w:themeColor="text1"/>
          <w:sz w:val="24"/>
          <w:szCs w:val="24"/>
        </w:rPr>
        <w:t xml:space="preserve"> </w:t>
      </w:r>
      <w:r w:rsidR="006811DA" w:rsidRPr="00781B30">
        <w:rPr>
          <w:color w:val="000000" w:themeColor="text1"/>
          <w:sz w:val="24"/>
          <w:szCs w:val="24"/>
        </w:rPr>
        <w:t>can</w:t>
      </w:r>
      <w:r w:rsidRPr="00781B30">
        <w:rPr>
          <w:color w:val="000000" w:themeColor="text1"/>
          <w:sz w:val="24"/>
          <w:szCs w:val="24"/>
        </w:rPr>
        <w:t xml:space="preserve"> therefore</w:t>
      </w:r>
      <w:r w:rsidR="006811DA" w:rsidRPr="00781B30">
        <w:rPr>
          <w:color w:val="000000" w:themeColor="text1"/>
          <w:sz w:val="24"/>
          <w:szCs w:val="24"/>
        </w:rPr>
        <w:t xml:space="preserve"> be </w:t>
      </w:r>
      <w:r w:rsidR="00BA4D35" w:rsidRPr="00781B30">
        <w:rPr>
          <w:color w:val="000000" w:themeColor="text1"/>
          <w:sz w:val="24"/>
          <w:szCs w:val="24"/>
        </w:rPr>
        <w:t>argued</w:t>
      </w:r>
      <w:r w:rsidR="006811DA" w:rsidRPr="00781B30">
        <w:rPr>
          <w:color w:val="000000" w:themeColor="text1"/>
          <w:sz w:val="24"/>
          <w:szCs w:val="24"/>
        </w:rPr>
        <w:t xml:space="preserve"> to add </w:t>
      </w:r>
      <w:r w:rsidR="006559D2" w:rsidRPr="00781B30">
        <w:rPr>
          <w:color w:val="000000" w:themeColor="text1"/>
          <w:sz w:val="24"/>
          <w:szCs w:val="24"/>
        </w:rPr>
        <w:t xml:space="preserve">an additional layer </w:t>
      </w:r>
      <w:r w:rsidR="006811DA" w:rsidRPr="00781B30">
        <w:rPr>
          <w:color w:val="000000" w:themeColor="text1"/>
          <w:sz w:val="24"/>
          <w:szCs w:val="24"/>
        </w:rPr>
        <w:t xml:space="preserve">to </w:t>
      </w:r>
      <w:r w:rsidR="006F7A1F">
        <w:rPr>
          <w:color w:val="000000" w:themeColor="text1"/>
          <w:sz w:val="24"/>
          <w:szCs w:val="24"/>
        </w:rPr>
        <w:t>Bender’s</w:t>
      </w:r>
      <w:r w:rsidR="006811DA" w:rsidRPr="00781B30">
        <w:rPr>
          <w:color w:val="000000" w:themeColor="text1"/>
          <w:sz w:val="24"/>
          <w:szCs w:val="24"/>
        </w:rPr>
        <w:t xml:space="preserve"> </w:t>
      </w:r>
      <w:r w:rsidRPr="00781B30">
        <w:rPr>
          <w:color w:val="000000" w:themeColor="text1"/>
          <w:sz w:val="24"/>
          <w:szCs w:val="24"/>
        </w:rPr>
        <w:t>analysis</w:t>
      </w:r>
      <w:r w:rsidR="006811DA" w:rsidRPr="00781B30">
        <w:rPr>
          <w:color w:val="000000" w:themeColor="text1"/>
          <w:sz w:val="24"/>
          <w:szCs w:val="24"/>
        </w:rPr>
        <w:t xml:space="preserve"> of the relationships between people and places</w:t>
      </w:r>
      <w:r w:rsidR="006559D2" w:rsidRPr="00781B30">
        <w:rPr>
          <w:color w:val="000000" w:themeColor="text1"/>
          <w:sz w:val="24"/>
          <w:szCs w:val="24"/>
        </w:rPr>
        <w:t>, helping to build deeper understandings of why some places become important and contested</w:t>
      </w:r>
      <w:r w:rsidR="006811DA" w:rsidRPr="00781B30">
        <w:rPr>
          <w:color w:val="000000" w:themeColor="text1"/>
          <w:sz w:val="24"/>
          <w:szCs w:val="24"/>
        </w:rPr>
        <w:t>.</w:t>
      </w:r>
    </w:p>
    <w:p w14:paraId="3C37E11F" w14:textId="50F86C6F" w:rsidR="00FB22E4" w:rsidRPr="00781B30" w:rsidRDefault="00BA4D35" w:rsidP="00FB22E4">
      <w:pPr>
        <w:rPr>
          <w:color w:val="000000" w:themeColor="text1"/>
          <w:sz w:val="24"/>
          <w:szCs w:val="24"/>
        </w:rPr>
      </w:pPr>
      <w:r w:rsidRPr="00781B30">
        <w:rPr>
          <w:color w:val="000000" w:themeColor="text1"/>
          <w:sz w:val="24"/>
          <w:szCs w:val="24"/>
        </w:rPr>
        <w:t xml:space="preserve">However, how far archaeologists can </w:t>
      </w:r>
      <w:r w:rsidR="0097612B" w:rsidRPr="00781B30">
        <w:rPr>
          <w:color w:val="000000" w:themeColor="text1"/>
          <w:sz w:val="24"/>
          <w:szCs w:val="24"/>
        </w:rPr>
        <w:t>rely on</w:t>
      </w:r>
      <w:r w:rsidRPr="00781B30">
        <w:rPr>
          <w:color w:val="000000" w:themeColor="text1"/>
          <w:sz w:val="24"/>
          <w:szCs w:val="24"/>
        </w:rPr>
        <w:t xml:space="preserve"> their own present</w:t>
      </w:r>
      <w:r w:rsidR="00A77F85">
        <w:rPr>
          <w:color w:val="000000" w:themeColor="text1"/>
          <w:sz w:val="24"/>
          <w:szCs w:val="24"/>
        </w:rPr>
        <w:t>-</w:t>
      </w:r>
      <w:r w:rsidRPr="00781B30">
        <w:rPr>
          <w:color w:val="000000" w:themeColor="text1"/>
          <w:sz w:val="24"/>
          <w:szCs w:val="24"/>
        </w:rPr>
        <w:t xml:space="preserve">day embodied experience to gain insights into the past has been heavily critiqued in the years since the publication of </w:t>
      </w:r>
      <w:r w:rsidRPr="00781B30">
        <w:rPr>
          <w:i/>
          <w:iCs/>
          <w:color w:val="000000" w:themeColor="text1"/>
          <w:sz w:val="24"/>
          <w:szCs w:val="24"/>
        </w:rPr>
        <w:t>A Phenomenology of Landscape.</w:t>
      </w:r>
      <w:r w:rsidR="00EB4712" w:rsidRPr="00781B30">
        <w:rPr>
          <w:sz w:val="24"/>
          <w:szCs w:val="24"/>
        </w:rPr>
        <w:t xml:space="preserve"> </w:t>
      </w:r>
      <w:r w:rsidRPr="00781B30">
        <w:rPr>
          <w:sz w:val="24"/>
          <w:szCs w:val="24"/>
        </w:rPr>
        <w:t xml:space="preserve">Tilley’s central claim for the usefulness of his </w:t>
      </w:r>
      <w:r w:rsidR="00EB4712" w:rsidRPr="00781B30">
        <w:rPr>
          <w:sz w:val="24"/>
          <w:szCs w:val="24"/>
        </w:rPr>
        <w:t xml:space="preserve">methodology </w:t>
      </w:r>
      <w:r w:rsidRPr="00781B30">
        <w:rPr>
          <w:sz w:val="24"/>
          <w:szCs w:val="24"/>
        </w:rPr>
        <w:t xml:space="preserve">is that </w:t>
      </w:r>
      <w:r w:rsidR="00EB4712" w:rsidRPr="00781B30">
        <w:rPr>
          <w:sz w:val="24"/>
          <w:szCs w:val="24"/>
        </w:rPr>
        <w:t>we</w:t>
      </w:r>
      <w:r w:rsidR="000923EE" w:rsidRPr="00781B30">
        <w:rPr>
          <w:sz w:val="24"/>
          <w:szCs w:val="24"/>
        </w:rPr>
        <w:t xml:space="preserve"> </w:t>
      </w:r>
      <w:r w:rsidR="00EB4712" w:rsidRPr="00781B30">
        <w:rPr>
          <w:sz w:val="24"/>
          <w:szCs w:val="24"/>
        </w:rPr>
        <w:t>share a basic physiology with people from the past</w:t>
      </w:r>
      <w:r w:rsidR="000923EE" w:rsidRPr="00781B30">
        <w:rPr>
          <w:sz w:val="24"/>
          <w:szCs w:val="24"/>
        </w:rPr>
        <w:t xml:space="preserve"> and </w:t>
      </w:r>
      <w:r w:rsidRPr="00781B30">
        <w:rPr>
          <w:sz w:val="24"/>
          <w:szCs w:val="24"/>
        </w:rPr>
        <w:t xml:space="preserve">that </w:t>
      </w:r>
      <w:r w:rsidR="00A77F85">
        <w:rPr>
          <w:sz w:val="24"/>
          <w:szCs w:val="24"/>
        </w:rPr>
        <w:t>key</w:t>
      </w:r>
      <w:r w:rsidR="000923EE" w:rsidRPr="00781B30">
        <w:rPr>
          <w:sz w:val="24"/>
          <w:szCs w:val="24"/>
        </w:rPr>
        <w:t xml:space="preserve"> features of the landscape are unchanged over millennia</w:t>
      </w:r>
      <w:r w:rsidRPr="00781B30">
        <w:rPr>
          <w:sz w:val="24"/>
          <w:szCs w:val="24"/>
        </w:rPr>
        <w:t>. A</w:t>
      </w:r>
      <w:r w:rsidR="00FB22E4" w:rsidRPr="00781B30">
        <w:rPr>
          <w:sz w:val="24"/>
          <w:szCs w:val="24"/>
        </w:rPr>
        <w:t xml:space="preserve">lthough </w:t>
      </w:r>
      <w:r w:rsidRPr="00781B30">
        <w:rPr>
          <w:sz w:val="24"/>
          <w:szCs w:val="24"/>
        </w:rPr>
        <w:t>Tilley</w:t>
      </w:r>
      <w:r w:rsidR="00FB22E4" w:rsidRPr="00781B30">
        <w:rPr>
          <w:sz w:val="24"/>
          <w:szCs w:val="24"/>
        </w:rPr>
        <w:t xml:space="preserve"> recognise</w:t>
      </w:r>
      <w:r w:rsidRPr="00781B30">
        <w:rPr>
          <w:sz w:val="24"/>
          <w:szCs w:val="24"/>
        </w:rPr>
        <w:t>d</w:t>
      </w:r>
      <w:r w:rsidR="00FB22E4" w:rsidRPr="00781B30">
        <w:rPr>
          <w:sz w:val="24"/>
          <w:szCs w:val="24"/>
        </w:rPr>
        <w:t xml:space="preserve"> that </w:t>
      </w:r>
      <w:r w:rsidRPr="00781B30">
        <w:rPr>
          <w:sz w:val="24"/>
          <w:szCs w:val="24"/>
        </w:rPr>
        <w:t>it</w:t>
      </w:r>
      <w:r w:rsidR="00FB22E4" w:rsidRPr="00781B30">
        <w:rPr>
          <w:sz w:val="24"/>
          <w:szCs w:val="24"/>
        </w:rPr>
        <w:t xml:space="preserve"> is challenging</w:t>
      </w:r>
      <w:r w:rsidRPr="00781B30">
        <w:rPr>
          <w:sz w:val="24"/>
          <w:szCs w:val="24"/>
        </w:rPr>
        <w:t xml:space="preserve"> to draw direct comparisons with the past, h</w:t>
      </w:r>
      <w:r w:rsidR="00EB4712" w:rsidRPr="00781B30">
        <w:rPr>
          <w:sz w:val="24"/>
          <w:szCs w:val="24"/>
        </w:rPr>
        <w:t>e argue</w:t>
      </w:r>
      <w:r w:rsidRPr="00781B30">
        <w:rPr>
          <w:sz w:val="24"/>
          <w:szCs w:val="24"/>
        </w:rPr>
        <w:t>d</w:t>
      </w:r>
      <w:r w:rsidR="00EB4712" w:rsidRPr="00781B30">
        <w:rPr>
          <w:sz w:val="24"/>
          <w:szCs w:val="24"/>
        </w:rPr>
        <w:t xml:space="preserve"> that </w:t>
      </w:r>
      <w:r w:rsidRPr="00781B30">
        <w:rPr>
          <w:sz w:val="24"/>
          <w:szCs w:val="24"/>
        </w:rPr>
        <w:t>his approach</w:t>
      </w:r>
      <w:r w:rsidR="00EB4712" w:rsidRPr="00781B30">
        <w:rPr>
          <w:sz w:val="24"/>
          <w:szCs w:val="24"/>
        </w:rPr>
        <w:t xml:space="preserve"> can </w:t>
      </w:r>
      <w:r w:rsidR="00EB4712" w:rsidRPr="00781B30">
        <w:rPr>
          <w:color w:val="000000" w:themeColor="text1"/>
          <w:sz w:val="24"/>
          <w:szCs w:val="24"/>
        </w:rPr>
        <w:t>inspire an imaginative interaction with peoples of the past</w:t>
      </w:r>
      <w:r w:rsidRPr="00781B30">
        <w:rPr>
          <w:color w:val="000000" w:themeColor="text1"/>
          <w:sz w:val="24"/>
          <w:szCs w:val="24"/>
        </w:rPr>
        <w:t xml:space="preserve"> </w:t>
      </w:r>
      <w:r w:rsidRPr="00781B30">
        <w:rPr>
          <w:color w:val="000000" w:themeColor="text1"/>
          <w:sz w:val="24"/>
          <w:szCs w:val="24"/>
        </w:rPr>
        <w:lastRenderedPageBreak/>
        <w:t>and</w:t>
      </w:r>
      <w:r w:rsidR="00EB4712" w:rsidRPr="00781B30">
        <w:rPr>
          <w:color w:val="000000" w:themeColor="text1"/>
          <w:sz w:val="24"/>
          <w:szCs w:val="24"/>
        </w:rPr>
        <w:t xml:space="preserve"> so create more multidimensional understandings of </w:t>
      </w:r>
      <w:r w:rsidR="00A77F85">
        <w:rPr>
          <w:color w:val="000000" w:themeColor="text1"/>
          <w:sz w:val="24"/>
          <w:szCs w:val="24"/>
        </w:rPr>
        <w:t>their</w:t>
      </w:r>
      <w:r w:rsidR="00EB4712" w:rsidRPr="00781B30">
        <w:rPr>
          <w:color w:val="000000" w:themeColor="text1"/>
          <w:sz w:val="24"/>
          <w:szCs w:val="24"/>
        </w:rPr>
        <w:t xml:space="preserve"> relationship</w:t>
      </w:r>
      <w:r w:rsidR="00A77F85">
        <w:rPr>
          <w:color w:val="000000" w:themeColor="text1"/>
          <w:sz w:val="24"/>
          <w:szCs w:val="24"/>
        </w:rPr>
        <w:t>s</w:t>
      </w:r>
      <w:r w:rsidR="00EB4712" w:rsidRPr="00781B30">
        <w:rPr>
          <w:color w:val="000000" w:themeColor="text1"/>
          <w:sz w:val="24"/>
          <w:szCs w:val="24"/>
        </w:rPr>
        <w:t xml:space="preserve"> with places</w:t>
      </w:r>
      <w:r w:rsidRPr="00781B30">
        <w:rPr>
          <w:color w:val="000000" w:themeColor="text1"/>
          <w:sz w:val="24"/>
          <w:szCs w:val="24"/>
        </w:rPr>
        <w:t>.</w:t>
      </w:r>
      <w:r w:rsidR="00EB4712" w:rsidRPr="00781B30">
        <w:rPr>
          <w:color w:val="000000" w:themeColor="text1"/>
          <w:sz w:val="24"/>
          <w:szCs w:val="24"/>
        </w:rPr>
        <w:t xml:space="preserve"> </w:t>
      </w:r>
      <w:r w:rsidR="0062325C" w:rsidRPr="00781B30">
        <w:rPr>
          <w:sz w:val="24"/>
          <w:szCs w:val="24"/>
        </w:rPr>
        <w:t xml:space="preserve">Joanna Brück </w:t>
      </w:r>
      <w:r w:rsidR="000923EE" w:rsidRPr="00781B30">
        <w:rPr>
          <w:sz w:val="24"/>
          <w:szCs w:val="24"/>
        </w:rPr>
        <w:t xml:space="preserve">provides a useful summary of some of the key </w:t>
      </w:r>
      <w:r w:rsidR="00165C77" w:rsidRPr="00781B30">
        <w:rPr>
          <w:sz w:val="24"/>
          <w:szCs w:val="24"/>
        </w:rPr>
        <w:t>critiques of</w:t>
      </w:r>
      <w:r w:rsidR="000923EE" w:rsidRPr="00781B30">
        <w:rPr>
          <w:sz w:val="24"/>
          <w:szCs w:val="24"/>
        </w:rPr>
        <w:t xml:space="preserve"> </w:t>
      </w:r>
      <w:r w:rsidRPr="00781B30">
        <w:rPr>
          <w:sz w:val="24"/>
          <w:szCs w:val="24"/>
        </w:rPr>
        <w:t>this central premise</w:t>
      </w:r>
      <w:r w:rsidR="00D93F62" w:rsidRPr="00781B30">
        <w:rPr>
          <w:sz w:val="24"/>
          <w:szCs w:val="24"/>
        </w:rPr>
        <w:t xml:space="preserve">, </w:t>
      </w:r>
      <w:r w:rsidRPr="00781B30">
        <w:rPr>
          <w:sz w:val="24"/>
          <w:szCs w:val="24"/>
        </w:rPr>
        <w:t xml:space="preserve">including challenges </w:t>
      </w:r>
      <w:r w:rsidR="00165C77" w:rsidRPr="00781B30">
        <w:rPr>
          <w:sz w:val="24"/>
          <w:szCs w:val="24"/>
        </w:rPr>
        <w:t xml:space="preserve">to </w:t>
      </w:r>
      <w:r w:rsidR="00D93F62" w:rsidRPr="00781B30">
        <w:rPr>
          <w:sz w:val="24"/>
          <w:szCs w:val="24"/>
        </w:rPr>
        <w:t xml:space="preserve">the implicit suggestion of a universal human body, pointing out that factors such as age, health and physical ability, as well as social and cultural differences, </w:t>
      </w:r>
      <w:r w:rsidR="00165C77" w:rsidRPr="00781B30">
        <w:rPr>
          <w:sz w:val="24"/>
          <w:szCs w:val="24"/>
        </w:rPr>
        <w:t>are likely to</w:t>
      </w:r>
      <w:r w:rsidR="00D93F62" w:rsidRPr="00781B30">
        <w:rPr>
          <w:sz w:val="24"/>
          <w:szCs w:val="24"/>
        </w:rPr>
        <w:t xml:space="preserve"> lead to different ways of experiencing the material world.</w:t>
      </w:r>
      <w:r w:rsidR="00D93F62" w:rsidRPr="00781B30">
        <w:rPr>
          <w:rStyle w:val="FootnoteReference"/>
          <w:sz w:val="24"/>
          <w:szCs w:val="24"/>
        </w:rPr>
        <w:footnoteReference w:id="31"/>
      </w:r>
      <w:r w:rsidR="00D93F62" w:rsidRPr="00781B30">
        <w:rPr>
          <w:sz w:val="24"/>
          <w:szCs w:val="24"/>
        </w:rPr>
        <w:t xml:space="preserve"> </w:t>
      </w:r>
      <w:r w:rsidR="00FB22E4" w:rsidRPr="00781B30">
        <w:rPr>
          <w:color w:val="000000" w:themeColor="text1"/>
          <w:sz w:val="24"/>
          <w:szCs w:val="24"/>
        </w:rPr>
        <w:t xml:space="preserve">Discussing some of the key critiques of Tilley’s </w:t>
      </w:r>
      <w:r w:rsidR="00CA385D" w:rsidRPr="00781B30">
        <w:rPr>
          <w:color w:val="000000" w:themeColor="text1"/>
          <w:sz w:val="24"/>
          <w:szCs w:val="24"/>
        </w:rPr>
        <w:t>phenomenological</w:t>
      </w:r>
      <w:r w:rsidR="00FB22E4" w:rsidRPr="00781B30">
        <w:rPr>
          <w:color w:val="000000" w:themeColor="text1"/>
          <w:sz w:val="24"/>
          <w:szCs w:val="24"/>
        </w:rPr>
        <w:t xml:space="preserve"> approach, Moyes </w:t>
      </w:r>
      <w:r w:rsidR="00A77F85">
        <w:rPr>
          <w:color w:val="000000" w:themeColor="text1"/>
          <w:sz w:val="24"/>
          <w:szCs w:val="24"/>
        </w:rPr>
        <w:t xml:space="preserve">further </w:t>
      </w:r>
      <w:r w:rsidR="00FB22E4" w:rsidRPr="00781B30">
        <w:rPr>
          <w:color w:val="000000" w:themeColor="text1"/>
          <w:sz w:val="24"/>
          <w:szCs w:val="24"/>
        </w:rPr>
        <w:t>suggests that:</w:t>
      </w:r>
    </w:p>
    <w:p w14:paraId="46C43BCD" w14:textId="77777777" w:rsidR="00FB22E4" w:rsidRPr="00781B30" w:rsidRDefault="00FB22E4" w:rsidP="00FB22E4">
      <w:pPr>
        <w:ind w:left="720"/>
        <w:rPr>
          <w:color w:val="000000" w:themeColor="text1"/>
          <w:sz w:val="24"/>
          <w:szCs w:val="24"/>
        </w:rPr>
      </w:pPr>
      <w:r w:rsidRPr="00781B30">
        <w:rPr>
          <w:color w:val="000000" w:themeColor="text1"/>
          <w:sz w:val="24"/>
          <w:szCs w:val="24"/>
        </w:rPr>
        <w:t>By employ</w:t>
      </w:r>
      <w:r w:rsidRPr="00781B30">
        <w:rPr>
          <w:color w:val="000000" w:themeColor="text1"/>
          <w:sz w:val="24"/>
          <w:szCs w:val="24"/>
        </w:rPr>
        <w:softHyphen/>
        <w:t>ing his own experience, Tilley’s method was considered to be excessively subjec</w:t>
      </w:r>
      <w:r w:rsidRPr="00781B30">
        <w:rPr>
          <w:color w:val="000000" w:themeColor="text1"/>
          <w:sz w:val="24"/>
          <w:szCs w:val="24"/>
        </w:rPr>
        <w:softHyphen/>
        <w:t>tive, favouring a solitary individual, in this case one with male Western sensibilities, considered to be Colonialist and gender-centric.</w:t>
      </w:r>
      <w:r w:rsidRPr="00781B30">
        <w:rPr>
          <w:rStyle w:val="FootnoteReference"/>
          <w:color w:val="000000" w:themeColor="text1"/>
          <w:sz w:val="24"/>
          <w:szCs w:val="24"/>
        </w:rPr>
        <w:t xml:space="preserve"> </w:t>
      </w:r>
      <w:r w:rsidRPr="00781B30">
        <w:rPr>
          <w:rStyle w:val="FootnoteReference"/>
          <w:color w:val="000000" w:themeColor="text1"/>
          <w:sz w:val="24"/>
          <w:szCs w:val="24"/>
        </w:rPr>
        <w:footnoteReference w:id="32"/>
      </w:r>
    </w:p>
    <w:p w14:paraId="55D7BD22" w14:textId="7154455D" w:rsidR="00D93F62" w:rsidRPr="00781B30" w:rsidRDefault="00165C77" w:rsidP="00D93F62">
      <w:pPr>
        <w:rPr>
          <w:color w:val="000000" w:themeColor="text1"/>
          <w:sz w:val="24"/>
          <w:szCs w:val="24"/>
        </w:rPr>
      </w:pPr>
      <w:r w:rsidRPr="00781B30">
        <w:rPr>
          <w:color w:val="000000" w:themeColor="text1"/>
          <w:sz w:val="24"/>
          <w:szCs w:val="24"/>
        </w:rPr>
        <w:t>Barrett and Ko</w:t>
      </w:r>
      <w:r w:rsidR="00A77F85">
        <w:rPr>
          <w:color w:val="000000" w:themeColor="text1"/>
          <w:sz w:val="24"/>
          <w:szCs w:val="24"/>
        </w:rPr>
        <w:t xml:space="preserve"> therefore</w:t>
      </w:r>
      <w:r w:rsidRPr="00781B30">
        <w:rPr>
          <w:color w:val="000000" w:themeColor="text1"/>
          <w:sz w:val="24"/>
          <w:szCs w:val="24"/>
        </w:rPr>
        <w:t xml:space="preserve"> argue that whilst embodied encounters with landscapes may produce meaning, this can only ever be a contemporary meaning and cannot be understood as the thoughts of another person in the past.</w:t>
      </w:r>
      <w:r w:rsidRPr="00781B30">
        <w:rPr>
          <w:rStyle w:val="FootnoteReference"/>
          <w:color w:val="000000" w:themeColor="text1"/>
          <w:sz w:val="24"/>
          <w:szCs w:val="24"/>
        </w:rPr>
        <w:footnoteReference w:id="33"/>
      </w:r>
      <w:r w:rsidRPr="00781B30">
        <w:rPr>
          <w:color w:val="000000" w:themeColor="text1"/>
          <w:sz w:val="24"/>
          <w:szCs w:val="24"/>
        </w:rPr>
        <w:t xml:space="preserve"> </w:t>
      </w:r>
      <w:r w:rsidR="00FB22E4" w:rsidRPr="00781B30">
        <w:rPr>
          <w:color w:val="000000" w:themeColor="text1"/>
          <w:sz w:val="24"/>
          <w:szCs w:val="24"/>
        </w:rPr>
        <w:t xml:space="preserve">Knibbe and van </w:t>
      </w:r>
      <w:proofErr w:type="spellStart"/>
      <w:r w:rsidR="00FB22E4" w:rsidRPr="00781B30">
        <w:rPr>
          <w:color w:val="000000" w:themeColor="text1"/>
          <w:sz w:val="24"/>
          <w:szCs w:val="24"/>
        </w:rPr>
        <w:t>Houtert</w:t>
      </w:r>
      <w:proofErr w:type="spellEnd"/>
      <w:r w:rsidR="00FB22E4" w:rsidRPr="00781B30">
        <w:rPr>
          <w:color w:val="000000" w:themeColor="text1"/>
          <w:sz w:val="24"/>
          <w:szCs w:val="24"/>
        </w:rPr>
        <w:t xml:space="preserve"> further add that there is a risk that the approach creates an ‘authoritative, all-knowing, anthropological narrator perspective’</w:t>
      </w:r>
      <w:r w:rsidR="00FB22E4" w:rsidRPr="00781B30">
        <w:rPr>
          <w:rStyle w:val="FootnoteReference"/>
          <w:color w:val="000000" w:themeColor="text1"/>
          <w:sz w:val="24"/>
          <w:szCs w:val="24"/>
        </w:rPr>
        <w:footnoteReference w:id="34"/>
      </w:r>
      <w:r w:rsidR="00FB22E4" w:rsidRPr="00781B30">
        <w:rPr>
          <w:color w:val="000000" w:themeColor="text1"/>
          <w:sz w:val="24"/>
          <w:szCs w:val="24"/>
        </w:rPr>
        <w:t xml:space="preserve"> </w:t>
      </w:r>
      <w:r w:rsidR="00CA385D" w:rsidRPr="00781B30">
        <w:rPr>
          <w:color w:val="000000" w:themeColor="text1"/>
          <w:sz w:val="24"/>
          <w:szCs w:val="24"/>
        </w:rPr>
        <w:t>Thus, whilst Tilley agrees with Bender on the ‘multivocality’ and contested nature of place, i</w:t>
      </w:r>
      <w:r w:rsidR="00FB22E4" w:rsidRPr="00781B30">
        <w:rPr>
          <w:color w:val="000000" w:themeColor="text1"/>
          <w:sz w:val="24"/>
          <w:szCs w:val="24"/>
        </w:rPr>
        <w:t xml:space="preserve">t could be argued that </w:t>
      </w:r>
      <w:r w:rsidR="00CA385D" w:rsidRPr="00781B30">
        <w:rPr>
          <w:color w:val="000000" w:themeColor="text1"/>
          <w:sz w:val="24"/>
          <w:szCs w:val="24"/>
        </w:rPr>
        <w:t>his</w:t>
      </w:r>
      <w:r w:rsidR="00A77F85">
        <w:rPr>
          <w:color w:val="000000" w:themeColor="text1"/>
          <w:sz w:val="24"/>
          <w:szCs w:val="24"/>
        </w:rPr>
        <w:t xml:space="preserve"> phenomenological </w:t>
      </w:r>
      <w:r w:rsidR="00CA385D" w:rsidRPr="00781B30">
        <w:rPr>
          <w:color w:val="000000" w:themeColor="text1"/>
          <w:sz w:val="24"/>
          <w:szCs w:val="24"/>
        </w:rPr>
        <w:t>approach</w:t>
      </w:r>
      <w:r w:rsidR="00FB22E4" w:rsidRPr="00781B30">
        <w:rPr>
          <w:color w:val="000000" w:themeColor="text1"/>
          <w:sz w:val="24"/>
          <w:szCs w:val="24"/>
        </w:rPr>
        <w:t xml:space="preserve"> has the </w:t>
      </w:r>
      <w:r w:rsidR="00FB22E4" w:rsidRPr="00A77F85">
        <w:rPr>
          <w:color w:val="000000" w:themeColor="text1"/>
          <w:sz w:val="24"/>
          <w:szCs w:val="24"/>
        </w:rPr>
        <w:t>potential</w:t>
      </w:r>
      <w:r w:rsidR="00FB22E4" w:rsidRPr="00781B30">
        <w:rPr>
          <w:color w:val="000000" w:themeColor="text1"/>
          <w:sz w:val="24"/>
          <w:szCs w:val="24"/>
        </w:rPr>
        <w:t xml:space="preserve"> to actually undermine rather than add to the sense of multivocal landscapes invested with a wide range of meanings.</w:t>
      </w:r>
      <w:r w:rsidRPr="00781B30">
        <w:rPr>
          <w:color w:val="000000" w:themeColor="text1"/>
          <w:sz w:val="24"/>
          <w:szCs w:val="24"/>
        </w:rPr>
        <w:t xml:space="preserve"> </w:t>
      </w:r>
      <w:r w:rsidR="00A77F85" w:rsidRPr="00781B30">
        <w:rPr>
          <w:sz w:val="24"/>
          <w:szCs w:val="24"/>
        </w:rPr>
        <w:t xml:space="preserve">Brück </w:t>
      </w:r>
      <w:r w:rsidR="00D93F62" w:rsidRPr="00781B30">
        <w:rPr>
          <w:sz w:val="24"/>
          <w:szCs w:val="24"/>
        </w:rPr>
        <w:t>further suggests that Tilley’s interpretations of the significance of topographical elements of the landscape are not always well supported, pointing out that just because a feature is visible within a landscape does not necessarily imply significance.</w:t>
      </w:r>
      <w:r w:rsidR="00D93F62" w:rsidRPr="00781B30">
        <w:rPr>
          <w:rStyle w:val="FootnoteReference"/>
          <w:sz w:val="24"/>
          <w:szCs w:val="24"/>
        </w:rPr>
        <w:footnoteReference w:id="35"/>
      </w:r>
      <w:r w:rsidR="00D93F62" w:rsidRPr="00781B30">
        <w:rPr>
          <w:sz w:val="24"/>
          <w:szCs w:val="24"/>
        </w:rPr>
        <w:t xml:space="preserve"> </w:t>
      </w:r>
      <w:r w:rsidR="00A77F85">
        <w:rPr>
          <w:sz w:val="24"/>
          <w:szCs w:val="24"/>
        </w:rPr>
        <w:t xml:space="preserve"> </w:t>
      </w:r>
    </w:p>
    <w:p w14:paraId="5FB37881" w14:textId="240F556A" w:rsidR="00165C77" w:rsidRPr="00781B30" w:rsidRDefault="0046372E" w:rsidP="00AE4A7C">
      <w:pPr>
        <w:rPr>
          <w:color w:val="000000" w:themeColor="text1"/>
          <w:sz w:val="24"/>
          <w:szCs w:val="24"/>
        </w:rPr>
      </w:pPr>
      <w:r w:rsidRPr="00781B30">
        <w:rPr>
          <w:color w:val="000000" w:themeColor="text1"/>
          <w:sz w:val="24"/>
          <w:szCs w:val="24"/>
        </w:rPr>
        <w:t>Tilley himself referred to the lack of attention to power and control as having been a ‘major theoretical void’ in phenomenology</w:t>
      </w:r>
      <w:r w:rsidR="00165C77" w:rsidRPr="00781B30">
        <w:rPr>
          <w:color w:val="000000" w:themeColor="text1"/>
          <w:sz w:val="24"/>
          <w:szCs w:val="24"/>
        </w:rPr>
        <w:t>.</w:t>
      </w:r>
      <w:r w:rsidRPr="00781B30">
        <w:rPr>
          <w:rStyle w:val="FootnoteReference"/>
          <w:color w:val="000000" w:themeColor="text1"/>
          <w:sz w:val="24"/>
          <w:szCs w:val="24"/>
        </w:rPr>
        <w:footnoteReference w:id="36"/>
      </w:r>
      <w:commentRangeStart w:id="0"/>
      <w:commentRangeEnd w:id="0"/>
      <w:r w:rsidRPr="00781B30">
        <w:rPr>
          <w:rStyle w:val="CommentReference"/>
          <w:sz w:val="24"/>
          <w:szCs w:val="24"/>
        </w:rPr>
        <w:commentReference w:id="0"/>
      </w:r>
      <w:r w:rsidRPr="00781B30">
        <w:rPr>
          <w:color w:val="000000" w:themeColor="text1"/>
          <w:sz w:val="24"/>
          <w:szCs w:val="24"/>
        </w:rPr>
        <w:t xml:space="preserve"> </w:t>
      </w:r>
      <w:r w:rsidR="00165C77" w:rsidRPr="00781B30">
        <w:rPr>
          <w:color w:val="000000" w:themeColor="text1"/>
          <w:sz w:val="24"/>
          <w:szCs w:val="24"/>
        </w:rPr>
        <w:t xml:space="preserve">Knibbe and van </w:t>
      </w:r>
      <w:proofErr w:type="spellStart"/>
      <w:r w:rsidR="00165C77" w:rsidRPr="00781B30">
        <w:rPr>
          <w:color w:val="000000" w:themeColor="text1"/>
          <w:sz w:val="24"/>
          <w:szCs w:val="24"/>
        </w:rPr>
        <w:t>Houtert</w:t>
      </w:r>
      <w:proofErr w:type="spellEnd"/>
      <w:r w:rsidR="00165C77" w:rsidRPr="00781B30">
        <w:rPr>
          <w:color w:val="000000" w:themeColor="text1"/>
          <w:sz w:val="24"/>
          <w:szCs w:val="24"/>
        </w:rPr>
        <w:t xml:space="preserve"> argue that it is unclear how this void can be addressed within phenomenological methodologies except by linking with ‘</w:t>
      </w:r>
      <w:commentRangeStart w:id="1"/>
      <w:r w:rsidR="00165C77" w:rsidRPr="00781B30">
        <w:rPr>
          <w:color w:val="000000" w:themeColor="text1"/>
          <w:sz w:val="24"/>
          <w:szCs w:val="24"/>
        </w:rPr>
        <w:t>other domains of knowledge</w:t>
      </w:r>
      <w:commentRangeEnd w:id="1"/>
      <w:r w:rsidR="00165C77" w:rsidRPr="00781B30">
        <w:rPr>
          <w:rStyle w:val="CommentReference"/>
          <w:sz w:val="24"/>
          <w:szCs w:val="24"/>
        </w:rPr>
        <w:commentReference w:id="1"/>
      </w:r>
      <w:r w:rsidR="00CD42E8">
        <w:rPr>
          <w:color w:val="000000" w:themeColor="text1"/>
          <w:sz w:val="24"/>
          <w:szCs w:val="24"/>
        </w:rPr>
        <w:t>.</w:t>
      </w:r>
      <w:r w:rsidR="00165C77" w:rsidRPr="00781B30">
        <w:rPr>
          <w:color w:val="000000" w:themeColor="text1"/>
          <w:sz w:val="24"/>
          <w:szCs w:val="24"/>
        </w:rPr>
        <w:t>’</w:t>
      </w:r>
      <w:r w:rsidR="00165C77" w:rsidRPr="00781B30">
        <w:rPr>
          <w:rStyle w:val="FootnoteReference"/>
          <w:color w:val="000000" w:themeColor="text1"/>
          <w:sz w:val="24"/>
          <w:szCs w:val="24"/>
        </w:rPr>
        <w:footnoteReference w:id="37"/>
      </w:r>
      <w:r w:rsidR="00165C77" w:rsidRPr="00781B30">
        <w:rPr>
          <w:color w:val="000000" w:themeColor="text1"/>
          <w:sz w:val="24"/>
          <w:szCs w:val="24"/>
        </w:rPr>
        <w:t xml:space="preserve"> </w:t>
      </w:r>
      <w:r w:rsidR="009C3351" w:rsidRPr="00781B30">
        <w:rPr>
          <w:color w:val="000000" w:themeColor="text1"/>
          <w:sz w:val="24"/>
          <w:szCs w:val="24"/>
        </w:rPr>
        <w:t>Julian Thomas and Matthew Johnson have</w:t>
      </w:r>
      <w:r w:rsidR="00165C77" w:rsidRPr="00781B30">
        <w:rPr>
          <w:color w:val="000000" w:themeColor="text1"/>
          <w:sz w:val="24"/>
          <w:szCs w:val="24"/>
        </w:rPr>
        <w:t xml:space="preserve"> similarly</w:t>
      </w:r>
      <w:r w:rsidR="009C3351" w:rsidRPr="00781B30">
        <w:rPr>
          <w:color w:val="000000" w:themeColor="text1"/>
          <w:sz w:val="24"/>
          <w:szCs w:val="24"/>
        </w:rPr>
        <w:t xml:space="preserve"> argued that phenomenology, whilst useful, should not be used a stand-alone methodology, but can be joined with other approaches to allow a more multifaceted and nuanced engagement with the archaeo</w:t>
      </w:r>
      <w:r w:rsidR="009C3351" w:rsidRPr="00781B30">
        <w:rPr>
          <w:color w:val="000000" w:themeColor="text1"/>
          <w:sz w:val="24"/>
          <w:szCs w:val="24"/>
        </w:rPr>
        <w:softHyphen/>
        <w:t>logical record.</w:t>
      </w:r>
      <w:r w:rsidR="009C3351" w:rsidRPr="00781B30">
        <w:rPr>
          <w:rStyle w:val="FootnoteReference"/>
          <w:color w:val="000000" w:themeColor="text1"/>
          <w:sz w:val="24"/>
          <w:szCs w:val="24"/>
        </w:rPr>
        <w:footnoteReference w:id="38"/>
      </w:r>
      <w:r w:rsidR="00CD42E8">
        <w:rPr>
          <w:color w:val="000000" w:themeColor="text1"/>
          <w:sz w:val="24"/>
          <w:szCs w:val="24"/>
        </w:rPr>
        <w:t xml:space="preserve"> </w:t>
      </w:r>
      <w:r w:rsidR="00016414" w:rsidRPr="00781B30">
        <w:rPr>
          <w:color w:val="000000" w:themeColor="text1"/>
          <w:sz w:val="24"/>
          <w:szCs w:val="24"/>
        </w:rPr>
        <w:t>Tilley</w:t>
      </w:r>
      <w:r w:rsidR="00016414">
        <w:rPr>
          <w:color w:val="000000" w:themeColor="text1"/>
          <w:sz w:val="24"/>
          <w:szCs w:val="24"/>
        </w:rPr>
        <w:t xml:space="preserve"> also</w:t>
      </w:r>
      <w:r w:rsidR="00016414" w:rsidRPr="00781B30">
        <w:rPr>
          <w:color w:val="000000" w:themeColor="text1"/>
          <w:sz w:val="24"/>
          <w:szCs w:val="24"/>
        </w:rPr>
        <w:t xml:space="preserve"> later suggested that </w:t>
      </w:r>
      <w:r w:rsidR="00016414" w:rsidRPr="00781B30">
        <w:rPr>
          <w:sz w:val="24"/>
          <w:szCs w:val="24"/>
        </w:rPr>
        <w:t xml:space="preserve">phenomenological methodologies should not be used as a standalone approach to archaeological interpretation, </w:t>
      </w:r>
      <w:r w:rsidR="00016414">
        <w:rPr>
          <w:sz w:val="24"/>
          <w:szCs w:val="24"/>
        </w:rPr>
        <w:t>but</w:t>
      </w:r>
      <w:r w:rsidR="00016414" w:rsidRPr="00781B30">
        <w:rPr>
          <w:sz w:val="24"/>
          <w:szCs w:val="24"/>
        </w:rPr>
        <w:t xml:space="preserve"> could be usefully combined with</w:t>
      </w:r>
      <w:r w:rsidR="00016414">
        <w:rPr>
          <w:sz w:val="24"/>
          <w:szCs w:val="24"/>
        </w:rPr>
        <w:t xml:space="preserve"> other post-processual methodologies</w:t>
      </w:r>
      <w:r w:rsidR="00016414" w:rsidRPr="00781B30">
        <w:rPr>
          <w:sz w:val="24"/>
          <w:szCs w:val="24"/>
        </w:rPr>
        <w:t>.</w:t>
      </w:r>
      <w:r w:rsidR="00016414" w:rsidRPr="00781B30">
        <w:rPr>
          <w:rStyle w:val="FootnoteReference"/>
          <w:sz w:val="24"/>
          <w:szCs w:val="24"/>
        </w:rPr>
        <w:footnoteReference w:id="39"/>
      </w:r>
    </w:p>
    <w:p w14:paraId="2E2EE558" w14:textId="674FE493" w:rsidR="00D93F62" w:rsidRPr="00781B30" w:rsidRDefault="00016414" w:rsidP="007C0B23">
      <w:pPr>
        <w:rPr>
          <w:sz w:val="24"/>
          <w:szCs w:val="24"/>
        </w:rPr>
      </w:pPr>
      <w:r>
        <w:rPr>
          <w:sz w:val="24"/>
          <w:szCs w:val="24"/>
        </w:rPr>
        <w:lastRenderedPageBreak/>
        <w:t>This call to strengthen post-processual archaeology by combining different approaches was taken up by Bender and Tilley</w:t>
      </w:r>
      <w:r w:rsidR="00651B93" w:rsidRPr="00781B30">
        <w:rPr>
          <w:sz w:val="24"/>
          <w:szCs w:val="24"/>
        </w:rPr>
        <w:t>. Working together, both at Bodmin Moor and via a ‘dialogue’ between the two scholars included</w:t>
      </w:r>
      <w:r>
        <w:rPr>
          <w:sz w:val="24"/>
          <w:szCs w:val="24"/>
        </w:rPr>
        <w:t xml:space="preserve"> as a chapter</w:t>
      </w:r>
      <w:r w:rsidR="00651B93" w:rsidRPr="00781B30">
        <w:rPr>
          <w:sz w:val="24"/>
          <w:szCs w:val="24"/>
        </w:rPr>
        <w:t xml:space="preserve"> in </w:t>
      </w:r>
      <w:r w:rsidR="00651B93" w:rsidRPr="00781B30">
        <w:rPr>
          <w:i/>
          <w:iCs/>
          <w:sz w:val="24"/>
          <w:szCs w:val="24"/>
        </w:rPr>
        <w:t>Stonehenge</w:t>
      </w:r>
      <w:r w:rsidR="0097612B" w:rsidRPr="00781B30">
        <w:rPr>
          <w:i/>
          <w:iCs/>
          <w:sz w:val="24"/>
          <w:szCs w:val="24"/>
        </w:rPr>
        <w:t>: Making Space</w:t>
      </w:r>
      <w:r w:rsidR="00651B93" w:rsidRPr="00781B30">
        <w:rPr>
          <w:i/>
          <w:iCs/>
          <w:sz w:val="24"/>
          <w:szCs w:val="24"/>
        </w:rPr>
        <w:t xml:space="preserve">, </w:t>
      </w:r>
      <w:r>
        <w:rPr>
          <w:sz w:val="24"/>
          <w:szCs w:val="24"/>
        </w:rPr>
        <w:t>they</w:t>
      </w:r>
      <w:r w:rsidR="00651B93" w:rsidRPr="00781B30">
        <w:rPr>
          <w:sz w:val="24"/>
          <w:szCs w:val="24"/>
        </w:rPr>
        <w:t xml:space="preserve"> illustrated how a depth of understanding of people’s relationship with landscapes could be created through combining analysis of social and political influences with insights into </w:t>
      </w:r>
      <w:r w:rsidR="00CA385D" w:rsidRPr="00781B30">
        <w:rPr>
          <w:sz w:val="24"/>
          <w:szCs w:val="24"/>
        </w:rPr>
        <w:t xml:space="preserve">different people’s </w:t>
      </w:r>
      <w:r w:rsidR="00651B93" w:rsidRPr="00781B30">
        <w:rPr>
          <w:sz w:val="24"/>
          <w:szCs w:val="24"/>
        </w:rPr>
        <w:t xml:space="preserve">embodied experiences, </w:t>
      </w:r>
      <w:r w:rsidR="00CA385D" w:rsidRPr="00781B30">
        <w:rPr>
          <w:sz w:val="24"/>
          <w:szCs w:val="24"/>
        </w:rPr>
        <w:t>contributing rich additional layers to</w:t>
      </w:r>
      <w:r w:rsidR="00651B93" w:rsidRPr="00781B30">
        <w:rPr>
          <w:sz w:val="24"/>
          <w:szCs w:val="24"/>
        </w:rPr>
        <w:t xml:space="preserve"> understanding of how both individuals and groups might have interacted with landscapes</w:t>
      </w:r>
      <w:r w:rsidR="00CA385D" w:rsidRPr="00781B30">
        <w:rPr>
          <w:sz w:val="24"/>
          <w:szCs w:val="24"/>
        </w:rPr>
        <w:t>. Bender argues that this combined approach applied to Stonehenge allow</w:t>
      </w:r>
      <w:r>
        <w:rPr>
          <w:sz w:val="24"/>
          <w:szCs w:val="24"/>
        </w:rPr>
        <w:t>ed</w:t>
      </w:r>
      <w:r w:rsidR="00CA385D" w:rsidRPr="00781B30">
        <w:rPr>
          <w:sz w:val="24"/>
          <w:szCs w:val="24"/>
        </w:rPr>
        <w:t xml:space="preserve"> her to ‘mesh an understanding of </w:t>
      </w:r>
      <w:r w:rsidR="00CA385D" w:rsidRPr="00781B30">
        <w:rPr>
          <w:i/>
          <w:iCs/>
          <w:sz w:val="24"/>
          <w:szCs w:val="24"/>
        </w:rPr>
        <w:t xml:space="preserve">embodied </w:t>
      </w:r>
      <w:r w:rsidR="00CA385D" w:rsidRPr="00781B30">
        <w:rPr>
          <w:sz w:val="24"/>
          <w:szCs w:val="24"/>
        </w:rPr>
        <w:t xml:space="preserve">landscapes with a </w:t>
      </w:r>
      <w:r w:rsidR="00CA385D" w:rsidRPr="00781B30">
        <w:rPr>
          <w:i/>
          <w:iCs/>
          <w:sz w:val="24"/>
          <w:szCs w:val="24"/>
        </w:rPr>
        <w:t xml:space="preserve">political </w:t>
      </w:r>
      <w:r w:rsidR="00CA385D" w:rsidRPr="00781B30">
        <w:rPr>
          <w:sz w:val="24"/>
          <w:szCs w:val="24"/>
        </w:rPr>
        <w:t>landscape of unequal power relations.’</w:t>
      </w:r>
      <w:r w:rsidR="00CA385D" w:rsidRPr="00781B30">
        <w:rPr>
          <w:rStyle w:val="FootnoteReference"/>
          <w:sz w:val="24"/>
          <w:szCs w:val="24"/>
        </w:rPr>
        <w:footnoteReference w:id="40"/>
      </w:r>
      <w:r w:rsidR="00CA385D" w:rsidRPr="00781B30">
        <w:rPr>
          <w:sz w:val="24"/>
          <w:szCs w:val="24"/>
        </w:rPr>
        <w:t xml:space="preserve"> </w:t>
      </w:r>
    </w:p>
    <w:p w14:paraId="4AFFDFDA" w14:textId="5A49A463" w:rsidR="00DC3084" w:rsidRPr="00781B30" w:rsidRDefault="009B3481" w:rsidP="007C0B23">
      <w:pPr>
        <w:rPr>
          <w:color w:val="000000" w:themeColor="text1"/>
          <w:sz w:val="24"/>
          <w:szCs w:val="24"/>
        </w:rPr>
      </w:pPr>
      <w:r w:rsidRPr="00781B30">
        <w:rPr>
          <w:color w:val="000000" w:themeColor="text1"/>
          <w:sz w:val="24"/>
          <w:szCs w:val="24"/>
        </w:rPr>
        <w:t>Jeremy Burchardt</w:t>
      </w:r>
      <w:r w:rsidR="007C0B23">
        <w:rPr>
          <w:color w:val="000000" w:themeColor="text1"/>
          <w:sz w:val="24"/>
          <w:szCs w:val="24"/>
        </w:rPr>
        <w:t xml:space="preserve"> </w:t>
      </w:r>
      <w:r w:rsidRPr="00781B30">
        <w:rPr>
          <w:color w:val="000000" w:themeColor="text1"/>
          <w:sz w:val="24"/>
          <w:szCs w:val="24"/>
        </w:rPr>
        <w:t>suggests that</w:t>
      </w:r>
      <w:r w:rsidR="00CA385D" w:rsidRPr="00781B30">
        <w:rPr>
          <w:color w:val="000000" w:themeColor="text1"/>
          <w:sz w:val="24"/>
          <w:szCs w:val="24"/>
        </w:rPr>
        <w:t xml:space="preserve"> </w:t>
      </w:r>
      <w:r w:rsidRPr="00781B30">
        <w:rPr>
          <w:color w:val="000000" w:themeColor="text1"/>
          <w:sz w:val="24"/>
          <w:szCs w:val="24"/>
        </w:rPr>
        <w:t>Bender</w:t>
      </w:r>
      <w:r w:rsidR="00CA385D" w:rsidRPr="00781B30">
        <w:rPr>
          <w:color w:val="000000" w:themeColor="text1"/>
          <w:sz w:val="24"/>
          <w:szCs w:val="24"/>
        </w:rPr>
        <w:t>’s</w:t>
      </w:r>
      <w:r w:rsidRPr="00781B30">
        <w:rPr>
          <w:color w:val="000000" w:themeColor="text1"/>
          <w:sz w:val="24"/>
          <w:szCs w:val="24"/>
        </w:rPr>
        <w:t xml:space="preserve"> add</w:t>
      </w:r>
      <w:r w:rsidR="00CA385D" w:rsidRPr="00781B30">
        <w:rPr>
          <w:color w:val="000000" w:themeColor="text1"/>
          <w:sz w:val="24"/>
          <w:szCs w:val="24"/>
        </w:rPr>
        <w:t>ing of</w:t>
      </w:r>
      <w:r w:rsidRPr="00781B30">
        <w:rPr>
          <w:color w:val="000000" w:themeColor="text1"/>
          <w:sz w:val="24"/>
          <w:szCs w:val="24"/>
        </w:rPr>
        <w:t xml:space="preserve"> a political perspective to </w:t>
      </w:r>
      <w:r w:rsidR="00CA385D" w:rsidRPr="00781B30">
        <w:rPr>
          <w:color w:val="000000" w:themeColor="text1"/>
          <w:sz w:val="24"/>
          <w:szCs w:val="24"/>
        </w:rPr>
        <w:t xml:space="preserve">landscape </w:t>
      </w:r>
      <w:r w:rsidRPr="00781B30">
        <w:rPr>
          <w:color w:val="000000" w:themeColor="text1"/>
          <w:sz w:val="24"/>
          <w:szCs w:val="24"/>
        </w:rPr>
        <w:t>phenomenology</w:t>
      </w:r>
      <w:r w:rsidR="00CA385D" w:rsidRPr="00781B30">
        <w:rPr>
          <w:color w:val="000000" w:themeColor="text1"/>
          <w:sz w:val="24"/>
          <w:szCs w:val="24"/>
        </w:rPr>
        <w:t xml:space="preserve"> helped to address some of the key criticisms of the approach.</w:t>
      </w:r>
      <w:r w:rsidRPr="00781B30">
        <w:rPr>
          <w:rStyle w:val="FootnoteReference"/>
          <w:color w:val="000000" w:themeColor="text1"/>
          <w:sz w:val="24"/>
          <w:szCs w:val="24"/>
        </w:rPr>
        <w:footnoteReference w:id="41"/>
      </w:r>
      <w:r w:rsidR="0097612B" w:rsidRPr="00781B30">
        <w:rPr>
          <w:color w:val="000000" w:themeColor="text1"/>
          <w:sz w:val="24"/>
          <w:szCs w:val="24"/>
        </w:rPr>
        <w:t xml:space="preserve"> </w:t>
      </w:r>
      <w:r w:rsidR="000F0BBF" w:rsidRPr="00781B30">
        <w:rPr>
          <w:color w:val="000000" w:themeColor="text1"/>
          <w:sz w:val="24"/>
          <w:szCs w:val="24"/>
        </w:rPr>
        <w:t xml:space="preserve">It can therefore be argued that Bender’s theory of contested space and Tilley’s phenomenological perspective </w:t>
      </w:r>
      <w:r w:rsidR="0097612B" w:rsidRPr="00781B30">
        <w:rPr>
          <w:color w:val="000000" w:themeColor="text1"/>
          <w:sz w:val="24"/>
          <w:szCs w:val="24"/>
        </w:rPr>
        <w:t xml:space="preserve">can be utilised in ways that </w:t>
      </w:r>
      <w:r w:rsidR="000F0BBF" w:rsidRPr="00781B30">
        <w:rPr>
          <w:color w:val="000000" w:themeColor="text1"/>
          <w:sz w:val="24"/>
          <w:szCs w:val="24"/>
        </w:rPr>
        <w:t xml:space="preserve">complement each other, working together to build a richer picture of relationships between people and landscapes than either approach is able to achieve on its own. However, </w:t>
      </w:r>
      <w:r w:rsidR="009C3351" w:rsidRPr="00781B30">
        <w:rPr>
          <w:color w:val="000000" w:themeColor="text1"/>
          <w:sz w:val="24"/>
          <w:szCs w:val="24"/>
        </w:rPr>
        <w:t xml:space="preserve">some have suggested </w:t>
      </w:r>
      <w:r w:rsidR="0097612B" w:rsidRPr="00781B30">
        <w:rPr>
          <w:color w:val="000000" w:themeColor="text1"/>
          <w:sz w:val="24"/>
          <w:szCs w:val="24"/>
        </w:rPr>
        <w:t>adding yet more</w:t>
      </w:r>
      <w:r w:rsidR="009C3351" w:rsidRPr="00781B30">
        <w:rPr>
          <w:color w:val="000000" w:themeColor="text1"/>
          <w:sz w:val="24"/>
          <w:szCs w:val="24"/>
        </w:rPr>
        <w:t xml:space="preserve"> methodologi</w:t>
      </w:r>
      <w:r w:rsidR="0097612B" w:rsidRPr="00781B30">
        <w:rPr>
          <w:color w:val="000000" w:themeColor="text1"/>
          <w:sz w:val="24"/>
          <w:szCs w:val="24"/>
        </w:rPr>
        <w:t xml:space="preserve">cal layers to build deeper, </w:t>
      </w:r>
      <w:r w:rsidR="009C3351" w:rsidRPr="00781B30">
        <w:rPr>
          <w:color w:val="000000" w:themeColor="text1"/>
          <w:sz w:val="24"/>
          <w:szCs w:val="24"/>
        </w:rPr>
        <w:t xml:space="preserve">more robust understandings. Moyes, for examples, suggests adopting </w:t>
      </w:r>
      <w:r w:rsidR="00DC3084" w:rsidRPr="00781B30">
        <w:rPr>
          <w:color w:val="000000" w:themeColor="text1"/>
          <w:sz w:val="24"/>
          <w:szCs w:val="24"/>
        </w:rPr>
        <w:t>Alison Wylie</w:t>
      </w:r>
      <w:r w:rsidR="009C3351" w:rsidRPr="00781B30">
        <w:rPr>
          <w:color w:val="000000" w:themeColor="text1"/>
          <w:sz w:val="24"/>
          <w:szCs w:val="24"/>
        </w:rPr>
        <w:t>’s</w:t>
      </w:r>
      <w:r w:rsidR="00DC3084" w:rsidRPr="00781B30">
        <w:rPr>
          <w:color w:val="000000" w:themeColor="text1"/>
          <w:sz w:val="24"/>
          <w:szCs w:val="24"/>
        </w:rPr>
        <w:t xml:space="preserve"> </w:t>
      </w:r>
      <w:r w:rsidR="009C3351" w:rsidRPr="00781B30">
        <w:rPr>
          <w:color w:val="000000" w:themeColor="text1"/>
          <w:sz w:val="24"/>
          <w:szCs w:val="24"/>
        </w:rPr>
        <w:t>‘</w:t>
      </w:r>
      <w:r w:rsidR="00DC3084" w:rsidRPr="00781B30">
        <w:rPr>
          <w:color w:val="000000" w:themeColor="text1"/>
          <w:sz w:val="24"/>
          <w:szCs w:val="24"/>
        </w:rPr>
        <w:t>cables and tacking</w:t>
      </w:r>
      <w:r w:rsidR="009C3351" w:rsidRPr="00781B30">
        <w:rPr>
          <w:color w:val="000000" w:themeColor="text1"/>
          <w:sz w:val="24"/>
          <w:szCs w:val="24"/>
        </w:rPr>
        <w:t>’</w:t>
      </w:r>
      <w:r w:rsidR="00DC3084" w:rsidRPr="00781B30">
        <w:rPr>
          <w:color w:val="000000" w:themeColor="text1"/>
          <w:sz w:val="24"/>
          <w:szCs w:val="24"/>
        </w:rPr>
        <w:t xml:space="preserve"> model of </w:t>
      </w:r>
      <w:r w:rsidR="009C3351" w:rsidRPr="00781B30">
        <w:rPr>
          <w:color w:val="000000" w:themeColor="text1"/>
          <w:sz w:val="24"/>
          <w:szCs w:val="24"/>
        </w:rPr>
        <w:t>archaeological investigation,</w:t>
      </w:r>
      <w:r w:rsidR="009C3351" w:rsidRPr="00781B30">
        <w:rPr>
          <w:rStyle w:val="FootnoteReference"/>
          <w:color w:val="000000" w:themeColor="text1"/>
          <w:sz w:val="24"/>
          <w:szCs w:val="24"/>
        </w:rPr>
        <w:footnoteReference w:id="42"/>
      </w:r>
      <w:r w:rsidR="009C3351" w:rsidRPr="00781B30">
        <w:rPr>
          <w:color w:val="000000" w:themeColor="text1"/>
          <w:sz w:val="24"/>
          <w:szCs w:val="24"/>
        </w:rPr>
        <w:t xml:space="preserve"> </w:t>
      </w:r>
      <w:r w:rsidR="0097612B" w:rsidRPr="00781B30">
        <w:rPr>
          <w:color w:val="000000" w:themeColor="text1"/>
          <w:sz w:val="24"/>
          <w:szCs w:val="24"/>
        </w:rPr>
        <w:t>bringing together</w:t>
      </w:r>
      <w:r w:rsidR="009C3351" w:rsidRPr="00781B30">
        <w:rPr>
          <w:color w:val="000000" w:themeColor="text1"/>
          <w:sz w:val="24"/>
          <w:szCs w:val="24"/>
        </w:rPr>
        <w:t xml:space="preserve"> multiple independent and cross-disciplinary studies</w:t>
      </w:r>
      <w:r w:rsidR="007C0B23">
        <w:rPr>
          <w:color w:val="000000" w:themeColor="text1"/>
          <w:sz w:val="24"/>
          <w:szCs w:val="24"/>
        </w:rPr>
        <w:t xml:space="preserve">, combining post-processual approaches with a wider range of methods and methodologies </w:t>
      </w:r>
      <w:r w:rsidR="00DC3084" w:rsidRPr="00781B30">
        <w:rPr>
          <w:color w:val="000000" w:themeColor="text1"/>
          <w:sz w:val="24"/>
          <w:szCs w:val="24"/>
        </w:rPr>
        <w:t xml:space="preserve">to </w:t>
      </w:r>
      <w:r w:rsidR="007C0B23">
        <w:rPr>
          <w:color w:val="000000" w:themeColor="text1"/>
          <w:sz w:val="24"/>
          <w:szCs w:val="24"/>
        </w:rPr>
        <w:t>build more</w:t>
      </w:r>
      <w:r w:rsidR="00DC3084" w:rsidRPr="00781B30">
        <w:rPr>
          <w:color w:val="000000" w:themeColor="text1"/>
          <w:sz w:val="24"/>
          <w:szCs w:val="24"/>
        </w:rPr>
        <w:t xml:space="preserve"> </w:t>
      </w:r>
      <w:r w:rsidR="007C0B23">
        <w:rPr>
          <w:color w:val="000000" w:themeColor="text1"/>
          <w:sz w:val="24"/>
          <w:szCs w:val="24"/>
        </w:rPr>
        <w:t>‘</w:t>
      </w:r>
      <w:r w:rsidR="00DC3084" w:rsidRPr="00781B30">
        <w:rPr>
          <w:color w:val="000000" w:themeColor="text1"/>
          <w:sz w:val="24"/>
          <w:szCs w:val="24"/>
        </w:rPr>
        <w:t>complex and nuanced arguments.</w:t>
      </w:r>
      <w:r w:rsidR="007C0B23">
        <w:rPr>
          <w:color w:val="000000" w:themeColor="text1"/>
          <w:sz w:val="24"/>
          <w:szCs w:val="24"/>
        </w:rPr>
        <w:t>’</w:t>
      </w:r>
      <w:r w:rsidR="00DC3084" w:rsidRPr="00781B30">
        <w:rPr>
          <w:rStyle w:val="FootnoteReference"/>
          <w:color w:val="000000" w:themeColor="text1"/>
          <w:sz w:val="24"/>
          <w:szCs w:val="24"/>
        </w:rPr>
        <w:footnoteReference w:id="43"/>
      </w:r>
    </w:p>
    <w:p w14:paraId="2F2BC840" w14:textId="3F3A9D76" w:rsidR="008A68C0" w:rsidRPr="00781B30" w:rsidRDefault="008A68C0" w:rsidP="00781B30">
      <w:pPr>
        <w:pStyle w:val="Heading1"/>
        <w:rPr>
          <w:sz w:val="24"/>
          <w:szCs w:val="24"/>
        </w:rPr>
      </w:pPr>
      <w:r w:rsidRPr="00781B30">
        <w:rPr>
          <w:sz w:val="24"/>
          <w:szCs w:val="24"/>
        </w:rPr>
        <w:t>Conclusion</w:t>
      </w:r>
    </w:p>
    <w:p w14:paraId="6BFF8DEA" w14:textId="550D28A2" w:rsidR="00931E92" w:rsidRPr="00781B30" w:rsidRDefault="00EE7A9D" w:rsidP="00931E92">
      <w:pPr>
        <w:rPr>
          <w:sz w:val="24"/>
          <w:szCs w:val="24"/>
        </w:rPr>
      </w:pPr>
      <w:r>
        <w:rPr>
          <w:color w:val="000000" w:themeColor="text1"/>
          <w:sz w:val="24"/>
          <w:szCs w:val="24"/>
        </w:rPr>
        <w:t xml:space="preserve">In conclusion, both Bender and Tilley base their approaches on the view of landscapes as subjective, and seek to understand the ways in which relationships between people and landscapes are created and re-created. </w:t>
      </w:r>
      <w:r w:rsidRPr="00781B30">
        <w:rPr>
          <w:sz w:val="24"/>
          <w:szCs w:val="24"/>
        </w:rPr>
        <w:t>Both authors also argue that the physical material landscape is not passive but is co-creative of place. Where the authors differ is in methodology and emphasis, and here we can see how their approaches can be brought together to build a more nuanced and complex understanding of landscapes, helping to address some of the criticisms that have been levelled at each approach.</w:t>
      </w:r>
      <w:r>
        <w:rPr>
          <w:sz w:val="24"/>
          <w:szCs w:val="24"/>
        </w:rPr>
        <w:t xml:space="preserve"> </w:t>
      </w:r>
      <w:r w:rsidR="00BA4D35" w:rsidRPr="00781B30">
        <w:rPr>
          <w:color w:val="000000" w:themeColor="text1"/>
          <w:sz w:val="24"/>
          <w:szCs w:val="24"/>
        </w:rPr>
        <w:t xml:space="preserve">Bender’s theory of contested space </w:t>
      </w:r>
      <w:r>
        <w:rPr>
          <w:color w:val="000000" w:themeColor="text1"/>
          <w:sz w:val="24"/>
          <w:szCs w:val="24"/>
        </w:rPr>
        <w:t>suggests ways in which</w:t>
      </w:r>
      <w:r w:rsidR="00BA4D35" w:rsidRPr="00781B30">
        <w:rPr>
          <w:color w:val="000000" w:themeColor="text1"/>
          <w:sz w:val="24"/>
          <w:szCs w:val="24"/>
        </w:rPr>
        <w:t xml:space="preserve"> power, politic</w:t>
      </w:r>
      <w:r>
        <w:rPr>
          <w:color w:val="000000" w:themeColor="text1"/>
          <w:sz w:val="24"/>
          <w:szCs w:val="24"/>
        </w:rPr>
        <w:t>s</w:t>
      </w:r>
      <w:r w:rsidR="00BA4D35" w:rsidRPr="00781B30">
        <w:rPr>
          <w:color w:val="000000" w:themeColor="text1"/>
          <w:sz w:val="24"/>
          <w:szCs w:val="24"/>
        </w:rPr>
        <w:t xml:space="preserve"> and social relations can influence different people’s experience of the meaning of place, whilst Tilley’s phenomenological perspective helps to foreground the physical relationships and subjective personal experiences that help people and physical landscape co-create </w:t>
      </w:r>
      <w:r>
        <w:rPr>
          <w:color w:val="000000" w:themeColor="text1"/>
          <w:sz w:val="24"/>
          <w:szCs w:val="24"/>
        </w:rPr>
        <w:t xml:space="preserve">these </w:t>
      </w:r>
      <w:r w:rsidR="00BA4D35" w:rsidRPr="00781B30">
        <w:rPr>
          <w:color w:val="000000" w:themeColor="text1"/>
          <w:sz w:val="24"/>
          <w:szCs w:val="24"/>
        </w:rPr>
        <w:t>contested biographies of place.</w:t>
      </w:r>
      <w:r>
        <w:rPr>
          <w:color w:val="000000" w:themeColor="text1"/>
          <w:sz w:val="24"/>
          <w:szCs w:val="24"/>
        </w:rPr>
        <w:t xml:space="preserve"> The approaches can thus be argued to be m</w:t>
      </w:r>
      <w:r w:rsidR="00931E92" w:rsidRPr="00781B30">
        <w:rPr>
          <w:sz w:val="24"/>
          <w:szCs w:val="24"/>
        </w:rPr>
        <w:t>utually enriching and complementary</w:t>
      </w:r>
      <w:r>
        <w:rPr>
          <w:sz w:val="24"/>
          <w:szCs w:val="24"/>
        </w:rPr>
        <w:t xml:space="preserve">. However, it can be argued that archaeologists and anthropologists should go further still in layering multiple theories, methods and </w:t>
      </w:r>
      <w:r>
        <w:rPr>
          <w:sz w:val="24"/>
          <w:szCs w:val="24"/>
        </w:rPr>
        <w:lastRenderedPageBreak/>
        <w:t>methodologies to create more complex and nuanced insights into people’s relationships with landscape.</w:t>
      </w:r>
    </w:p>
    <w:sectPr w:rsidR="00931E92" w:rsidRPr="00781B3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Catriona Toms" w:date="2025-11-10T10:51:00Z" w:initials="CT">
    <w:p w14:paraId="50AA23D3" w14:textId="77777777" w:rsidR="0046372E" w:rsidRDefault="0046372E" w:rsidP="0046372E">
      <w:pPr>
        <w:pStyle w:val="CommentText"/>
      </w:pPr>
      <w:r>
        <w:rPr>
          <w:rStyle w:val="CommentReference"/>
        </w:rPr>
        <w:annotationRef/>
      </w:r>
      <w:r>
        <w:t>This is all useful for showing Bender complementarity.</w:t>
      </w:r>
    </w:p>
  </w:comment>
  <w:comment w:id="1" w:author="Catriona Toms" w:date="2025-11-10T17:24:00Z" w:initials="CT">
    <w:p w14:paraId="33F68921" w14:textId="77777777" w:rsidR="00165C77" w:rsidRDefault="00165C77" w:rsidP="00165C77">
      <w:pPr>
        <w:pStyle w:val="CommentText"/>
      </w:pPr>
      <w:r>
        <w:rPr>
          <w:rStyle w:val="CommentReference"/>
        </w:rPr>
        <w:annotationRef/>
      </w:r>
      <w:r>
        <w:t>Bender links with other domains of knowledge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50AA23D3" w15:done="0"/>
  <w15:commentEx w15:paraId="33F6892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E85EAAC" w16cex:dateUtc="2025-11-10T10:51:00Z"/>
  <w16cex:commentExtensible w16cex:durableId="5D367613" w16cex:dateUtc="2025-11-10T17: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50AA23D3" w16cid:durableId="2E85EAAC"/>
  <w16cid:commentId w16cid:paraId="33F68921" w16cid:durableId="5D36761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B6146B" w14:textId="77777777" w:rsidR="005725F1" w:rsidRDefault="005725F1" w:rsidP="00EC567F">
      <w:pPr>
        <w:spacing w:after="0" w:line="240" w:lineRule="auto"/>
      </w:pPr>
      <w:r>
        <w:separator/>
      </w:r>
    </w:p>
  </w:endnote>
  <w:endnote w:type="continuationSeparator" w:id="0">
    <w:p w14:paraId="3FA1ABAF" w14:textId="77777777" w:rsidR="005725F1" w:rsidRDefault="005725F1" w:rsidP="00EC56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375D17" w14:textId="77777777" w:rsidR="005725F1" w:rsidRDefault="005725F1" w:rsidP="00EC567F">
      <w:pPr>
        <w:spacing w:after="0" w:line="240" w:lineRule="auto"/>
      </w:pPr>
      <w:r>
        <w:separator/>
      </w:r>
    </w:p>
  </w:footnote>
  <w:footnote w:type="continuationSeparator" w:id="0">
    <w:p w14:paraId="6600F2F6" w14:textId="77777777" w:rsidR="005725F1" w:rsidRDefault="005725F1" w:rsidP="00EC567F">
      <w:pPr>
        <w:spacing w:after="0" w:line="240" w:lineRule="auto"/>
      </w:pPr>
      <w:r>
        <w:continuationSeparator/>
      </w:r>
    </w:p>
  </w:footnote>
  <w:footnote w:id="1">
    <w:p w14:paraId="1869B144" w14:textId="77777777" w:rsidR="00EC567F" w:rsidRDefault="00EC567F" w:rsidP="00EC567F">
      <w:pPr>
        <w:pStyle w:val="FootnoteText"/>
      </w:pPr>
      <w:r>
        <w:rPr>
          <w:rStyle w:val="FootnoteReference"/>
        </w:rPr>
        <w:footnoteRef/>
      </w:r>
      <w:r>
        <w:t xml:space="preserve"> Add ref</w:t>
      </w:r>
    </w:p>
  </w:footnote>
  <w:footnote w:id="2">
    <w:p w14:paraId="29C23D9E" w14:textId="77777777" w:rsidR="00EC567F" w:rsidRDefault="00EC567F" w:rsidP="00EC567F">
      <w:pPr>
        <w:pStyle w:val="FootnoteText"/>
      </w:pPr>
      <w:r>
        <w:rPr>
          <w:rStyle w:val="FootnoteReference"/>
        </w:rPr>
        <w:footnoteRef/>
      </w:r>
      <w:r>
        <w:t xml:space="preserve"> Add full ref</w:t>
      </w:r>
    </w:p>
  </w:footnote>
  <w:footnote w:id="3">
    <w:p w14:paraId="1BC2ADEB" w14:textId="77777777" w:rsidR="00EC567F" w:rsidRDefault="00EC567F" w:rsidP="00EC567F">
      <w:pPr>
        <w:pStyle w:val="FootnoteText"/>
      </w:pPr>
      <w:r>
        <w:rPr>
          <w:rStyle w:val="FootnoteReference"/>
        </w:rPr>
        <w:footnoteRef/>
      </w:r>
      <w:r>
        <w:t xml:space="preserve"> Add full ref</w:t>
      </w:r>
    </w:p>
  </w:footnote>
  <w:footnote w:id="4">
    <w:p w14:paraId="31831F2D" w14:textId="77777777" w:rsidR="00935461" w:rsidRDefault="00935461" w:rsidP="00935461">
      <w:pPr>
        <w:pStyle w:val="FootnoteText"/>
      </w:pPr>
      <w:r>
        <w:rPr>
          <w:rStyle w:val="FootnoteReference"/>
        </w:rPr>
        <w:footnoteRef/>
      </w:r>
      <w:r>
        <w:t xml:space="preserve"> </w:t>
      </w:r>
      <w:r w:rsidRPr="000A58F4">
        <w:t xml:space="preserve">Moyes, H. (2023). The Life and Afterlife of Phenomenology in Archaeological Theory and Practice. In: Yoshimi, J., Walsh, P., Londen, P. (eds) Horizons of Phenomenology. Contributions to Phenomenology, vol 122. Springer, Cham. </w:t>
      </w:r>
      <w:hyperlink r:id="rId1" w:history="1">
        <w:r w:rsidRPr="00475EB2">
          <w:rPr>
            <w:rStyle w:val="Hyperlink"/>
          </w:rPr>
          <w:t>https://doi.org/10.1007/978-3-031-26074-2_16</w:t>
        </w:r>
      </w:hyperlink>
      <w:r>
        <w:t xml:space="preserve"> P.308</w:t>
      </w:r>
    </w:p>
  </w:footnote>
  <w:footnote w:id="5">
    <w:p w14:paraId="4823E5A9" w14:textId="77777777" w:rsidR="00935461" w:rsidRDefault="00935461" w:rsidP="00935461">
      <w:pPr>
        <w:pStyle w:val="FootnoteText"/>
      </w:pPr>
      <w:r>
        <w:rPr>
          <w:rStyle w:val="FootnoteReference"/>
        </w:rPr>
        <w:footnoteRef/>
      </w:r>
      <w:r>
        <w:t xml:space="preserve"> Fleming ‘Post-processual Landscape Archaeology: a Critique’, P.267</w:t>
      </w:r>
    </w:p>
  </w:footnote>
  <w:footnote w:id="6">
    <w:p w14:paraId="2D9EF0E9" w14:textId="77777777" w:rsidR="00935461" w:rsidRDefault="00935461" w:rsidP="00935461">
      <w:pPr>
        <w:pStyle w:val="FootnoteText"/>
      </w:pPr>
      <w:r>
        <w:rPr>
          <w:rStyle w:val="FootnoteReference"/>
        </w:rPr>
        <w:footnoteRef/>
      </w:r>
      <w:r>
        <w:t xml:space="preserve"> </w:t>
      </w:r>
      <w:r w:rsidRPr="000A58F4">
        <w:t xml:space="preserve">Moyes, H. (2023). The Life and Afterlife of Phenomenology in Archaeological Theory and Practice. In: Yoshimi, J., Walsh, P., Londen, P. (eds) Horizons of Phenomenology. Contributions to Phenomenology, vol 122. Springer, Cham. </w:t>
      </w:r>
      <w:hyperlink r:id="rId2" w:history="1">
        <w:r w:rsidRPr="00475EB2">
          <w:rPr>
            <w:rStyle w:val="Hyperlink"/>
          </w:rPr>
          <w:t>https://doi.org/10.1007/978-3-031-26074-2_16</w:t>
        </w:r>
      </w:hyperlink>
      <w:r>
        <w:t xml:space="preserve"> P.308</w:t>
      </w:r>
    </w:p>
  </w:footnote>
  <w:footnote w:id="7">
    <w:p w14:paraId="2FD4A710" w14:textId="77777777" w:rsidR="00EC567F" w:rsidRPr="00E97E82" w:rsidRDefault="00EC567F" w:rsidP="00EC567F">
      <w:pPr>
        <w:pStyle w:val="FootnoteText"/>
        <w:rPr>
          <w:b/>
          <w:bCs/>
        </w:rPr>
      </w:pPr>
      <w:r w:rsidRPr="00E97E82">
        <w:rPr>
          <w:rStyle w:val="FootnoteReference"/>
        </w:rPr>
        <w:footnoteRef/>
      </w:r>
      <w:r w:rsidRPr="00E97E82">
        <w:t xml:space="preserve"> </w:t>
      </w:r>
      <w:r>
        <w:t>‘</w:t>
      </w:r>
      <w:r w:rsidRPr="00E97E82">
        <w:t>In memory of Professor Christopher Tilley.</w:t>
      </w:r>
      <w:r>
        <w:t>’</w:t>
      </w:r>
      <w:r w:rsidRPr="00E97E82">
        <w:t xml:space="preserve"> UCL website. https://www.ucl.ac.uk/social-historical-sciences/news/2024/mar/memory-professor-christopher-tilley</w:t>
      </w:r>
    </w:p>
  </w:footnote>
  <w:footnote w:id="8">
    <w:p w14:paraId="7150B97E" w14:textId="6A3565BD" w:rsidR="003A1A3D" w:rsidRDefault="003A1A3D">
      <w:pPr>
        <w:pStyle w:val="FootnoteText"/>
      </w:pPr>
      <w:r>
        <w:rPr>
          <w:rStyle w:val="FootnoteReference"/>
        </w:rPr>
        <w:footnoteRef/>
      </w:r>
      <w:r>
        <w:t xml:space="preserve"> Ref</w:t>
      </w:r>
    </w:p>
  </w:footnote>
  <w:footnote w:id="9">
    <w:p w14:paraId="0C19CF62" w14:textId="77777777" w:rsidR="00EC567F" w:rsidRPr="00E97E82" w:rsidRDefault="00EC567F" w:rsidP="00EC567F">
      <w:pPr>
        <w:pStyle w:val="FootnoteText"/>
        <w:rPr>
          <w:b/>
          <w:bCs/>
        </w:rPr>
      </w:pPr>
      <w:r w:rsidRPr="00E97E82">
        <w:rPr>
          <w:rStyle w:val="FootnoteReference"/>
        </w:rPr>
        <w:footnoteRef/>
      </w:r>
      <w:r w:rsidRPr="00E97E82">
        <w:t xml:space="preserve"> </w:t>
      </w:r>
      <w:r>
        <w:t>‘</w:t>
      </w:r>
      <w:r w:rsidRPr="00E97E82">
        <w:t>In memory of Professor Christopher Tilley.</w:t>
      </w:r>
      <w:r>
        <w:t>’</w:t>
      </w:r>
      <w:r w:rsidRPr="00E97E82">
        <w:t xml:space="preserve"> UCL website. https://www.ucl.ac.uk/social-historical-sciences/news/2024/mar/memory-professor-christopher-tilley</w:t>
      </w:r>
    </w:p>
  </w:footnote>
  <w:footnote w:id="10">
    <w:p w14:paraId="420A77F6" w14:textId="36A9DB11" w:rsidR="003A1A3D" w:rsidRDefault="003A1A3D" w:rsidP="003A1A3D">
      <w:pPr>
        <w:pStyle w:val="FootnoteText"/>
      </w:pPr>
      <w:r>
        <w:rPr>
          <w:rStyle w:val="FootnoteReference"/>
        </w:rPr>
        <w:footnoteRef/>
      </w:r>
      <w:r>
        <w:t xml:space="preserve"> Tilley Phenomenology of Landscape</w:t>
      </w:r>
    </w:p>
  </w:footnote>
  <w:footnote w:id="11">
    <w:p w14:paraId="67B6E2A0" w14:textId="77777777" w:rsidR="00EC567F" w:rsidRDefault="00EC567F" w:rsidP="00EC567F">
      <w:pPr>
        <w:pStyle w:val="FootnoteText"/>
      </w:pPr>
      <w:r>
        <w:rPr>
          <w:rStyle w:val="FootnoteReference"/>
        </w:rPr>
        <w:footnoteRef/>
      </w:r>
      <w:r>
        <w:t xml:space="preserve"> </w:t>
      </w:r>
      <w:r w:rsidRPr="006D2A47">
        <w:t>University College London Appointments</w:t>
      </w:r>
      <w:r>
        <w:t xml:space="preserve">: Barbara Bender. </w:t>
      </w:r>
      <w:r w:rsidRPr="006D2A47">
        <w:t>https://profiles.ucl.ac.uk/4518</w:t>
      </w:r>
    </w:p>
  </w:footnote>
  <w:footnote w:id="12">
    <w:p w14:paraId="50A83CE9" w14:textId="77777777" w:rsidR="005B02FE" w:rsidRDefault="005B02FE" w:rsidP="005B02FE">
      <w:pPr>
        <w:pStyle w:val="FootnoteText"/>
      </w:pPr>
      <w:r>
        <w:rPr>
          <w:rStyle w:val="FootnoteReference"/>
        </w:rPr>
        <w:footnoteRef/>
      </w:r>
      <w:r>
        <w:t xml:space="preserve"> </w:t>
      </w:r>
      <w:r w:rsidRPr="006B7240">
        <w:t xml:space="preserve">Bender, B. (1992). ‘Theorising Landscapes, and the Prehistoric Landscapes of Stonehenge.’ </w:t>
      </w:r>
      <w:r w:rsidRPr="006B7240">
        <w:rPr>
          <w:i/>
          <w:iCs/>
        </w:rPr>
        <w:t>Man</w:t>
      </w:r>
      <w:r w:rsidRPr="006B7240">
        <w:t>, Vol. 27, No. 4, pp. 735-755.</w:t>
      </w:r>
      <w:r>
        <w:t xml:space="preserve"> P.735</w:t>
      </w:r>
    </w:p>
  </w:footnote>
  <w:footnote w:id="13">
    <w:p w14:paraId="4516E73F" w14:textId="77777777" w:rsidR="005B02FE" w:rsidRDefault="005B02FE" w:rsidP="005B02FE">
      <w:pPr>
        <w:pStyle w:val="FootnoteText"/>
      </w:pPr>
      <w:r>
        <w:rPr>
          <w:rStyle w:val="FootnoteReference"/>
        </w:rPr>
        <w:footnoteRef/>
      </w:r>
      <w:r>
        <w:t xml:space="preserve"> Stonehenge, P.9</w:t>
      </w:r>
    </w:p>
  </w:footnote>
  <w:footnote w:id="14">
    <w:p w14:paraId="1AB22EE9" w14:textId="77777777" w:rsidR="005B02FE" w:rsidRDefault="005B02FE" w:rsidP="005B02FE">
      <w:pPr>
        <w:pStyle w:val="FootnoteText"/>
      </w:pPr>
      <w:r>
        <w:rPr>
          <w:rStyle w:val="FootnoteReference"/>
        </w:rPr>
        <w:footnoteRef/>
      </w:r>
      <w:r>
        <w:t xml:space="preserve"> Ref</w:t>
      </w:r>
    </w:p>
  </w:footnote>
  <w:footnote w:id="15">
    <w:p w14:paraId="19B202B1" w14:textId="77777777" w:rsidR="00495713" w:rsidRDefault="00495713" w:rsidP="00495713">
      <w:pPr>
        <w:pStyle w:val="FootnoteText"/>
      </w:pPr>
      <w:r>
        <w:rPr>
          <w:rStyle w:val="FootnoteReference"/>
        </w:rPr>
        <w:footnoteRef/>
      </w:r>
      <w:r>
        <w:t xml:space="preserve"> Stonehenge</w:t>
      </w:r>
    </w:p>
  </w:footnote>
  <w:footnote w:id="16">
    <w:p w14:paraId="622969DC" w14:textId="77777777" w:rsidR="005B02FE" w:rsidRDefault="005B02FE" w:rsidP="005B02FE">
      <w:pPr>
        <w:pStyle w:val="FootnoteText"/>
      </w:pPr>
      <w:r>
        <w:rPr>
          <w:rStyle w:val="FootnoteReference"/>
        </w:rPr>
        <w:footnoteRef/>
      </w:r>
      <w:r>
        <w:t xml:space="preserve"> Landscape and politics, P.138</w:t>
      </w:r>
    </w:p>
  </w:footnote>
  <w:footnote w:id="17">
    <w:p w14:paraId="2118FCD9" w14:textId="19C31425" w:rsidR="00AE08D1" w:rsidRDefault="00AE08D1">
      <w:pPr>
        <w:pStyle w:val="FootnoteText"/>
      </w:pPr>
      <w:r>
        <w:rPr>
          <w:rStyle w:val="FootnoteReference"/>
        </w:rPr>
        <w:footnoteRef/>
      </w:r>
      <w:r>
        <w:t xml:space="preserve"> Ref</w:t>
      </w:r>
    </w:p>
  </w:footnote>
  <w:footnote w:id="18">
    <w:p w14:paraId="019083D1" w14:textId="77777777" w:rsidR="005B02FE" w:rsidRDefault="005B02FE" w:rsidP="005B02FE">
      <w:pPr>
        <w:pStyle w:val="FootnoteText"/>
      </w:pPr>
      <w:r>
        <w:rPr>
          <w:rStyle w:val="FootnoteReference"/>
        </w:rPr>
        <w:footnoteRef/>
      </w:r>
      <w:r>
        <w:t xml:space="preserve"> Tilley Phenomenology of Landscape</w:t>
      </w:r>
    </w:p>
  </w:footnote>
  <w:footnote w:id="19">
    <w:p w14:paraId="6930C832" w14:textId="7E6F0486" w:rsidR="00AE08D1" w:rsidRDefault="00AE08D1">
      <w:pPr>
        <w:pStyle w:val="FootnoteText"/>
      </w:pPr>
      <w:r>
        <w:rPr>
          <w:rStyle w:val="FootnoteReference"/>
        </w:rPr>
        <w:footnoteRef/>
      </w:r>
      <w:r>
        <w:t xml:space="preserve"> Ref</w:t>
      </w:r>
    </w:p>
  </w:footnote>
  <w:footnote w:id="20">
    <w:p w14:paraId="597B8039" w14:textId="63A7533E" w:rsidR="00D64607" w:rsidRDefault="00D64607">
      <w:pPr>
        <w:pStyle w:val="FootnoteText"/>
      </w:pPr>
      <w:r>
        <w:rPr>
          <w:rStyle w:val="FootnoteReference"/>
        </w:rPr>
        <w:footnoteRef/>
      </w:r>
      <w:r>
        <w:t xml:space="preserve"> Phenomenology</w:t>
      </w:r>
    </w:p>
  </w:footnote>
  <w:footnote w:id="21">
    <w:p w14:paraId="0D6C50F5" w14:textId="21ABFEC6" w:rsidR="00D64607" w:rsidRDefault="00D64607">
      <w:pPr>
        <w:pStyle w:val="FootnoteText"/>
      </w:pPr>
      <w:r>
        <w:rPr>
          <w:rStyle w:val="FootnoteReference"/>
        </w:rPr>
        <w:footnoteRef/>
      </w:r>
      <w:r>
        <w:t xml:space="preserve"> Contested space</w:t>
      </w:r>
    </w:p>
  </w:footnote>
  <w:footnote w:id="22">
    <w:p w14:paraId="07F0B46A" w14:textId="77777777" w:rsidR="00E102B2" w:rsidRDefault="00E102B2" w:rsidP="00E102B2">
      <w:pPr>
        <w:pStyle w:val="FootnoteText"/>
      </w:pPr>
      <w:r>
        <w:rPr>
          <w:rStyle w:val="FootnoteReference"/>
        </w:rPr>
        <w:footnoteRef/>
      </w:r>
      <w:r>
        <w:t xml:space="preserve"> Landscape and politics, P.136</w:t>
      </w:r>
    </w:p>
  </w:footnote>
  <w:footnote w:id="23">
    <w:p w14:paraId="4A47C649" w14:textId="77777777" w:rsidR="0025629B" w:rsidRDefault="0025629B" w:rsidP="0025629B">
      <w:pPr>
        <w:pStyle w:val="FootnoteText"/>
      </w:pPr>
      <w:r>
        <w:rPr>
          <w:rStyle w:val="FootnoteReference"/>
        </w:rPr>
        <w:footnoteRef/>
      </w:r>
      <w:r>
        <w:t xml:space="preserve"> Tilley Phenomenology of Landscape, P.15</w:t>
      </w:r>
    </w:p>
  </w:footnote>
  <w:footnote w:id="24">
    <w:p w14:paraId="3529E954" w14:textId="77777777" w:rsidR="00233B40" w:rsidRPr="002F29FE" w:rsidRDefault="00233B40" w:rsidP="00233B40">
      <w:pPr>
        <w:pStyle w:val="FootnoteText"/>
      </w:pPr>
      <w:r>
        <w:rPr>
          <w:rStyle w:val="FootnoteReference"/>
        </w:rPr>
        <w:footnoteRef/>
      </w:r>
      <w:r>
        <w:t xml:space="preserve"> Tilley ‘Phenomenological Approaches to Landscape Archaeology’ in B. David and J. Thomas (Eds). </w:t>
      </w:r>
      <w:r>
        <w:rPr>
          <w:i/>
          <w:iCs/>
        </w:rPr>
        <w:t xml:space="preserve">Handbook of Landscape Archaeology. </w:t>
      </w:r>
      <w:r>
        <w:t>Abingdon: Routledge. P.271.</w:t>
      </w:r>
    </w:p>
  </w:footnote>
  <w:footnote w:id="25">
    <w:p w14:paraId="4D4B1144" w14:textId="77777777" w:rsidR="0025629B" w:rsidRDefault="0025629B" w:rsidP="0025629B">
      <w:pPr>
        <w:pStyle w:val="FootnoteText"/>
      </w:pPr>
      <w:r>
        <w:rPr>
          <w:rStyle w:val="FootnoteReference"/>
        </w:rPr>
        <w:footnoteRef/>
      </w:r>
      <w:r>
        <w:t xml:space="preserve"> Time and Landscape, P.104</w:t>
      </w:r>
    </w:p>
  </w:footnote>
  <w:footnote w:id="26">
    <w:p w14:paraId="4CC14048" w14:textId="77777777" w:rsidR="00AB40C7" w:rsidRDefault="00AB40C7" w:rsidP="00AB40C7">
      <w:pPr>
        <w:pStyle w:val="FootnoteText"/>
      </w:pPr>
      <w:r>
        <w:rPr>
          <w:rStyle w:val="FootnoteReference"/>
        </w:rPr>
        <w:footnoteRef/>
      </w:r>
      <w:r>
        <w:t xml:space="preserve"> Tilley ‘Phenomenological Approaches to Landscape Archaeology’ in B. David and J. Thomas (Eds). </w:t>
      </w:r>
      <w:r>
        <w:rPr>
          <w:i/>
          <w:iCs/>
        </w:rPr>
        <w:t xml:space="preserve">Handbook of Landscape Archaeology. </w:t>
      </w:r>
      <w:r>
        <w:t>Abingdon: Routledge. P.271.</w:t>
      </w:r>
    </w:p>
  </w:footnote>
  <w:footnote w:id="27">
    <w:p w14:paraId="286BACCC" w14:textId="77777777" w:rsidR="004726DE" w:rsidRDefault="004726DE" w:rsidP="004726DE">
      <w:pPr>
        <w:pStyle w:val="FootnoteText"/>
      </w:pPr>
      <w:r>
        <w:rPr>
          <w:rStyle w:val="FootnoteReference"/>
        </w:rPr>
        <w:footnoteRef/>
      </w:r>
      <w:r>
        <w:t xml:space="preserve"> </w:t>
      </w:r>
      <w:r w:rsidRPr="00111E3B">
        <w:t xml:space="preserve">Tilley, C. (1994). </w:t>
      </w:r>
      <w:r w:rsidRPr="00111E3B">
        <w:rPr>
          <w:i/>
          <w:iCs/>
        </w:rPr>
        <w:t>A Phenomenology of Landscape: Places, Paths and Monuments</w:t>
      </w:r>
      <w:r w:rsidRPr="00111E3B">
        <w:t>. Oxford: Berg.</w:t>
      </w:r>
      <w:r>
        <w:t xml:space="preserve"> P.26</w:t>
      </w:r>
    </w:p>
  </w:footnote>
  <w:footnote w:id="28">
    <w:p w14:paraId="45D0D511" w14:textId="77777777" w:rsidR="004726DE" w:rsidRDefault="004726DE" w:rsidP="004726DE">
      <w:pPr>
        <w:pStyle w:val="FootnoteText"/>
      </w:pPr>
      <w:r>
        <w:rPr>
          <w:rStyle w:val="FootnoteReference"/>
        </w:rPr>
        <w:footnoteRef/>
      </w:r>
      <w:r>
        <w:t xml:space="preserve"> Tilley Phenomenology of Landscape, P.33</w:t>
      </w:r>
    </w:p>
  </w:footnote>
  <w:footnote w:id="29">
    <w:p w14:paraId="778AC789" w14:textId="77777777" w:rsidR="004726DE" w:rsidRPr="00DD2B1E" w:rsidRDefault="004726DE" w:rsidP="004726DE">
      <w:pPr>
        <w:pStyle w:val="FootnoteText"/>
      </w:pPr>
      <w:r>
        <w:rPr>
          <w:rStyle w:val="FootnoteReference"/>
        </w:rPr>
        <w:footnoteRef/>
      </w:r>
      <w:r>
        <w:t xml:space="preserve"> Lane, </w:t>
      </w:r>
      <w:r>
        <w:rPr>
          <w:i/>
          <w:iCs/>
        </w:rPr>
        <w:t xml:space="preserve">Landscapes of the Sacred, </w:t>
      </w:r>
      <w:r>
        <w:t>P.15</w:t>
      </w:r>
    </w:p>
  </w:footnote>
  <w:footnote w:id="30">
    <w:p w14:paraId="2215D539" w14:textId="77777777" w:rsidR="004726DE" w:rsidRDefault="004726DE" w:rsidP="004726DE">
      <w:pPr>
        <w:pStyle w:val="FootnoteText"/>
      </w:pPr>
      <w:r>
        <w:rPr>
          <w:rStyle w:val="FootnoteReference"/>
        </w:rPr>
        <w:footnoteRef/>
      </w:r>
      <w:r>
        <w:t xml:space="preserve"> Sacred Places, P.3</w:t>
      </w:r>
    </w:p>
  </w:footnote>
  <w:footnote w:id="31">
    <w:p w14:paraId="4B7FAC51" w14:textId="77777777" w:rsidR="00D93F62" w:rsidRDefault="00D93F62" w:rsidP="00D93F62">
      <w:pPr>
        <w:pStyle w:val="FootnoteText"/>
      </w:pPr>
      <w:r>
        <w:rPr>
          <w:rStyle w:val="FootnoteReference"/>
        </w:rPr>
        <w:footnoteRef/>
      </w:r>
      <w:r>
        <w:t xml:space="preserve"> Br</w:t>
      </w:r>
      <w:r w:rsidRPr="009327C3">
        <w:t>ü</w:t>
      </w:r>
      <w:r>
        <w:t>ck, P.45</w:t>
      </w:r>
    </w:p>
  </w:footnote>
  <w:footnote w:id="32">
    <w:p w14:paraId="713703A2" w14:textId="77777777" w:rsidR="00FB22E4" w:rsidRPr="000A58F4" w:rsidRDefault="00FB22E4" w:rsidP="00FB22E4">
      <w:pPr>
        <w:pStyle w:val="FootnoteText"/>
        <w:rPr>
          <w:color w:val="000000" w:themeColor="text1"/>
        </w:rPr>
      </w:pPr>
      <w:r>
        <w:rPr>
          <w:rStyle w:val="FootnoteReference"/>
        </w:rPr>
        <w:footnoteRef/>
      </w:r>
      <w:r>
        <w:t xml:space="preserve"> </w:t>
      </w:r>
      <w:r w:rsidRPr="000A58F4">
        <w:t>Moyes: The Life and Afterlife of Phenomenology</w:t>
      </w:r>
      <w:r>
        <w:t>, P.309</w:t>
      </w:r>
    </w:p>
  </w:footnote>
  <w:footnote w:id="33">
    <w:p w14:paraId="422C4B76" w14:textId="77777777" w:rsidR="00165C77" w:rsidRDefault="00165C77" w:rsidP="00165C77">
      <w:pPr>
        <w:pStyle w:val="FootnoteText"/>
      </w:pPr>
      <w:r>
        <w:rPr>
          <w:rStyle w:val="FootnoteReference"/>
        </w:rPr>
        <w:footnoteRef/>
      </w:r>
      <w:r>
        <w:t xml:space="preserve"> </w:t>
      </w:r>
      <w:r w:rsidRPr="007F4D12">
        <w:t xml:space="preserve">Barrett John, C., &amp; Ko, I. (2009). A phenomenology of landscape: A crisis in British landscape archaeology? </w:t>
      </w:r>
      <w:r w:rsidRPr="007F4D12">
        <w:rPr>
          <w:i/>
          <w:iCs/>
        </w:rPr>
        <w:t>Journal of Social Archaeology, 9</w:t>
      </w:r>
      <w:r w:rsidRPr="007F4D12">
        <w:t>(3), 275–294.</w:t>
      </w:r>
      <w:r>
        <w:t xml:space="preserve"> Cites in Moyes.</w:t>
      </w:r>
    </w:p>
  </w:footnote>
  <w:footnote w:id="34">
    <w:p w14:paraId="110186AC" w14:textId="77777777" w:rsidR="00FB22E4" w:rsidRDefault="00FB22E4" w:rsidP="00FB22E4">
      <w:pPr>
        <w:pStyle w:val="FootnoteText"/>
      </w:pPr>
      <w:r>
        <w:rPr>
          <w:rStyle w:val="FootnoteReference"/>
        </w:rPr>
        <w:footnoteRef/>
      </w:r>
      <w:r>
        <w:t xml:space="preserve"> Religious experience and Phenomenology, P.8</w:t>
      </w:r>
    </w:p>
  </w:footnote>
  <w:footnote w:id="35">
    <w:p w14:paraId="35A1CD8A" w14:textId="77777777" w:rsidR="00D93F62" w:rsidRDefault="00D93F62" w:rsidP="00D93F62">
      <w:pPr>
        <w:pStyle w:val="FootnoteText"/>
      </w:pPr>
      <w:r>
        <w:rPr>
          <w:rStyle w:val="FootnoteReference"/>
        </w:rPr>
        <w:footnoteRef/>
      </w:r>
      <w:r>
        <w:t xml:space="preserve"> Bruck, P.51</w:t>
      </w:r>
    </w:p>
  </w:footnote>
  <w:footnote w:id="36">
    <w:p w14:paraId="2507A97A" w14:textId="77777777" w:rsidR="0046372E" w:rsidRDefault="0046372E" w:rsidP="0046372E">
      <w:pPr>
        <w:pStyle w:val="FootnoteText"/>
      </w:pPr>
      <w:r>
        <w:rPr>
          <w:rStyle w:val="FootnoteReference"/>
        </w:rPr>
        <w:footnoteRef/>
      </w:r>
      <w:r>
        <w:t xml:space="preserve"> Tilley Phenomenology of Landscape, P.26</w:t>
      </w:r>
    </w:p>
  </w:footnote>
  <w:footnote w:id="37">
    <w:p w14:paraId="13F7818C" w14:textId="77777777" w:rsidR="00165C77" w:rsidRDefault="00165C77" w:rsidP="00165C77">
      <w:pPr>
        <w:pStyle w:val="FootnoteText"/>
      </w:pPr>
      <w:r>
        <w:rPr>
          <w:rStyle w:val="FootnoteReference"/>
        </w:rPr>
        <w:footnoteRef/>
      </w:r>
      <w:r>
        <w:t xml:space="preserve"> Religious experience and Phenomenology, P.8</w:t>
      </w:r>
    </w:p>
  </w:footnote>
  <w:footnote w:id="38">
    <w:p w14:paraId="769348AD" w14:textId="77777777" w:rsidR="009C3351" w:rsidRDefault="009C3351" w:rsidP="009C3351">
      <w:pPr>
        <w:pStyle w:val="FootnoteText"/>
      </w:pPr>
      <w:r>
        <w:rPr>
          <w:rStyle w:val="FootnoteReference"/>
        </w:rPr>
        <w:footnoteRef/>
      </w:r>
      <w:r>
        <w:t xml:space="preserve"> Moyes, P.310</w:t>
      </w:r>
    </w:p>
  </w:footnote>
  <w:footnote w:id="39">
    <w:p w14:paraId="7094FE63" w14:textId="77777777" w:rsidR="00016414" w:rsidRDefault="00016414" w:rsidP="00016414">
      <w:pPr>
        <w:pStyle w:val="FootnoteText"/>
      </w:pPr>
      <w:r>
        <w:rPr>
          <w:rStyle w:val="FootnoteReference"/>
        </w:rPr>
        <w:footnoteRef/>
      </w:r>
      <w:r>
        <w:t xml:space="preserve"> </w:t>
      </w:r>
      <w:r w:rsidRPr="00CE573A">
        <w:t xml:space="preserve">Tilley, C., 2004a: </w:t>
      </w:r>
      <w:r w:rsidRPr="00CE573A">
        <w:rPr>
          <w:i/>
          <w:iCs/>
        </w:rPr>
        <w:t>The materiality of stone. Explorations in landscape</w:t>
      </w:r>
      <w:r>
        <w:rPr>
          <w:i/>
          <w:iCs/>
        </w:rPr>
        <w:t xml:space="preserve"> </w:t>
      </w:r>
      <w:r w:rsidRPr="00CE573A">
        <w:rPr>
          <w:i/>
          <w:iCs/>
        </w:rPr>
        <w:t>phenomenology</w:t>
      </w:r>
      <w:r w:rsidRPr="00CE573A">
        <w:t>, Oxford.</w:t>
      </w:r>
      <w:r>
        <w:t>, cited in Bruck, P.57</w:t>
      </w:r>
    </w:p>
  </w:footnote>
  <w:footnote w:id="40">
    <w:p w14:paraId="36325FC7" w14:textId="77777777" w:rsidR="00CA385D" w:rsidRDefault="00CA385D" w:rsidP="00CA385D">
      <w:pPr>
        <w:pStyle w:val="FootnoteText"/>
      </w:pPr>
      <w:r>
        <w:rPr>
          <w:rStyle w:val="FootnoteReference"/>
        </w:rPr>
        <w:footnoteRef/>
      </w:r>
      <w:r>
        <w:t xml:space="preserve"> Stonehenge, P.38</w:t>
      </w:r>
    </w:p>
  </w:footnote>
  <w:footnote w:id="41">
    <w:p w14:paraId="7EDE62AC" w14:textId="77777777" w:rsidR="009B3481" w:rsidRDefault="009B3481" w:rsidP="009B3481">
      <w:pPr>
        <w:pStyle w:val="FootnoteText"/>
      </w:pPr>
      <w:r>
        <w:rPr>
          <w:rStyle w:val="FootnoteReference"/>
        </w:rPr>
        <w:footnoteRef/>
      </w:r>
      <w:r>
        <w:t xml:space="preserve"> From field walking to phenomenology, P.603</w:t>
      </w:r>
    </w:p>
  </w:footnote>
  <w:footnote w:id="42">
    <w:p w14:paraId="7295199A" w14:textId="77777777" w:rsidR="009C3351" w:rsidRDefault="009C3351" w:rsidP="009C3351">
      <w:pPr>
        <w:pStyle w:val="FootnoteText"/>
      </w:pPr>
      <w:r>
        <w:rPr>
          <w:rStyle w:val="FootnoteReference"/>
        </w:rPr>
        <w:footnoteRef/>
      </w:r>
      <w:r>
        <w:t xml:space="preserve"> Moyes, P.317</w:t>
      </w:r>
    </w:p>
  </w:footnote>
  <w:footnote w:id="43">
    <w:p w14:paraId="225C831F" w14:textId="77777777" w:rsidR="00DC3084" w:rsidRDefault="00DC3084" w:rsidP="00DC3084">
      <w:pPr>
        <w:pStyle w:val="FootnoteText"/>
      </w:pPr>
      <w:r>
        <w:rPr>
          <w:rStyle w:val="FootnoteReference"/>
        </w:rPr>
        <w:footnoteRef/>
      </w:r>
      <w:r>
        <w:t xml:space="preserve"> Moyes, P.317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D2C4B"/>
    <w:multiLevelType w:val="hybridMultilevel"/>
    <w:tmpl w:val="FF9A6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12403"/>
    <w:multiLevelType w:val="hybridMultilevel"/>
    <w:tmpl w:val="A4CA4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039B0"/>
    <w:multiLevelType w:val="hybridMultilevel"/>
    <w:tmpl w:val="AD6A3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0F0C45"/>
    <w:multiLevelType w:val="hybridMultilevel"/>
    <w:tmpl w:val="E9A4E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4E4507"/>
    <w:multiLevelType w:val="hybridMultilevel"/>
    <w:tmpl w:val="BF98C9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5820702">
    <w:abstractNumId w:val="1"/>
  </w:num>
  <w:num w:numId="2" w16cid:durableId="1145009901">
    <w:abstractNumId w:val="3"/>
  </w:num>
  <w:num w:numId="3" w16cid:durableId="412439025">
    <w:abstractNumId w:val="4"/>
  </w:num>
  <w:num w:numId="4" w16cid:durableId="1438519241">
    <w:abstractNumId w:val="2"/>
  </w:num>
  <w:num w:numId="5" w16cid:durableId="28023253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atriona Toms">
    <w15:presenceInfo w15:providerId="Windows Live" w15:userId="90dd5f3f78647b0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8DC"/>
    <w:rsid w:val="00016414"/>
    <w:rsid w:val="0005050A"/>
    <w:rsid w:val="00062DBA"/>
    <w:rsid w:val="00084519"/>
    <w:rsid w:val="000923EE"/>
    <w:rsid w:val="000F0BBF"/>
    <w:rsid w:val="00104B62"/>
    <w:rsid w:val="00122925"/>
    <w:rsid w:val="00123B9C"/>
    <w:rsid w:val="0016400A"/>
    <w:rsid w:val="001648D7"/>
    <w:rsid w:val="00165C77"/>
    <w:rsid w:val="001A452B"/>
    <w:rsid w:val="00233B40"/>
    <w:rsid w:val="00244F08"/>
    <w:rsid w:val="002472CA"/>
    <w:rsid w:val="0025629B"/>
    <w:rsid w:val="002735F4"/>
    <w:rsid w:val="002C7298"/>
    <w:rsid w:val="002F238B"/>
    <w:rsid w:val="00301E96"/>
    <w:rsid w:val="00344B9C"/>
    <w:rsid w:val="00360F2E"/>
    <w:rsid w:val="0038047F"/>
    <w:rsid w:val="003A1A3D"/>
    <w:rsid w:val="00406FA9"/>
    <w:rsid w:val="004127F6"/>
    <w:rsid w:val="00421B22"/>
    <w:rsid w:val="0046089F"/>
    <w:rsid w:val="0046372E"/>
    <w:rsid w:val="004726DE"/>
    <w:rsid w:val="00495713"/>
    <w:rsid w:val="005214EA"/>
    <w:rsid w:val="005725F1"/>
    <w:rsid w:val="005A44C3"/>
    <w:rsid w:val="005B02FE"/>
    <w:rsid w:val="00605DBB"/>
    <w:rsid w:val="006169D3"/>
    <w:rsid w:val="0062325C"/>
    <w:rsid w:val="00651B93"/>
    <w:rsid w:val="006559D2"/>
    <w:rsid w:val="006811DA"/>
    <w:rsid w:val="006B78C7"/>
    <w:rsid w:val="006C46D8"/>
    <w:rsid w:val="006F0ABF"/>
    <w:rsid w:val="006F7A1F"/>
    <w:rsid w:val="00724705"/>
    <w:rsid w:val="0073280B"/>
    <w:rsid w:val="00781B30"/>
    <w:rsid w:val="007C0B23"/>
    <w:rsid w:val="008418DC"/>
    <w:rsid w:val="00843E93"/>
    <w:rsid w:val="008A68C0"/>
    <w:rsid w:val="008F09DC"/>
    <w:rsid w:val="00917320"/>
    <w:rsid w:val="00931E92"/>
    <w:rsid w:val="00935461"/>
    <w:rsid w:val="0097612B"/>
    <w:rsid w:val="00985488"/>
    <w:rsid w:val="009B3481"/>
    <w:rsid w:val="009C3351"/>
    <w:rsid w:val="009C3476"/>
    <w:rsid w:val="009F455D"/>
    <w:rsid w:val="00A10EF6"/>
    <w:rsid w:val="00A77DC7"/>
    <w:rsid w:val="00A77F85"/>
    <w:rsid w:val="00AB40C7"/>
    <w:rsid w:val="00AC2EF3"/>
    <w:rsid w:val="00AE08D1"/>
    <w:rsid w:val="00AE4A7C"/>
    <w:rsid w:val="00B212F1"/>
    <w:rsid w:val="00B43304"/>
    <w:rsid w:val="00B44FE0"/>
    <w:rsid w:val="00BA4D35"/>
    <w:rsid w:val="00C663D4"/>
    <w:rsid w:val="00C94FD8"/>
    <w:rsid w:val="00CA385D"/>
    <w:rsid w:val="00CB4741"/>
    <w:rsid w:val="00CD42E8"/>
    <w:rsid w:val="00D12EF9"/>
    <w:rsid w:val="00D64607"/>
    <w:rsid w:val="00D7459B"/>
    <w:rsid w:val="00D857D2"/>
    <w:rsid w:val="00D93F62"/>
    <w:rsid w:val="00DB246F"/>
    <w:rsid w:val="00DC3084"/>
    <w:rsid w:val="00DC3641"/>
    <w:rsid w:val="00DD2B43"/>
    <w:rsid w:val="00DE56F5"/>
    <w:rsid w:val="00E102B2"/>
    <w:rsid w:val="00E12B2E"/>
    <w:rsid w:val="00E73C61"/>
    <w:rsid w:val="00EB4712"/>
    <w:rsid w:val="00EC567F"/>
    <w:rsid w:val="00EE7A9D"/>
    <w:rsid w:val="00F16AFB"/>
    <w:rsid w:val="00F237CB"/>
    <w:rsid w:val="00FA29E9"/>
    <w:rsid w:val="00FB2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5DEADD"/>
  <w15:chartTrackingRefBased/>
  <w15:docId w15:val="{6ABEF045-B3CB-4F64-9909-6464AC04DB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567F"/>
  </w:style>
  <w:style w:type="paragraph" w:styleId="Heading1">
    <w:name w:val="heading 1"/>
    <w:basedOn w:val="Normal"/>
    <w:next w:val="Normal"/>
    <w:link w:val="Heading1Char"/>
    <w:uiPriority w:val="9"/>
    <w:qFormat/>
    <w:rsid w:val="00781B30"/>
    <w:pPr>
      <w:keepNext/>
      <w:keepLines/>
      <w:spacing w:before="360" w:after="80"/>
      <w:outlineLvl w:val="0"/>
    </w:pPr>
    <w:rPr>
      <w:rFonts w:asciiTheme="majorHAnsi" w:eastAsiaTheme="majorEastAsia" w:hAnsiTheme="majorHAnsi" w:cstheme="majorBidi"/>
      <w:b/>
      <w:bCs/>
      <w:color w:val="000000" w:themeColor="text1"/>
      <w:sz w:val="28"/>
      <w:szCs w:val="28"/>
    </w:rPr>
  </w:style>
  <w:style w:type="paragraph" w:styleId="Heading2">
    <w:name w:val="heading 2"/>
    <w:basedOn w:val="Normal"/>
    <w:next w:val="Normal"/>
    <w:link w:val="Heading2Char"/>
    <w:uiPriority w:val="9"/>
    <w:unhideWhenUsed/>
    <w:qFormat/>
    <w:rsid w:val="00781B30"/>
    <w:pPr>
      <w:keepNext/>
      <w:keepLines/>
      <w:spacing w:before="160" w:after="80"/>
      <w:outlineLvl w:val="1"/>
    </w:pPr>
    <w:rPr>
      <w:rFonts w:asciiTheme="majorHAnsi" w:eastAsiaTheme="majorEastAsia" w:hAnsiTheme="majorHAnsi" w:cstheme="majorBidi"/>
      <w:b/>
      <w:bCs/>
      <w:color w:val="000000" w:themeColor="text1"/>
      <w:sz w:val="24"/>
      <w:szCs w:val="24"/>
    </w:rPr>
  </w:style>
  <w:style w:type="paragraph" w:styleId="Heading3">
    <w:name w:val="heading 3"/>
    <w:basedOn w:val="Normal"/>
    <w:next w:val="Normal"/>
    <w:link w:val="Heading3Char"/>
    <w:uiPriority w:val="9"/>
    <w:semiHidden/>
    <w:unhideWhenUsed/>
    <w:qFormat/>
    <w:rsid w:val="008418D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8D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8D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8D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8D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8D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8D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1B30"/>
    <w:rPr>
      <w:rFonts w:asciiTheme="majorHAnsi" w:eastAsiaTheme="majorEastAsia" w:hAnsiTheme="majorHAnsi" w:cstheme="majorBidi"/>
      <w:b/>
      <w:bCs/>
      <w:color w:val="000000" w:themeColor="text1"/>
      <w:sz w:val="28"/>
      <w:szCs w:val="28"/>
    </w:rPr>
  </w:style>
  <w:style w:type="character" w:customStyle="1" w:styleId="Heading2Char">
    <w:name w:val="Heading 2 Char"/>
    <w:basedOn w:val="DefaultParagraphFont"/>
    <w:link w:val="Heading2"/>
    <w:uiPriority w:val="9"/>
    <w:rsid w:val="00781B30"/>
    <w:rPr>
      <w:rFonts w:asciiTheme="majorHAnsi" w:eastAsiaTheme="majorEastAsia" w:hAnsiTheme="majorHAnsi" w:cstheme="majorBidi"/>
      <w:b/>
      <w:bCs/>
      <w:color w:val="000000" w:themeColor="text1"/>
      <w:sz w:val="24"/>
      <w:szCs w:val="24"/>
    </w:rPr>
  </w:style>
  <w:style w:type="character" w:customStyle="1" w:styleId="Heading3Char">
    <w:name w:val="Heading 3 Char"/>
    <w:basedOn w:val="DefaultParagraphFont"/>
    <w:link w:val="Heading3"/>
    <w:uiPriority w:val="9"/>
    <w:semiHidden/>
    <w:rsid w:val="008418D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8D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8D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8D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8D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8D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8DC"/>
    <w:rPr>
      <w:rFonts w:eastAsiaTheme="majorEastAsia" w:cstheme="majorBidi"/>
      <w:color w:val="272727" w:themeColor="text1" w:themeTint="D8"/>
    </w:rPr>
  </w:style>
  <w:style w:type="paragraph" w:styleId="Title">
    <w:name w:val="Title"/>
    <w:basedOn w:val="Normal"/>
    <w:next w:val="Normal"/>
    <w:link w:val="TitleChar"/>
    <w:uiPriority w:val="10"/>
    <w:qFormat/>
    <w:rsid w:val="008418D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8D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8D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8D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8DC"/>
    <w:pPr>
      <w:spacing w:before="160"/>
      <w:jc w:val="center"/>
    </w:pPr>
    <w:rPr>
      <w:i/>
      <w:iCs/>
      <w:color w:val="404040" w:themeColor="text1" w:themeTint="BF"/>
    </w:rPr>
  </w:style>
  <w:style w:type="character" w:customStyle="1" w:styleId="QuoteChar">
    <w:name w:val="Quote Char"/>
    <w:basedOn w:val="DefaultParagraphFont"/>
    <w:link w:val="Quote"/>
    <w:uiPriority w:val="29"/>
    <w:rsid w:val="008418DC"/>
    <w:rPr>
      <w:i/>
      <w:iCs/>
      <w:color w:val="404040" w:themeColor="text1" w:themeTint="BF"/>
    </w:rPr>
  </w:style>
  <w:style w:type="paragraph" w:styleId="ListParagraph">
    <w:name w:val="List Paragraph"/>
    <w:basedOn w:val="Normal"/>
    <w:uiPriority w:val="34"/>
    <w:qFormat/>
    <w:rsid w:val="008418DC"/>
    <w:pPr>
      <w:ind w:left="720"/>
      <w:contextualSpacing/>
    </w:pPr>
  </w:style>
  <w:style w:type="character" w:styleId="IntenseEmphasis">
    <w:name w:val="Intense Emphasis"/>
    <w:basedOn w:val="DefaultParagraphFont"/>
    <w:uiPriority w:val="21"/>
    <w:qFormat/>
    <w:rsid w:val="008418DC"/>
    <w:rPr>
      <w:i/>
      <w:iCs/>
      <w:color w:val="0F4761" w:themeColor="accent1" w:themeShade="BF"/>
    </w:rPr>
  </w:style>
  <w:style w:type="paragraph" w:styleId="IntenseQuote">
    <w:name w:val="Intense Quote"/>
    <w:basedOn w:val="Normal"/>
    <w:next w:val="Normal"/>
    <w:link w:val="IntenseQuoteChar"/>
    <w:uiPriority w:val="30"/>
    <w:qFormat/>
    <w:rsid w:val="008418D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8DC"/>
    <w:rPr>
      <w:i/>
      <w:iCs/>
      <w:color w:val="0F4761" w:themeColor="accent1" w:themeShade="BF"/>
    </w:rPr>
  </w:style>
  <w:style w:type="character" w:styleId="IntenseReference">
    <w:name w:val="Intense Reference"/>
    <w:basedOn w:val="DefaultParagraphFont"/>
    <w:uiPriority w:val="32"/>
    <w:qFormat/>
    <w:rsid w:val="008418DC"/>
    <w:rPr>
      <w:b/>
      <w:bCs/>
      <w:smallCaps/>
      <w:color w:val="0F4761" w:themeColor="accent1" w:themeShade="BF"/>
      <w:spacing w:val="5"/>
    </w:rPr>
  </w:style>
  <w:style w:type="paragraph" w:styleId="FootnoteText">
    <w:name w:val="footnote text"/>
    <w:basedOn w:val="Normal"/>
    <w:link w:val="FootnoteTextChar"/>
    <w:uiPriority w:val="99"/>
    <w:semiHidden/>
    <w:unhideWhenUsed/>
    <w:rsid w:val="00EC567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567F"/>
    <w:rPr>
      <w:sz w:val="20"/>
      <w:szCs w:val="20"/>
    </w:rPr>
  </w:style>
  <w:style w:type="character" w:styleId="FootnoteReference">
    <w:name w:val="footnote reference"/>
    <w:basedOn w:val="DefaultParagraphFont"/>
    <w:uiPriority w:val="99"/>
    <w:semiHidden/>
    <w:unhideWhenUsed/>
    <w:rsid w:val="00EC567F"/>
    <w:rPr>
      <w:vertAlign w:val="superscript"/>
    </w:rPr>
  </w:style>
  <w:style w:type="character" w:styleId="CommentReference">
    <w:name w:val="annotation reference"/>
    <w:basedOn w:val="DefaultParagraphFont"/>
    <w:uiPriority w:val="99"/>
    <w:semiHidden/>
    <w:unhideWhenUsed/>
    <w:rsid w:val="005B02FE"/>
    <w:rPr>
      <w:sz w:val="16"/>
      <w:szCs w:val="16"/>
    </w:rPr>
  </w:style>
  <w:style w:type="paragraph" w:styleId="CommentText">
    <w:name w:val="annotation text"/>
    <w:basedOn w:val="Normal"/>
    <w:link w:val="CommentTextChar"/>
    <w:uiPriority w:val="99"/>
    <w:unhideWhenUsed/>
    <w:rsid w:val="005B02FE"/>
    <w:pPr>
      <w:spacing w:line="240" w:lineRule="auto"/>
    </w:pPr>
    <w:rPr>
      <w:sz w:val="20"/>
      <w:szCs w:val="20"/>
    </w:rPr>
  </w:style>
  <w:style w:type="character" w:customStyle="1" w:styleId="CommentTextChar">
    <w:name w:val="Comment Text Char"/>
    <w:basedOn w:val="DefaultParagraphFont"/>
    <w:link w:val="CommentText"/>
    <w:uiPriority w:val="99"/>
    <w:rsid w:val="005B02FE"/>
    <w:rPr>
      <w:sz w:val="20"/>
      <w:szCs w:val="20"/>
    </w:rPr>
  </w:style>
  <w:style w:type="character" w:styleId="Hyperlink">
    <w:name w:val="Hyperlink"/>
    <w:basedOn w:val="DefaultParagraphFont"/>
    <w:uiPriority w:val="99"/>
    <w:unhideWhenUsed/>
    <w:rsid w:val="001648D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doi.org/10.1007/978-3-031-26074-2_16" TargetMode="External"/><Relationship Id="rId1" Type="http://schemas.openxmlformats.org/officeDocument/2006/relationships/hyperlink" Target="https://doi.org/10.1007/978-3-031-26074-2_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079E8-181E-4676-8CBE-60ED20A21B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2284</Words>
  <Characters>13022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Catriona Toms</dc:creator>
  <cp:keywords/>
  <dc:description/>
  <cp:lastModifiedBy>Catriona Toms</cp:lastModifiedBy>
  <cp:revision>54</cp:revision>
  <dcterms:created xsi:type="dcterms:W3CDTF">2025-11-13T10:13:00Z</dcterms:created>
  <dcterms:modified xsi:type="dcterms:W3CDTF">2025-11-13T20:17:00Z</dcterms:modified>
</cp:coreProperties>
</file>