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C6B6F" w14:textId="77777777" w:rsidR="006F6022" w:rsidRPr="0064763B" w:rsidRDefault="006F6022" w:rsidP="006F6022">
      <w:pPr>
        <w:autoSpaceDE w:val="0"/>
        <w:autoSpaceDN w:val="0"/>
        <w:adjustRightInd w:val="0"/>
        <w:spacing w:after="0" w:line="240" w:lineRule="auto"/>
        <w:jc w:val="center"/>
        <w:rPr>
          <w:rFonts w:cs="Times New Roman"/>
          <w:b/>
          <w:bCs/>
          <w:sz w:val="40"/>
          <w:szCs w:val="40"/>
        </w:rPr>
      </w:pPr>
    </w:p>
    <w:p w14:paraId="24526C40" w14:textId="77777777" w:rsidR="006F6022" w:rsidRPr="0064763B" w:rsidRDefault="006F6022" w:rsidP="006F6022">
      <w:pPr>
        <w:autoSpaceDE w:val="0"/>
        <w:autoSpaceDN w:val="0"/>
        <w:adjustRightInd w:val="0"/>
        <w:spacing w:after="0" w:line="240" w:lineRule="auto"/>
        <w:jc w:val="center"/>
        <w:rPr>
          <w:rFonts w:cs="Times New Roman"/>
          <w:b/>
          <w:bCs/>
          <w:sz w:val="40"/>
          <w:szCs w:val="40"/>
        </w:rPr>
      </w:pPr>
    </w:p>
    <w:p w14:paraId="0B5CF9DC" w14:textId="77777777" w:rsidR="00615608" w:rsidRPr="0064763B" w:rsidRDefault="00615608" w:rsidP="00615608">
      <w:pPr>
        <w:autoSpaceDE w:val="0"/>
        <w:autoSpaceDN w:val="0"/>
        <w:adjustRightInd w:val="0"/>
        <w:spacing w:after="0" w:line="240" w:lineRule="auto"/>
        <w:jc w:val="center"/>
        <w:rPr>
          <w:rFonts w:cs="Times New Roman"/>
          <w:sz w:val="40"/>
          <w:szCs w:val="40"/>
        </w:rPr>
      </w:pPr>
      <w:r w:rsidRPr="0064763B">
        <w:rPr>
          <w:rFonts w:cs="Times New Roman"/>
          <w:b/>
          <w:bCs/>
          <w:sz w:val="40"/>
          <w:szCs w:val="40"/>
        </w:rPr>
        <w:t>MODULE CODE: LCBB</w:t>
      </w:r>
      <w:r>
        <w:rPr>
          <w:rFonts w:cs="Times New Roman"/>
          <w:b/>
          <w:bCs/>
          <w:sz w:val="40"/>
          <w:szCs w:val="40"/>
        </w:rPr>
        <w:t>5005</w:t>
      </w:r>
    </w:p>
    <w:p w14:paraId="08EA293E" w14:textId="77777777" w:rsidR="00615608" w:rsidRPr="0064763B" w:rsidRDefault="00615608" w:rsidP="00615608">
      <w:pPr>
        <w:jc w:val="center"/>
        <w:rPr>
          <w:rFonts w:cs="Times New Roman"/>
          <w:b/>
          <w:bCs/>
          <w:sz w:val="40"/>
          <w:szCs w:val="40"/>
        </w:rPr>
      </w:pPr>
      <w:r>
        <w:rPr>
          <w:rFonts w:cs="Times New Roman"/>
          <w:b/>
          <w:bCs/>
          <w:sz w:val="40"/>
          <w:szCs w:val="40"/>
        </w:rPr>
        <w:t>Project Management</w:t>
      </w:r>
    </w:p>
    <w:p w14:paraId="1A3CEB78" w14:textId="77777777" w:rsidR="00615608" w:rsidRDefault="00615608" w:rsidP="00615608">
      <w:pPr>
        <w:jc w:val="center"/>
        <w:rPr>
          <w:rFonts w:cs="Times New Roman"/>
          <w:b/>
          <w:bCs/>
          <w:sz w:val="40"/>
          <w:szCs w:val="40"/>
        </w:rPr>
      </w:pPr>
    </w:p>
    <w:p w14:paraId="2E221A0F" w14:textId="77777777" w:rsidR="00615608" w:rsidRPr="0064763B" w:rsidRDefault="00615608" w:rsidP="00615608">
      <w:pPr>
        <w:jc w:val="center"/>
        <w:rPr>
          <w:rFonts w:cs="Times New Roman"/>
          <w:b/>
          <w:bCs/>
          <w:sz w:val="40"/>
          <w:szCs w:val="40"/>
        </w:rPr>
      </w:pPr>
    </w:p>
    <w:p w14:paraId="6D4E8584" w14:textId="77777777" w:rsidR="00615608" w:rsidRPr="0064763B" w:rsidRDefault="00615608" w:rsidP="00615608">
      <w:pPr>
        <w:jc w:val="center"/>
        <w:rPr>
          <w:rFonts w:cs="Times New Roman"/>
          <w:sz w:val="40"/>
          <w:szCs w:val="40"/>
        </w:rPr>
      </w:pPr>
      <w:r w:rsidRPr="0064763B">
        <w:rPr>
          <w:rFonts w:cs="Times New Roman"/>
          <w:sz w:val="40"/>
          <w:szCs w:val="40"/>
        </w:rPr>
        <w:t xml:space="preserve">Assignment Title: </w:t>
      </w:r>
    </w:p>
    <w:p w14:paraId="78651182" w14:textId="0E9DAD3C" w:rsidR="00615608" w:rsidRPr="0064763B" w:rsidRDefault="00615608" w:rsidP="00615608">
      <w:pPr>
        <w:jc w:val="center"/>
        <w:rPr>
          <w:rFonts w:cs="Times New Roman"/>
          <w:sz w:val="40"/>
          <w:szCs w:val="40"/>
        </w:rPr>
      </w:pPr>
      <w:r w:rsidRPr="0064763B">
        <w:rPr>
          <w:rFonts w:cs="Times New Roman"/>
          <w:sz w:val="40"/>
          <w:szCs w:val="40"/>
        </w:rPr>
        <w:t>Ass</w:t>
      </w:r>
      <w:r>
        <w:rPr>
          <w:rFonts w:cs="Times New Roman"/>
          <w:sz w:val="40"/>
          <w:szCs w:val="40"/>
        </w:rPr>
        <w:t>essment 2</w:t>
      </w:r>
    </w:p>
    <w:p w14:paraId="585DB278" w14:textId="77777777" w:rsidR="00615608" w:rsidRPr="0064763B" w:rsidRDefault="00615608" w:rsidP="00615608">
      <w:pPr>
        <w:jc w:val="center"/>
        <w:rPr>
          <w:rFonts w:cs="Times New Roman"/>
          <w:sz w:val="40"/>
          <w:szCs w:val="40"/>
        </w:rPr>
      </w:pPr>
      <w:r w:rsidRPr="0064763B">
        <w:rPr>
          <w:rFonts w:cs="Times New Roman"/>
          <w:sz w:val="40"/>
          <w:szCs w:val="40"/>
        </w:rPr>
        <w:t xml:space="preserve">Lecturer Name: </w:t>
      </w:r>
      <w:r>
        <w:rPr>
          <w:rFonts w:cs="Times New Roman"/>
          <w:sz w:val="40"/>
          <w:szCs w:val="40"/>
        </w:rPr>
        <w:t>Md Sadeque Imam Shaikh</w:t>
      </w:r>
    </w:p>
    <w:p w14:paraId="1D948461" w14:textId="77777777" w:rsidR="00615608" w:rsidRPr="0064763B" w:rsidRDefault="00615608" w:rsidP="00615608">
      <w:pPr>
        <w:jc w:val="center"/>
        <w:rPr>
          <w:rFonts w:cs="Times New Roman"/>
          <w:sz w:val="40"/>
          <w:szCs w:val="40"/>
        </w:rPr>
      </w:pPr>
    </w:p>
    <w:p w14:paraId="65A74E75" w14:textId="77777777" w:rsidR="00615608" w:rsidRPr="0064763B" w:rsidRDefault="00615608" w:rsidP="00615608">
      <w:pPr>
        <w:jc w:val="center"/>
        <w:rPr>
          <w:rFonts w:cs="Times New Roman"/>
          <w:sz w:val="40"/>
          <w:szCs w:val="40"/>
        </w:rPr>
      </w:pPr>
      <w:r w:rsidRPr="0064763B">
        <w:rPr>
          <w:rFonts w:cs="Times New Roman"/>
          <w:sz w:val="40"/>
          <w:szCs w:val="40"/>
        </w:rPr>
        <w:t>Student Name: Cristina Ghenea</w:t>
      </w:r>
    </w:p>
    <w:p w14:paraId="40F10363" w14:textId="5AE5B79A" w:rsidR="003D2D1D" w:rsidRPr="003D2D1D" w:rsidRDefault="00615608" w:rsidP="003D2D1D">
      <w:pPr>
        <w:jc w:val="center"/>
        <w:rPr>
          <w:rFonts w:cs="Times New Roman"/>
          <w:sz w:val="40"/>
          <w:szCs w:val="40"/>
        </w:rPr>
      </w:pPr>
      <w:r w:rsidRPr="0064763B">
        <w:rPr>
          <w:rFonts w:cs="Times New Roman"/>
          <w:sz w:val="40"/>
          <w:szCs w:val="40"/>
        </w:rPr>
        <w:t>Student Number: 1921270</w:t>
      </w:r>
    </w:p>
    <w:p w14:paraId="791BB8DD" w14:textId="77777777" w:rsidR="003D2D1D" w:rsidRDefault="003D2D1D" w:rsidP="003D2D1D">
      <w:pPr>
        <w:rPr>
          <w:b/>
        </w:rPr>
      </w:pPr>
    </w:p>
    <w:p w14:paraId="378FF690" w14:textId="77777777" w:rsidR="003D2D1D" w:rsidRDefault="003D2D1D" w:rsidP="003D2D1D">
      <w:pPr>
        <w:rPr>
          <w:b/>
        </w:rPr>
      </w:pPr>
    </w:p>
    <w:p w14:paraId="28F2CAF4" w14:textId="77777777" w:rsidR="003D2D1D" w:rsidRDefault="003D2D1D" w:rsidP="003D2D1D">
      <w:pPr>
        <w:rPr>
          <w:b/>
        </w:rPr>
      </w:pPr>
    </w:p>
    <w:p w14:paraId="0560C7EA" w14:textId="77777777" w:rsidR="003D2D1D" w:rsidRDefault="003D2D1D" w:rsidP="003D2D1D">
      <w:pPr>
        <w:rPr>
          <w:b/>
        </w:rPr>
      </w:pPr>
    </w:p>
    <w:p w14:paraId="6CE2043E" w14:textId="77777777" w:rsidR="003D2D1D" w:rsidRDefault="003D2D1D" w:rsidP="003D2D1D">
      <w:pPr>
        <w:rPr>
          <w:b/>
        </w:rPr>
      </w:pPr>
    </w:p>
    <w:p w14:paraId="35C9AD1E" w14:textId="77777777" w:rsidR="003D2D1D" w:rsidRDefault="003D2D1D" w:rsidP="003D2D1D">
      <w:pPr>
        <w:rPr>
          <w:b/>
        </w:rPr>
      </w:pPr>
    </w:p>
    <w:p w14:paraId="150335A3" w14:textId="77777777" w:rsidR="003D2D1D" w:rsidRDefault="003D2D1D" w:rsidP="003D2D1D">
      <w:pPr>
        <w:rPr>
          <w:b/>
        </w:rPr>
      </w:pPr>
    </w:p>
    <w:p w14:paraId="372D6A9C" w14:textId="77777777" w:rsidR="003D2D1D" w:rsidRDefault="003D2D1D" w:rsidP="003D2D1D"/>
    <w:p w14:paraId="645FA595" w14:textId="77777777" w:rsidR="003D2D1D" w:rsidRDefault="003D2D1D" w:rsidP="003D2D1D">
      <w:pPr>
        <w:pStyle w:val="Heading1"/>
        <w:rPr>
          <w:sz w:val="48"/>
        </w:rPr>
      </w:pPr>
      <w:r>
        <w:lastRenderedPageBreak/>
        <w:t>Critical Success / Failure Factors </w:t>
      </w:r>
    </w:p>
    <w:p w14:paraId="446026D6" w14:textId="57F5CC8E" w:rsidR="003D2D1D" w:rsidRDefault="003D2D1D" w:rsidP="003D2D1D">
      <w:pPr>
        <w:pStyle w:val="NormalWeb"/>
        <w:spacing w:before="0" w:beforeAutospacing="0" w:after="0" w:afterAutospacing="0" w:line="360" w:lineRule="auto"/>
        <w:ind w:firstLine="720"/>
        <w:jc w:val="both"/>
        <w:rPr>
          <w:color w:val="0E101A"/>
        </w:rPr>
      </w:pPr>
      <w:r>
        <w:rPr>
          <w:color w:val="0E101A"/>
        </w:rPr>
        <w:t xml:space="preserve">The critical success factors are the prerequisites necessary for successfully implementing a project. It determines the success and failure of a particular project. The virtual delivery project is detailed and comprehensive and losing sight of the central idea is a common obstacle faced by project managers. Thus, critical success factors are essential in directing the project in the right conduct. The project requires essential speculation during the preliminary stage or the introduction of the project (Lamprou and Vagiona, 2018). This requires the definition of goals and objectives with appropriate allocation of resources at the initial phase. Derivation of specific goals and targets assists in the project's </w:t>
      </w:r>
      <w:r w:rsidR="00AE5F20">
        <w:rPr>
          <w:color w:val="0E101A"/>
        </w:rPr>
        <w:t>stratification</w:t>
      </w:r>
      <w:r>
        <w:rPr>
          <w:color w:val="0E101A"/>
        </w:rPr>
        <w:t xml:space="preserve"> and hence act as one of the critical factors. For example, the UWTSD London campus has a clear target to en</w:t>
      </w:r>
      <w:r w:rsidR="00AE5F20">
        <w:rPr>
          <w:color w:val="0E101A"/>
        </w:rPr>
        <w:t>s</w:t>
      </w:r>
      <w:r>
        <w:rPr>
          <w:color w:val="0E101A"/>
        </w:rPr>
        <w:t>ure an online teaching framework and will require strategies to comply with the strategic plan.</w:t>
      </w:r>
    </w:p>
    <w:p w14:paraId="37BEB430" w14:textId="229D50D2" w:rsidR="003D2D1D" w:rsidRDefault="003D2D1D" w:rsidP="003D2D1D">
      <w:pPr>
        <w:pStyle w:val="NormalWeb"/>
        <w:spacing w:before="0" w:beforeAutospacing="0" w:after="0" w:afterAutospacing="0" w:line="360" w:lineRule="auto"/>
        <w:ind w:firstLine="720"/>
        <w:jc w:val="both"/>
        <w:rPr>
          <w:color w:val="0E101A"/>
        </w:rPr>
      </w:pPr>
      <w:r>
        <w:rPr>
          <w:color w:val="0E101A"/>
        </w:rPr>
        <w:t>Gheni et al</w:t>
      </w:r>
      <w:r w:rsidR="00285A0D">
        <w:rPr>
          <w:color w:val="0E101A"/>
        </w:rPr>
        <w:t>.</w:t>
      </w:r>
      <w:r>
        <w:rPr>
          <w:color w:val="0E101A"/>
        </w:rPr>
        <w:t xml:space="preserve"> (2017), has also identified cost budget and the schedule to be critical factors in a particular project. These two elements ensure the deliverance of a quality project to the respective customer base. In this particular case, the implementation of the online classes during the pandemic makes the project </w:t>
      </w:r>
      <w:r w:rsidR="00DB5F73">
        <w:rPr>
          <w:color w:val="0E101A"/>
        </w:rPr>
        <w:t>time sensitive</w:t>
      </w:r>
      <w:r>
        <w:rPr>
          <w:color w:val="0E101A"/>
        </w:rPr>
        <w:t xml:space="preserve"> as students will endure the loss of lectures if the project is not implemented on time. Similarly, the cost of the project has to be restrained within the given project cost structure so that the semester fees can suffice to implement the project for the whole semester.</w:t>
      </w:r>
    </w:p>
    <w:p w14:paraId="2A13641D" w14:textId="77777777" w:rsidR="003D2D1D" w:rsidRDefault="003D2D1D" w:rsidP="003D2D1D">
      <w:pPr>
        <w:pStyle w:val="NormalWeb"/>
        <w:spacing w:before="0" w:beforeAutospacing="0" w:after="0" w:afterAutospacing="0" w:line="360" w:lineRule="auto"/>
        <w:ind w:firstLine="720"/>
        <w:jc w:val="both"/>
        <w:rPr>
          <w:color w:val="0E101A"/>
        </w:rPr>
      </w:pPr>
      <w:r>
        <w:rPr>
          <w:color w:val="0E101A"/>
        </w:rPr>
        <w:t>The infrastructure required to set up the whole project is also constituted as one of the critical factors. This requires the availability and rationalization of resources to incorporate the framework required for project implementation. The UWTSD will require an equipment and information technology framework to implement the online teaching sessions (Alqahtani and Rajkhan, 2020). This requires the network system and synchronized login points for students, mode of online delivery with characteristics like the ease of use, navigation, screen design, information presentation and overall functionality. The overall framework will also include the availability of online instructors with appropriate attitudes towards technology and relevant teachings styles. These characteristics incorporate the Electronic learning characteristics which enable the development of an E-learning environment.</w:t>
      </w:r>
    </w:p>
    <w:p w14:paraId="44F47BBC" w14:textId="5DC49DC7" w:rsidR="003D2D1D" w:rsidRDefault="003D2D1D" w:rsidP="003D2D1D">
      <w:pPr>
        <w:pStyle w:val="NormalWeb"/>
        <w:spacing w:before="0" w:beforeAutospacing="0" w:after="0" w:afterAutospacing="0" w:line="360" w:lineRule="auto"/>
        <w:ind w:firstLine="720"/>
        <w:jc w:val="both"/>
        <w:rPr>
          <w:color w:val="0E101A"/>
        </w:rPr>
      </w:pPr>
      <w:r>
        <w:rPr>
          <w:color w:val="0E101A"/>
        </w:rPr>
        <w:t xml:space="preserve">The competency of the management of being agile is also one of the critical success factors in this dynamic era. Agility has become a critical success factor for projects because of the complexity and uncertain dynamics. The incorporation of a hybrid system where some students have taken online classes while some can attend classes physically will require an agile framework to endorse any changes during the implementation of the project (Obradovic, </w:t>
      </w:r>
      <w:r>
        <w:rPr>
          <w:color w:val="0E101A"/>
        </w:rPr>
        <w:lastRenderedPageBreak/>
        <w:t>Todorovic and Bushuyev, 2018). This could entail sudden governmental policy to conduct all classes online. Therefore, an agile competency built in the framework of the project requires an additional buffer of resources to be deployed in case of any urgency.</w:t>
      </w:r>
    </w:p>
    <w:p w14:paraId="723BB4E9" w14:textId="2DCB2F9B" w:rsidR="003D2D1D" w:rsidRDefault="003D2D1D" w:rsidP="003D2D1D">
      <w:pPr>
        <w:pStyle w:val="NormalWeb"/>
        <w:spacing w:before="0" w:beforeAutospacing="0" w:after="0" w:afterAutospacing="0" w:line="360" w:lineRule="auto"/>
        <w:ind w:firstLine="720"/>
        <w:jc w:val="both"/>
        <w:rPr>
          <w:color w:val="0E101A"/>
        </w:rPr>
      </w:pPr>
      <w:r>
        <w:rPr>
          <w:color w:val="0E101A"/>
        </w:rPr>
        <w:t xml:space="preserve">Risk analysis is also a critical success factor to be incorporated in the project planning and implementation. It highlights the risk the project is exposed to and gauges it against the organisation's risk tolerance (Oliveira, et al,.2019). In executing a hybrid teaching system, the UWTSD will be exposed to various forms of risk, including internal control failure risk, damage to physical equipment during classes, or even being subjected to cyber threats that could distort the whole session. </w:t>
      </w:r>
      <w:r w:rsidR="00DB5F73">
        <w:rPr>
          <w:color w:val="0E101A"/>
        </w:rPr>
        <w:t>Therefore,</w:t>
      </w:r>
      <w:r>
        <w:rPr>
          <w:color w:val="0E101A"/>
        </w:rPr>
        <w:t xml:space="preserve"> an appropriate risk analysis identifies analyses and then control the risk factors faced by UWTSD. The risk can disrupt the plan of action and increase wastage of resources, in this case, the quality of redelivered lectures might be inferior to what was originally recorded.</w:t>
      </w:r>
    </w:p>
    <w:p w14:paraId="779831C6" w14:textId="6E0C539F" w:rsidR="003D2D1D" w:rsidRDefault="00182193" w:rsidP="003D2D1D">
      <w:pPr>
        <w:pStyle w:val="NormalWeb"/>
        <w:spacing w:before="0" w:beforeAutospacing="0" w:after="0" w:afterAutospacing="0" w:line="360" w:lineRule="auto"/>
        <w:ind w:firstLine="720"/>
        <w:jc w:val="both"/>
        <w:rPr>
          <w:color w:val="0E101A"/>
        </w:rPr>
      </w:pPr>
      <w:r>
        <w:rPr>
          <w:color w:val="0E101A"/>
        </w:rPr>
        <w:t xml:space="preserve">Bokolo </w:t>
      </w:r>
      <w:r w:rsidR="003D2D1D">
        <w:rPr>
          <w:color w:val="0E101A"/>
        </w:rPr>
        <w:t>(2018) define</w:t>
      </w:r>
      <w:r>
        <w:rPr>
          <w:color w:val="0E101A"/>
        </w:rPr>
        <w:t>s</w:t>
      </w:r>
      <w:r w:rsidR="003D2D1D">
        <w:rPr>
          <w:color w:val="0E101A"/>
        </w:rPr>
        <w:t xml:space="preserve"> the role of communication and high collaboration to be one of the critical factors for projects. Communication and a high level of collaboration between faculty members improve the flow of information in an organization and facilitate the development of a knowledge management system. UWTSD will have to ensure the communication channels are transparent and there is an adequate system of managerial support which enhances the sharing of information between faculty members and managers. Effective communication also ensures alignment to project goals and incorporation of time schedules within the allocated work. Duplication and omission of work are also enabled by the incorporation of effective communication (Stanciu, Condrea and Zamfir, 2016).</w:t>
      </w:r>
    </w:p>
    <w:p w14:paraId="24BA5EC2" w14:textId="439AA96A" w:rsidR="003D2D1D" w:rsidRDefault="003D2D1D" w:rsidP="003D2D1D">
      <w:pPr>
        <w:pStyle w:val="NormalWeb"/>
        <w:spacing w:before="0" w:beforeAutospacing="0" w:after="0" w:afterAutospacing="0" w:line="360" w:lineRule="auto"/>
        <w:ind w:firstLine="720"/>
        <w:jc w:val="both"/>
        <w:rPr>
          <w:color w:val="0E101A"/>
        </w:rPr>
      </w:pPr>
      <w:r>
        <w:rPr>
          <w:color w:val="0E101A"/>
        </w:rPr>
        <w:t>The UWTSD does not primarily emphasize profits but they have to assess the cost and benefit analysis of the resources acquainted for a project. This prevents ineffective utilization of resources and helps generate funds through investors by portraying an adequate financial system to repay the invested amount. Studies like Lo et al(2016), highlight a positive relationship between a company's financial performance and its social performance by implying if a corporation has sufficient cash flows to cover all the fixed expenses it will more likely contribute to society. UWTSD will be able to offer financial aid to students with monetary problems. Hence, financial susceptibility should be considered one of the project's critical factors. </w:t>
      </w:r>
    </w:p>
    <w:p w14:paraId="1CD20CA0" w14:textId="77777777" w:rsidR="003D2D1D" w:rsidRDefault="003D2D1D" w:rsidP="003D2D1D">
      <w:pPr>
        <w:pStyle w:val="NormalWeb"/>
        <w:spacing w:before="0" w:beforeAutospacing="0" w:after="0" w:afterAutospacing="0" w:line="360" w:lineRule="auto"/>
        <w:ind w:firstLine="720"/>
        <w:jc w:val="both"/>
        <w:rPr>
          <w:color w:val="0E101A"/>
        </w:rPr>
      </w:pPr>
      <w:r>
        <w:rPr>
          <w:color w:val="0E101A"/>
        </w:rPr>
        <w:t xml:space="preserve">Acceptability of the program by the students and their guardian is also essential in determining the successful implementation of the project and therefore should be accounted for as a critical factor (Muzammil, SUTAWIJAYA and HARSASI, 2020). Suppose the students endorsed the hybrid system only. In that case, further resources will be employed to </w:t>
      </w:r>
      <w:r>
        <w:rPr>
          <w:color w:val="0E101A"/>
        </w:rPr>
        <w:lastRenderedPageBreak/>
        <w:t>extend the project framework and consideration of a full-fledge online teaching system will be incorporated by the management of UWTSD. The acceptance criteria will encompass factors like the course quality, faculty competency and teaching style, the overall E-learning environment provided by the management and timely coverage of the course.</w:t>
      </w:r>
    </w:p>
    <w:p w14:paraId="413B08ED" w14:textId="77777777" w:rsidR="003D2D1D" w:rsidRDefault="003D2D1D" w:rsidP="003D2D1D">
      <w:pPr>
        <w:pStyle w:val="Heading1"/>
        <w:rPr>
          <w:color w:val="0E101A"/>
        </w:rPr>
      </w:pPr>
      <w:r>
        <w:t>Lesson Learnt </w:t>
      </w:r>
    </w:p>
    <w:p w14:paraId="10D24BC9" w14:textId="7D1BB60E" w:rsidR="003D2D1D" w:rsidRDefault="003D2D1D" w:rsidP="003D2D1D">
      <w:pPr>
        <w:pStyle w:val="NormalWeb"/>
        <w:spacing w:before="0" w:beforeAutospacing="0" w:after="0" w:afterAutospacing="0" w:line="360" w:lineRule="auto"/>
        <w:ind w:firstLine="720"/>
        <w:jc w:val="both"/>
        <w:rPr>
          <w:color w:val="0E101A"/>
        </w:rPr>
      </w:pPr>
      <w:r>
        <w:rPr>
          <w:color w:val="0E101A"/>
        </w:rPr>
        <w:t xml:space="preserve">Project management became the underlying resource of acquainting several lessons for me. This includes understanding the project manager's role in planning and executing a project. The role of a project manager in imitating a project by aligning organizational goals with project goals and assigning responsibility to other team members is fundamental and worth appreciating. The incorporation of the direction of the project during the execution phase is also an important lesson incorporated in this project. The execution requires the alignment of the project plan with the execution with minimal disparities along the way. There should always be an alternative in place to account for any sudden changes or iterations. The business world is dynamic and changes are inevitable, therefore there should be a plan of action that does not disrupt the continuance of the ongoing operation. In the case of UWTSD, a </w:t>
      </w:r>
      <w:r w:rsidR="00C91AC3">
        <w:rPr>
          <w:color w:val="0E101A"/>
        </w:rPr>
        <w:t xml:space="preserve">procedure </w:t>
      </w:r>
      <w:r>
        <w:rPr>
          <w:color w:val="0E101A"/>
        </w:rPr>
        <w:t>was always in place along with an additional instructor to continue the lecture if the prime teacher faces some kind of urgent constraint.</w:t>
      </w:r>
    </w:p>
    <w:p w14:paraId="6EB20FC5" w14:textId="77777777" w:rsidR="003D2D1D" w:rsidRDefault="003D2D1D" w:rsidP="003D2D1D">
      <w:pPr>
        <w:pStyle w:val="NormalWeb"/>
        <w:spacing w:before="0" w:beforeAutospacing="0" w:after="0" w:afterAutospacing="0" w:line="360" w:lineRule="auto"/>
        <w:ind w:firstLine="720"/>
        <w:jc w:val="both"/>
        <w:rPr>
          <w:color w:val="0E101A"/>
        </w:rPr>
      </w:pPr>
      <w:r>
        <w:rPr>
          <w:color w:val="0E101A"/>
        </w:rPr>
        <w:t>In addition, the project provided detailed insight into the critical success factors which are prerequisites for the successful implementation of the project. The critical success factors are highly significant in preventing managers from deviating from the original plan developed at the project's initial phase. The project success can be determined by evaluating the project performance based on the critical success factors defined earlier. An understanding of the development of the critical success factors was also endorsed in the project management. The ability to comprehend things more accurately requires physical demonstration and the development of the critical success factors for the UWTSD hybrid project highlighted that each project has a unique set of critical success factors. These factors are determined by evaluating essential requirements of the project and are directly affiliated to what the customer would want. In this case, the student’s low tolerance on an E-learning environment with proper characteristics of a stable network base, a competent teacher, friendly information and technology software can be considered to be the basis of critical success factors.</w:t>
      </w:r>
    </w:p>
    <w:p w14:paraId="4013E9C9" w14:textId="77777777" w:rsidR="003D2D1D" w:rsidRDefault="003D2D1D" w:rsidP="003D2D1D">
      <w:pPr>
        <w:pStyle w:val="NormalWeb"/>
        <w:spacing w:before="0" w:beforeAutospacing="0" w:after="0" w:afterAutospacing="0" w:line="360" w:lineRule="auto"/>
        <w:ind w:firstLine="720"/>
        <w:jc w:val="both"/>
        <w:rPr>
          <w:color w:val="0E101A"/>
        </w:rPr>
      </w:pPr>
      <w:r>
        <w:rPr>
          <w:color w:val="0E101A"/>
        </w:rPr>
        <w:t xml:space="preserve">The project also provided perception about the risk assessment and analysis in a project. The inherent risk offered by the industry or external environment is inevitable because of its dynamic nature. This makes projects susceptible to all kinds of risks and vulnerabilities. An </w:t>
      </w:r>
      <w:r>
        <w:rPr>
          <w:color w:val="0E101A"/>
        </w:rPr>
        <w:lastRenderedPageBreak/>
        <w:t>adequate risk assessment system in place helps in the identification of the risk offered to the project in terms of macroeconomic variables including government policies, interest rates, inflation in the country and microeconomic variables like the competition or change in market structure. The risk analysis also includes comprehending the shareholder's risk tolerance and its alignment to the risk enduring competencies (Aven, 2016). The risk as defined by the shareholders should be incorporated in the risk strategies by identifying each stakeholder's interest level and level of significance in the stakeholder matrix. The project also provided details regarding the stakeholder matrix which makes the identification of more significant shareholders easier (Matuleviciene and Stravinskiene, 2016)</w:t>
      </w:r>
    </w:p>
    <w:p w14:paraId="56FC892D" w14:textId="77777777" w:rsidR="003D2D1D" w:rsidRDefault="003D2D1D" w:rsidP="003D2D1D">
      <w:pPr>
        <w:pStyle w:val="NormalWeb"/>
        <w:spacing w:before="0" w:beforeAutospacing="0" w:after="0" w:afterAutospacing="0" w:line="360" w:lineRule="auto"/>
        <w:jc w:val="both"/>
        <w:rPr>
          <w:color w:val="0E101A"/>
        </w:rPr>
      </w:pPr>
    </w:p>
    <w:p w14:paraId="3127764A" w14:textId="77777777" w:rsidR="003D2D1D" w:rsidRDefault="003D2D1D" w:rsidP="003D2D1D">
      <w:pPr>
        <w:pStyle w:val="Heading1"/>
        <w:rPr>
          <w:color w:val="0E101A"/>
        </w:rPr>
      </w:pPr>
      <w:r>
        <w:t>Reflective Report </w:t>
      </w:r>
    </w:p>
    <w:p w14:paraId="51F1C0C9" w14:textId="77777777" w:rsidR="003D2D1D" w:rsidRDefault="003D2D1D" w:rsidP="003D2D1D">
      <w:pPr>
        <w:pStyle w:val="NormalWeb"/>
        <w:spacing w:before="0" w:beforeAutospacing="0" w:after="0" w:afterAutospacing="0" w:line="360" w:lineRule="auto"/>
        <w:ind w:firstLine="720"/>
        <w:jc w:val="both"/>
        <w:rPr>
          <w:color w:val="0E101A"/>
        </w:rPr>
      </w:pPr>
      <w:r>
        <w:rPr>
          <w:color w:val="0E101A"/>
        </w:rPr>
        <w:t>A critical aspect of the project which I experienced during the management of the virtual delivery system project was the inability of the students and the faculty members to completely shift from the traditional teaching framework to a completely innovative electronic learning environment. Although the management hired professionals to make the process easier and increase the transitional process's speed, embracing the virtual techniques and procedures was difficult for both the teachers and the students. One of the evident reasons behind this difficulty was the abrupt changes incorporated by UWTSD because of government regulations regarding social distancing and the implementation of precautionary measures to account for the increased level of Covid 19 cases.</w:t>
      </w:r>
    </w:p>
    <w:p w14:paraId="6C2C8176" w14:textId="2A48C60F" w:rsidR="003D2D1D" w:rsidRDefault="003D2D1D" w:rsidP="003D2D1D">
      <w:pPr>
        <w:pStyle w:val="NormalWeb"/>
        <w:spacing w:before="0" w:beforeAutospacing="0" w:after="0" w:afterAutospacing="0" w:line="360" w:lineRule="auto"/>
        <w:jc w:val="both"/>
        <w:rPr>
          <w:color w:val="0E101A"/>
        </w:rPr>
      </w:pPr>
      <w:r>
        <w:rPr>
          <w:color w:val="0E101A"/>
        </w:rPr>
        <w:t>While working with the teachers I received remarks regarding the information technology being used and its characters being complex and</w:t>
      </w:r>
      <w:r w:rsidR="00AE5F20">
        <w:rPr>
          <w:color w:val="0E101A"/>
        </w:rPr>
        <w:t xml:space="preserve"> sometimes</w:t>
      </w:r>
      <w:r>
        <w:rPr>
          <w:color w:val="0E101A"/>
        </w:rPr>
        <w:t xml:space="preserve"> difficult to manage. The students also faced difficulties on their end as they continuously disrupted the class because of their home environment. They were not familiar with the system which led to missing several minutes of lectures and therefore inability to cope with the class once it has been started</w:t>
      </w:r>
      <w:r w:rsidR="00AE5F20">
        <w:rPr>
          <w:color w:val="0E101A"/>
        </w:rPr>
        <w:t xml:space="preserve">. </w:t>
      </w:r>
    </w:p>
    <w:p w14:paraId="026F8781" w14:textId="4203EF04" w:rsidR="003D2D1D" w:rsidRDefault="006F5636" w:rsidP="003D2D1D">
      <w:pPr>
        <w:pStyle w:val="NormalWeb"/>
        <w:spacing w:before="0" w:beforeAutospacing="0" w:after="0" w:afterAutospacing="0" w:line="360" w:lineRule="auto"/>
        <w:jc w:val="both"/>
        <w:rPr>
          <w:color w:val="0E101A"/>
        </w:rPr>
      </w:pPr>
      <w:r>
        <w:rPr>
          <w:color w:val="0E101A"/>
        </w:rPr>
        <w:t>However,</w:t>
      </w:r>
      <w:r w:rsidR="003D2D1D">
        <w:rPr>
          <w:color w:val="0E101A"/>
        </w:rPr>
        <w:t xml:space="preserve"> when the project was </w:t>
      </w:r>
      <w:r w:rsidR="00DB5F73">
        <w:rPr>
          <w:color w:val="0E101A"/>
        </w:rPr>
        <w:t>completed,</w:t>
      </w:r>
      <w:r w:rsidR="003D2D1D">
        <w:rPr>
          <w:color w:val="0E101A"/>
        </w:rPr>
        <w:t xml:space="preserve"> I felt things were better and the teachers and students were finding it convenient to be able to use the technology and create an electronic learning environment in the class</w:t>
      </w:r>
      <w:r>
        <w:rPr>
          <w:color w:val="0E101A"/>
        </w:rPr>
        <w:t>.</w:t>
      </w:r>
    </w:p>
    <w:p w14:paraId="0BAE0841" w14:textId="77777777" w:rsidR="003D2D1D" w:rsidRDefault="003D2D1D" w:rsidP="003D2D1D">
      <w:pPr>
        <w:pStyle w:val="Heading1"/>
        <w:rPr>
          <w:color w:val="0E101A"/>
        </w:rPr>
      </w:pPr>
      <w:r>
        <w:t>Recommendations</w:t>
      </w:r>
    </w:p>
    <w:p w14:paraId="2E7F556C" w14:textId="7BB06737" w:rsidR="003D2D1D" w:rsidRDefault="003D2D1D" w:rsidP="003D2D1D">
      <w:pPr>
        <w:pStyle w:val="NormalWeb"/>
        <w:spacing w:before="0" w:beforeAutospacing="0" w:after="0" w:afterAutospacing="0" w:line="360" w:lineRule="auto"/>
        <w:jc w:val="both"/>
        <w:rPr>
          <w:color w:val="0E101A"/>
        </w:rPr>
      </w:pPr>
      <w:r>
        <w:rPr>
          <w:color w:val="0E101A"/>
        </w:rPr>
        <w:t xml:space="preserve">I personally think that several evident points can be incorporated by the UWTSD virtual hybrid project including the increase of communication and collaboration with the staff. Genc (2017) highlights the importance of communication in an effective framework, especially for </w:t>
      </w:r>
      <w:r>
        <w:rPr>
          <w:color w:val="0E101A"/>
        </w:rPr>
        <w:lastRenderedPageBreak/>
        <w:t xml:space="preserve">organizations of the service sectors. The incorporation of communication is vital in addressing the strategic needs and their sustainability. The strategies are the action plan incorporated to meet organizational </w:t>
      </w:r>
      <w:r w:rsidR="00DB5F73">
        <w:rPr>
          <w:color w:val="0E101A"/>
        </w:rPr>
        <w:t>goals;</w:t>
      </w:r>
      <w:r>
        <w:rPr>
          <w:color w:val="0E101A"/>
        </w:rPr>
        <w:t xml:space="preserve"> </w:t>
      </w:r>
      <w:r w:rsidR="00AE5F20">
        <w:rPr>
          <w:color w:val="0E101A"/>
        </w:rPr>
        <w:t>therefore,</w:t>
      </w:r>
      <w:r>
        <w:rPr>
          <w:color w:val="0E101A"/>
        </w:rPr>
        <w:t xml:space="preserve"> it is critical for it to be accurate and determined concerning complete accessibility to information. The management should communicate its plan with the staff and en</w:t>
      </w:r>
      <w:r w:rsidR="006F5636">
        <w:rPr>
          <w:color w:val="0E101A"/>
        </w:rPr>
        <w:t>s</w:t>
      </w:r>
      <w:r>
        <w:rPr>
          <w:color w:val="0E101A"/>
        </w:rPr>
        <w:t>ure a more decentralized approach to decisions making. This will create a more versatile environment in the organization making information common knowledge for everybody. This will help in the successful implementation of the project changes as people will already be acquainted with the information and will less likely challenge the change.</w:t>
      </w:r>
    </w:p>
    <w:p w14:paraId="04A84F52" w14:textId="77777777" w:rsidR="003D2D1D" w:rsidRDefault="003D2D1D" w:rsidP="003D2D1D">
      <w:pPr>
        <w:pStyle w:val="NormalWeb"/>
        <w:spacing w:before="0" w:beforeAutospacing="0" w:after="0" w:afterAutospacing="0" w:line="360" w:lineRule="auto"/>
        <w:jc w:val="both"/>
        <w:rPr>
          <w:color w:val="0E101A"/>
        </w:rPr>
      </w:pPr>
      <w:r>
        <w:rPr>
          <w:color w:val="0E101A"/>
        </w:rPr>
        <w:t xml:space="preserve">I would also recommend providing training for the information system to both students and the faculty members. This will make the transition process easier, and the teachers and students will incorporate fewer grievances into the new project. This will also increase efficiency as fewer discrepancies will be identified during the lectures. This will also implicate positive results on the examination and test as students will sustain greater transparency on the lectures provided by the teachers. </w:t>
      </w:r>
    </w:p>
    <w:p w14:paraId="65FCD65B" w14:textId="14B72935" w:rsidR="003D2D1D" w:rsidRDefault="003D2D1D" w:rsidP="003D2D1D">
      <w:pPr>
        <w:pStyle w:val="NormalWeb"/>
        <w:spacing w:before="0" w:beforeAutospacing="0" w:after="0" w:afterAutospacing="0" w:line="360" w:lineRule="auto"/>
        <w:jc w:val="both"/>
        <w:rPr>
          <w:color w:val="0E101A"/>
        </w:rPr>
      </w:pPr>
      <w:r>
        <w:rPr>
          <w:color w:val="0E101A"/>
        </w:rPr>
        <w:t xml:space="preserve">As identified by Trifonova and Lazarova,(2019) the use of </w:t>
      </w:r>
      <w:r w:rsidR="00DB5F73">
        <w:rPr>
          <w:color w:val="0E101A"/>
        </w:rPr>
        <w:t>audio-visual</w:t>
      </w:r>
      <w:r>
        <w:rPr>
          <w:color w:val="0E101A"/>
        </w:rPr>
        <w:t xml:space="preserve"> aids in daily professional work will also provide a greater level of interest for students and the demonstrative skills will assist students in understanding the lectures through greater transparency. The era of digitalization has made accessibility to information at arm’s length and therefore the training will provide students to attend lectures through compatible mobile technology making them independent of any technological infrastructure required for attending classes. This is particularly important for less privileged students who do not have access to all technology-oriented educational platforms.</w:t>
      </w:r>
    </w:p>
    <w:p w14:paraId="2FB8529D" w14:textId="3C1A1178" w:rsidR="003D2D1D" w:rsidRDefault="003D2D1D" w:rsidP="003D2D1D">
      <w:pPr>
        <w:pStyle w:val="NormalWeb"/>
        <w:spacing w:before="0" w:beforeAutospacing="0" w:after="0" w:afterAutospacing="0" w:line="360" w:lineRule="auto"/>
        <w:jc w:val="both"/>
        <w:rPr>
          <w:color w:val="0E101A"/>
        </w:rPr>
      </w:pPr>
      <w:r>
        <w:rPr>
          <w:color w:val="0E101A"/>
        </w:rPr>
        <w:t>UWTSD can also consider the exchange of students from online to physical classes on weekly basis. This will provide the students with the benefit of both forms of education and each student will be able to ascertain any query not incorporated on online session to be addressed while communicating with the teacher physically. This is especially important in the transitional phase when students struggle to accept the new system completely. This might also work on alternative days as per the student's and teachers' suggestions. Input from both the students and teachers will create a more effective system of interchanging students on weekly basis. Developing such innovative strategies will create interest for both students and teachers and enhance the project viability by making it more acceptable to more people</w:t>
      </w:r>
      <w:r w:rsidR="00C91AC3">
        <w:rPr>
          <w:color w:val="0E101A"/>
        </w:rPr>
        <w:t>.</w:t>
      </w:r>
    </w:p>
    <w:p w14:paraId="4D462242" w14:textId="77777777" w:rsidR="003D2D1D" w:rsidRDefault="003D2D1D" w:rsidP="003D2D1D">
      <w:pPr>
        <w:rPr>
          <w:rFonts w:eastAsiaTheme="majorEastAsia" w:cstheme="majorBidi"/>
          <w:b/>
          <w:szCs w:val="32"/>
        </w:rPr>
      </w:pPr>
      <w:r>
        <w:br w:type="page"/>
      </w:r>
    </w:p>
    <w:p w14:paraId="169D13EC" w14:textId="77777777" w:rsidR="003D2D1D" w:rsidRDefault="003D2D1D" w:rsidP="003D2D1D">
      <w:pPr>
        <w:pStyle w:val="Heading1"/>
        <w:rPr>
          <w:b/>
        </w:rPr>
      </w:pPr>
      <w:r>
        <w:lastRenderedPageBreak/>
        <w:t xml:space="preserve">References </w:t>
      </w:r>
    </w:p>
    <w:p w14:paraId="3B82A158" w14:textId="4538436A" w:rsidR="00925120" w:rsidRDefault="00925120" w:rsidP="00925120">
      <w:pPr>
        <w:ind w:left="720" w:hanging="720"/>
      </w:pPr>
      <w:r>
        <w:t xml:space="preserve">Alqahtani, A.Y. and Rajkhan, A.A. (2020)  E-learning critical success factors during the covid-19 pandemic: A comprehensive analysis of e-learning managerial perspectives. </w:t>
      </w:r>
      <w:r w:rsidRPr="004A39A5">
        <w:rPr>
          <w:i/>
          <w:iCs/>
        </w:rPr>
        <w:t xml:space="preserve">Education </w:t>
      </w:r>
      <w:r>
        <w:rPr>
          <w:i/>
          <w:iCs/>
        </w:rPr>
        <w:t>S</w:t>
      </w:r>
      <w:r w:rsidRPr="004A39A5">
        <w:rPr>
          <w:i/>
          <w:iCs/>
        </w:rPr>
        <w:t>ciences</w:t>
      </w:r>
      <w:r>
        <w:t xml:space="preserve">, 10(9), p.216. </w:t>
      </w:r>
    </w:p>
    <w:p w14:paraId="0766663C" w14:textId="1A7F17B2" w:rsidR="00925120" w:rsidRDefault="00925120" w:rsidP="00925120">
      <w:pPr>
        <w:spacing w:before="240"/>
        <w:ind w:left="720" w:hanging="720"/>
      </w:pPr>
      <w:r>
        <w:t>Aven, T. (2016) Risk assessment and risk management: Review of recent advances on their foundation</w:t>
      </w:r>
      <w:r w:rsidRPr="00AC18ED">
        <w:rPr>
          <w:i/>
          <w:iCs/>
        </w:rPr>
        <w:t>. European Journal of Operational Research</w:t>
      </w:r>
      <w:r>
        <w:t xml:space="preserve">, 253(1), pp.1-13. </w:t>
      </w:r>
    </w:p>
    <w:p w14:paraId="53DF6C2B" w14:textId="0FFDF50B" w:rsidR="00182193" w:rsidRDefault="00182193" w:rsidP="00925120">
      <w:pPr>
        <w:ind w:left="720" w:hanging="720"/>
      </w:pPr>
      <w:r>
        <w:t xml:space="preserve">Bokolo, A. Jnr. (2021) </w:t>
      </w:r>
      <w:r w:rsidRPr="00182193">
        <w:t xml:space="preserve">An exploratory study on academic staff perception towards blended learning in higher education. </w:t>
      </w:r>
      <w:r w:rsidRPr="00182193">
        <w:rPr>
          <w:i/>
          <w:iCs/>
        </w:rPr>
        <w:t>Education and Information Technologies</w:t>
      </w:r>
      <w:r w:rsidR="004C568B">
        <w:rPr>
          <w:i/>
          <w:iCs/>
        </w:rPr>
        <w:t>,</w:t>
      </w:r>
      <w:r w:rsidRPr="00182193">
        <w:t xml:space="preserve"> </w:t>
      </w:r>
      <w:r w:rsidRPr="004C568B">
        <w:t>27</w:t>
      </w:r>
      <w:r w:rsidR="004C568B" w:rsidRPr="004C568B">
        <w:t xml:space="preserve"> (3)</w:t>
      </w:r>
      <w:r w:rsidRPr="004C568B">
        <w:t>,</w:t>
      </w:r>
      <w:r w:rsidRPr="00182193">
        <w:t xml:space="preserve"> </w:t>
      </w:r>
      <w:r w:rsidR="004C568B">
        <w:t xml:space="preserve">pp. </w:t>
      </w:r>
      <w:r w:rsidRPr="00182193">
        <w:t>3107–3133</w:t>
      </w:r>
      <w:r w:rsidR="00587244">
        <w:t>.</w:t>
      </w:r>
    </w:p>
    <w:p w14:paraId="59BA6C19" w14:textId="05A6322C" w:rsidR="00925120" w:rsidRDefault="00925120" w:rsidP="00925120">
      <w:pPr>
        <w:ind w:left="720" w:hanging="720"/>
      </w:pPr>
      <w:r>
        <w:t xml:space="preserve">Genç, R. (2017) The importance of communication in sustainability &amp; sustainable strategies. </w:t>
      </w:r>
      <w:r w:rsidRPr="00481D43">
        <w:rPr>
          <w:i/>
          <w:iCs/>
        </w:rPr>
        <w:t>Procedia Manufacturing</w:t>
      </w:r>
      <w:r>
        <w:t xml:space="preserve">, 8(17), pp.511-516. </w:t>
      </w:r>
    </w:p>
    <w:p w14:paraId="5FD1E15C" w14:textId="1D3E706A" w:rsidR="00925120" w:rsidRDefault="00925120" w:rsidP="00925120">
      <w:pPr>
        <w:ind w:left="720" w:hanging="720"/>
        <w:jc w:val="left"/>
      </w:pPr>
      <w:r>
        <w:t xml:space="preserve">Georgieva-Trifonova, T. and Lazarova, S. (2019) </w:t>
      </w:r>
      <w:r w:rsidRPr="00481D43">
        <w:t>Development of a Personal Information System for Managing Audiovisual Training Aids: Motivations, Benefits for the Teacher's Work</w:t>
      </w:r>
      <w:r>
        <w:t xml:space="preserve">. </w:t>
      </w:r>
      <w:r w:rsidRPr="00481D43">
        <w:rPr>
          <w:i/>
          <w:iCs/>
        </w:rPr>
        <w:t>Trakia Journal of Sciences</w:t>
      </w:r>
      <w:r>
        <w:t xml:space="preserve">, 17(2), p.107. </w:t>
      </w:r>
    </w:p>
    <w:p w14:paraId="1B04CCC2" w14:textId="77777777" w:rsidR="00925120" w:rsidRDefault="00925120" w:rsidP="00925120">
      <w:pPr>
        <w:ind w:left="720" w:hanging="720"/>
        <w:jc w:val="left"/>
      </w:pPr>
      <w:r>
        <w:t xml:space="preserve">Gheni et al. (2017) The critical success factors (CSFs) for IT projects. </w:t>
      </w:r>
      <w:r w:rsidRPr="00285A0D">
        <w:rPr>
          <w:i/>
          <w:iCs/>
        </w:rPr>
        <w:t>Journal of Telecommunication, Electronic and Computer Engineering</w:t>
      </w:r>
      <w:r>
        <w:t xml:space="preserve"> </w:t>
      </w:r>
      <w:r w:rsidRPr="00285A0D">
        <w:rPr>
          <w:i/>
          <w:iCs/>
        </w:rPr>
        <w:t>(JTEC),</w:t>
      </w:r>
      <w:r>
        <w:t xml:space="preserve"> 9(17), pp.13-17. </w:t>
      </w:r>
    </w:p>
    <w:p w14:paraId="57E38AE9" w14:textId="7FBB3F5A" w:rsidR="00925120" w:rsidRDefault="00925120" w:rsidP="00925120">
      <w:pPr>
        <w:ind w:left="720" w:hanging="720"/>
      </w:pPr>
      <w:r>
        <w:t xml:space="preserve">Lamprou, A. and Vagiona, D. (2018) Success criteria and critical success factors in project success: a literature review. </w:t>
      </w:r>
      <w:r w:rsidR="002C3D75" w:rsidRPr="002C3D75">
        <w:rPr>
          <w:i/>
          <w:iCs/>
        </w:rPr>
        <w:t>I</w:t>
      </w:r>
      <w:r w:rsidRPr="002C3D75">
        <w:rPr>
          <w:i/>
          <w:iCs/>
        </w:rPr>
        <w:t>RELAN</w:t>
      </w:r>
      <w:r w:rsidRPr="00285A0D">
        <w:rPr>
          <w:i/>
          <w:iCs/>
        </w:rPr>
        <w:t>D: International Journal of Real Estate &amp; Land Planning</w:t>
      </w:r>
      <w:r>
        <w:t xml:space="preserve">, 1(18), pp.276-284. </w:t>
      </w:r>
    </w:p>
    <w:p w14:paraId="45547393" w14:textId="52ECB4C2" w:rsidR="00925120" w:rsidRDefault="00925120" w:rsidP="00925120">
      <w:pPr>
        <w:ind w:left="720" w:hanging="720"/>
      </w:pPr>
      <w:r>
        <w:t xml:space="preserve">Lo et al. (2016) The critical success factors for organizational performance of SMEs in Malaysia: a partial least squares approach. </w:t>
      </w:r>
      <w:r w:rsidRPr="00AC18ED">
        <w:rPr>
          <w:i/>
          <w:iCs/>
        </w:rPr>
        <w:t>Review of Business Management</w:t>
      </w:r>
      <w:r>
        <w:t xml:space="preserve">, 18(61), pp.370-391. </w:t>
      </w:r>
    </w:p>
    <w:p w14:paraId="6E55DC4D" w14:textId="5DDF630C" w:rsidR="00925120" w:rsidRDefault="00925120" w:rsidP="00925120">
      <w:pPr>
        <w:spacing w:before="240"/>
        <w:ind w:left="720" w:hanging="720"/>
      </w:pPr>
      <w:r>
        <w:t xml:space="preserve">Matuleviciene, M. and Stravinskiene, J. (2016) The importance of stakeholders for corporate reputation. </w:t>
      </w:r>
      <w:r w:rsidRPr="002C3D75">
        <w:rPr>
          <w:i/>
          <w:iCs/>
        </w:rPr>
        <w:t>Engineering Economics</w:t>
      </w:r>
      <w:r>
        <w:t xml:space="preserve">, 26(1), pp.75-83. </w:t>
      </w:r>
    </w:p>
    <w:p w14:paraId="53E2B6A0" w14:textId="5DE7A4C4" w:rsidR="00925120" w:rsidRDefault="00925120" w:rsidP="00925120">
      <w:pPr>
        <w:ind w:left="720" w:hanging="720"/>
      </w:pPr>
      <w:r>
        <w:t xml:space="preserve">Muzammil, M., SUTAWIJAYA, A. and HARSASI, M. (2020) Investigating student satisfaction in online learning: the role of student interaction and engagement in distance learning university. </w:t>
      </w:r>
      <w:r w:rsidRPr="00AC18ED">
        <w:rPr>
          <w:i/>
          <w:iCs/>
        </w:rPr>
        <w:t>Turkish Online Journal of Distance Education</w:t>
      </w:r>
      <w:r>
        <w:t xml:space="preserve">, 21(Special Issue-IODL), pp.88-96. </w:t>
      </w:r>
    </w:p>
    <w:p w14:paraId="6D1E1823" w14:textId="1AA8D224" w:rsidR="003D2D1D" w:rsidRDefault="003D2D1D" w:rsidP="003D2D1D">
      <w:pPr>
        <w:ind w:left="720" w:hanging="720"/>
      </w:pPr>
      <w:r>
        <w:lastRenderedPageBreak/>
        <w:t>Obradović, V., Todorović, M. and Bushuyev, S.</w:t>
      </w:r>
      <w:r w:rsidR="004A39A5">
        <w:t xml:space="preserve"> (</w:t>
      </w:r>
      <w:r>
        <w:t>2018</w:t>
      </w:r>
      <w:r w:rsidR="004A39A5">
        <w:t>)</w:t>
      </w:r>
      <w:r>
        <w:t xml:space="preserve"> Sustainability and agility in project management: </w:t>
      </w:r>
      <w:r w:rsidR="004A39A5">
        <w:t>C</w:t>
      </w:r>
      <w:r>
        <w:t xml:space="preserve">ontradictory or </w:t>
      </w:r>
      <w:r w:rsidR="004A39A5">
        <w:t>C</w:t>
      </w:r>
      <w:r w:rsidR="00DE0B4D">
        <w:t>omplementary</w:t>
      </w:r>
      <w:r w:rsidR="004A39A5">
        <w:t>?</w:t>
      </w:r>
      <w:r w:rsidR="00C671EC">
        <w:t xml:space="preserve"> </w:t>
      </w:r>
      <w:r w:rsidR="00C671EC" w:rsidRPr="00C671EC">
        <w:rPr>
          <w:i/>
          <w:iCs/>
        </w:rPr>
        <w:t>International Scientific and Technical Conference on Computer Sciences and Information Technologies</w:t>
      </w:r>
      <w:r w:rsidR="00C671EC">
        <w:t xml:space="preserve">, </w:t>
      </w:r>
      <w:r w:rsidR="004A39A5">
        <w:t xml:space="preserve">2(18), </w:t>
      </w:r>
      <w:r>
        <w:t xml:space="preserve">pp. </w:t>
      </w:r>
      <w:r w:rsidR="004A39A5">
        <w:t>1</w:t>
      </w:r>
      <w:r>
        <w:t xml:space="preserve">-5. </w:t>
      </w:r>
    </w:p>
    <w:p w14:paraId="3690E65C" w14:textId="599267DF" w:rsidR="003D2D1D" w:rsidRDefault="003D2D1D" w:rsidP="003D2D1D">
      <w:pPr>
        <w:ind w:left="720" w:hanging="720"/>
      </w:pPr>
      <w:r>
        <w:t>Oliveira</w:t>
      </w:r>
      <w:r w:rsidR="00C671EC">
        <w:t xml:space="preserve"> et al. (2019)</w:t>
      </w:r>
      <w:r>
        <w:t xml:space="preserve"> Critical success factors associated with the implementation of enterprise risk management</w:t>
      </w:r>
      <w:r w:rsidRPr="00C671EC">
        <w:rPr>
          <w:i/>
          <w:iCs/>
        </w:rPr>
        <w:t>. Journal of Risk Research</w:t>
      </w:r>
      <w:r>
        <w:t>, 22(8), pp.1004-1019.</w:t>
      </w:r>
      <w:r w:rsidR="00C671EC">
        <w:t xml:space="preserve"> </w:t>
      </w:r>
    </w:p>
    <w:p w14:paraId="5183404A" w14:textId="05A25463" w:rsidR="003D2D1D" w:rsidRDefault="003D2D1D" w:rsidP="003D2D1D">
      <w:pPr>
        <w:ind w:left="720" w:hanging="720"/>
      </w:pPr>
      <w:r>
        <w:t>Stanciu, A.C., Condrea, E. and Zamfir, C.</w:t>
      </w:r>
      <w:r w:rsidR="000A7AA2">
        <w:t xml:space="preserve"> (</w:t>
      </w:r>
      <w:r>
        <w:t>2016</w:t>
      </w:r>
      <w:r w:rsidR="000A7AA2">
        <w:t>)</w:t>
      </w:r>
      <w:r>
        <w:t xml:space="preserve"> The importance of communication in quality management. Ovidius University Annals, </w:t>
      </w:r>
      <w:r w:rsidRPr="000A7AA2">
        <w:rPr>
          <w:i/>
          <w:iCs/>
        </w:rPr>
        <w:t>Economic Sciences Series</w:t>
      </w:r>
      <w:r>
        <w:t>, 16(2), pp.393-396.</w:t>
      </w:r>
    </w:p>
    <w:sectPr w:rsidR="003D2D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A45E2"/>
    <w:multiLevelType w:val="hybridMultilevel"/>
    <w:tmpl w:val="731A3774"/>
    <w:lvl w:ilvl="0" w:tplc="5ED2F1D6">
      <w:start w:val="1"/>
      <w:numFmt w:val="bullet"/>
      <w:lvlText w:val=""/>
      <w:lvlJc w:val="left"/>
      <w:pPr>
        <w:ind w:left="0" w:firstLine="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2D88030D"/>
    <w:multiLevelType w:val="hybridMultilevel"/>
    <w:tmpl w:val="7E00292C"/>
    <w:lvl w:ilvl="0" w:tplc="540E3340">
      <w:start w:val="1"/>
      <w:numFmt w:val="bullet"/>
      <w:suff w:val="space"/>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D912204"/>
    <w:multiLevelType w:val="hybridMultilevel"/>
    <w:tmpl w:val="90348CB4"/>
    <w:lvl w:ilvl="0" w:tplc="1BF876BC">
      <w:start w:val="1"/>
      <w:numFmt w:val="bullet"/>
      <w:lvlText w:val=""/>
      <w:lvlJc w:val="left"/>
      <w:pPr>
        <w:ind w:left="360" w:hanging="360"/>
      </w:pPr>
      <w:rPr>
        <w:rFonts w:ascii="Symbol" w:hAnsi="Symbol" w:hint="default"/>
      </w:rPr>
    </w:lvl>
    <w:lvl w:ilvl="1" w:tplc="A72E2E44">
      <w:start w:val="1"/>
      <w:numFmt w:val="bullet"/>
      <w:lvlText w:val="o"/>
      <w:lvlJc w:val="left"/>
      <w:pPr>
        <w:ind w:left="1440" w:hanging="360"/>
      </w:pPr>
      <w:rPr>
        <w:rFonts w:ascii="Courier New" w:hAnsi="Courier New" w:cs="Courier New" w:hint="default"/>
      </w:rPr>
    </w:lvl>
    <w:lvl w:ilvl="2" w:tplc="520614F2">
      <w:start w:val="1"/>
      <w:numFmt w:val="bullet"/>
      <w:lvlText w:val=""/>
      <w:lvlJc w:val="left"/>
      <w:pPr>
        <w:ind w:left="2160" w:hanging="360"/>
      </w:pPr>
      <w:rPr>
        <w:rFonts w:ascii="Wingdings" w:hAnsi="Wingdings" w:hint="default"/>
      </w:rPr>
    </w:lvl>
    <w:lvl w:ilvl="3" w:tplc="E126EDF8">
      <w:start w:val="1"/>
      <w:numFmt w:val="bullet"/>
      <w:lvlText w:val=""/>
      <w:lvlJc w:val="left"/>
      <w:pPr>
        <w:ind w:left="2880" w:hanging="360"/>
      </w:pPr>
      <w:rPr>
        <w:rFonts w:ascii="Symbol" w:hAnsi="Symbol" w:hint="default"/>
      </w:rPr>
    </w:lvl>
    <w:lvl w:ilvl="4" w:tplc="DC680E0A">
      <w:start w:val="1"/>
      <w:numFmt w:val="bullet"/>
      <w:lvlText w:val="o"/>
      <w:lvlJc w:val="left"/>
      <w:pPr>
        <w:ind w:left="3600" w:hanging="360"/>
      </w:pPr>
      <w:rPr>
        <w:rFonts w:ascii="Courier New" w:hAnsi="Courier New" w:cs="Courier New" w:hint="default"/>
      </w:rPr>
    </w:lvl>
    <w:lvl w:ilvl="5" w:tplc="19402306">
      <w:start w:val="1"/>
      <w:numFmt w:val="bullet"/>
      <w:lvlText w:val=""/>
      <w:lvlJc w:val="left"/>
      <w:pPr>
        <w:ind w:left="4320" w:hanging="360"/>
      </w:pPr>
      <w:rPr>
        <w:rFonts w:ascii="Wingdings" w:hAnsi="Wingdings" w:hint="default"/>
      </w:rPr>
    </w:lvl>
    <w:lvl w:ilvl="6" w:tplc="FFF61208">
      <w:start w:val="1"/>
      <w:numFmt w:val="bullet"/>
      <w:lvlText w:val=""/>
      <w:lvlJc w:val="left"/>
      <w:pPr>
        <w:ind w:left="5040" w:hanging="360"/>
      </w:pPr>
      <w:rPr>
        <w:rFonts w:ascii="Symbol" w:hAnsi="Symbol" w:hint="default"/>
      </w:rPr>
    </w:lvl>
    <w:lvl w:ilvl="7" w:tplc="F996B94A">
      <w:start w:val="1"/>
      <w:numFmt w:val="bullet"/>
      <w:lvlText w:val="o"/>
      <w:lvlJc w:val="left"/>
      <w:pPr>
        <w:ind w:left="5760" w:hanging="360"/>
      </w:pPr>
      <w:rPr>
        <w:rFonts w:ascii="Courier New" w:hAnsi="Courier New" w:cs="Courier New" w:hint="default"/>
      </w:rPr>
    </w:lvl>
    <w:lvl w:ilvl="8" w:tplc="CEDEC8FE">
      <w:start w:val="1"/>
      <w:numFmt w:val="bullet"/>
      <w:lvlText w:val=""/>
      <w:lvlJc w:val="left"/>
      <w:pPr>
        <w:ind w:left="6480" w:hanging="360"/>
      </w:pPr>
      <w:rPr>
        <w:rFonts w:ascii="Wingdings" w:hAnsi="Wingdings" w:hint="default"/>
      </w:rPr>
    </w:lvl>
  </w:abstractNum>
  <w:abstractNum w:abstractNumId="3" w15:restartNumberingAfterBreak="0">
    <w:nsid w:val="41D70470"/>
    <w:multiLevelType w:val="hybridMultilevel"/>
    <w:tmpl w:val="D592C5DC"/>
    <w:lvl w:ilvl="0" w:tplc="DBB0A394">
      <w:start w:val="1"/>
      <w:numFmt w:val="bullet"/>
      <w:lvlText w:val=""/>
      <w:lvlJc w:val="left"/>
      <w:pPr>
        <w:ind w:left="450" w:hanging="360"/>
      </w:pPr>
      <w:rPr>
        <w:rFonts w:ascii="Symbol" w:hAnsi="Symbol" w:hint="default"/>
      </w:rPr>
    </w:lvl>
    <w:lvl w:ilvl="1" w:tplc="DEFC26A8">
      <w:start w:val="1"/>
      <w:numFmt w:val="bullet"/>
      <w:lvlText w:val="o"/>
      <w:lvlJc w:val="left"/>
      <w:pPr>
        <w:ind w:left="1440" w:hanging="360"/>
      </w:pPr>
      <w:rPr>
        <w:rFonts w:ascii="Courier New" w:hAnsi="Courier New" w:cs="Courier New" w:hint="default"/>
      </w:rPr>
    </w:lvl>
    <w:lvl w:ilvl="2" w:tplc="87401B90">
      <w:start w:val="1"/>
      <w:numFmt w:val="bullet"/>
      <w:lvlText w:val=""/>
      <w:lvlJc w:val="left"/>
      <w:pPr>
        <w:ind w:left="2160" w:hanging="360"/>
      </w:pPr>
      <w:rPr>
        <w:rFonts w:ascii="Wingdings" w:hAnsi="Wingdings" w:hint="default"/>
      </w:rPr>
    </w:lvl>
    <w:lvl w:ilvl="3" w:tplc="BC46832A">
      <w:start w:val="1"/>
      <w:numFmt w:val="bullet"/>
      <w:lvlText w:val=""/>
      <w:lvlJc w:val="left"/>
      <w:pPr>
        <w:ind w:left="2880" w:hanging="360"/>
      </w:pPr>
      <w:rPr>
        <w:rFonts w:ascii="Symbol" w:hAnsi="Symbol" w:hint="default"/>
      </w:rPr>
    </w:lvl>
    <w:lvl w:ilvl="4" w:tplc="65E20DFE">
      <w:start w:val="1"/>
      <w:numFmt w:val="bullet"/>
      <w:lvlText w:val="o"/>
      <w:lvlJc w:val="left"/>
      <w:pPr>
        <w:ind w:left="3600" w:hanging="360"/>
      </w:pPr>
      <w:rPr>
        <w:rFonts w:ascii="Courier New" w:hAnsi="Courier New" w:cs="Courier New" w:hint="default"/>
      </w:rPr>
    </w:lvl>
    <w:lvl w:ilvl="5" w:tplc="1FE4E994">
      <w:start w:val="1"/>
      <w:numFmt w:val="bullet"/>
      <w:lvlText w:val=""/>
      <w:lvlJc w:val="left"/>
      <w:pPr>
        <w:ind w:left="4320" w:hanging="360"/>
      </w:pPr>
      <w:rPr>
        <w:rFonts w:ascii="Wingdings" w:hAnsi="Wingdings" w:hint="default"/>
      </w:rPr>
    </w:lvl>
    <w:lvl w:ilvl="6" w:tplc="8B8C13AE">
      <w:start w:val="1"/>
      <w:numFmt w:val="bullet"/>
      <w:lvlText w:val=""/>
      <w:lvlJc w:val="left"/>
      <w:pPr>
        <w:ind w:left="5040" w:hanging="360"/>
      </w:pPr>
      <w:rPr>
        <w:rFonts w:ascii="Symbol" w:hAnsi="Symbol" w:hint="default"/>
      </w:rPr>
    </w:lvl>
    <w:lvl w:ilvl="7" w:tplc="61E4BC1A">
      <w:start w:val="1"/>
      <w:numFmt w:val="bullet"/>
      <w:lvlText w:val="o"/>
      <w:lvlJc w:val="left"/>
      <w:pPr>
        <w:ind w:left="5760" w:hanging="360"/>
      </w:pPr>
      <w:rPr>
        <w:rFonts w:ascii="Courier New" w:hAnsi="Courier New" w:cs="Courier New" w:hint="default"/>
      </w:rPr>
    </w:lvl>
    <w:lvl w:ilvl="8" w:tplc="AC085A40">
      <w:start w:val="1"/>
      <w:numFmt w:val="bullet"/>
      <w:lvlText w:val=""/>
      <w:lvlJc w:val="left"/>
      <w:pPr>
        <w:ind w:left="6480" w:hanging="360"/>
      </w:pPr>
      <w:rPr>
        <w:rFonts w:ascii="Wingdings" w:hAnsi="Wingdings" w:hint="default"/>
      </w:rPr>
    </w:lvl>
  </w:abstractNum>
  <w:abstractNum w:abstractNumId="4" w15:restartNumberingAfterBreak="0">
    <w:nsid w:val="549D5E72"/>
    <w:multiLevelType w:val="hybridMultilevel"/>
    <w:tmpl w:val="68B8FC5A"/>
    <w:lvl w:ilvl="0" w:tplc="27D4519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1A7716"/>
    <w:multiLevelType w:val="hybridMultilevel"/>
    <w:tmpl w:val="32741CD8"/>
    <w:lvl w:ilvl="0" w:tplc="8DB4B52E">
      <w:start w:val="1"/>
      <w:numFmt w:val="bullet"/>
      <w:lvlText w:val=""/>
      <w:lvlJc w:val="left"/>
      <w:pPr>
        <w:ind w:left="360" w:hanging="360"/>
      </w:pPr>
      <w:rPr>
        <w:rFonts w:ascii="Symbol" w:hAnsi="Symbol" w:hint="default"/>
      </w:rPr>
    </w:lvl>
    <w:lvl w:ilvl="1" w:tplc="166A372E">
      <w:start w:val="1"/>
      <w:numFmt w:val="bullet"/>
      <w:lvlText w:val="o"/>
      <w:lvlJc w:val="left"/>
      <w:pPr>
        <w:ind w:left="1440" w:hanging="360"/>
      </w:pPr>
      <w:rPr>
        <w:rFonts w:ascii="Courier New" w:hAnsi="Courier New" w:cs="Courier New" w:hint="default"/>
      </w:rPr>
    </w:lvl>
    <w:lvl w:ilvl="2" w:tplc="2DEC1E64">
      <w:start w:val="1"/>
      <w:numFmt w:val="bullet"/>
      <w:lvlText w:val=""/>
      <w:lvlJc w:val="left"/>
      <w:pPr>
        <w:ind w:left="2160" w:hanging="360"/>
      </w:pPr>
      <w:rPr>
        <w:rFonts w:ascii="Wingdings" w:hAnsi="Wingdings" w:hint="default"/>
      </w:rPr>
    </w:lvl>
    <w:lvl w:ilvl="3" w:tplc="616CEDB4">
      <w:start w:val="1"/>
      <w:numFmt w:val="bullet"/>
      <w:lvlText w:val=""/>
      <w:lvlJc w:val="left"/>
      <w:pPr>
        <w:ind w:left="2880" w:hanging="360"/>
      </w:pPr>
      <w:rPr>
        <w:rFonts w:ascii="Symbol" w:hAnsi="Symbol" w:hint="default"/>
      </w:rPr>
    </w:lvl>
    <w:lvl w:ilvl="4" w:tplc="C0CA86A6">
      <w:start w:val="1"/>
      <w:numFmt w:val="bullet"/>
      <w:lvlText w:val="o"/>
      <w:lvlJc w:val="left"/>
      <w:pPr>
        <w:ind w:left="3600" w:hanging="360"/>
      </w:pPr>
      <w:rPr>
        <w:rFonts w:ascii="Courier New" w:hAnsi="Courier New" w:cs="Courier New" w:hint="default"/>
      </w:rPr>
    </w:lvl>
    <w:lvl w:ilvl="5" w:tplc="316C7446">
      <w:start w:val="1"/>
      <w:numFmt w:val="bullet"/>
      <w:lvlText w:val=""/>
      <w:lvlJc w:val="left"/>
      <w:pPr>
        <w:ind w:left="4320" w:hanging="360"/>
      </w:pPr>
      <w:rPr>
        <w:rFonts w:ascii="Wingdings" w:hAnsi="Wingdings" w:hint="default"/>
      </w:rPr>
    </w:lvl>
    <w:lvl w:ilvl="6" w:tplc="0E74BFA4">
      <w:start w:val="1"/>
      <w:numFmt w:val="bullet"/>
      <w:lvlText w:val=""/>
      <w:lvlJc w:val="left"/>
      <w:pPr>
        <w:ind w:left="5040" w:hanging="360"/>
      </w:pPr>
      <w:rPr>
        <w:rFonts w:ascii="Symbol" w:hAnsi="Symbol" w:hint="default"/>
      </w:rPr>
    </w:lvl>
    <w:lvl w:ilvl="7" w:tplc="94309E0E">
      <w:start w:val="1"/>
      <w:numFmt w:val="bullet"/>
      <w:lvlText w:val="o"/>
      <w:lvlJc w:val="left"/>
      <w:pPr>
        <w:ind w:left="5760" w:hanging="360"/>
      </w:pPr>
      <w:rPr>
        <w:rFonts w:ascii="Courier New" w:hAnsi="Courier New" w:cs="Courier New" w:hint="default"/>
      </w:rPr>
    </w:lvl>
    <w:lvl w:ilvl="8" w:tplc="FE0C9BA6">
      <w:start w:val="1"/>
      <w:numFmt w:val="bullet"/>
      <w:lvlText w:val=""/>
      <w:lvlJc w:val="left"/>
      <w:pPr>
        <w:ind w:left="6480" w:hanging="360"/>
      </w:pPr>
      <w:rPr>
        <w:rFonts w:ascii="Wingdings" w:hAnsi="Wingdings" w:hint="default"/>
      </w:rPr>
    </w:lvl>
  </w:abstractNum>
  <w:abstractNum w:abstractNumId="6" w15:restartNumberingAfterBreak="0">
    <w:nsid w:val="60A55377"/>
    <w:multiLevelType w:val="hybridMultilevel"/>
    <w:tmpl w:val="725CBDC4"/>
    <w:lvl w:ilvl="0" w:tplc="6B6685DA">
      <w:start w:val="1"/>
      <w:numFmt w:val="bullet"/>
      <w:lvlText w:val=""/>
      <w:lvlJc w:val="left"/>
      <w:pPr>
        <w:ind w:left="720" w:hanging="360"/>
      </w:pPr>
      <w:rPr>
        <w:rFonts w:ascii="Symbol" w:hAnsi="Symbol" w:hint="default"/>
      </w:rPr>
    </w:lvl>
    <w:lvl w:ilvl="1" w:tplc="7042F52C">
      <w:start w:val="1"/>
      <w:numFmt w:val="bullet"/>
      <w:lvlText w:val="o"/>
      <w:lvlJc w:val="left"/>
      <w:pPr>
        <w:ind w:left="1440" w:hanging="360"/>
      </w:pPr>
      <w:rPr>
        <w:rFonts w:ascii="Courier New" w:hAnsi="Courier New" w:cs="Courier New" w:hint="default"/>
      </w:rPr>
    </w:lvl>
    <w:lvl w:ilvl="2" w:tplc="1DB028F8">
      <w:start w:val="1"/>
      <w:numFmt w:val="bullet"/>
      <w:lvlText w:val=""/>
      <w:lvlJc w:val="left"/>
      <w:pPr>
        <w:ind w:left="2160" w:hanging="360"/>
      </w:pPr>
      <w:rPr>
        <w:rFonts w:ascii="Wingdings" w:hAnsi="Wingdings" w:hint="default"/>
      </w:rPr>
    </w:lvl>
    <w:lvl w:ilvl="3" w:tplc="407C28D0">
      <w:start w:val="1"/>
      <w:numFmt w:val="bullet"/>
      <w:lvlText w:val=""/>
      <w:lvlJc w:val="left"/>
      <w:pPr>
        <w:ind w:left="2880" w:hanging="360"/>
      </w:pPr>
      <w:rPr>
        <w:rFonts w:ascii="Symbol" w:hAnsi="Symbol" w:hint="default"/>
      </w:rPr>
    </w:lvl>
    <w:lvl w:ilvl="4" w:tplc="1780D10C">
      <w:start w:val="1"/>
      <w:numFmt w:val="bullet"/>
      <w:lvlText w:val="o"/>
      <w:lvlJc w:val="left"/>
      <w:pPr>
        <w:ind w:left="3600" w:hanging="360"/>
      </w:pPr>
      <w:rPr>
        <w:rFonts w:ascii="Courier New" w:hAnsi="Courier New" w:cs="Courier New" w:hint="default"/>
      </w:rPr>
    </w:lvl>
    <w:lvl w:ilvl="5" w:tplc="7068A732">
      <w:start w:val="1"/>
      <w:numFmt w:val="bullet"/>
      <w:lvlText w:val=""/>
      <w:lvlJc w:val="left"/>
      <w:pPr>
        <w:ind w:left="4320" w:hanging="360"/>
      </w:pPr>
      <w:rPr>
        <w:rFonts w:ascii="Wingdings" w:hAnsi="Wingdings" w:hint="default"/>
      </w:rPr>
    </w:lvl>
    <w:lvl w:ilvl="6" w:tplc="95CAF9F0">
      <w:start w:val="1"/>
      <w:numFmt w:val="bullet"/>
      <w:lvlText w:val=""/>
      <w:lvlJc w:val="left"/>
      <w:pPr>
        <w:ind w:left="5040" w:hanging="360"/>
      </w:pPr>
      <w:rPr>
        <w:rFonts w:ascii="Symbol" w:hAnsi="Symbol" w:hint="default"/>
      </w:rPr>
    </w:lvl>
    <w:lvl w:ilvl="7" w:tplc="FB98B268">
      <w:start w:val="1"/>
      <w:numFmt w:val="bullet"/>
      <w:lvlText w:val="o"/>
      <w:lvlJc w:val="left"/>
      <w:pPr>
        <w:ind w:left="5760" w:hanging="360"/>
      </w:pPr>
      <w:rPr>
        <w:rFonts w:ascii="Courier New" w:hAnsi="Courier New" w:cs="Courier New" w:hint="default"/>
      </w:rPr>
    </w:lvl>
    <w:lvl w:ilvl="8" w:tplc="B89816E6">
      <w:start w:val="1"/>
      <w:numFmt w:val="bullet"/>
      <w:lvlText w:val=""/>
      <w:lvlJc w:val="left"/>
      <w:pPr>
        <w:ind w:left="6480" w:hanging="360"/>
      </w:pPr>
      <w:rPr>
        <w:rFonts w:ascii="Wingdings" w:hAnsi="Wingdings" w:hint="default"/>
      </w:rPr>
    </w:lvl>
  </w:abstractNum>
  <w:abstractNum w:abstractNumId="7" w15:restartNumberingAfterBreak="0">
    <w:nsid w:val="63B312C5"/>
    <w:multiLevelType w:val="hybridMultilevel"/>
    <w:tmpl w:val="9A006934"/>
    <w:lvl w:ilvl="0" w:tplc="1718462A">
      <w:start w:val="1"/>
      <w:numFmt w:val="bullet"/>
      <w:lvlText w:val=""/>
      <w:lvlJc w:val="left"/>
      <w:pPr>
        <w:ind w:left="360" w:hanging="360"/>
      </w:pPr>
      <w:rPr>
        <w:rFonts w:ascii="Symbol" w:hAnsi="Symbol" w:hint="default"/>
      </w:rPr>
    </w:lvl>
    <w:lvl w:ilvl="1" w:tplc="474A32BE">
      <w:start w:val="1"/>
      <w:numFmt w:val="bullet"/>
      <w:lvlText w:val="o"/>
      <w:lvlJc w:val="left"/>
      <w:pPr>
        <w:ind w:left="1440" w:hanging="360"/>
      </w:pPr>
      <w:rPr>
        <w:rFonts w:ascii="Courier New" w:hAnsi="Courier New" w:cs="Courier New" w:hint="default"/>
      </w:rPr>
    </w:lvl>
    <w:lvl w:ilvl="2" w:tplc="0D92E52A">
      <w:start w:val="1"/>
      <w:numFmt w:val="bullet"/>
      <w:lvlText w:val=""/>
      <w:lvlJc w:val="left"/>
      <w:pPr>
        <w:ind w:left="2160" w:hanging="360"/>
      </w:pPr>
      <w:rPr>
        <w:rFonts w:ascii="Wingdings" w:hAnsi="Wingdings" w:hint="default"/>
      </w:rPr>
    </w:lvl>
    <w:lvl w:ilvl="3" w:tplc="01A2F10C">
      <w:start w:val="1"/>
      <w:numFmt w:val="bullet"/>
      <w:lvlText w:val=""/>
      <w:lvlJc w:val="left"/>
      <w:pPr>
        <w:ind w:left="2880" w:hanging="360"/>
      </w:pPr>
      <w:rPr>
        <w:rFonts w:ascii="Symbol" w:hAnsi="Symbol" w:hint="default"/>
      </w:rPr>
    </w:lvl>
    <w:lvl w:ilvl="4" w:tplc="0F824618">
      <w:start w:val="1"/>
      <w:numFmt w:val="bullet"/>
      <w:lvlText w:val="o"/>
      <w:lvlJc w:val="left"/>
      <w:pPr>
        <w:ind w:left="3600" w:hanging="360"/>
      </w:pPr>
      <w:rPr>
        <w:rFonts w:ascii="Courier New" w:hAnsi="Courier New" w:cs="Courier New" w:hint="default"/>
      </w:rPr>
    </w:lvl>
    <w:lvl w:ilvl="5" w:tplc="99A6F9DE">
      <w:start w:val="1"/>
      <w:numFmt w:val="bullet"/>
      <w:lvlText w:val=""/>
      <w:lvlJc w:val="left"/>
      <w:pPr>
        <w:ind w:left="4320" w:hanging="360"/>
      </w:pPr>
      <w:rPr>
        <w:rFonts w:ascii="Wingdings" w:hAnsi="Wingdings" w:hint="default"/>
      </w:rPr>
    </w:lvl>
    <w:lvl w:ilvl="6" w:tplc="5EB6EAC4">
      <w:start w:val="1"/>
      <w:numFmt w:val="bullet"/>
      <w:lvlText w:val=""/>
      <w:lvlJc w:val="left"/>
      <w:pPr>
        <w:ind w:left="5040" w:hanging="360"/>
      </w:pPr>
      <w:rPr>
        <w:rFonts w:ascii="Symbol" w:hAnsi="Symbol" w:hint="default"/>
      </w:rPr>
    </w:lvl>
    <w:lvl w:ilvl="7" w:tplc="FAA4FE4E">
      <w:start w:val="1"/>
      <w:numFmt w:val="bullet"/>
      <w:lvlText w:val="o"/>
      <w:lvlJc w:val="left"/>
      <w:pPr>
        <w:ind w:left="5760" w:hanging="360"/>
      </w:pPr>
      <w:rPr>
        <w:rFonts w:ascii="Courier New" w:hAnsi="Courier New" w:cs="Courier New" w:hint="default"/>
      </w:rPr>
    </w:lvl>
    <w:lvl w:ilvl="8" w:tplc="9EB04EBE">
      <w:start w:val="1"/>
      <w:numFmt w:val="bullet"/>
      <w:lvlText w:val=""/>
      <w:lvlJc w:val="left"/>
      <w:pPr>
        <w:ind w:left="6480" w:hanging="360"/>
      </w:pPr>
      <w:rPr>
        <w:rFonts w:ascii="Wingdings" w:hAnsi="Wingdings" w:hint="default"/>
      </w:rPr>
    </w:lvl>
  </w:abstractNum>
  <w:abstractNum w:abstractNumId="8" w15:restartNumberingAfterBreak="0">
    <w:nsid w:val="65511AE0"/>
    <w:multiLevelType w:val="hybridMultilevel"/>
    <w:tmpl w:val="C7B05DCC"/>
    <w:lvl w:ilvl="0" w:tplc="E3AA8F16">
      <w:start w:val="1"/>
      <w:numFmt w:val="bullet"/>
      <w:suff w:val="nothing"/>
      <w:lvlText w:val=""/>
      <w:lvlJc w:val="left"/>
      <w:pPr>
        <w:ind w:left="360" w:firstLine="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675207B9"/>
    <w:multiLevelType w:val="hybridMultilevel"/>
    <w:tmpl w:val="E3A03264"/>
    <w:lvl w:ilvl="0" w:tplc="27D45196">
      <w:start w:val="1"/>
      <w:numFmt w:val="bullet"/>
      <w:lvlText w:val=""/>
      <w:lvlJc w:val="left"/>
      <w:pPr>
        <w:ind w:left="720" w:hanging="360"/>
      </w:pPr>
      <w:rPr>
        <w:rFonts w:ascii="Symbol" w:hAnsi="Symbol" w:hint="default"/>
      </w:rPr>
    </w:lvl>
    <w:lvl w:ilvl="1" w:tplc="49A81C94">
      <w:start w:val="1"/>
      <w:numFmt w:val="bullet"/>
      <w:lvlText w:val="o"/>
      <w:lvlJc w:val="left"/>
      <w:pPr>
        <w:ind w:left="1440" w:hanging="360"/>
      </w:pPr>
      <w:rPr>
        <w:rFonts w:ascii="Courier New" w:hAnsi="Courier New" w:cs="Courier New" w:hint="default"/>
      </w:rPr>
    </w:lvl>
    <w:lvl w:ilvl="2" w:tplc="D85027F2">
      <w:start w:val="1"/>
      <w:numFmt w:val="bullet"/>
      <w:lvlText w:val=""/>
      <w:lvlJc w:val="left"/>
      <w:pPr>
        <w:ind w:left="2160" w:hanging="360"/>
      </w:pPr>
      <w:rPr>
        <w:rFonts w:ascii="Wingdings" w:hAnsi="Wingdings" w:hint="default"/>
      </w:rPr>
    </w:lvl>
    <w:lvl w:ilvl="3" w:tplc="CD62B3B0">
      <w:start w:val="1"/>
      <w:numFmt w:val="bullet"/>
      <w:lvlText w:val=""/>
      <w:lvlJc w:val="left"/>
      <w:pPr>
        <w:ind w:left="2880" w:hanging="360"/>
      </w:pPr>
      <w:rPr>
        <w:rFonts w:ascii="Symbol" w:hAnsi="Symbol" w:hint="default"/>
      </w:rPr>
    </w:lvl>
    <w:lvl w:ilvl="4" w:tplc="E876ACA0">
      <w:start w:val="1"/>
      <w:numFmt w:val="bullet"/>
      <w:lvlText w:val="o"/>
      <w:lvlJc w:val="left"/>
      <w:pPr>
        <w:ind w:left="3600" w:hanging="360"/>
      </w:pPr>
      <w:rPr>
        <w:rFonts w:ascii="Courier New" w:hAnsi="Courier New" w:cs="Courier New" w:hint="default"/>
      </w:rPr>
    </w:lvl>
    <w:lvl w:ilvl="5" w:tplc="0AC46526">
      <w:start w:val="1"/>
      <w:numFmt w:val="bullet"/>
      <w:lvlText w:val=""/>
      <w:lvlJc w:val="left"/>
      <w:pPr>
        <w:ind w:left="4320" w:hanging="360"/>
      </w:pPr>
      <w:rPr>
        <w:rFonts w:ascii="Wingdings" w:hAnsi="Wingdings" w:hint="default"/>
      </w:rPr>
    </w:lvl>
    <w:lvl w:ilvl="6" w:tplc="FD904008">
      <w:start w:val="1"/>
      <w:numFmt w:val="bullet"/>
      <w:lvlText w:val=""/>
      <w:lvlJc w:val="left"/>
      <w:pPr>
        <w:ind w:left="5040" w:hanging="360"/>
      </w:pPr>
      <w:rPr>
        <w:rFonts w:ascii="Symbol" w:hAnsi="Symbol" w:hint="default"/>
      </w:rPr>
    </w:lvl>
    <w:lvl w:ilvl="7" w:tplc="CD84C1FE">
      <w:start w:val="1"/>
      <w:numFmt w:val="bullet"/>
      <w:lvlText w:val="o"/>
      <w:lvlJc w:val="left"/>
      <w:pPr>
        <w:ind w:left="5760" w:hanging="360"/>
      </w:pPr>
      <w:rPr>
        <w:rFonts w:ascii="Courier New" w:hAnsi="Courier New" w:cs="Courier New" w:hint="default"/>
      </w:rPr>
    </w:lvl>
    <w:lvl w:ilvl="8" w:tplc="A4A61F32">
      <w:start w:val="1"/>
      <w:numFmt w:val="bullet"/>
      <w:lvlText w:val=""/>
      <w:lvlJc w:val="left"/>
      <w:pPr>
        <w:ind w:left="6480" w:hanging="360"/>
      </w:pPr>
      <w:rPr>
        <w:rFonts w:ascii="Wingdings" w:hAnsi="Wingdings" w:hint="default"/>
      </w:rPr>
    </w:lvl>
  </w:abstractNum>
  <w:abstractNum w:abstractNumId="10" w15:restartNumberingAfterBreak="0">
    <w:nsid w:val="6A354341"/>
    <w:multiLevelType w:val="hybridMultilevel"/>
    <w:tmpl w:val="92DC729C"/>
    <w:lvl w:ilvl="0" w:tplc="D8968716">
      <w:start w:val="1"/>
      <w:numFmt w:val="bullet"/>
      <w:lvlText w:val=""/>
      <w:lvlJc w:val="left"/>
      <w:pPr>
        <w:ind w:left="360" w:hanging="360"/>
      </w:pPr>
      <w:rPr>
        <w:rFonts w:ascii="Symbol" w:hAnsi="Symbol" w:hint="default"/>
      </w:rPr>
    </w:lvl>
    <w:lvl w:ilvl="1" w:tplc="EC8AE760">
      <w:start w:val="1"/>
      <w:numFmt w:val="bullet"/>
      <w:lvlText w:val="o"/>
      <w:lvlJc w:val="left"/>
      <w:pPr>
        <w:ind w:left="1080" w:hanging="360"/>
      </w:pPr>
      <w:rPr>
        <w:rFonts w:ascii="Courier New" w:hAnsi="Courier New" w:cs="Courier New" w:hint="default"/>
      </w:rPr>
    </w:lvl>
    <w:lvl w:ilvl="2" w:tplc="D2D0FC54">
      <w:start w:val="1"/>
      <w:numFmt w:val="bullet"/>
      <w:lvlText w:val=""/>
      <w:lvlJc w:val="left"/>
      <w:pPr>
        <w:ind w:left="1800" w:hanging="360"/>
      </w:pPr>
      <w:rPr>
        <w:rFonts w:ascii="Wingdings" w:hAnsi="Wingdings" w:hint="default"/>
      </w:rPr>
    </w:lvl>
    <w:lvl w:ilvl="3" w:tplc="E126FC58">
      <w:start w:val="1"/>
      <w:numFmt w:val="bullet"/>
      <w:lvlText w:val=""/>
      <w:lvlJc w:val="left"/>
      <w:pPr>
        <w:ind w:left="2520" w:hanging="360"/>
      </w:pPr>
      <w:rPr>
        <w:rFonts w:ascii="Symbol" w:hAnsi="Symbol" w:hint="default"/>
      </w:rPr>
    </w:lvl>
    <w:lvl w:ilvl="4" w:tplc="540E2538">
      <w:start w:val="1"/>
      <w:numFmt w:val="bullet"/>
      <w:lvlText w:val="o"/>
      <w:lvlJc w:val="left"/>
      <w:pPr>
        <w:ind w:left="3240" w:hanging="360"/>
      </w:pPr>
      <w:rPr>
        <w:rFonts w:ascii="Courier New" w:hAnsi="Courier New" w:cs="Courier New" w:hint="default"/>
      </w:rPr>
    </w:lvl>
    <w:lvl w:ilvl="5" w:tplc="4B7681B4">
      <w:start w:val="1"/>
      <w:numFmt w:val="bullet"/>
      <w:lvlText w:val=""/>
      <w:lvlJc w:val="left"/>
      <w:pPr>
        <w:ind w:left="3960" w:hanging="360"/>
      </w:pPr>
      <w:rPr>
        <w:rFonts w:ascii="Wingdings" w:hAnsi="Wingdings" w:hint="default"/>
      </w:rPr>
    </w:lvl>
    <w:lvl w:ilvl="6" w:tplc="72080008">
      <w:start w:val="1"/>
      <w:numFmt w:val="bullet"/>
      <w:lvlText w:val=""/>
      <w:lvlJc w:val="left"/>
      <w:pPr>
        <w:ind w:left="4680" w:hanging="360"/>
      </w:pPr>
      <w:rPr>
        <w:rFonts w:ascii="Symbol" w:hAnsi="Symbol" w:hint="default"/>
      </w:rPr>
    </w:lvl>
    <w:lvl w:ilvl="7" w:tplc="796A4D7E">
      <w:start w:val="1"/>
      <w:numFmt w:val="bullet"/>
      <w:lvlText w:val="o"/>
      <w:lvlJc w:val="left"/>
      <w:pPr>
        <w:ind w:left="5400" w:hanging="360"/>
      </w:pPr>
      <w:rPr>
        <w:rFonts w:ascii="Courier New" w:hAnsi="Courier New" w:cs="Courier New" w:hint="default"/>
      </w:rPr>
    </w:lvl>
    <w:lvl w:ilvl="8" w:tplc="47620ED6">
      <w:start w:val="1"/>
      <w:numFmt w:val="bullet"/>
      <w:lvlText w:val=""/>
      <w:lvlJc w:val="left"/>
      <w:pPr>
        <w:ind w:left="6120" w:hanging="360"/>
      </w:pPr>
      <w:rPr>
        <w:rFonts w:ascii="Wingdings" w:hAnsi="Wingdings" w:hint="default"/>
      </w:rPr>
    </w:lvl>
  </w:abstractNum>
  <w:abstractNum w:abstractNumId="11" w15:restartNumberingAfterBreak="0">
    <w:nsid w:val="6D466B99"/>
    <w:multiLevelType w:val="hybridMultilevel"/>
    <w:tmpl w:val="13A2AE1E"/>
    <w:lvl w:ilvl="0" w:tplc="5D2A7A5E">
      <w:start w:val="1"/>
      <w:numFmt w:val="bullet"/>
      <w:lvlText w:val=""/>
      <w:lvlJc w:val="left"/>
      <w:pPr>
        <w:ind w:left="0" w:firstLine="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6EFD29BC"/>
    <w:multiLevelType w:val="hybridMultilevel"/>
    <w:tmpl w:val="81B215E8"/>
    <w:lvl w:ilvl="0" w:tplc="3472702A">
      <w:start w:val="1"/>
      <w:numFmt w:val="bullet"/>
      <w:lvlText w:val=""/>
      <w:lvlJc w:val="left"/>
      <w:pPr>
        <w:ind w:left="720" w:hanging="360"/>
      </w:pPr>
      <w:rPr>
        <w:rFonts w:ascii="Symbol" w:hAnsi="Symbol" w:hint="default"/>
      </w:rPr>
    </w:lvl>
    <w:lvl w:ilvl="1" w:tplc="652E0258">
      <w:start w:val="1"/>
      <w:numFmt w:val="bullet"/>
      <w:lvlText w:val="o"/>
      <w:lvlJc w:val="left"/>
      <w:pPr>
        <w:ind w:left="1440" w:hanging="360"/>
      </w:pPr>
      <w:rPr>
        <w:rFonts w:ascii="Courier New" w:hAnsi="Courier New" w:cs="Courier New" w:hint="default"/>
      </w:rPr>
    </w:lvl>
    <w:lvl w:ilvl="2" w:tplc="61FA4E42">
      <w:start w:val="1"/>
      <w:numFmt w:val="bullet"/>
      <w:lvlText w:val=""/>
      <w:lvlJc w:val="left"/>
      <w:pPr>
        <w:ind w:left="2160" w:hanging="360"/>
      </w:pPr>
      <w:rPr>
        <w:rFonts w:ascii="Wingdings" w:hAnsi="Wingdings" w:hint="default"/>
      </w:rPr>
    </w:lvl>
    <w:lvl w:ilvl="3" w:tplc="9ED01630">
      <w:start w:val="1"/>
      <w:numFmt w:val="bullet"/>
      <w:lvlText w:val=""/>
      <w:lvlJc w:val="left"/>
      <w:pPr>
        <w:ind w:left="2880" w:hanging="360"/>
      </w:pPr>
      <w:rPr>
        <w:rFonts w:ascii="Symbol" w:hAnsi="Symbol" w:hint="default"/>
      </w:rPr>
    </w:lvl>
    <w:lvl w:ilvl="4" w:tplc="9F728304">
      <w:start w:val="1"/>
      <w:numFmt w:val="bullet"/>
      <w:lvlText w:val="o"/>
      <w:lvlJc w:val="left"/>
      <w:pPr>
        <w:ind w:left="3600" w:hanging="360"/>
      </w:pPr>
      <w:rPr>
        <w:rFonts w:ascii="Courier New" w:hAnsi="Courier New" w:cs="Courier New" w:hint="default"/>
      </w:rPr>
    </w:lvl>
    <w:lvl w:ilvl="5" w:tplc="8FF6710A">
      <w:start w:val="1"/>
      <w:numFmt w:val="bullet"/>
      <w:lvlText w:val=""/>
      <w:lvlJc w:val="left"/>
      <w:pPr>
        <w:ind w:left="4320" w:hanging="360"/>
      </w:pPr>
      <w:rPr>
        <w:rFonts w:ascii="Wingdings" w:hAnsi="Wingdings" w:hint="default"/>
      </w:rPr>
    </w:lvl>
    <w:lvl w:ilvl="6" w:tplc="01487C3A">
      <w:start w:val="1"/>
      <w:numFmt w:val="bullet"/>
      <w:lvlText w:val=""/>
      <w:lvlJc w:val="left"/>
      <w:pPr>
        <w:ind w:left="5040" w:hanging="360"/>
      </w:pPr>
      <w:rPr>
        <w:rFonts w:ascii="Symbol" w:hAnsi="Symbol" w:hint="default"/>
      </w:rPr>
    </w:lvl>
    <w:lvl w:ilvl="7" w:tplc="2A9C13DE">
      <w:start w:val="1"/>
      <w:numFmt w:val="bullet"/>
      <w:lvlText w:val="o"/>
      <w:lvlJc w:val="left"/>
      <w:pPr>
        <w:ind w:left="5760" w:hanging="360"/>
      </w:pPr>
      <w:rPr>
        <w:rFonts w:ascii="Courier New" w:hAnsi="Courier New" w:cs="Courier New" w:hint="default"/>
      </w:rPr>
    </w:lvl>
    <w:lvl w:ilvl="8" w:tplc="8B362324">
      <w:start w:val="1"/>
      <w:numFmt w:val="bullet"/>
      <w:lvlText w:val=""/>
      <w:lvlJc w:val="left"/>
      <w:pPr>
        <w:ind w:left="6480" w:hanging="360"/>
      </w:pPr>
      <w:rPr>
        <w:rFonts w:ascii="Wingdings" w:hAnsi="Wingdings" w:hint="default"/>
      </w:rPr>
    </w:lvl>
  </w:abstractNum>
  <w:abstractNum w:abstractNumId="13" w15:restartNumberingAfterBreak="0">
    <w:nsid w:val="6FC06E45"/>
    <w:multiLevelType w:val="hybridMultilevel"/>
    <w:tmpl w:val="4F8AF4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69235172">
    <w:abstractNumId w:val="9"/>
  </w:num>
  <w:num w:numId="2" w16cid:durableId="1594124645">
    <w:abstractNumId w:val="12"/>
  </w:num>
  <w:num w:numId="3" w16cid:durableId="491414264">
    <w:abstractNumId w:val="10"/>
  </w:num>
  <w:num w:numId="4" w16cid:durableId="40834159">
    <w:abstractNumId w:val="7"/>
  </w:num>
  <w:num w:numId="5" w16cid:durableId="787510792">
    <w:abstractNumId w:val="2"/>
  </w:num>
  <w:num w:numId="6" w16cid:durableId="1888954917">
    <w:abstractNumId w:val="5"/>
  </w:num>
  <w:num w:numId="7" w16cid:durableId="12535432">
    <w:abstractNumId w:val="3"/>
  </w:num>
  <w:num w:numId="8" w16cid:durableId="1424304583">
    <w:abstractNumId w:val="6"/>
  </w:num>
  <w:num w:numId="9" w16cid:durableId="1136338784">
    <w:abstractNumId w:val="4"/>
  </w:num>
  <w:num w:numId="10" w16cid:durableId="1812865564">
    <w:abstractNumId w:val="9"/>
  </w:num>
  <w:num w:numId="11" w16cid:durableId="507987686">
    <w:abstractNumId w:val="11"/>
  </w:num>
  <w:num w:numId="12" w16cid:durableId="134883651">
    <w:abstractNumId w:val="0"/>
  </w:num>
  <w:num w:numId="13" w16cid:durableId="514541957">
    <w:abstractNumId w:val="1"/>
  </w:num>
  <w:num w:numId="14" w16cid:durableId="1108114880">
    <w:abstractNumId w:val="8"/>
  </w:num>
  <w:num w:numId="15" w16cid:durableId="2082021429">
    <w:abstractNumId w:val="10"/>
  </w:num>
  <w:num w:numId="16" w16cid:durableId="14068784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27D"/>
    <w:rsid w:val="00015999"/>
    <w:rsid w:val="000222C3"/>
    <w:rsid w:val="00041792"/>
    <w:rsid w:val="00082439"/>
    <w:rsid w:val="000A7AA2"/>
    <w:rsid w:val="001406DC"/>
    <w:rsid w:val="001529F8"/>
    <w:rsid w:val="00182193"/>
    <w:rsid w:val="00285A0D"/>
    <w:rsid w:val="00287C65"/>
    <w:rsid w:val="002A2851"/>
    <w:rsid w:val="002C3D75"/>
    <w:rsid w:val="0038224D"/>
    <w:rsid w:val="003D2D1D"/>
    <w:rsid w:val="00432883"/>
    <w:rsid w:val="00461B96"/>
    <w:rsid w:val="00481D43"/>
    <w:rsid w:val="004A39A5"/>
    <w:rsid w:val="004C568B"/>
    <w:rsid w:val="0056462D"/>
    <w:rsid w:val="00587244"/>
    <w:rsid w:val="00615608"/>
    <w:rsid w:val="00631808"/>
    <w:rsid w:val="00675F51"/>
    <w:rsid w:val="006F5636"/>
    <w:rsid w:val="006F6022"/>
    <w:rsid w:val="007B2B90"/>
    <w:rsid w:val="00841F63"/>
    <w:rsid w:val="008E3BD1"/>
    <w:rsid w:val="00925120"/>
    <w:rsid w:val="00946979"/>
    <w:rsid w:val="00A14660"/>
    <w:rsid w:val="00A44355"/>
    <w:rsid w:val="00A74A65"/>
    <w:rsid w:val="00AC18ED"/>
    <w:rsid w:val="00AE5F20"/>
    <w:rsid w:val="00B16FA1"/>
    <w:rsid w:val="00BD676C"/>
    <w:rsid w:val="00C671EC"/>
    <w:rsid w:val="00C91AC3"/>
    <w:rsid w:val="00D529A6"/>
    <w:rsid w:val="00DB5F73"/>
    <w:rsid w:val="00DE0B4D"/>
    <w:rsid w:val="00E03C07"/>
    <w:rsid w:val="00E11426"/>
    <w:rsid w:val="00E12920"/>
    <w:rsid w:val="00F762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C20A6"/>
  <w15:chartTrackingRefBased/>
  <w15:docId w15:val="{26B4DA8F-3D04-40A9-8195-E05B7F0BA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022"/>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F60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F60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022"/>
    <w:rPr>
      <w:rFonts w:asciiTheme="majorHAnsi" w:eastAsiaTheme="majorEastAsia" w:hAnsiTheme="majorHAnsi" w:cstheme="majorBidi"/>
      <w:color w:val="2F5496" w:themeColor="accent1" w:themeShade="BF"/>
      <w:sz w:val="32"/>
      <w:szCs w:val="32"/>
    </w:rPr>
  </w:style>
  <w:style w:type="paragraph" w:customStyle="1" w:styleId="Standard">
    <w:name w:val="Standard"/>
    <w:rsid w:val="006F6022"/>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Heading2Char">
    <w:name w:val="Heading 2 Char"/>
    <w:basedOn w:val="DefaultParagraphFont"/>
    <w:link w:val="Heading2"/>
    <w:uiPriority w:val="9"/>
    <w:semiHidden/>
    <w:rsid w:val="006F6022"/>
    <w:rPr>
      <w:rFonts w:asciiTheme="majorHAnsi" w:eastAsiaTheme="majorEastAsia" w:hAnsiTheme="majorHAnsi" w:cstheme="majorBidi"/>
      <w:color w:val="2F5496" w:themeColor="accent1" w:themeShade="BF"/>
      <w:sz w:val="26"/>
      <w:szCs w:val="26"/>
    </w:rPr>
  </w:style>
  <w:style w:type="character" w:styleId="Hyperlink">
    <w:name w:val="Hyperlink"/>
    <w:uiPriority w:val="99"/>
    <w:unhideWhenUsed/>
    <w:rsid w:val="006F6022"/>
    <w:rPr>
      <w:color w:val="0000FF"/>
      <w:u w:val="single"/>
    </w:rPr>
  </w:style>
  <w:style w:type="paragraph" w:styleId="TOC1">
    <w:name w:val="toc 1"/>
    <w:basedOn w:val="Normal"/>
    <w:next w:val="Normal"/>
    <w:autoRedefine/>
    <w:uiPriority w:val="39"/>
    <w:unhideWhenUsed/>
    <w:rsid w:val="006F6022"/>
    <w:pPr>
      <w:spacing w:after="100"/>
    </w:pPr>
    <w:rPr>
      <w:rFonts w:eastAsia="Calibri" w:cs="Vrinda"/>
    </w:rPr>
  </w:style>
  <w:style w:type="paragraph" w:styleId="TOC2">
    <w:name w:val="toc 2"/>
    <w:basedOn w:val="Normal"/>
    <w:next w:val="Normal"/>
    <w:autoRedefine/>
    <w:uiPriority w:val="39"/>
    <w:unhideWhenUsed/>
    <w:rsid w:val="006F6022"/>
    <w:pPr>
      <w:spacing w:after="100"/>
      <w:ind w:left="220"/>
    </w:pPr>
    <w:rPr>
      <w:rFonts w:eastAsia="Calibri" w:cs="Vrinda"/>
    </w:rPr>
  </w:style>
  <w:style w:type="paragraph" w:styleId="NoSpacing">
    <w:name w:val="No Spacing"/>
    <w:autoRedefine/>
    <w:uiPriority w:val="1"/>
    <w:qFormat/>
    <w:rsid w:val="006F6022"/>
    <w:pPr>
      <w:spacing w:after="0" w:line="360" w:lineRule="auto"/>
      <w:jc w:val="both"/>
    </w:pPr>
    <w:rPr>
      <w:rFonts w:ascii="Times New Roman" w:hAnsi="Times New Roman"/>
      <w:b/>
      <w:sz w:val="24"/>
      <w:lang w:val="en-US"/>
    </w:rPr>
  </w:style>
  <w:style w:type="paragraph" w:styleId="ListParagraph">
    <w:name w:val="List Paragraph"/>
    <w:basedOn w:val="Normal"/>
    <w:uiPriority w:val="34"/>
    <w:qFormat/>
    <w:rsid w:val="006F6022"/>
    <w:pPr>
      <w:ind w:left="720"/>
      <w:contextualSpacing/>
    </w:pPr>
    <w:rPr>
      <w:lang w:val="en-US"/>
    </w:rPr>
  </w:style>
  <w:style w:type="paragraph" w:styleId="TOCHeading">
    <w:name w:val="TOC Heading"/>
    <w:basedOn w:val="Heading1"/>
    <w:next w:val="Normal"/>
    <w:uiPriority w:val="39"/>
    <w:unhideWhenUsed/>
    <w:qFormat/>
    <w:rsid w:val="006F6022"/>
    <w:pPr>
      <w:spacing w:before="0"/>
      <w:outlineLvl w:val="9"/>
    </w:pPr>
    <w:rPr>
      <w:rFonts w:ascii="Cambria" w:eastAsia="Times New Roman" w:hAnsi="Cambria" w:cs="Vrinda"/>
      <w:b/>
      <w:bCs/>
      <w:color w:val="365F91"/>
      <w:sz w:val="28"/>
      <w:szCs w:val="28"/>
      <w:lang w:val="en-US"/>
    </w:rPr>
  </w:style>
  <w:style w:type="table" w:styleId="TableGrid">
    <w:name w:val="Table Grid"/>
    <w:basedOn w:val="TableNormal"/>
    <w:uiPriority w:val="39"/>
    <w:rsid w:val="006F60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6Colorful-Accent1">
    <w:name w:val="Grid Table 6 Colorful Accent 1"/>
    <w:basedOn w:val="TableNormal"/>
    <w:uiPriority w:val="51"/>
    <w:rsid w:val="00082439"/>
    <w:pPr>
      <w:spacing w:after="0" w:line="240" w:lineRule="auto"/>
    </w:pPr>
    <w:rPr>
      <w:color w:val="2F5496" w:themeColor="accent1" w:themeShade="BF"/>
    </w:rPr>
    <w:tblPr>
      <w:tblStyleRowBandSize w:val="1"/>
      <w:tblStyleColBandSize w:val="1"/>
      <w:tblInd w:w="0" w:type="nil"/>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5">
    <w:name w:val="Grid Table 4 Accent 5"/>
    <w:basedOn w:val="TableNormal"/>
    <w:uiPriority w:val="49"/>
    <w:rsid w:val="00082439"/>
    <w:pPr>
      <w:spacing w:after="0" w:line="240" w:lineRule="auto"/>
    </w:pPr>
    <w:tblPr>
      <w:tblStyleRowBandSize w:val="1"/>
      <w:tblStyleColBandSize w:val="1"/>
      <w:tblInd w:w="0" w:type="nil"/>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6">
    <w:name w:val="Grid Table 5 Dark Accent 6"/>
    <w:basedOn w:val="TableNormal"/>
    <w:uiPriority w:val="50"/>
    <w:rsid w:val="00082439"/>
    <w:pPr>
      <w:spacing w:after="0" w:line="240" w:lineRule="auto"/>
    </w:p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rmalWeb">
    <w:name w:val="Normal (Web)"/>
    <w:basedOn w:val="Normal"/>
    <w:uiPriority w:val="99"/>
    <w:semiHidden/>
    <w:unhideWhenUsed/>
    <w:rsid w:val="003D2D1D"/>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1914">
      <w:bodyDiv w:val="1"/>
      <w:marLeft w:val="0"/>
      <w:marRight w:val="0"/>
      <w:marTop w:val="0"/>
      <w:marBottom w:val="0"/>
      <w:divBdr>
        <w:top w:val="none" w:sz="0" w:space="0" w:color="auto"/>
        <w:left w:val="none" w:sz="0" w:space="0" w:color="auto"/>
        <w:bottom w:val="none" w:sz="0" w:space="0" w:color="auto"/>
        <w:right w:val="none" w:sz="0" w:space="0" w:color="auto"/>
      </w:divBdr>
    </w:div>
    <w:div w:id="71588370">
      <w:bodyDiv w:val="1"/>
      <w:marLeft w:val="0"/>
      <w:marRight w:val="0"/>
      <w:marTop w:val="0"/>
      <w:marBottom w:val="0"/>
      <w:divBdr>
        <w:top w:val="none" w:sz="0" w:space="0" w:color="auto"/>
        <w:left w:val="none" w:sz="0" w:space="0" w:color="auto"/>
        <w:bottom w:val="none" w:sz="0" w:space="0" w:color="auto"/>
        <w:right w:val="none" w:sz="0" w:space="0" w:color="auto"/>
      </w:divBdr>
    </w:div>
    <w:div w:id="458646575">
      <w:bodyDiv w:val="1"/>
      <w:marLeft w:val="0"/>
      <w:marRight w:val="0"/>
      <w:marTop w:val="0"/>
      <w:marBottom w:val="0"/>
      <w:divBdr>
        <w:top w:val="none" w:sz="0" w:space="0" w:color="auto"/>
        <w:left w:val="none" w:sz="0" w:space="0" w:color="auto"/>
        <w:bottom w:val="none" w:sz="0" w:space="0" w:color="auto"/>
        <w:right w:val="none" w:sz="0" w:space="0" w:color="auto"/>
      </w:divBdr>
    </w:div>
    <w:div w:id="503856422">
      <w:bodyDiv w:val="1"/>
      <w:marLeft w:val="0"/>
      <w:marRight w:val="0"/>
      <w:marTop w:val="0"/>
      <w:marBottom w:val="0"/>
      <w:divBdr>
        <w:top w:val="none" w:sz="0" w:space="0" w:color="auto"/>
        <w:left w:val="none" w:sz="0" w:space="0" w:color="auto"/>
        <w:bottom w:val="none" w:sz="0" w:space="0" w:color="auto"/>
        <w:right w:val="none" w:sz="0" w:space="0" w:color="auto"/>
      </w:divBdr>
      <w:divsChild>
        <w:div w:id="962687905">
          <w:marLeft w:val="0"/>
          <w:marRight w:val="0"/>
          <w:marTop w:val="0"/>
          <w:marBottom w:val="75"/>
          <w:divBdr>
            <w:top w:val="none" w:sz="0" w:space="0" w:color="auto"/>
            <w:left w:val="none" w:sz="0" w:space="0" w:color="auto"/>
            <w:bottom w:val="none" w:sz="0" w:space="0" w:color="auto"/>
            <w:right w:val="none" w:sz="0" w:space="0" w:color="auto"/>
          </w:divBdr>
        </w:div>
      </w:divsChild>
    </w:div>
    <w:div w:id="789979870">
      <w:bodyDiv w:val="1"/>
      <w:marLeft w:val="0"/>
      <w:marRight w:val="0"/>
      <w:marTop w:val="0"/>
      <w:marBottom w:val="0"/>
      <w:divBdr>
        <w:top w:val="none" w:sz="0" w:space="0" w:color="auto"/>
        <w:left w:val="none" w:sz="0" w:space="0" w:color="auto"/>
        <w:bottom w:val="none" w:sz="0" w:space="0" w:color="auto"/>
        <w:right w:val="none" w:sz="0" w:space="0" w:color="auto"/>
      </w:divBdr>
    </w:div>
    <w:div w:id="818307120">
      <w:bodyDiv w:val="1"/>
      <w:marLeft w:val="0"/>
      <w:marRight w:val="0"/>
      <w:marTop w:val="0"/>
      <w:marBottom w:val="0"/>
      <w:divBdr>
        <w:top w:val="none" w:sz="0" w:space="0" w:color="auto"/>
        <w:left w:val="none" w:sz="0" w:space="0" w:color="auto"/>
        <w:bottom w:val="none" w:sz="0" w:space="0" w:color="auto"/>
        <w:right w:val="none" w:sz="0" w:space="0" w:color="auto"/>
      </w:divBdr>
    </w:div>
    <w:div w:id="870923625">
      <w:bodyDiv w:val="1"/>
      <w:marLeft w:val="0"/>
      <w:marRight w:val="0"/>
      <w:marTop w:val="0"/>
      <w:marBottom w:val="0"/>
      <w:divBdr>
        <w:top w:val="none" w:sz="0" w:space="0" w:color="auto"/>
        <w:left w:val="none" w:sz="0" w:space="0" w:color="auto"/>
        <w:bottom w:val="none" w:sz="0" w:space="0" w:color="auto"/>
        <w:right w:val="none" w:sz="0" w:space="0" w:color="auto"/>
      </w:divBdr>
    </w:div>
    <w:div w:id="1085299173">
      <w:bodyDiv w:val="1"/>
      <w:marLeft w:val="0"/>
      <w:marRight w:val="0"/>
      <w:marTop w:val="0"/>
      <w:marBottom w:val="0"/>
      <w:divBdr>
        <w:top w:val="none" w:sz="0" w:space="0" w:color="auto"/>
        <w:left w:val="none" w:sz="0" w:space="0" w:color="auto"/>
        <w:bottom w:val="none" w:sz="0" w:space="0" w:color="auto"/>
        <w:right w:val="none" w:sz="0" w:space="0" w:color="auto"/>
      </w:divBdr>
    </w:div>
    <w:div w:id="1096249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7F23A-1AB9-4BEB-86BF-E642AEBBB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2489</Words>
  <Characters>14193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Ghenea</dc:creator>
  <cp:keywords/>
  <dc:description/>
  <cp:lastModifiedBy>Cristina Ghenea</cp:lastModifiedBy>
  <cp:revision>8</cp:revision>
  <dcterms:created xsi:type="dcterms:W3CDTF">2022-05-06T17:35:00Z</dcterms:created>
  <dcterms:modified xsi:type="dcterms:W3CDTF">2022-05-06T17:50:00Z</dcterms:modified>
</cp:coreProperties>
</file>