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E0312" w14:textId="77777777" w:rsidR="00D25C01" w:rsidRPr="007C134D" w:rsidRDefault="00D25C01" w:rsidP="007C134D">
      <w:pPr>
        <w:spacing w:after="0" w:line="360" w:lineRule="auto"/>
        <w:ind w:firstLine="720"/>
        <w:jc w:val="center"/>
        <w:rPr>
          <w:rFonts w:ascii="Times New Roman" w:hAnsi="Times New Roman" w:cs="Times New Roman"/>
          <w:sz w:val="24"/>
          <w:szCs w:val="24"/>
        </w:rPr>
      </w:pPr>
    </w:p>
    <w:p w14:paraId="29A8B8A9" w14:textId="77777777" w:rsidR="00D25C01" w:rsidRPr="007C134D" w:rsidRDefault="00D25C01" w:rsidP="007C134D">
      <w:pPr>
        <w:spacing w:after="0" w:line="360" w:lineRule="auto"/>
        <w:ind w:firstLine="720"/>
        <w:jc w:val="center"/>
        <w:rPr>
          <w:rFonts w:ascii="Times New Roman" w:hAnsi="Times New Roman" w:cs="Times New Roman"/>
          <w:sz w:val="24"/>
          <w:szCs w:val="24"/>
        </w:rPr>
      </w:pPr>
    </w:p>
    <w:p w14:paraId="48C0ED2E" w14:textId="77777777" w:rsidR="00D25C01" w:rsidRPr="007C134D" w:rsidRDefault="00D25C01" w:rsidP="007C134D">
      <w:pPr>
        <w:spacing w:after="0" w:line="360" w:lineRule="auto"/>
        <w:ind w:firstLine="720"/>
        <w:jc w:val="center"/>
        <w:rPr>
          <w:rFonts w:ascii="Times New Roman" w:hAnsi="Times New Roman" w:cs="Times New Roman"/>
          <w:sz w:val="24"/>
          <w:szCs w:val="24"/>
        </w:rPr>
      </w:pPr>
    </w:p>
    <w:p w14:paraId="2C57E9FC" w14:textId="77777777" w:rsidR="006C086A" w:rsidRPr="007C134D" w:rsidRDefault="006C086A" w:rsidP="007C134D">
      <w:pPr>
        <w:spacing w:after="0" w:line="360" w:lineRule="auto"/>
        <w:ind w:firstLine="720"/>
        <w:jc w:val="center"/>
        <w:rPr>
          <w:rFonts w:ascii="Times New Roman" w:hAnsi="Times New Roman" w:cs="Times New Roman"/>
          <w:b/>
          <w:sz w:val="24"/>
          <w:szCs w:val="24"/>
        </w:rPr>
      </w:pPr>
    </w:p>
    <w:p w14:paraId="43B82E15" w14:textId="77777777" w:rsidR="006C086A" w:rsidRPr="007C134D" w:rsidRDefault="006C086A" w:rsidP="007C134D">
      <w:pPr>
        <w:spacing w:after="0" w:line="360" w:lineRule="auto"/>
        <w:ind w:firstLine="720"/>
        <w:jc w:val="center"/>
        <w:rPr>
          <w:rFonts w:ascii="Times New Roman" w:hAnsi="Times New Roman" w:cs="Times New Roman"/>
          <w:b/>
          <w:sz w:val="24"/>
          <w:szCs w:val="24"/>
        </w:rPr>
      </w:pPr>
    </w:p>
    <w:p w14:paraId="0BCCA4B0" w14:textId="77777777" w:rsidR="00D25C01" w:rsidRPr="007C134D" w:rsidRDefault="007B712A" w:rsidP="007C134D">
      <w:pPr>
        <w:spacing w:after="0" w:line="360" w:lineRule="auto"/>
        <w:ind w:firstLine="720"/>
        <w:jc w:val="center"/>
        <w:rPr>
          <w:rFonts w:ascii="Times New Roman" w:hAnsi="Times New Roman" w:cs="Times New Roman"/>
          <w:b/>
          <w:sz w:val="24"/>
          <w:szCs w:val="24"/>
        </w:rPr>
      </w:pPr>
      <w:r w:rsidRPr="007C134D">
        <w:rPr>
          <w:rFonts w:ascii="Times New Roman" w:hAnsi="Times New Roman" w:cs="Times New Roman"/>
          <w:b/>
          <w:sz w:val="24"/>
          <w:szCs w:val="24"/>
        </w:rPr>
        <w:t xml:space="preserve">Vascular </w:t>
      </w:r>
      <w:r w:rsidR="00D25C01" w:rsidRPr="007C134D">
        <w:rPr>
          <w:rFonts w:ascii="Times New Roman" w:hAnsi="Times New Roman" w:cs="Times New Roman"/>
          <w:b/>
          <w:sz w:val="24"/>
          <w:szCs w:val="24"/>
        </w:rPr>
        <w:t>Dementia</w:t>
      </w:r>
    </w:p>
    <w:p w14:paraId="44D6AB3C" w14:textId="77777777" w:rsidR="00D25C01" w:rsidRPr="007C134D" w:rsidRDefault="00D25C01" w:rsidP="007C134D">
      <w:pPr>
        <w:spacing w:after="0" w:line="360" w:lineRule="auto"/>
        <w:ind w:firstLine="720"/>
        <w:jc w:val="center"/>
        <w:rPr>
          <w:rFonts w:ascii="Times New Roman" w:hAnsi="Times New Roman" w:cs="Times New Roman"/>
          <w:b/>
          <w:sz w:val="24"/>
          <w:szCs w:val="24"/>
        </w:rPr>
      </w:pPr>
    </w:p>
    <w:p w14:paraId="7A73F895" w14:textId="23F6DB58" w:rsidR="00D25C01" w:rsidRPr="002271B6" w:rsidRDefault="00D25C01" w:rsidP="002271B6">
      <w:pPr>
        <w:spacing w:after="0" w:line="360" w:lineRule="auto"/>
        <w:ind w:firstLine="720"/>
        <w:jc w:val="center"/>
        <w:rPr>
          <w:rFonts w:ascii="Times New Roman" w:hAnsi="Times New Roman" w:cs="Times New Roman"/>
          <w:sz w:val="28"/>
          <w:szCs w:val="28"/>
        </w:rPr>
      </w:pPr>
      <w:r w:rsidRPr="002271B6">
        <w:rPr>
          <w:rFonts w:ascii="Times New Roman" w:hAnsi="Times New Roman" w:cs="Times New Roman"/>
          <w:sz w:val="28"/>
          <w:szCs w:val="28"/>
        </w:rPr>
        <w:t>Student Name</w:t>
      </w:r>
      <w:r w:rsidR="004235A6" w:rsidRPr="002271B6">
        <w:rPr>
          <w:rFonts w:ascii="Times New Roman" w:hAnsi="Times New Roman" w:cs="Times New Roman"/>
          <w:sz w:val="28"/>
          <w:szCs w:val="28"/>
        </w:rPr>
        <w:t>: Sawsan ELhuda</w:t>
      </w:r>
    </w:p>
    <w:p w14:paraId="4E145986" w14:textId="77777777" w:rsidR="00D25C01" w:rsidRPr="002271B6" w:rsidRDefault="00D25C01" w:rsidP="002271B6">
      <w:pPr>
        <w:spacing w:after="0" w:line="360" w:lineRule="auto"/>
        <w:ind w:firstLine="720"/>
        <w:jc w:val="center"/>
        <w:rPr>
          <w:rFonts w:ascii="Times New Roman" w:hAnsi="Times New Roman" w:cs="Times New Roman"/>
          <w:sz w:val="28"/>
          <w:szCs w:val="28"/>
        </w:rPr>
      </w:pPr>
    </w:p>
    <w:p w14:paraId="7DBB4B02" w14:textId="3DC9B9E7" w:rsidR="00D25C01" w:rsidRPr="002271B6" w:rsidRDefault="00D25C01" w:rsidP="002271B6">
      <w:pPr>
        <w:spacing w:after="0" w:line="360" w:lineRule="auto"/>
        <w:ind w:firstLine="720"/>
        <w:jc w:val="center"/>
        <w:rPr>
          <w:rFonts w:ascii="Times New Roman" w:hAnsi="Times New Roman" w:cs="Times New Roman"/>
          <w:sz w:val="28"/>
          <w:szCs w:val="28"/>
        </w:rPr>
      </w:pPr>
      <w:r w:rsidRPr="002271B6">
        <w:rPr>
          <w:rFonts w:ascii="Times New Roman" w:hAnsi="Times New Roman" w:cs="Times New Roman"/>
          <w:sz w:val="28"/>
          <w:szCs w:val="28"/>
        </w:rPr>
        <w:t>Student Numb</w:t>
      </w:r>
      <w:r w:rsidR="004235A6" w:rsidRPr="002271B6">
        <w:rPr>
          <w:rFonts w:ascii="Times New Roman" w:hAnsi="Times New Roman" w:cs="Times New Roman"/>
          <w:sz w:val="28"/>
          <w:szCs w:val="28"/>
        </w:rPr>
        <w:t>e</w:t>
      </w:r>
      <w:r w:rsidRPr="002271B6">
        <w:rPr>
          <w:rFonts w:ascii="Times New Roman" w:hAnsi="Times New Roman" w:cs="Times New Roman"/>
          <w:sz w:val="28"/>
          <w:szCs w:val="28"/>
        </w:rPr>
        <w:t>r</w:t>
      </w:r>
      <w:r w:rsidR="004235A6" w:rsidRPr="002271B6">
        <w:rPr>
          <w:rFonts w:ascii="Times New Roman" w:hAnsi="Times New Roman" w:cs="Times New Roman"/>
          <w:sz w:val="28"/>
          <w:szCs w:val="28"/>
        </w:rPr>
        <w:t>: 2017353</w:t>
      </w:r>
    </w:p>
    <w:p w14:paraId="15398A0F" w14:textId="2F3CD1F5" w:rsidR="00D25C01" w:rsidRPr="002271B6" w:rsidRDefault="00D25C01" w:rsidP="002271B6">
      <w:pPr>
        <w:tabs>
          <w:tab w:val="left" w:pos="4224"/>
        </w:tabs>
        <w:spacing w:after="0" w:line="360" w:lineRule="auto"/>
        <w:jc w:val="center"/>
        <w:rPr>
          <w:rFonts w:ascii="Times New Roman" w:hAnsi="Times New Roman" w:cs="Times New Roman"/>
          <w:sz w:val="28"/>
          <w:szCs w:val="28"/>
        </w:rPr>
      </w:pPr>
    </w:p>
    <w:p w14:paraId="5B721E84" w14:textId="504973F1" w:rsidR="00D25C01" w:rsidRPr="002271B6" w:rsidRDefault="00D25C01" w:rsidP="002271B6">
      <w:pPr>
        <w:spacing w:after="0" w:line="360" w:lineRule="auto"/>
        <w:ind w:firstLine="720"/>
        <w:jc w:val="center"/>
        <w:rPr>
          <w:rFonts w:ascii="Times New Roman" w:hAnsi="Times New Roman" w:cs="Times New Roman"/>
          <w:sz w:val="28"/>
          <w:szCs w:val="28"/>
        </w:rPr>
      </w:pPr>
      <w:r w:rsidRPr="002271B6">
        <w:rPr>
          <w:rFonts w:ascii="Times New Roman" w:hAnsi="Times New Roman" w:cs="Times New Roman"/>
          <w:sz w:val="28"/>
          <w:szCs w:val="28"/>
        </w:rPr>
        <w:t>Module Title</w:t>
      </w:r>
      <w:r w:rsidR="004235A6" w:rsidRPr="002271B6">
        <w:rPr>
          <w:rFonts w:ascii="Times New Roman" w:hAnsi="Times New Roman" w:cs="Times New Roman"/>
          <w:sz w:val="28"/>
          <w:szCs w:val="28"/>
        </w:rPr>
        <w:t>: Mental Disorders and Psych</w:t>
      </w:r>
      <w:r w:rsidR="001B791F" w:rsidRPr="002271B6">
        <w:rPr>
          <w:rFonts w:ascii="Times New Roman" w:hAnsi="Times New Roman" w:cs="Times New Roman"/>
          <w:sz w:val="28"/>
          <w:szCs w:val="28"/>
        </w:rPr>
        <w:t>o</w:t>
      </w:r>
      <w:r w:rsidR="004235A6" w:rsidRPr="002271B6">
        <w:rPr>
          <w:rFonts w:ascii="Times New Roman" w:hAnsi="Times New Roman" w:cs="Times New Roman"/>
          <w:sz w:val="28"/>
          <w:szCs w:val="28"/>
        </w:rPr>
        <w:t>pathology</w:t>
      </w:r>
    </w:p>
    <w:p w14:paraId="44098937" w14:textId="2CF1CE80" w:rsidR="00D25C01" w:rsidRPr="002271B6" w:rsidRDefault="004235A6" w:rsidP="002271B6">
      <w:pPr>
        <w:tabs>
          <w:tab w:val="left" w:pos="2640"/>
        </w:tabs>
        <w:spacing w:after="0" w:line="360" w:lineRule="auto"/>
        <w:ind w:firstLine="720"/>
        <w:jc w:val="center"/>
        <w:rPr>
          <w:rFonts w:ascii="Times New Roman" w:hAnsi="Times New Roman" w:cs="Times New Roman"/>
          <w:sz w:val="28"/>
          <w:szCs w:val="28"/>
        </w:rPr>
      </w:pPr>
      <w:r w:rsidRPr="002271B6">
        <w:rPr>
          <w:rFonts w:ascii="Times New Roman" w:hAnsi="Times New Roman" w:cs="Times New Roman"/>
          <w:sz w:val="28"/>
          <w:szCs w:val="28"/>
        </w:rPr>
        <w:t>Module Code: BMHP6006</w:t>
      </w:r>
    </w:p>
    <w:p w14:paraId="01E850D2" w14:textId="538BD832" w:rsidR="001B791F" w:rsidRPr="002271B6" w:rsidRDefault="001B791F" w:rsidP="002271B6">
      <w:pPr>
        <w:tabs>
          <w:tab w:val="left" w:pos="3192"/>
        </w:tabs>
        <w:spacing w:after="0" w:line="360" w:lineRule="auto"/>
        <w:ind w:firstLine="720"/>
        <w:jc w:val="center"/>
        <w:rPr>
          <w:rFonts w:ascii="Times New Roman" w:hAnsi="Times New Roman" w:cs="Times New Roman"/>
          <w:sz w:val="28"/>
          <w:szCs w:val="28"/>
        </w:rPr>
      </w:pPr>
      <w:r w:rsidRPr="002271B6">
        <w:rPr>
          <w:rFonts w:ascii="Times New Roman" w:hAnsi="Times New Roman" w:cs="Times New Roman"/>
          <w:sz w:val="28"/>
          <w:szCs w:val="28"/>
        </w:rPr>
        <w:t>Assignment Title: Component 2 Written Report</w:t>
      </w:r>
    </w:p>
    <w:p w14:paraId="3CE1E5F6" w14:textId="36F1CBE2" w:rsidR="00D25C01" w:rsidRPr="002271B6" w:rsidRDefault="00D25C01" w:rsidP="002271B6">
      <w:pPr>
        <w:spacing w:after="0" w:line="360" w:lineRule="auto"/>
        <w:jc w:val="center"/>
        <w:rPr>
          <w:rFonts w:ascii="Times New Roman" w:hAnsi="Times New Roman" w:cs="Times New Roman"/>
          <w:sz w:val="28"/>
          <w:szCs w:val="28"/>
        </w:rPr>
      </w:pPr>
      <w:r w:rsidRPr="002271B6">
        <w:rPr>
          <w:rFonts w:ascii="Times New Roman" w:hAnsi="Times New Roman" w:cs="Times New Roman"/>
          <w:sz w:val="28"/>
          <w:szCs w:val="28"/>
        </w:rPr>
        <w:t>Lecturer’s Name</w:t>
      </w:r>
      <w:r w:rsidR="004235A6" w:rsidRPr="002271B6">
        <w:rPr>
          <w:rFonts w:ascii="Times New Roman" w:hAnsi="Times New Roman" w:cs="Times New Roman"/>
          <w:sz w:val="28"/>
          <w:szCs w:val="28"/>
        </w:rPr>
        <w:t>: Alice Clayton</w:t>
      </w:r>
    </w:p>
    <w:p w14:paraId="413FE62F" w14:textId="77777777" w:rsidR="00D25C01" w:rsidRPr="002271B6" w:rsidRDefault="00D25C01" w:rsidP="002271B6">
      <w:pPr>
        <w:spacing w:after="0" w:line="360" w:lineRule="auto"/>
        <w:ind w:firstLine="720"/>
        <w:jc w:val="center"/>
        <w:rPr>
          <w:rFonts w:ascii="Times New Roman" w:hAnsi="Times New Roman" w:cs="Times New Roman"/>
          <w:sz w:val="28"/>
          <w:szCs w:val="28"/>
        </w:rPr>
      </w:pPr>
    </w:p>
    <w:p w14:paraId="4B6E6E6B" w14:textId="1B4844AB" w:rsidR="00D25C01" w:rsidRPr="002271B6" w:rsidRDefault="00D25C01" w:rsidP="002271B6">
      <w:pPr>
        <w:spacing w:after="0" w:line="360" w:lineRule="auto"/>
        <w:ind w:firstLine="720"/>
        <w:jc w:val="center"/>
        <w:rPr>
          <w:rFonts w:ascii="Times New Roman" w:hAnsi="Times New Roman" w:cs="Times New Roman"/>
          <w:sz w:val="28"/>
          <w:szCs w:val="28"/>
        </w:rPr>
      </w:pPr>
    </w:p>
    <w:p w14:paraId="668ED470" w14:textId="77777777" w:rsidR="00D25C01" w:rsidRPr="002271B6" w:rsidRDefault="00D25C01" w:rsidP="002271B6">
      <w:pPr>
        <w:spacing w:line="360" w:lineRule="auto"/>
        <w:jc w:val="center"/>
        <w:rPr>
          <w:rFonts w:ascii="Times New Roman" w:hAnsi="Times New Roman" w:cs="Times New Roman"/>
          <w:b/>
          <w:bCs/>
          <w:noProof/>
          <w:sz w:val="28"/>
          <w:szCs w:val="28"/>
        </w:rPr>
      </w:pPr>
    </w:p>
    <w:p w14:paraId="1078B72A" w14:textId="77777777" w:rsidR="00000000" w:rsidRPr="002271B6" w:rsidRDefault="00000000" w:rsidP="002271B6">
      <w:pPr>
        <w:spacing w:line="360" w:lineRule="auto"/>
        <w:jc w:val="center"/>
        <w:rPr>
          <w:rFonts w:ascii="Times New Roman" w:hAnsi="Times New Roman" w:cs="Times New Roman"/>
          <w:sz w:val="28"/>
          <w:szCs w:val="28"/>
        </w:rPr>
      </w:pPr>
    </w:p>
    <w:p w14:paraId="5A49CB99" w14:textId="77777777" w:rsidR="00D25C01" w:rsidRPr="002271B6" w:rsidRDefault="00D25C01" w:rsidP="002271B6">
      <w:pPr>
        <w:spacing w:line="360" w:lineRule="auto"/>
        <w:jc w:val="center"/>
        <w:rPr>
          <w:rFonts w:ascii="Times New Roman" w:hAnsi="Times New Roman" w:cs="Times New Roman"/>
          <w:sz w:val="28"/>
          <w:szCs w:val="28"/>
        </w:rPr>
      </w:pPr>
    </w:p>
    <w:p w14:paraId="5C148141" w14:textId="77777777" w:rsidR="00D25C01" w:rsidRPr="002271B6" w:rsidRDefault="00D25C01" w:rsidP="002271B6">
      <w:pPr>
        <w:spacing w:line="360" w:lineRule="auto"/>
        <w:jc w:val="center"/>
        <w:rPr>
          <w:rFonts w:ascii="Times New Roman" w:hAnsi="Times New Roman" w:cs="Times New Roman"/>
          <w:sz w:val="28"/>
          <w:szCs w:val="28"/>
        </w:rPr>
      </w:pPr>
    </w:p>
    <w:p w14:paraId="19AF6ED6" w14:textId="77777777" w:rsidR="00D25C01" w:rsidRPr="002271B6" w:rsidRDefault="00D25C01" w:rsidP="002271B6">
      <w:pPr>
        <w:pStyle w:val="TOCHeading"/>
        <w:spacing w:line="360" w:lineRule="auto"/>
        <w:jc w:val="center"/>
        <w:rPr>
          <w:rFonts w:ascii="Times New Roman" w:hAnsi="Times New Roman" w:cs="Times New Roman"/>
          <w:b/>
          <w:bCs/>
          <w:noProof/>
          <w:sz w:val="28"/>
          <w:szCs w:val="28"/>
        </w:rPr>
      </w:pPr>
    </w:p>
    <w:p w14:paraId="7A3BC182" w14:textId="77777777" w:rsidR="00D25C01" w:rsidRPr="007C134D" w:rsidRDefault="00D25C01" w:rsidP="007C134D">
      <w:pPr>
        <w:spacing w:line="360" w:lineRule="auto"/>
        <w:jc w:val="center"/>
        <w:rPr>
          <w:rFonts w:ascii="Times New Roman" w:hAnsi="Times New Roman" w:cs="Times New Roman"/>
          <w:b/>
          <w:sz w:val="24"/>
          <w:szCs w:val="24"/>
        </w:rPr>
      </w:pPr>
    </w:p>
    <w:p w14:paraId="617B9A27" w14:textId="77777777" w:rsidR="00D25C01" w:rsidRPr="007C134D" w:rsidRDefault="00D25C01" w:rsidP="007C134D">
      <w:pPr>
        <w:spacing w:line="360" w:lineRule="auto"/>
        <w:jc w:val="center"/>
        <w:rPr>
          <w:rFonts w:ascii="Times New Roman" w:hAnsi="Times New Roman" w:cs="Times New Roman"/>
          <w:b/>
          <w:sz w:val="24"/>
          <w:szCs w:val="24"/>
        </w:rPr>
      </w:pPr>
    </w:p>
    <w:p w14:paraId="5DD5A2CF" w14:textId="77777777" w:rsidR="00D25C01" w:rsidRPr="007C134D" w:rsidRDefault="00D25C01" w:rsidP="007C134D">
      <w:pPr>
        <w:spacing w:line="360" w:lineRule="auto"/>
        <w:jc w:val="center"/>
        <w:rPr>
          <w:rFonts w:ascii="Times New Roman" w:hAnsi="Times New Roman" w:cs="Times New Roman"/>
          <w:b/>
          <w:sz w:val="24"/>
          <w:szCs w:val="24"/>
        </w:rPr>
      </w:pPr>
    </w:p>
    <w:p w14:paraId="67D3B477" w14:textId="77777777" w:rsidR="00D25C01" w:rsidRPr="007C134D" w:rsidRDefault="00D25C01" w:rsidP="007C134D">
      <w:pPr>
        <w:spacing w:line="360" w:lineRule="auto"/>
        <w:jc w:val="center"/>
        <w:rPr>
          <w:rFonts w:ascii="Times New Roman" w:hAnsi="Times New Roman" w:cs="Times New Roman"/>
          <w:b/>
          <w:sz w:val="24"/>
          <w:szCs w:val="24"/>
        </w:rPr>
      </w:pPr>
    </w:p>
    <w:p w14:paraId="3FBF2E32" w14:textId="77777777" w:rsidR="00EC0E64" w:rsidRDefault="00EC0E64" w:rsidP="00EC0E64">
      <w:pPr>
        <w:spacing w:line="360" w:lineRule="auto"/>
        <w:rPr>
          <w:rFonts w:ascii="Times New Roman" w:hAnsi="Times New Roman" w:cs="Times New Roman"/>
          <w:b/>
          <w:sz w:val="24"/>
          <w:szCs w:val="24"/>
        </w:rPr>
      </w:pPr>
    </w:p>
    <w:p w14:paraId="245BFC66" w14:textId="77777777" w:rsidR="00D25C01" w:rsidRPr="007C134D" w:rsidRDefault="00D25C01" w:rsidP="00EC0E64">
      <w:pPr>
        <w:spacing w:line="360" w:lineRule="auto"/>
        <w:jc w:val="center"/>
        <w:rPr>
          <w:rFonts w:ascii="Times New Roman" w:hAnsi="Times New Roman" w:cs="Times New Roman"/>
          <w:b/>
          <w:sz w:val="24"/>
          <w:szCs w:val="24"/>
        </w:rPr>
      </w:pPr>
      <w:r w:rsidRPr="007C134D">
        <w:rPr>
          <w:rFonts w:ascii="Times New Roman" w:hAnsi="Times New Roman" w:cs="Times New Roman"/>
          <w:b/>
          <w:sz w:val="24"/>
          <w:szCs w:val="24"/>
        </w:rPr>
        <w:t>Introduction</w:t>
      </w:r>
    </w:p>
    <w:p w14:paraId="77EE8C6C" w14:textId="77777777" w:rsidR="00295A26" w:rsidRDefault="00D25C01"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Dementia is a complex syndrome characterized by a decline in cognitive function that goes beyond what might be expected from normal aging. The International Classification of Diseases, 10th edition (ICD-10), provides a systematic framework for classifying health conditions, and dementia is primarily addressed within Chapter 5, titled "Mental and Behavioral Disorders."</w:t>
      </w:r>
      <w:r w:rsidR="00295A26" w:rsidRPr="007C134D">
        <w:rPr>
          <w:rFonts w:ascii="Times New Roman" w:hAnsi="Times New Roman" w:cs="Times New Roman"/>
          <w:sz w:val="24"/>
          <w:szCs w:val="24"/>
        </w:rPr>
        <w:t xml:space="preserve">  Dementia is a clinical syndrome characterized by a progressive decline in cognitive function, affecting memory, thinking, orientation, comprehension, calculation, learning capacity, language, and judgment. It often leads to significant impairments in an individual's ability to per</w:t>
      </w:r>
      <w:r w:rsidR="00FA41B4">
        <w:rPr>
          <w:rFonts w:ascii="Times New Roman" w:hAnsi="Times New Roman" w:cs="Times New Roman"/>
          <w:sz w:val="24"/>
          <w:szCs w:val="24"/>
        </w:rPr>
        <w:t>form activities of daily living (</w:t>
      </w:r>
      <w:proofErr w:type="spellStart"/>
      <w:r w:rsidR="00FA41B4">
        <w:rPr>
          <w:rFonts w:ascii="Times New Roman" w:hAnsi="Times New Roman" w:cs="Times New Roman"/>
          <w:sz w:val="24"/>
          <w:szCs w:val="24"/>
        </w:rPr>
        <w:t>Cerrulo</w:t>
      </w:r>
      <w:proofErr w:type="spellEnd"/>
      <w:r w:rsidR="00FA41B4">
        <w:rPr>
          <w:rFonts w:ascii="Times New Roman" w:hAnsi="Times New Roman" w:cs="Times New Roman"/>
          <w:sz w:val="24"/>
          <w:szCs w:val="24"/>
        </w:rPr>
        <w:t xml:space="preserve"> et al., 2021).</w:t>
      </w:r>
      <w:r w:rsidR="00295A26" w:rsidRPr="007C134D">
        <w:rPr>
          <w:rFonts w:ascii="Times New Roman" w:hAnsi="Times New Roman" w:cs="Times New Roman"/>
          <w:sz w:val="24"/>
          <w:szCs w:val="24"/>
        </w:rPr>
        <w:t xml:space="preserve"> Dementia is not a specific disease but rather a term encompassing various disorders that cause cognitive decline.</w:t>
      </w:r>
    </w:p>
    <w:p w14:paraId="158E145B" w14:textId="77777777" w:rsidR="00A67019" w:rsidRPr="007C134D" w:rsidRDefault="00A67019" w:rsidP="007C134D">
      <w:pPr>
        <w:spacing w:line="360" w:lineRule="auto"/>
        <w:ind w:firstLine="720"/>
        <w:rPr>
          <w:rFonts w:ascii="Times New Roman" w:hAnsi="Times New Roman" w:cs="Times New Roman"/>
          <w:sz w:val="24"/>
          <w:szCs w:val="24"/>
        </w:rPr>
      </w:pPr>
      <w:r w:rsidRPr="00A67019">
        <w:rPr>
          <w:rFonts w:ascii="Times New Roman" w:hAnsi="Times New Roman" w:cs="Times New Roman"/>
          <w:sz w:val="24"/>
          <w:szCs w:val="24"/>
        </w:rPr>
        <w:t xml:space="preserve">From the provided case study in this exercise, it is mentioned that Raj experienced a change in behavior after suffering from a stroke, and he has young-onset dementia. Given this information, and considering that young-onset dementia often follows a stroke in some cases, </w:t>
      </w:r>
      <w:r w:rsidR="00497ED4">
        <w:rPr>
          <w:rFonts w:ascii="Times New Roman" w:hAnsi="Times New Roman" w:cs="Times New Roman"/>
          <w:sz w:val="24"/>
          <w:szCs w:val="24"/>
        </w:rPr>
        <w:t>Raj may be</w:t>
      </w:r>
      <w:r w:rsidRPr="00A67019">
        <w:rPr>
          <w:rFonts w:ascii="Times New Roman" w:hAnsi="Times New Roman" w:cs="Times New Roman"/>
          <w:sz w:val="24"/>
          <w:szCs w:val="24"/>
        </w:rPr>
        <w:t xml:space="preserve"> diagnosed wi</w:t>
      </w:r>
      <w:r w:rsidR="00497ED4">
        <w:rPr>
          <w:rFonts w:ascii="Times New Roman" w:hAnsi="Times New Roman" w:cs="Times New Roman"/>
          <w:sz w:val="24"/>
          <w:szCs w:val="24"/>
        </w:rPr>
        <w:t>th Vascular Dementia (F01) (Benisty, et al., 2008</w:t>
      </w:r>
      <w:r w:rsidRPr="00A67019">
        <w:rPr>
          <w:rFonts w:ascii="Times New Roman" w:hAnsi="Times New Roman" w:cs="Times New Roman"/>
          <w:sz w:val="24"/>
          <w:szCs w:val="24"/>
        </w:rPr>
        <w:t>). This is because, in the case study, it is mentioned that Raj had a stroke. Vascular Dementia is often associated with cerebrovascular disease, including strokes, as a contributing factor to cognitive decline. The term "young-onset dementia" implies that dementia symptoms are observed in individuals under the age of 65. While Alzheimer's disease is a common cause of dementia, Vascular Dementia can also occur in younger individuals, especially when linked to vascular events like strokes. Raj's family noticed small changes in his memory, such as forgetting routine tasks like turning on the taxi meter and misplacing keys. These memory changes, combined with his stroke history, align with the symptoms of Vascular Dementia. In addition, Raj's lifestyle as a taxi driver involves minimal sleep, poor diet, and additional health problems such as diabetes. These factors, along with the stroke, contribute to vascular risk factors that are associated with Vascular Dementia. It's important to note that a definitive diagnosis would require a comprehensive assessment by a healthcare professional, including medical history, cognitive testing, and possibly neuroimaging. Vascular Dementia can have different subtypes and presentations, and a detailed evaluation is essential for accurate diagnosis and appropriate management.</w:t>
      </w:r>
    </w:p>
    <w:p w14:paraId="06AFAA20" w14:textId="77777777" w:rsidR="00D25C01" w:rsidRPr="007C134D" w:rsidRDefault="00295A26"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The following are the ICD-10 Codes related to dementia.</w:t>
      </w:r>
    </w:p>
    <w:p w14:paraId="1C1E308B"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lastRenderedPageBreak/>
        <w:t>F01: Vascular dementia</w:t>
      </w:r>
    </w:p>
    <w:p w14:paraId="4D3910B3"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t>F02: Dementia in other diseases classified elsewhere</w:t>
      </w:r>
    </w:p>
    <w:p w14:paraId="21427274"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t>F03: Unspecified dementia</w:t>
      </w:r>
    </w:p>
    <w:p w14:paraId="0D2D944D"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t>F04: Organic amnesic syndrome, not induced by alcohol and other psychoactive substances</w:t>
      </w:r>
    </w:p>
    <w:p w14:paraId="289EFE61"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t>F05: Delirium, not induced by alcohol and other psychoactive substances</w:t>
      </w:r>
    </w:p>
    <w:p w14:paraId="76918FC0"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t>F06: Other mental disorders due to brain damage and dysfunction and to physical disease</w:t>
      </w:r>
    </w:p>
    <w:p w14:paraId="4944A1A6"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t>F07: Personality and behavioral disorders due to brain disease, damage, and dysfunction</w:t>
      </w:r>
    </w:p>
    <w:p w14:paraId="68FA4288" w14:textId="77777777" w:rsidR="00295A26" w:rsidRPr="007C134D" w:rsidRDefault="00295A26" w:rsidP="007C134D">
      <w:pPr>
        <w:pStyle w:val="ListParagraph"/>
        <w:numPr>
          <w:ilvl w:val="0"/>
          <w:numId w:val="1"/>
        </w:numPr>
        <w:spacing w:line="360" w:lineRule="auto"/>
        <w:rPr>
          <w:rFonts w:ascii="Times New Roman" w:hAnsi="Times New Roman" w:cs="Times New Roman"/>
          <w:sz w:val="24"/>
          <w:szCs w:val="24"/>
        </w:rPr>
      </w:pPr>
      <w:r w:rsidRPr="007C134D">
        <w:rPr>
          <w:rFonts w:ascii="Times New Roman" w:hAnsi="Times New Roman" w:cs="Times New Roman"/>
          <w:sz w:val="24"/>
          <w:szCs w:val="24"/>
        </w:rPr>
        <w:t>F09: Unspecified mental disorder due to brain damage and dysfunction and to physical disease</w:t>
      </w:r>
    </w:p>
    <w:p w14:paraId="63D74474" w14:textId="77777777" w:rsidR="00295A26" w:rsidRPr="007C134D" w:rsidRDefault="00295A26"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The ICD-10 recognizes different types and subtypes of dementia.</w:t>
      </w:r>
      <w:r w:rsidR="004C569E">
        <w:rPr>
          <w:rFonts w:ascii="Times New Roman" w:hAnsi="Times New Roman" w:cs="Times New Roman"/>
          <w:sz w:val="24"/>
          <w:szCs w:val="24"/>
        </w:rPr>
        <w:t xml:space="preserve"> In this paper we will focus on</w:t>
      </w:r>
      <w:r w:rsidRPr="007C134D">
        <w:rPr>
          <w:rFonts w:ascii="Times New Roman" w:hAnsi="Times New Roman" w:cs="Times New Roman"/>
          <w:sz w:val="24"/>
          <w:szCs w:val="24"/>
        </w:rPr>
        <w:t xml:space="preserve"> Vascular dementia (F01)</w:t>
      </w:r>
      <w:r w:rsidR="004C569E">
        <w:rPr>
          <w:rFonts w:ascii="Times New Roman" w:hAnsi="Times New Roman" w:cs="Times New Roman"/>
          <w:sz w:val="24"/>
          <w:szCs w:val="24"/>
        </w:rPr>
        <w:t xml:space="preserve"> that </w:t>
      </w:r>
      <w:r w:rsidRPr="007C134D">
        <w:rPr>
          <w:rFonts w:ascii="Times New Roman" w:hAnsi="Times New Roman" w:cs="Times New Roman"/>
          <w:sz w:val="24"/>
          <w:szCs w:val="24"/>
        </w:rPr>
        <w:t>is associated with impaired blood flow to the brain, while other codes specify dementia occurring in the context of various diseases. Dementia is generally progressive, meaning that symptoms worsen over time. This progression can vary depending on the underlying cause, such as Alzheimer's disease, vascular factors, or other neurodegenerative conditions. Dementia is a broad term that encompasses a range of disorders characterized by a decline in cognitive function that interferes with daily activities. Different classifications of dementia exist, primarily based on the underlying causes and clinical presentations.</w:t>
      </w:r>
    </w:p>
    <w:p w14:paraId="546A094E" w14:textId="77777777" w:rsidR="00624B08" w:rsidRPr="007C134D" w:rsidRDefault="00295A26"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Alzheimer's Disease is the most common cause of dementia, characterized by the accumulation of abnormal proteins in the brain, leading to the death of nerve cells. Vascular Dementia which is caused by impaired blood flow to the brain, often due to s</w:t>
      </w:r>
      <w:r w:rsidR="00B1509E" w:rsidRPr="007C134D">
        <w:rPr>
          <w:rFonts w:ascii="Times New Roman" w:hAnsi="Times New Roman" w:cs="Times New Roman"/>
          <w:sz w:val="24"/>
          <w:szCs w:val="24"/>
        </w:rPr>
        <w:t>trokes or other vascular issues is also a common cause to dementia. Other causes of dementia include, abnormal protein deposits (Lewy bodies) in the brain, leading to cognitive and motor symptoms leading to LBD, progressive damage to the frontal and temporal lobes of the brain, impacting behavior, personality, and language leading to FTD. Mixed Alzheimer's and Vascular Dementia in some individuals may be exhibited by characteristics of both Alzheimer's and vascular dementia, ofte</w:t>
      </w:r>
      <w:r w:rsidR="00FA41B4">
        <w:rPr>
          <w:rFonts w:ascii="Times New Roman" w:hAnsi="Times New Roman" w:cs="Times New Roman"/>
          <w:sz w:val="24"/>
          <w:szCs w:val="24"/>
        </w:rPr>
        <w:t>n referred to as mixed dementia (Nagata et al., 2020).</w:t>
      </w:r>
    </w:p>
    <w:p w14:paraId="02F3D626" w14:textId="77777777" w:rsidR="00B1509E" w:rsidRPr="007C134D" w:rsidRDefault="00B1509E"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lastRenderedPageBreak/>
        <w:t xml:space="preserve">Secondary or Reversible dementia can be caused by traumatic Brain Injury resulting from head injuries that cause long-term cognitive impairment. Certain infections, such as HIV or neurosyphilis, can cause dementia. Dementia due to Metabolic Causes can be caused by conditions like hypothyroidism, vitamin deficiencies, or metabolic imbalances can lead to cognitive decline. Other causes include, </w:t>
      </w:r>
      <w:proofErr w:type="spellStart"/>
      <w:r w:rsidRPr="007C134D">
        <w:rPr>
          <w:rFonts w:ascii="Times New Roman" w:hAnsi="Times New Roman" w:cs="Times New Roman"/>
          <w:sz w:val="24"/>
          <w:szCs w:val="24"/>
        </w:rPr>
        <w:t>Corticobasal</w:t>
      </w:r>
      <w:proofErr w:type="spellEnd"/>
      <w:r w:rsidRPr="007C134D">
        <w:rPr>
          <w:rFonts w:ascii="Times New Roman" w:hAnsi="Times New Roman" w:cs="Times New Roman"/>
          <w:sz w:val="24"/>
          <w:szCs w:val="24"/>
        </w:rPr>
        <w:t xml:space="preserve"> Degeneration (CBD) and Progressive Supranuclear Palsy (PSP), Huntington's Disease, Creutzfeldt-Jakob Disease (CJD), Wernicke-Korsakoff Syndrome, Normal Pressure Hydrocephalus (NPH), Subcortical Vascular Dementia and Limbic-Predominant Age-Related TDP-43 Encephalopathy (LATE) among other causes</w:t>
      </w:r>
      <w:r w:rsidR="007C134D" w:rsidRPr="007C134D">
        <w:rPr>
          <w:rFonts w:ascii="Times New Roman" w:hAnsi="Times New Roman" w:cs="Times New Roman"/>
          <w:sz w:val="24"/>
          <w:szCs w:val="24"/>
        </w:rPr>
        <w:t xml:space="preserve"> (</w:t>
      </w:r>
      <w:r w:rsidR="007C134D" w:rsidRPr="007C134D">
        <w:rPr>
          <w:rFonts w:ascii="Times New Roman" w:hAnsi="Times New Roman" w:cs="Times New Roman"/>
          <w:color w:val="222222"/>
          <w:sz w:val="24"/>
          <w:szCs w:val="24"/>
          <w:shd w:val="clear" w:color="auto" w:fill="FFFFFF"/>
        </w:rPr>
        <w:t xml:space="preserve">Wetterling, et al., 1996). </w:t>
      </w:r>
      <w:r w:rsidRPr="007C134D">
        <w:rPr>
          <w:rFonts w:ascii="Times New Roman" w:hAnsi="Times New Roman" w:cs="Times New Roman"/>
          <w:sz w:val="24"/>
          <w:szCs w:val="24"/>
        </w:rPr>
        <w:t>These causes lead to a specific type of dementia.</w:t>
      </w:r>
    </w:p>
    <w:p w14:paraId="5F6B16FE" w14:textId="77777777" w:rsidR="00201C9F" w:rsidRPr="007C134D" w:rsidRDefault="00201C9F" w:rsidP="007C134D">
      <w:pPr>
        <w:spacing w:line="360" w:lineRule="auto"/>
        <w:ind w:firstLine="720"/>
        <w:jc w:val="center"/>
        <w:rPr>
          <w:rFonts w:ascii="Times New Roman" w:hAnsi="Times New Roman" w:cs="Times New Roman"/>
          <w:b/>
          <w:sz w:val="24"/>
          <w:szCs w:val="24"/>
        </w:rPr>
      </w:pPr>
      <w:r w:rsidRPr="007C134D">
        <w:rPr>
          <w:rFonts w:ascii="Times New Roman" w:hAnsi="Times New Roman" w:cs="Times New Roman"/>
          <w:b/>
          <w:sz w:val="24"/>
          <w:szCs w:val="24"/>
        </w:rPr>
        <w:t>Diagnosis of Vascular Dementia</w:t>
      </w:r>
    </w:p>
    <w:p w14:paraId="2A5DE80B" w14:textId="77777777" w:rsidR="00201C9F" w:rsidRPr="007C134D" w:rsidRDefault="00201C9F"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The diagnosis of vascular dementia involves a comprehensive evaluation that includes clinical assessments, cognitive testing, imaging studies, and consideration of the individual's medical history. The process and procedures for diagnosing vascular dementia typically include the following steps:</w:t>
      </w:r>
    </w:p>
    <w:p w14:paraId="6F9BA956" w14:textId="77777777" w:rsidR="00201C9F" w:rsidRPr="007C134D" w:rsidRDefault="00201C9F" w:rsidP="007C134D">
      <w:pPr>
        <w:spacing w:line="360" w:lineRule="auto"/>
        <w:ind w:firstLine="720"/>
        <w:rPr>
          <w:rFonts w:ascii="Times New Roman" w:hAnsi="Times New Roman" w:cs="Times New Roman"/>
          <w:b/>
          <w:sz w:val="24"/>
          <w:szCs w:val="24"/>
        </w:rPr>
      </w:pPr>
      <w:r w:rsidRPr="007C134D">
        <w:rPr>
          <w:rFonts w:ascii="Times New Roman" w:hAnsi="Times New Roman" w:cs="Times New Roman"/>
          <w:b/>
          <w:sz w:val="24"/>
          <w:szCs w:val="24"/>
        </w:rPr>
        <w:t>1.Clinical Assessment:</w:t>
      </w:r>
    </w:p>
    <w:p w14:paraId="41BC430D" w14:textId="77777777" w:rsidR="00C615F3" w:rsidRPr="007C134D" w:rsidRDefault="00201C9F"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 </w:t>
      </w:r>
      <w:r w:rsidR="00847C27" w:rsidRPr="007C134D">
        <w:rPr>
          <w:rFonts w:ascii="Times New Roman" w:hAnsi="Times New Roman" w:cs="Times New Roman"/>
          <w:sz w:val="24"/>
          <w:szCs w:val="24"/>
        </w:rPr>
        <w:t>A detailed clinical assessment will involve various necessary procedures to determine the case at hand. First and foremost, a</w:t>
      </w:r>
      <w:r w:rsidRPr="007C134D">
        <w:rPr>
          <w:rFonts w:ascii="Times New Roman" w:hAnsi="Times New Roman" w:cs="Times New Roman"/>
          <w:sz w:val="24"/>
          <w:szCs w:val="24"/>
        </w:rPr>
        <w:t xml:space="preserve"> detailed medical history is taken to identify risk factors such as a history of strokes, hypertension, diabetes, or cardiovascular disease.  A thorough inquiry into the individual's cognitive and functional symptoms, as well as any changes in behavior or mood, is conducted. This includes discussions with both the patient and their family members or caregivers. Clinical assessment in the context of dementia involves a comprehensive evaluation of an individual's medical history, cognitive functioning, behavioral symptoms, and functional abilities. The goal is to gather information that contributes to the diagnosis, understanding the impact on daily life, and planning appropriate interventions.</w:t>
      </w:r>
    </w:p>
    <w:p w14:paraId="6E651878" w14:textId="77777777" w:rsidR="00C615F3" w:rsidRPr="007C134D" w:rsidRDefault="00201C9F"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 Let's </w:t>
      </w:r>
      <w:r w:rsidR="00847C27" w:rsidRPr="007C134D">
        <w:rPr>
          <w:rFonts w:ascii="Times New Roman" w:hAnsi="Times New Roman" w:cs="Times New Roman"/>
          <w:sz w:val="24"/>
          <w:szCs w:val="24"/>
        </w:rPr>
        <w:t>delve deeper</w:t>
      </w:r>
      <w:r w:rsidRPr="007C134D">
        <w:rPr>
          <w:rFonts w:ascii="Times New Roman" w:hAnsi="Times New Roman" w:cs="Times New Roman"/>
          <w:sz w:val="24"/>
          <w:szCs w:val="24"/>
        </w:rPr>
        <w:t xml:space="preserve"> on the clinical assessment process using the given case study of Raj, a 57-year-old taxi driver with young-onset dementia following a stroke. In Raj's case, a detailed medical history would involve gathering information about his overall health, any pre-existing conditions, and specific details about the stroke he experienced. This would include the timing, severity, </w:t>
      </w:r>
      <w:r w:rsidR="000E1057" w:rsidRPr="007C134D">
        <w:rPr>
          <w:rFonts w:ascii="Times New Roman" w:hAnsi="Times New Roman" w:cs="Times New Roman"/>
          <w:sz w:val="24"/>
          <w:szCs w:val="24"/>
        </w:rPr>
        <w:t>and consequences of the stroke. For example, t</w:t>
      </w:r>
      <w:r w:rsidRPr="007C134D">
        <w:rPr>
          <w:rFonts w:ascii="Times New Roman" w:hAnsi="Times New Roman" w:cs="Times New Roman"/>
          <w:sz w:val="24"/>
          <w:szCs w:val="24"/>
        </w:rPr>
        <w:t xml:space="preserve">he clinician would inquire about Raj's </w:t>
      </w:r>
      <w:r w:rsidRPr="007C134D">
        <w:rPr>
          <w:rFonts w:ascii="Times New Roman" w:hAnsi="Times New Roman" w:cs="Times New Roman"/>
          <w:sz w:val="24"/>
          <w:szCs w:val="24"/>
        </w:rPr>
        <w:lastRenderedPageBreak/>
        <w:t>history of hypertension, diabetes, and any other vascular risk factors. Understanding the circumstances surrounding the stroke, such as whether it resulted in hospitalization or specific treatments, is crucial.</w:t>
      </w:r>
      <w:r w:rsidR="00C615F3" w:rsidRPr="007C134D">
        <w:rPr>
          <w:rFonts w:ascii="Times New Roman" w:hAnsi="Times New Roman" w:cs="Times New Roman"/>
          <w:sz w:val="24"/>
          <w:szCs w:val="24"/>
        </w:rPr>
        <w:t xml:space="preserve"> Symptom History is also crucial and should be given to the professional examining the case. Crucial information about the onset and progression of cognitive and behavioral symptoms is crucial. Family members, in this case, noticed changes in Raj's memory and behavior, including forgetting routine tasks related to his taxi driving.</w:t>
      </w:r>
      <w:r w:rsidR="00847C27" w:rsidRPr="007C134D">
        <w:rPr>
          <w:rFonts w:ascii="Times New Roman" w:hAnsi="Times New Roman" w:cs="Times New Roman"/>
          <w:sz w:val="24"/>
          <w:szCs w:val="24"/>
        </w:rPr>
        <w:t xml:space="preserve"> Information should be availed by</w:t>
      </w:r>
      <w:r w:rsidR="00C615F3" w:rsidRPr="007C134D">
        <w:rPr>
          <w:rFonts w:ascii="Times New Roman" w:hAnsi="Times New Roman" w:cs="Times New Roman"/>
          <w:sz w:val="24"/>
          <w:szCs w:val="24"/>
        </w:rPr>
        <w:t xml:space="preserve"> Raj's family about when they first noticed changes in Raj's memory, any specific incidents, and how these changes have impacted his daily life. For example, they might provide details about instances where Raj forgot to turn on the meter, misplaced keys, or forgot a customer's name.</w:t>
      </w:r>
    </w:p>
    <w:p w14:paraId="3768B020" w14:textId="77777777" w:rsidR="00201C9F" w:rsidRPr="007C134D" w:rsidRDefault="00C615F3"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Cognitive Screening would involve a </w:t>
      </w:r>
      <w:r w:rsidR="00201C9F" w:rsidRPr="007C134D">
        <w:rPr>
          <w:rFonts w:ascii="Times New Roman" w:hAnsi="Times New Roman" w:cs="Times New Roman"/>
          <w:sz w:val="24"/>
          <w:szCs w:val="24"/>
        </w:rPr>
        <w:t>Mini-Mental State Examination (MMSE) or Montrea</w:t>
      </w:r>
      <w:r w:rsidRPr="007C134D">
        <w:rPr>
          <w:rFonts w:ascii="Times New Roman" w:hAnsi="Times New Roman" w:cs="Times New Roman"/>
          <w:sz w:val="24"/>
          <w:szCs w:val="24"/>
        </w:rPr>
        <w:t>l Cognitive Assessment (MoCA), where a s</w:t>
      </w:r>
      <w:r w:rsidR="00201C9F" w:rsidRPr="007C134D">
        <w:rPr>
          <w:rFonts w:ascii="Times New Roman" w:hAnsi="Times New Roman" w:cs="Times New Roman"/>
          <w:sz w:val="24"/>
          <w:szCs w:val="24"/>
        </w:rPr>
        <w:t>tandardized cognitive screening tools are often used to assess general cognitive function. These tests may help identify areas of cognitive impairment.</w:t>
      </w:r>
      <w:r w:rsidRPr="007C134D">
        <w:rPr>
          <w:rFonts w:ascii="Times New Roman" w:hAnsi="Times New Roman" w:cs="Times New Roman"/>
          <w:sz w:val="24"/>
          <w:szCs w:val="24"/>
        </w:rPr>
        <w:t xml:space="preserve"> Raj might undergo a brief cognitive screening using tools like the Mini-Mental State Examination (MMSE) or the Montreal Cognitive Assessment (MoCA). These tests provide a quick snapshot of cognitive function. The clinician may administer the MMSE to assess Raj's orientation, memory, attention, and language. Raj's performance on these tests would give an initial indication of cognitive impairment.</w:t>
      </w:r>
    </w:p>
    <w:p w14:paraId="46399145" w14:textId="77777777" w:rsidR="00847C27" w:rsidRPr="007C134D" w:rsidRDefault="00C615F3"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Conducting a neuropsychological Assessment through In-Depth Cognitive Testing for a </w:t>
      </w:r>
      <w:r w:rsidR="00201C9F" w:rsidRPr="007C134D">
        <w:rPr>
          <w:rFonts w:ascii="Times New Roman" w:hAnsi="Times New Roman" w:cs="Times New Roman"/>
          <w:sz w:val="24"/>
          <w:szCs w:val="24"/>
        </w:rPr>
        <w:t>more comprehensive neuropsychological assessment may be conducted to evaluate specific cognitive domains, including memory, attention, executive function, language, and visuospatial skills. This provides a more detailed profile of cognitive strengths and weaknesses.</w:t>
      </w:r>
      <w:r w:rsidRPr="007C134D">
        <w:rPr>
          <w:rFonts w:ascii="Times New Roman" w:hAnsi="Times New Roman" w:cs="Times New Roman"/>
          <w:sz w:val="24"/>
          <w:szCs w:val="24"/>
        </w:rPr>
        <w:t xml:space="preserve"> Given the complexity of dementia, a more in-depth neuropsychological assessment may be conducted to evaluate specific cognitive domains in detail. A neuropsychologist might assess Raj's memory using more comprehensive tests, such as the Wechsler Memory Scale. This could help identify patterns of memory impairment and differentiate them from other cognitive functions.</w:t>
      </w:r>
    </w:p>
    <w:p w14:paraId="2986CF25" w14:textId="77777777" w:rsidR="00847C27" w:rsidRPr="007C134D" w:rsidRDefault="00847C27" w:rsidP="007C134D">
      <w:pPr>
        <w:spacing w:line="360" w:lineRule="auto"/>
        <w:ind w:firstLine="720"/>
        <w:rPr>
          <w:rFonts w:ascii="Times New Roman" w:hAnsi="Times New Roman" w:cs="Times New Roman"/>
          <w:sz w:val="24"/>
          <w:szCs w:val="24"/>
        </w:rPr>
      </w:pPr>
    </w:p>
    <w:p w14:paraId="33C5986E" w14:textId="77777777" w:rsidR="00847C27" w:rsidRPr="007C134D" w:rsidRDefault="00847C27" w:rsidP="007C134D">
      <w:pPr>
        <w:spacing w:line="360" w:lineRule="auto"/>
        <w:ind w:firstLine="720"/>
        <w:rPr>
          <w:rFonts w:ascii="Times New Roman" w:hAnsi="Times New Roman" w:cs="Times New Roman"/>
          <w:b/>
          <w:sz w:val="24"/>
          <w:szCs w:val="24"/>
        </w:rPr>
      </w:pPr>
      <w:r w:rsidRPr="007C134D">
        <w:rPr>
          <w:rFonts w:ascii="Times New Roman" w:hAnsi="Times New Roman" w:cs="Times New Roman"/>
          <w:b/>
          <w:sz w:val="24"/>
          <w:szCs w:val="24"/>
        </w:rPr>
        <w:t>2. Brain Imaging</w:t>
      </w:r>
    </w:p>
    <w:p w14:paraId="3E759392" w14:textId="77777777" w:rsidR="00E51CE2" w:rsidRPr="007C134D" w:rsidRDefault="00847C27"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lastRenderedPageBreak/>
        <w:t xml:space="preserve"> Brain Imaging through </w:t>
      </w:r>
      <w:r w:rsidR="00C615F3" w:rsidRPr="007C134D">
        <w:rPr>
          <w:rFonts w:ascii="Times New Roman" w:hAnsi="Times New Roman" w:cs="Times New Roman"/>
          <w:sz w:val="24"/>
          <w:szCs w:val="24"/>
        </w:rPr>
        <w:t>MRI (Magnetic Resonance Imagi</w:t>
      </w:r>
      <w:r w:rsidRPr="007C134D">
        <w:rPr>
          <w:rFonts w:ascii="Times New Roman" w:hAnsi="Times New Roman" w:cs="Times New Roman"/>
          <w:sz w:val="24"/>
          <w:szCs w:val="24"/>
        </w:rPr>
        <w:t>ng) or CT (Computed Tomography)</w:t>
      </w:r>
      <w:r w:rsidR="00C615F3" w:rsidRPr="007C134D">
        <w:rPr>
          <w:rFonts w:ascii="Times New Roman" w:hAnsi="Times New Roman" w:cs="Times New Roman"/>
          <w:sz w:val="24"/>
          <w:szCs w:val="24"/>
        </w:rPr>
        <w:t xml:space="preserve"> are crucial for detecting structural abnormalities in the brain, including evidence of strokes, infarcts, or lesions that may contribute to vascular dementia.</w:t>
      </w:r>
      <w:r w:rsidRPr="007C134D">
        <w:rPr>
          <w:rFonts w:ascii="Times New Roman" w:hAnsi="Times New Roman" w:cs="Times New Roman"/>
          <w:sz w:val="24"/>
          <w:szCs w:val="24"/>
        </w:rPr>
        <w:t xml:space="preserve"> Conducting a CT or MR Angiography </w:t>
      </w:r>
      <w:r w:rsidR="00C615F3" w:rsidRPr="007C134D">
        <w:rPr>
          <w:rFonts w:ascii="Times New Roman" w:hAnsi="Times New Roman" w:cs="Times New Roman"/>
          <w:sz w:val="24"/>
          <w:szCs w:val="24"/>
        </w:rPr>
        <w:t>imaging techniques can visualize blood vessels in the brain and identify areas of reduced blood flow or blockages.</w:t>
      </w:r>
      <w:r w:rsidR="00E51CE2" w:rsidRPr="007C134D">
        <w:rPr>
          <w:rFonts w:ascii="Times New Roman" w:hAnsi="Times New Roman" w:cs="Times New Roman"/>
          <w:sz w:val="24"/>
          <w:szCs w:val="24"/>
        </w:rPr>
        <w:t xml:space="preserve"> It provides detailed information about the structure and function of the brain, helping clinicians identify abnormalities, assess the extent of damage, and contribute to the accurate diagnosis of conditions such as vascular dementia. In the context of the case study of Raj, a 57-year-old taxi driver with young-onset dementia following a stroke, brain imaging plays a significant role in understanding the underlying pathology. </w:t>
      </w:r>
    </w:p>
    <w:p w14:paraId="3FAB1930" w14:textId="77777777" w:rsidR="00E51CE2" w:rsidRPr="007C134D" w:rsidRDefault="00E51CE2"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MRI is a powerful imaging technique that provides detailed images of the brain's structure. It is particularly useful for detecting abnormalities, such as infarcts, lesions, or changes in brain tissues.  In Raj's case, an MRI scan would be conducted to visualize the brain's anatomy and identify any areas affected by the stroke. It can reveal the location, size, and characteristics of ischemic or hemorrhagic lesions, contributing to the understanding of the vascular pathology. On the other hand, CT scans use X-rays to create cross-sectional images of the brain. While not as detailed as MRI, CT scans are valuable for detecting acute conditions, such as bleeding or </w:t>
      </w:r>
      <w:r w:rsidR="00FA41B4">
        <w:rPr>
          <w:rFonts w:ascii="Times New Roman" w:hAnsi="Times New Roman" w:cs="Times New Roman"/>
          <w:sz w:val="24"/>
          <w:szCs w:val="24"/>
        </w:rPr>
        <w:t>large infarcts (Valle,2020).</w:t>
      </w:r>
      <w:r w:rsidRPr="007C134D">
        <w:rPr>
          <w:rFonts w:ascii="Times New Roman" w:hAnsi="Times New Roman" w:cs="Times New Roman"/>
          <w:sz w:val="24"/>
          <w:szCs w:val="24"/>
        </w:rPr>
        <w:t xml:space="preserve"> In the acute phase of a stroke, a CT scan might be performed to quickly assess whether there is bleeding or other abnormalities in the brain. This information can guide immediate medical interventions and provide initial insights into the extent of damage.</w:t>
      </w:r>
    </w:p>
    <w:p w14:paraId="21F2156A" w14:textId="77777777" w:rsidR="00E51CE2" w:rsidRPr="007C134D" w:rsidRDefault="00E51CE2"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 CT or MR Angiography are techniques that can be utilized for specialized imaging techniques focus on visualizing blood vessels within the brain. They are particularly relevant in assessing the vascular supply and identifying areas of reduced blood flow. CT or MR angiography would be conducted to evaluate the condition of Raj's blood vessels, espec</w:t>
      </w:r>
      <w:r w:rsidR="0014775E">
        <w:rPr>
          <w:rFonts w:ascii="Times New Roman" w:hAnsi="Times New Roman" w:cs="Times New Roman"/>
          <w:sz w:val="24"/>
          <w:szCs w:val="24"/>
        </w:rPr>
        <w:t xml:space="preserve">ially those supplying the brain (Uysal, </w:t>
      </w:r>
      <w:r w:rsidR="0014775E" w:rsidRPr="0014775E">
        <w:rPr>
          <w:rFonts w:ascii="Times New Roman" w:hAnsi="Times New Roman" w:cs="Times New Roman"/>
          <w:sz w:val="24"/>
          <w:szCs w:val="24"/>
        </w:rPr>
        <w:t xml:space="preserve">2019). </w:t>
      </w:r>
      <w:r w:rsidRPr="007C134D">
        <w:rPr>
          <w:rFonts w:ascii="Times New Roman" w:hAnsi="Times New Roman" w:cs="Times New Roman"/>
          <w:sz w:val="24"/>
          <w:szCs w:val="24"/>
        </w:rPr>
        <w:t xml:space="preserve"> These images can help identify stenosis, occlusions, or other vascular abnormalities that may contribute to vascular dementia. Functional MRI (fMRI) helps in the measurements of changes in blood flow and provides information about brain activity. It is used to assess functional connectivity and activity patterns in specific brain regions. In the case, fMRI might be employed to study how different areas of his brain function, especially in response to cognitive tasks. This can provide insights into the functional consequences of vascular path</w:t>
      </w:r>
      <w:r w:rsidR="00422B51" w:rsidRPr="007C134D">
        <w:rPr>
          <w:rFonts w:ascii="Times New Roman" w:hAnsi="Times New Roman" w:cs="Times New Roman"/>
          <w:sz w:val="24"/>
          <w:szCs w:val="24"/>
        </w:rPr>
        <w:t xml:space="preserve">ology on specific brain region. </w:t>
      </w:r>
      <w:r w:rsidR="0014775E" w:rsidRPr="007C134D">
        <w:rPr>
          <w:rFonts w:ascii="Times New Roman" w:hAnsi="Times New Roman" w:cs="Times New Roman"/>
          <w:sz w:val="24"/>
          <w:szCs w:val="24"/>
        </w:rPr>
        <w:t>Lastly, PET</w:t>
      </w:r>
      <w:r w:rsidRPr="007C134D">
        <w:rPr>
          <w:rFonts w:ascii="Times New Roman" w:hAnsi="Times New Roman" w:cs="Times New Roman"/>
          <w:sz w:val="24"/>
          <w:szCs w:val="24"/>
        </w:rPr>
        <w:t xml:space="preserve"> scans measure brain </w:t>
      </w:r>
      <w:r w:rsidRPr="007C134D">
        <w:rPr>
          <w:rFonts w:ascii="Times New Roman" w:hAnsi="Times New Roman" w:cs="Times New Roman"/>
          <w:sz w:val="24"/>
          <w:szCs w:val="24"/>
        </w:rPr>
        <w:lastRenderedPageBreak/>
        <w:t>activity by detecting radioactive tracers injected into the bloodstream. This can be particularly useful in assessing</w:t>
      </w:r>
      <w:r w:rsidR="00422B51" w:rsidRPr="007C134D">
        <w:rPr>
          <w:rFonts w:ascii="Times New Roman" w:hAnsi="Times New Roman" w:cs="Times New Roman"/>
          <w:sz w:val="24"/>
          <w:szCs w:val="24"/>
        </w:rPr>
        <w:t xml:space="preserve"> metabolic changes in the brain. </w:t>
      </w:r>
      <w:r w:rsidRPr="007C134D">
        <w:rPr>
          <w:rFonts w:ascii="Times New Roman" w:hAnsi="Times New Roman" w:cs="Times New Roman"/>
          <w:sz w:val="24"/>
          <w:szCs w:val="24"/>
        </w:rPr>
        <w:t>PET scans might be used to assess cerebral blood flow, metabolism, or the presence of beta-amyloid plaques. In the context of vascular dementia, changes in blood flow and metabolism can provide additional information about the impact of vascular pathology on brain function.</w:t>
      </w:r>
    </w:p>
    <w:p w14:paraId="5F2C4837" w14:textId="77777777" w:rsidR="00422B51" w:rsidRPr="007C134D" w:rsidRDefault="00422B51"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The results from these brain imaging methods contributes in identification</w:t>
      </w:r>
      <w:r w:rsidR="00E51CE2" w:rsidRPr="007C134D">
        <w:rPr>
          <w:rFonts w:ascii="Times New Roman" w:hAnsi="Times New Roman" w:cs="Times New Roman"/>
          <w:sz w:val="24"/>
          <w:szCs w:val="24"/>
        </w:rPr>
        <w:t xml:space="preserve"> the location and extent of lesions, infarcts, or other abnormalities a</w:t>
      </w:r>
      <w:r w:rsidRPr="007C134D">
        <w:rPr>
          <w:rFonts w:ascii="Times New Roman" w:hAnsi="Times New Roman" w:cs="Times New Roman"/>
          <w:sz w:val="24"/>
          <w:szCs w:val="24"/>
        </w:rPr>
        <w:t xml:space="preserve">ssociated with vascular events for diagnosis. </w:t>
      </w:r>
      <w:r w:rsidR="00E51CE2" w:rsidRPr="007C134D">
        <w:rPr>
          <w:rFonts w:ascii="Times New Roman" w:hAnsi="Times New Roman" w:cs="Times New Roman"/>
          <w:sz w:val="24"/>
          <w:szCs w:val="24"/>
        </w:rPr>
        <w:t>This localization contributes to the understanding of the impact on cognitive functions.</w:t>
      </w:r>
      <w:r w:rsidRPr="007C134D">
        <w:rPr>
          <w:rFonts w:ascii="Times New Roman" w:hAnsi="Times New Roman" w:cs="Times New Roman"/>
          <w:sz w:val="24"/>
          <w:szCs w:val="24"/>
        </w:rPr>
        <w:t xml:space="preserve"> </w:t>
      </w:r>
      <w:r w:rsidR="00E51CE2" w:rsidRPr="007C134D">
        <w:rPr>
          <w:rFonts w:ascii="Times New Roman" w:hAnsi="Times New Roman" w:cs="Times New Roman"/>
          <w:sz w:val="24"/>
          <w:szCs w:val="24"/>
        </w:rPr>
        <w:t>Angiography allows for the assessment of blood vessels, aiding in the identifica</w:t>
      </w:r>
      <w:r w:rsidRPr="007C134D">
        <w:rPr>
          <w:rFonts w:ascii="Times New Roman" w:hAnsi="Times New Roman" w:cs="Times New Roman"/>
          <w:sz w:val="24"/>
          <w:szCs w:val="24"/>
        </w:rPr>
        <w:t xml:space="preserve">tion of stenosis or occlusions for Vascular Supply Assessment. </w:t>
      </w:r>
      <w:r w:rsidR="00E51CE2" w:rsidRPr="007C134D">
        <w:rPr>
          <w:rFonts w:ascii="Times New Roman" w:hAnsi="Times New Roman" w:cs="Times New Roman"/>
          <w:sz w:val="24"/>
          <w:szCs w:val="24"/>
        </w:rPr>
        <w:t>This information helps correlate vascular findings with cognitive symptoms.</w:t>
      </w:r>
    </w:p>
    <w:p w14:paraId="40DB5579" w14:textId="77777777" w:rsidR="00422B51" w:rsidRPr="007C134D" w:rsidRDefault="00E51CE2"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Brain imaging helps rule out other potential causes of cognitive impairment and contributes to the differentiation bet</w:t>
      </w:r>
      <w:r w:rsidR="00422B51" w:rsidRPr="007C134D">
        <w:rPr>
          <w:rFonts w:ascii="Times New Roman" w:hAnsi="Times New Roman" w:cs="Times New Roman"/>
          <w:sz w:val="24"/>
          <w:szCs w:val="24"/>
        </w:rPr>
        <w:t xml:space="preserve">ween various forms of dementia for Differential diagnosis. </w:t>
      </w:r>
      <w:r w:rsidRPr="007C134D">
        <w:rPr>
          <w:rFonts w:ascii="Times New Roman" w:hAnsi="Times New Roman" w:cs="Times New Roman"/>
          <w:sz w:val="24"/>
          <w:szCs w:val="24"/>
        </w:rPr>
        <w:t>It helps clinicians understand whether vascular factors are the primary co</w:t>
      </w:r>
      <w:r w:rsidR="00422B51" w:rsidRPr="007C134D">
        <w:rPr>
          <w:rFonts w:ascii="Times New Roman" w:hAnsi="Times New Roman" w:cs="Times New Roman"/>
          <w:sz w:val="24"/>
          <w:szCs w:val="24"/>
        </w:rPr>
        <w:t>ntributors to cognitive decline.</w:t>
      </w:r>
      <w:r w:rsidRPr="007C134D">
        <w:rPr>
          <w:rFonts w:ascii="Times New Roman" w:hAnsi="Times New Roman" w:cs="Times New Roman"/>
          <w:sz w:val="24"/>
          <w:szCs w:val="24"/>
        </w:rPr>
        <w:t xml:space="preserve"> Follow-up imaging over time can provide insights into the progression of vascular pathology and the impact on the brain. This longitudinal assessment is valuable for treatment planning and monitoring the effectiveness of interventions.</w:t>
      </w:r>
      <w:r w:rsidR="00422B51" w:rsidRPr="007C134D">
        <w:rPr>
          <w:rFonts w:ascii="Times New Roman" w:hAnsi="Times New Roman" w:cs="Times New Roman"/>
          <w:sz w:val="24"/>
          <w:szCs w:val="24"/>
        </w:rPr>
        <w:t xml:space="preserve"> </w:t>
      </w:r>
    </w:p>
    <w:p w14:paraId="396AE796" w14:textId="77777777" w:rsidR="00E51CE2" w:rsidRPr="007C134D" w:rsidRDefault="00E51CE2"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In Raj's case, brain imaging, particularly MRI or CT scans and angiography, would be essential for understanding the impact of the stroke on his brain and confirming the diagnosis of vascular dementia. It allows healthcare professionals to tailor interventions and support strategies based on the specific neurological findings.</w:t>
      </w:r>
      <w:r w:rsidR="00422B51" w:rsidRPr="007C134D">
        <w:rPr>
          <w:rFonts w:ascii="Times New Roman" w:hAnsi="Times New Roman" w:cs="Times New Roman"/>
          <w:sz w:val="24"/>
          <w:szCs w:val="24"/>
        </w:rPr>
        <w:t xml:space="preserve"> On the other hand, Clinical assessment, encompassing various components such as medical history, cognitive screening, neuropsychological assessment, functional evaluation, and collaboration with family members, is integral to the</w:t>
      </w:r>
      <w:r w:rsidR="00FA41B4">
        <w:rPr>
          <w:rFonts w:ascii="Times New Roman" w:hAnsi="Times New Roman" w:cs="Times New Roman"/>
          <w:sz w:val="24"/>
          <w:szCs w:val="24"/>
        </w:rPr>
        <w:t xml:space="preserve"> diagnosis of vascular dementia (Lee, 2001).</w:t>
      </w:r>
      <w:r w:rsidR="00422B51" w:rsidRPr="007C134D">
        <w:rPr>
          <w:rFonts w:ascii="Times New Roman" w:hAnsi="Times New Roman" w:cs="Times New Roman"/>
          <w:sz w:val="24"/>
          <w:szCs w:val="24"/>
        </w:rPr>
        <w:t xml:space="preserve"> The holistic approach allows healthcare professionals to gather a nuanced understanding of the individual's condition, facilitating accurate diagnosis, personalized care planning, and targeted interventions to manage the cognitive and functional challenges associated with vascular dementia.</w:t>
      </w:r>
    </w:p>
    <w:p w14:paraId="55433D28" w14:textId="77777777" w:rsidR="00422B51" w:rsidRPr="007C134D" w:rsidRDefault="00422B51" w:rsidP="007C134D">
      <w:pPr>
        <w:spacing w:line="360" w:lineRule="auto"/>
        <w:ind w:firstLine="720"/>
        <w:jc w:val="center"/>
        <w:rPr>
          <w:rFonts w:ascii="Times New Roman" w:hAnsi="Times New Roman" w:cs="Times New Roman"/>
          <w:b/>
          <w:sz w:val="24"/>
          <w:szCs w:val="24"/>
        </w:rPr>
      </w:pPr>
      <w:r w:rsidRPr="007C134D">
        <w:rPr>
          <w:rFonts w:ascii="Times New Roman" w:hAnsi="Times New Roman" w:cs="Times New Roman"/>
          <w:b/>
          <w:sz w:val="24"/>
          <w:szCs w:val="24"/>
        </w:rPr>
        <w:t>The current treatment provision</w:t>
      </w:r>
      <w:r w:rsidR="001A67C1" w:rsidRPr="007C134D">
        <w:rPr>
          <w:rFonts w:ascii="Times New Roman" w:hAnsi="Times New Roman" w:cs="Times New Roman"/>
          <w:b/>
          <w:sz w:val="24"/>
          <w:szCs w:val="24"/>
        </w:rPr>
        <w:t xml:space="preserve"> and Measurement</w:t>
      </w:r>
    </w:p>
    <w:p w14:paraId="0F8E154E" w14:textId="77777777" w:rsidR="00422B51" w:rsidRPr="007C134D" w:rsidRDefault="00422B51"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lastRenderedPageBreak/>
        <w:t>In the provided case study of Raj, a 57-year-old taxi driver with young-onset dementia following a stroke, the treatment provision for vascular dementia would likely involve a multifaceted approach addressing both the cognitive symptoms and underlying vascular factors. While the specific treatment plan would be determined by Raj's healthcare team based on a thorough assessment, the following</w:t>
      </w:r>
      <w:r w:rsidR="007B712A" w:rsidRPr="007C134D">
        <w:rPr>
          <w:rFonts w:ascii="Times New Roman" w:hAnsi="Times New Roman" w:cs="Times New Roman"/>
          <w:sz w:val="24"/>
          <w:szCs w:val="24"/>
        </w:rPr>
        <w:t xml:space="preserve"> considerations may use as the current treatment provision for the vascular dementia. </w:t>
      </w:r>
    </w:p>
    <w:p w14:paraId="58D408C8" w14:textId="77777777" w:rsidR="007B712A" w:rsidRPr="007C134D" w:rsidRDefault="007B712A" w:rsidP="007C134D">
      <w:pPr>
        <w:pStyle w:val="ListParagraph"/>
        <w:numPr>
          <w:ilvl w:val="0"/>
          <w:numId w:val="2"/>
        </w:numPr>
        <w:spacing w:line="360" w:lineRule="auto"/>
        <w:rPr>
          <w:rFonts w:ascii="Times New Roman" w:hAnsi="Times New Roman" w:cs="Times New Roman"/>
          <w:b/>
          <w:sz w:val="24"/>
          <w:szCs w:val="24"/>
        </w:rPr>
      </w:pPr>
      <w:r w:rsidRPr="007C134D">
        <w:rPr>
          <w:rFonts w:ascii="Times New Roman" w:hAnsi="Times New Roman" w:cs="Times New Roman"/>
          <w:b/>
          <w:sz w:val="24"/>
          <w:szCs w:val="24"/>
        </w:rPr>
        <w:t>Management of Vascular Risk Factors:</w:t>
      </w:r>
    </w:p>
    <w:p w14:paraId="5961CA61" w14:textId="77777777" w:rsidR="007B712A" w:rsidRPr="007C134D" w:rsidRDefault="007B712A" w:rsidP="007C134D">
      <w:pPr>
        <w:spacing w:line="360" w:lineRule="auto"/>
        <w:ind w:firstLine="720"/>
        <w:rPr>
          <w:rFonts w:ascii="Times New Roman" w:hAnsi="Times New Roman" w:cs="Times New Roman"/>
          <w:b/>
          <w:sz w:val="24"/>
          <w:szCs w:val="24"/>
        </w:rPr>
      </w:pPr>
      <w:r w:rsidRPr="007C134D">
        <w:rPr>
          <w:rFonts w:ascii="Times New Roman" w:hAnsi="Times New Roman" w:cs="Times New Roman"/>
          <w:sz w:val="24"/>
          <w:szCs w:val="24"/>
        </w:rPr>
        <w:t xml:space="preserve"> Given Raj's history of stroke, controlling hypertension is likely a priority. Medications, lifestyle modifications (such as dietary changes and exercise), and regular blood pressure monitoring would be part of the management plan.</w:t>
      </w:r>
      <w:r w:rsidRPr="007C134D">
        <w:rPr>
          <w:rFonts w:ascii="Times New Roman" w:hAnsi="Times New Roman" w:cs="Times New Roman"/>
          <w:b/>
          <w:sz w:val="24"/>
          <w:szCs w:val="24"/>
        </w:rPr>
        <w:t xml:space="preserve"> </w:t>
      </w:r>
      <w:r w:rsidRPr="007C134D">
        <w:rPr>
          <w:rFonts w:ascii="Times New Roman" w:hAnsi="Times New Roman" w:cs="Times New Roman"/>
          <w:sz w:val="24"/>
          <w:szCs w:val="24"/>
        </w:rPr>
        <w:t>If Raj has diabetes, managing blood sugar levels through medications, lifestyle changes, and regular monitoring would be essential. Addressing high cholesterol levels through medications, dietary adjustments, and lifestyle changes may be part of the treatment plan.</w:t>
      </w:r>
    </w:p>
    <w:p w14:paraId="179DD065" w14:textId="77777777" w:rsidR="007B712A" w:rsidRPr="007C134D" w:rsidRDefault="007B712A" w:rsidP="007C134D">
      <w:pPr>
        <w:spacing w:line="360" w:lineRule="auto"/>
        <w:ind w:firstLine="720"/>
        <w:rPr>
          <w:rFonts w:ascii="Times New Roman" w:hAnsi="Times New Roman" w:cs="Times New Roman"/>
          <w:b/>
          <w:sz w:val="24"/>
          <w:szCs w:val="24"/>
        </w:rPr>
      </w:pPr>
      <w:r w:rsidRPr="007C134D">
        <w:rPr>
          <w:rFonts w:ascii="Times New Roman" w:hAnsi="Times New Roman" w:cs="Times New Roman"/>
          <w:b/>
          <w:sz w:val="24"/>
          <w:szCs w:val="24"/>
        </w:rPr>
        <w:t>2. Medications:</w:t>
      </w:r>
    </w:p>
    <w:p w14:paraId="1C506E69" w14:textId="77777777" w:rsidR="007B712A" w:rsidRPr="007C134D" w:rsidRDefault="007B712A"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Prescription of Cholinesterase Inhibitors or Memantine depending on the severity of Raj's cognitive symptoms, his healthcare provider may consider medications like cholinesterase inhibitors (e.g., donepezil) or memantine t</w:t>
      </w:r>
      <w:r w:rsidR="00FA41B4">
        <w:rPr>
          <w:rFonts w:ascii="Times New Roman" w:hAnsi="Times New Roman" w:cs="Times New Roman"/>
          <w:sz w:val="24"/>
          <w:szCs w:val="24"/>
        </w:rPr>
        <w:t>o help manage cognitive decline (Hirsch et al., 2016).</w:t>
      </w:r>
    </w:p>
    <w:p w14:paraId="54A88311" w14:textId="77777777" w:rsidR="007B712A" w:rsidRPr="007C134D" w:rsidRDefault="007B712A" w:rsidP="007C134D">
      <w:pPr>
        <w:spacing w:line="360" w:lineRule="auto"/>
        <w:ind w:firstLine="720"/>
        <w:rPr>
          <w:rFonts w:ascii="Times New Roman" w:hAnsi="Times New Roman" w:cs="Times New Roman"/>
          <w:b/>
          <w:sz w:val="24"/>
          <w:szCs w:val="24"/>
        </w:rPr>
      </w:pPr>
      <w:r w:rsidRPr="007C134D">
        <w:rPr>
          <w:rFonts w:ascii="Times New Roman" w:hAnsi="Times New Roman" w:cs="Times New Roman"/>
          <w:b/>
          <w:sz w:val="24"/>
          <w:szCs w:val="24"/>
        </w:rPr>
        <w:t>3. Rehabilitative and Supportive Interventions:</w:t>
      </w:r>
    </w:p>
    <w:p w14:paraId="5FB9039B" w14:textId="77777777" w:rsidR="007B712A" w:rsidRPr="007C134D" w:rsidRDefault="007B712A" w:rsidP="007C134D">
      <w:pPr>
        <w:spacing w:line="360" w:lineRule="auto"/>
        <w:rPr>
          <w:rFonts w:ascii="Times New Roman" w:hAnsi="Times New Roman" w:cs="Times New Roman"/>
          <w:sz w:val="24"/>
          <w:szCs w:val="24"/>
        </w:rPr>
      </w:pPr>
      <w:r w:rsidRPr="007C134D">
        <w:rPr>
          <w:rFonts w:ascii="Times New Roman" w:hAnsi="Times New Roman" w:cs="Times New Roman"/>
          <w:sz w:val="24"/>
          <w:szCs w:val="24"/>
        </w:rPr>
        <w:t>Occupational Therapy is needed to be administered, given that Raj's occupation as a taxi driver, occupational therapy may be beneficial to help him cope with cognitive challenges related to his work, develop compensatory strategies, and address functional impairments. In the context of Raj's lifestyle and potential health issues, physical therapy may be recommended to address any mobility or physical function issues.</w:t>
      </w:r>
    </w:p>
    <w:p w14:paraId="57CC48BE" w14:textId="77777777" w:rsidR="007B712A" w:rsidRPr="007C134D" w:rsidRDefault="007B712A" w:rsidP="007C134D">
      <w:pPr>
        <w:spacing w:line="360" w:lineRule="auto"/>
        <w:ind w:firstLine="720"/>
        <w:rPr>
          <w:rFonts w:ascii="Times New Roman" w:hAnsi="Times New Roman" w:cs="Times New Roman"/>
          <w:b/>
          <w:sz w:val="24"/>
          <w:szCs w:val="24"/>
        </w:rPr>
      </w:pPr>
      <w:r w:rsidRPr="007C134D">
        <w:rPr>
          <w:rFonts w:ascii="Times New Roman" w:hAnsi="Times New Roman" w:cs="Times New Roman"/>
          <w:b/>
          <w:sz w:val="24"/>
          <w:szCs w:val="24"/>
        </w:rPr>
        <w:t>4. Lifestyle Modifications:</w:t>
      </w:r>
    </w:p>
    <w:p w14:paraId="530F8F64" w14:textId="77777777" w:rsidR="007B712A" w:rsidRPr="007C134D" w:rsidRDefault="007B712A"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Encouraging Raj to engage in regular physical exercise and adopt a heart-healthy diet can contribute to overall vascular health and may have positive effects on cognitive function. Addressing Raj's minimal sleep due to irregular shifts may involve strategies for improving sleep hygiene and ensuring adequate rest to maintain a good sleep hygiene. </w:t>
      </w:r>
    </w:p>
    <w:p w14:paraId="16FCDE86" w14:textId="77777777" w:rsidR="007B712A" w:rsidRPr="007C134D" w:rsidRDefault="007B712A" w:rsidP="007C134D">
      <w:pPr>
        <w:spacing w:line="360" w:lineRule="auto"/>
        <w:ind w:firstLine="720"/>
        <w:rPr>
          <w:rFonts w:ascii="Times New Roman" w:hAnsi="Times New Roman" w:cs="Times New Roman"/>
          <w:sz w:val="24"/>
          <w:szCs w:val="24"/>
        </w:rPr>
      </w:pPr>
      <w:r w:rsidRPr="007C134D">
        <w:rPr>
          <w:rFonts w:ascii="Times New Roman" w:hAnsi="Times New Roman" w:cs="Times New Roman"/>
          <w:b/>
          <w:sz w:val="24"/>
          <w:szCs w:val="24"/>
        </w:rPr>
        <w:lastRenderedPageBreak/>
        <w:t>5. Counseling and Support</w:t>
      </w:r>
    </w:p>
    <w:p w14:paraId="7DF1836E" w14:textId="77777777" w:rsidR="007B712A" w:rsidRPr="007C134D" w:rsidRDefault="007B712A" w:rsidP="007C134D">
      <w:pPr>
        <w:spacing w:line="360" w:lineRule="auto"/>
        <w:rPr>
          <w:rFonts w:ascii="Times New Roman" w:hAnsi="Times New Roman" w:cs="Times New Roman"/>
          <w:sz w:val="24"/>
          <w:szCs w:val="24"/>
        </w:rPr>
      </w:pPr>
      <w:r w:rsidRPr="007C134D">
        <w:rPr>
          <w:rFonts w:ascii="Times New Roman" w:hAnsi="Times New Roman" w:cs="Times New Roman"/>
          <w:sz w:val="24"/>
          <w:szCs w:val="24"/>
        </w:rPr>
        <w:t>Given the potential impact on Raj's family and his concerns about their financial stability, counseling or support services may be offered to address emotional and practical challenges. Providing information, resources, and support to Raj's family is crucial in managing the overall well-being of both Raj and his caregivers.</w:t>
      </w:r>
    </w:p>
    <w:p w14:paraId="354C217A" w14:textId="77777777" w:rsidR="007B712A" w:rsidRPr="007C134D" w:rsidRDefault="007B712A" w:rsidP="007C134D">
      <w:pPr>
        <w:spacing w:line="360" w:lineRule="auto"/>
        <w:ind w:firstLine="720"/>
        <w:rPr>
          <w:rFonts w:ascii="Times New Roman" w:hAnsi="Times New Roman" w:cs="Times New Roman"/>
          <w:b/>
          <w:sz w:val="24"/>
          <w:szCs w:val="24"/>
        </w:rPr>
      </w:pPr>
      <w:r w:rsidRPr="007C134D">
        <w:rPr>
          <w:rFonts w:ascii="Times New Roman" w:hAnsi="Times New Roman" w:cs="Times New Roman"/>
          <w:b/>
          <w:sz w:val="24"/>
          <w:szCs w:val="24"/>
        </w:rPr>
        <w:t>6. Monitoring and Adjustments</w:t>
      </w:r>
    </w:p>
    <w:p w14:paraId="44AD0B61" w14:textId="77777777" w:rsidR="007B712A" w:rsidRPr="007C134D" w:rsidRDefault="007B712A" w:rsidP="007C134D">
      <w:pPr>
        <w:spacing w:line="360" w:lineRule="auto"/>
        <w:rPr>
          <w:rFonts w:ascii="Times New Roman" w:hAnsi="Times New Roman" w:cs="Times New Roman"/>
          <w:sz w:val="24"/>
          <w:szCs w:val="24"/>
        </w:rPr>
      </w:pPr>
      <w:r w:rsidRPr="007C134D">
        <w:rPr>
          <w:rFonts w:ascii="Times New Roman" w:hAnsi="Times New Roman" w:cs="Times New Roman"/>
          <w:sz w:val="24"/>
          <w:szCs w:val="24"/>
        </w:rPr>
        <w:t xml:space="preserve"> Raj would likely have regular follow-up appointments with his healthcare team to monitor cognitive function, vascular risk factors, and overall health. Adjustments to the treatment plan would be made based on his progress and any changes in symptoms. Given Raj's concerns about his family's financial stability, assistance with legal and financial planning may be provided to help address potential challenges related to incapacity to work.</w:t>
      </w:r>
    </w:p>
    <w:p w14:paraId="3D9A5BB5" w14:textId="77777777" w:rsidR="007B712A" w:rsidRPr="007C134D" w:rsidRDefault="007B712A"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The treatment plan for vascular dementia is often holistic, addressing both the cognitive and physical aspects of the condition, as well as the individual's overall well-</w:t>
      </w:r>
      <w:proofErr w:type="spellStart"/>
      <w:proofErr w:type="gramStart"/>
      <w:r w:rsidRPr="007C134D">
        <w:rPr>
          <w:rFonts w:ascii="Times New Roman" w:hAnsi="Times New Roman" w:cs="Times New Roman"/>
          <w:sz w:val="24"/>
          <w:szCs w:val="24"/>
        </w:rPr>
        <w:t>being.Raj's</w:t>
      </w:r>
      <w:proofErr w:type="spellEnd"/>
      <w:proofErr w:type="gramEnd"/>
      <w:r w:rsidRPr="007C134D">
        <w:rPr>
          <w:rFonts w:ascii="Times New Roman" w:hAnsi="Times New Roman" w:cs="Times New Roman"/>
          <w:sz w:val="24"/>
          <w:szCs w:val="24"/>
        </w:rPr>
        <w:t xml:space="preserve"> treatment plan would be tailored to his unique circumstances, considering his occupation, lifestyle, and specific health issues. Continuous assessment and monitoring are essential to track the progression of symptoms, make necessary adjustments, and ensure the most appropriate care. It's important to note that the details of Raj's treatment plan would be determined through collaboration between Raj, his family, and his healthcare team. </w:t>
      </w:r>
    </w:p>
    <w:p w14:paraId="65BD15EE" w14:textId="77777777" w:rsidR="006C086A" w:rsidRPr="007C134D" w:rsidRDefault="006C086A"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Assessing and measuring vascular dementia in the context of rehabilitation involves evaluating the individual's cognitive and functional abilities, understanding the impact of vascular factors, and designing interventions to address specific challenges. Measurement in rehabilitation is aimed at tracking progress, tailoring interventions, and optimizing t</w:t>
      </w:r>
      <w:r w:rsidR="004C569E">
        <w:rPr>
          <w:rFonts w:ascii="Times New Roman" w:hAnsi="Times New Roman" w:cs="Times New Roman"/>
          <w:sz w:val="24"/>
          <w:szCs w:val="24"/>
        </w:rPr>
        <w:t>he person's overall well-being (</w:t>
      </w:r>
      <w:r w:rsidR="004C569E" w:rsidRPr="004C569E">
        <w:rPr>
          <w:rFonts w:ascii="Times New Roman" w:hAnsi="Times New Roman" w:cs="Times New Roman"/>
          <w:sz w:val="24"/>
          <w:szCs w:val="24"/>
        </w:rPr>
        <w:t xml:space="preserve">Van Straaten, </w:t>
      </w:r>
      <w:r w:rsidR="004C569E">
        <w:rPr>
          <w:rFonts w:ascii="Times New Roman" w:hAnsi="Times New Roman" w:cs="Times New Roman"/>
          <w:sz w:val="24"/>
          <w:szCs w:val="24"/>
        </w:rPr>
        <w:t xml:space="preserve">et al., 2008). </w:t>
      </w:r>
      <w:r w:rsidRPr="007C134D">
        <w:rPr>
          <w:rFonts w:ascii="Times New Roman" w:hAnsi="Times New Roman" w:cs="Times New Roman"/>
          <w:sz w:val="24"/>
          <w:szCs w:val="24"/>
        </w:rPr>
        <w:t>Measuring vascular dementia in the context of rehabilitation involves a comprehensive and multidimensional approach. The assessment methods are tailored to the specific challenges and goals of the individual, allowing for targeted interventions to enhance cognitive function, independence in daily activities, and overall well-being. Regular monitoring and collaboration with healthcare professionals, caregivers, and the individual with dementia are essential components of successful rehabilitation efforts.</w:t>
      </w:r>
    </w:p>
    <w:p w14:paraId="21FF29DF" w14:textId="77777777" w:rsidR="001A67C1" w:rsidRPr="007C134D" w:rsidRDefault="001A67C1" w:rsidP="007C134D">
      <w:pPr>
        <w:spacing w:line="360" w:lineRule="auto"/>
        <w:ind w:firstLine="720"/>
        <w:rPr>
          <w:rFonts w:ascii="Times New Roman" w:hAnsi="Times New Roman" w:cs="Times New Roman"/>
          <w:sz w:val="24"/>
          <w:szCs w:val="24"/>
        </w:rPr>
      </w:pPr>
    </w:p>
    <w:p w14:paraId="54F624C1" w14:textId="77777777" w:rsidR="001A67C1" w:rsidRPr="007C134D" w:rsidRDefault="001A67C1" w:rsidP="007C134D">
      <w:pPr>
        <w:spacing w:line="360" w:lineRule="auto"/>
        <w:ind w:firstLine="720"/>
        <w:rPr>
          <w:rFonts w:ascii="Times New Roman" w:hAnsi="Times New Roman" w:cs="Times New Roman"/>
          <w:sz w:val="24"/>
          <w:szCs w:val="24"/>
        </w:rPr>
      </w:pPr>
    </w:p>
    <w:p w14:paraId="01ECEAAA" w14:textId="77777777" w:rsidR="001A67C1" w:rsidRPr="007C134D" w:rsidRDefault="001A67C1" w:rsidP="007C134D">
      <w:pPr>
        <w:spacing w:line="360" w:lineRule="auto"/>
        <w:ind w:firstLine="720"/>
        <w:jc w:val="center"/>
        <w:rPr>
          <w:rFonts w:ascii="Times New Roman" w:hAnsi="Times New Roman" w:cs="Times New Roman"/>
          <w:b/>
          <w:sz w:val="24"/>
          <w:szCs w:val="24"/>
        </w:rPr>
      </w:pPr>
      <w:r w:rsidRPr="007C134D">
        <w:rPr>
          <w:rFonts w:ascii="Times New Roman" w:hAnsi="Times New Roman" w:cs="Times New Roman"/>
          <w:b/>
          <w:sz w:val="24"/>
          <w:szCs w:val="24"/>
        </w:rPr>
        <w:t>Conclusion</w:t>
      </w:r>
    </w:p>
    <w:p w14:paraId="78F33A78" w14:textId="77777777" w:rsidR="004E18E4" w:rsidRPr="007C134D" w:rsidRDefault="001A67C1"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Improving the treatment of vascular dementia involves a multi-faceted approach, addressing medical management, rehabilitative interventions, caregiver support, and overall quality of life. Below are recommendations for improvement, along with details on how these improvements can be practically implemented to aid </w:t>
      </w:r>
      <w:r w:rsidR="004E18E4" w:rsidRPr="007C134D">
        <w:rPr>
          <w:rFonts w:ascii="Times New Roman" w:hAnsi="Times New Roman" w:cs="Times New Roman"/>
          <w:sz w:val="24"/>
          <w:szCs w:val="24"/>
        </w:rPr>
        <w:t>patients and clinicians. Foster stronger collaboration among neurologists, geriatricians, psychologists, rehabilitation specialists, and primary care providers. Establishment regular interdisciplinary team meetings to discuss and coordinate treatment plans. Implement shared electronic health records to facilitate seamless communication among healthcare professionals. Comprehensive and coordinated care plans that address medical, cognitive, and psychosocial aspects of vascular dementia. Efficient exchange of information among team members, leading to more responsive and tailored interventions. Develop personalized care plans that consider the unique needs, preferences, and lifestyle of each individual with vascular dementia. Through conducting thorough assessments, including medical history, cognitive function</w:t>
      </w:r>
      <w:r w:rsidR="00FA41B4">
        <w:rPr>
          <w:rFonts w:ascii="Times New Roman" w:hAnsi="Times New Roman" w:cs="Times New Roman"/>
          <w:sz w:val="24"/>
          <w:szCs w:val="24"/>
        </w:rPr>
        <w:t>ing, and lifestyle factors (</w:t>
      </w:r>
      <w:r w:rsidR="00FA41B4">
        <w:rPr>
          <w:rFonts w:ascii="Times New Roman" w:hAnsi="Times New Roman" w:cs="Times New Roman"/>
          <w:color w:val="222222"/>
          <w:sz w:val="24"/>
          <w:szCs w:val="24"/>
          <w:shd w:val="clear" w:color="auto" w:fill="FFFFFF"/>
        </w:rPr>
        <w:t>Krawczyk,</w:t>
      </w:r>
      <w:r w:rsidR="00FA41B4" w:rsidRPr="007C134D">
        <w:rPr>
          <w:rFonts w:ascii="Times New Roman" w:hAnsi="Times New Roman" w:cs="Times New Roman"/>
          <w:color w:val="222222"/>
          <w:sz w:val="24"/>
          <w:szCs w:val="24"/>
          <w:shd w:val="clear" w:color="auto" w:fill="FFFFFF"/>
        </w:rPr>
        <w:t xml:space="preserve"> &amp; </w:t>
      </w:r>
      <w:proofErr w:type="spellStart"/>
      <w:r w:rsidR="00FA41B4" w:rsidRPr="007C134D">
        <w:rPr>
          <w:rFonts w:ascii="Times New Roman" w:hAnsi="Times New Roman" w:cs="Times New Roman"/>
          <w:color w:val="222222"/>
          <w:sz w:val="24"/>
          <w:szCs w:val="24"/>
          <w:shd w:val="clear" w:color="auto" w:fill="FFFFFF"/>
        </w:rPr>
        <w:t>Święc</w:t>
      </w:r>
      <w:r w:rsidR="00FA41B4">
        <w:rPr>
          <w:rFonts w:ascii="Times New Roman" w:hAnsi="Times New Roman" w:cs="Times New Roman"/>
          <w:color w:val="222222"/>
          <w:sz w:val="24"/>
          <w:szCs w:val="24"/>
          <w:shd w:val="clear" w:color="auto" w:fill="FFFFFF"/>
        </w:rPr>
        <w:t>icki</w:t>
      </w:r>
      <w:proofErr w:type="spellEnd"/>
      <w:r w:rsidR="00FA41B4">
        <w:rPr>
          <w:rFonts w:ascii="Times New Roman" w:hAnsi="Times New Roman" w:cs="Times New Roman"/>
          <w:color w:val="222222"/>
          <w:sz w:val="24"/>
          <w:szCs w:val="24"/>
          <w:shd w:val="clear" w:color="auto" w:fill="FFFFFF"/>
        </w:rPr>
        <w:t xml:space="preserve">, </w:t>
      </w:r>
      <w:r w:rsidR="00FA41B4" w:rsidRPr="007C134D">
        <w:rPr>
          <w:rFonts w:ascii="Times New Roman" w:hAnsi="Times New Roman" w:cs="Times New Roman"/>
          <w:color w:val="222222"/>
          <w:sz w:val="24"/>
          <w:szCs w:val="24"/>
          <w:shd w:val="clear" w:color="auto" w:fill="FFFFFF"/>
        </w:rPr>
        <w:t xml:space="preserve">2020). </w:t>
      </w:r>
      <w:r w:rsidR="004E18E4" w:rsidRPr="007C134D">
        <w:rPr>
          <w:rFonts w:ascii="Times New Roman" w:hAnsi="Times New Roman" w:cs="Times New Roman"/>
          <w:sz w:val="24"/>
          <w:szCs w:val="24"/>
        </w:rPr>
        <w:t xml:space="preserve"> This can be achieved through Involvement of the individual and their family in the care planning process to incorporate their input and priorities. Tailored interventions that address specific cognitive, functional, and emotional challenges. Increased individual and caregiver satisfaction with the care plan, leading to better adherence and engagement. </w:t>
      </w:r>
    </w:p>
    <w:p w14:paraId="26170F13" w14:textId="77777777" w:rsidR="004E18E4" w:rsidRPr="007C134D" w:rsidRDefault="004E18E4" w:rsidP="007C134D">
      <w:pPr>
        <w:spacing w:line="360" w:lineRule="auto"/>
        <w:ind w:firstLine="720"/>
        <w:rPr>
          <w:rFonts w:ascii="Times New Roman" w:hAnsi="Times New Roman" w:cs="Times New Roman"/>
          <w:sz w:val="24"/>
          <w:szCs w:val="24"/>
        </w:rPr>
      </w:pPr>
      <w:r w:rsidRPr="007C134D">
        <w:rPr>
          <w:rFonts w:ascii="Times New Roman" w:hAnsi="Times New Roman" w:cs="Times New Roman"/>
          <w:sz w:val="24"/>
          <w:szCs w:val="24"/>
        </w:rPr>
        <w:t xml:space="preserve">Implementing regular assessments to monitor cognitive and functional outcomes and adjust treatment plans accordingly. By scheduling a periodic cognitive assessment, functional evaluations, and reviews of medical management, by using standardized outcome measures to track changes and identify areas of improvement or decline. identification of changes in cognitive function, allowing for timely adjustments in treatment. Evidence-based decision-making, with a focus on interventions that demonstrate positive outcomes. Implementing these recommendations can contribute to significant improvements in the treatment and care of individuals with vascular dementia. Practical implementation involves a collaborative and proactive approach among healthcare professionals, caregivers, and community stakeholders. By incorporating these recommendations, service users and their care providers can experience more comprehensive, individualized, and effective support throughout the journey of vascular </w:t>
      </w:r>
      <w:r w:rsidRPr="007C134D">
        <w:rPr>
          <w:rFonts w:ascii="Times New Roman" w:hAnsi="Times New Roman" w:cs="Times New Roman"/>
          <w:sz w:val="24"/>
          <w:szCs w:val="24"/>
        </w:rPr>
        <w:lastRenderedPageBreak/>
        <w:t>dementia. Regular communication, ongoing education, and a commitment to innovation are essential elements in creating a holistic and responsive care environment.</w:t>
      </w:r>
    </w:p>
    <w:p w14:paraId="5DAA11A9" w14:textId="77777777" w:rsidR="004E18E4" w:rsidRPr="007C134D" w:rsidRDefault="004E18E4" w:rsidP="007C134D">
      <w:pPr>
        <w:spacing w:line="360" w:lineRule="auto"/>
        <w:ind w:firstLine="720"/>
        <w:rPr>
          <w:rFonts w:ascii="Times New Roman" w:hAnsi="Times New Roman" w:cs="Times New Roman"/>
          <w:sz w:val="24"/>
          <w:szCs w:val="24"/>
        </w:rPr>
      </w:pPr>
    </w:p>
    <w:p w14:paraId="60745E5A" w14:textId="77777777" w:rsidR="004E18E4" w:rsidRPr="007C134D" w:rsidRDefault="004E18E4" w:rsidP="007C134D">
      <w:pPr>
        <w:spacing w:line="360" w:lineRule="auto"/>
        <w:ind w:firstLine="720"/>
        <w:rPr>
          <w:rFonts w:ascii="Times New Roman" w:hAnsi="Times New Roman" w:cs="Times New Roman"/>
          <w:sz w:val="24"/>
          <w:szCs w:val="24"/>
        </w:rPr>
      </w:pPr>
    </w:p>
    <w:p w14:paraId="6B549A5A" w14:textId="77777777" w:rsidR="004E18E4" w:rsidRPr="007C134D" w:rsidRDefault="004E18E4" w:rsidP="007C134D">
      <w:pPr>
        <w:spacing w:line="360" w:lineRule="auto"/>
        <w:ind w:firstLine="720"/>
        <w:rPr>
          <w:rFonts w:ascii="Times New Roman" w:hAnsi="Times New Roman" w:cs="Times New Roman"/>
          <w:sz w:val="24"/>
          <w:szCs w:val="24"/>
        </w:rPr>
      </w:pPr>
    </w:p>
    <w:p w14:paraId="27B271F9" w14:textId="77777777" w:rsidR="004E18E4" w:rsidRPr="007C134D" w:rsidRDefault="004E18E4" w:rsidP="007C134D">
      <w:pPr>
        <w:spacing w:line="360" w:lineRule="auto"/>
        <w:ind w:firstLine="720"/>
        <w:rPr>
          <w:rFonts w:ascii="Times New Roman" w:hAnsi="Times New Roman" w:cs="Times New Roman"/>
          <w:sz w:val="24"/>
          <w:szCs w:val="24"/>
        </w:rPr>
      </w:pPr>
    </w:p>
    <w:p w14:paraId="03CB19EE" w14:textId="77777777" w:rsidR="004E18E4" w:rsidRPr="007C134D" w:rsidRDefault="004E18E4" w:rsidP="007C134D">
      <w:pPr>
        <w:spacing w:line="360" w:lineRule="auto"/>
        <w:ind w:firstLine="720"/>
        <w:rPr>
          <w:rFonts w:ascii="Times New Roman" w:hAnsi="Times New Roman" w:cs="Times New Roman"/>
          <w:sz w:val="24"/>
          <w:szCs w:val="24"/>
        </w:rPr>
      </w:pPr>
    </w:p>
    <w:p w14:paraId="21AE62FB" w14:textId="77777777" w:rsidR="004E18E4" w:rsidRPr="007C134D" w:rsidRDefault="004E18E4" w:rsidP="007C134D">
      <w:pPr>
        <w:spacing w:line="360" w:lineRule="auto"/>
        <w:ind w:firstLine="720"/>
        <w:rPr>
          <w:rFonts w:ascii="Times New Roman" w:hAnsi="Times New Roman" w:cs="Times New Roman"/>
          <w:sz w:val="24"/>
          <w:szCs w:val="24"/>
        </w:rPr>
      </w:pPr>
    </w:p>
    <w:p w14:paraId="3A17EE68" w14:textId="77777777" w:rsidR="004E18E4" w:rsidRPr="007C134D" w:rsidRDefault="004E18E4" w:rsidP="007C134D">
      <w:pPr>
        <w:spacing w:line="360" w:lineRule="auto"/>
        <w:ind w:firstLine="720"/>
        <w:rPr>
          <w:rFonts w:ascii="Times New Roman" w:hAnsi="Times New Roman" w:cs="Times New Roman"/>
          <w:sz w:val="24"/>
          <w:szCs w:val="24"/>
        </w:rPr>
      </w:pPr>
    </w:p>
    <w:p w14:paraId="4321E09A" w14:textId="77777777" w:rsidR="004E18E4" w:rsidRPr="007C134D" w:rsidRDefault="004E18E4" w:rsidP="007C134D">
      <w:pPr>
        <w:spacing w:line="360" w:lineRule="auto"/>
        <w:ind w:firstLine="720"/>
        <w:rPr>
          <w:rFonts w:ascii="Times New Roman" w:hAnsi="Times New Roman" w:cs="Times New Roman"/>
          <w:sz w:val="24"/>
          <w:szCs w:val="24"/>
        </w:rPr>
      </w:pPr>
    </w:p>
    <w:p w14:paraId="05B23F1A" w14:textId="77777777" w:rsidR="004E18E4" w:rsidRPr="007C134D" w:rsidRDefault="004E18E4" w:rsidP="007C134D">
      <w:pPr>
        <w:spacing w:line="360" w:lineRule="auto"/>
        <w:ind w:firstLine="720"/>
        <w:rPr>
          <w:rFonts w:ascii="Times New Roman" w:hAnsi="Times New Roman" w:cs="Times New Roman"/>
          <w:sz w:val="24"/>
          <w:szCs w:val="24"/>
        </w:rPr>
      </w:pPr>
    </w:p>
    <w:p w14:paraId="222B830B" w14:textId="77777777" w:rsidR="004E18E4" w:rsidRPr="007C134D" w:rsidRDefault="004E18E4" w:rsidP="007C134D">
      <w:pPr>
        <w:spacing w:line="360" w:lineRule="auto"/>
        <w:ind w:firstLine="720"/>
        <w:rPr>
          <w:rFonts w:ascii="Times New Roman" w:hAnsi="Times New Roman" w:cs="Times New Roman"/>
          <w:sz w:val="24"/>
          <w:szCs w:val="24"/>
        </w:rPr>
      </w:pPr>
    </w:p>
    <w:p w14:paraId="7A4EF21E" w14:textId="77777777" w:rsidR="004E18E4" w:rsidRPr="007C134D" w:rsidRDefault="004E18E4" w:rsidP="007C134D">
      <w:pPr>
        <w:spacing w:line="360" w:lineRule="auto"/>
        <w:ind w:firstLine="720"/>
        <w:rPr>
          <w:rFonts w:ascii="Times New Roman" w:hAnsi="Times New Roman" w:cs="Times New Roman"/>
          <w:sz w:val="24"/>
          <w:szCs w:val="24"/>
        </w:rPr>
      </w:pPr>
    </w:p>
    <w:p w14:paraId="41AB60C9" w14:textId="77777777" w:rsidR="004E18E4" w:rsidRPr="007C134D" w:rsidRDefault="004E18E4" w:rsidP="007C134D">
      <w:pPr>
        <w:spacing w:line="360" w:lineRule="auto"/>
        <w:ind w:firstLine="720"/>
        <w:rPr>
          <w:rFonts w:ascii="Times New Roman" w:hAnsi="Times New Roman" w:cs="Times New Roman"/>
          <w:sz w:val="24"/>
          <w:szCs w:val="24"/>
        </w:rPr>
      </w:pPr>
    </w:p>
    <w:p w14:paraId="66ACCA78" w14:textId="77777777" w:rsidR="004E18E4" w:rsidRPr="007C134D" w:rsidRDefault="004E18E4" w:rsidP="007C134D">
      <w:pPr>
        <w:spacing w:line="360" w:lineRule="auto"/>
        <w:ind w:firstLine="720"/>
        <w:rPr>
          <w:rFonts w:ascii="Times New Roman" w:hAnsi="Times New Roman" w:cs="Times New Roman"/>
          <w:sz w:val="24"/>
          <w:szCs w:val="24"/>
        </w:rPr>
      </w:pPr>
    </w:p>
    <w:p w14:paraId="0DE05A6D" w14:textId="77777777" w:rsidR="004E18E4" w:rsidRPr="007C134D" w:rsidRDefault="004E18E4" w:rsidP="007C134D">
      <w:pPr>
        <w:spacing w:line="360" w:lineRule="auto"/>
        <w:ind w:firstLine="720"/>
        <w:rPr>
          <w:rFonts w:ascii="Times New Roman" w:hAnsi="Times New Roman" w:cs="Times New Roman"/>
          <w:sz w:val="24"/>
          <w:szCs w:val="24"/>
        </w:rPr>
      </w:pPr>
    </w:p>
    <w:p w14:paraId="72F9D299" w14:textId="77777777" w:rsidR="004E18E4" w:rsidRPr="007C134D" w:rsidRDefault="004E18E4" w:rsidP="007C134D">
      <w:pPr>
        <w:spacing w:line="360" w:lineRule="auto"/>
        <w:ind w:firstLine="720"/>
        <w:rPr>
          <w:rFonts w:ascii="Times New Roman" w:hAnsi="Times New Roman" w:cs="Times New Roman"/>
          <w:sz w:val="24"/>
          <w:szCs w:val="24"/>
        </w:rPr>
      </w:pPr>
    </w:p>
    <w:p w14:paraId="751130F7" w14:textId="77777777" w:rsidR="004E18E4" w:rsidRPr="007C134D" w:rsidRDefault="004E18E4" w:rsidP="007C134D">
      <w:pPr>
        <w:spacing w:line="360" w:lineRule="auto"/>
        <w:ind w:firstLine="720"/>
        <w:rPr>
          <w:rFonts w:ascii="Times New Roman" w:hAnsi="Times New Roman" w:cs="Times New Roman"/>
          <w:sz w:val="24"/>
          <w:szCs w:val="24"/>
        </w:rPr>
      </w:pPr>
    </w:p>
    <w:p w14:paraId="2F905776" w14:textId="77777777" w:rsidR="004E18E4" w:rsidRPr="007C134D" w:rsidRDefault="004E18E4" w:rsidP="007C134D">
      <w:pPr>
        <w:spacing w:line="360" w:lineRule="auto"/>
        <w:ind w:firstLine="720"/>
        <w:rPr>
          <w:rFonts w:ascii="Times New Roman" w:hAnsi="Times New Roman" w:cs="Times New Roman"/>
          <w:sz w:val="24"/>
          <w:szCs w:val="24"/>
        </w:rPr>
      </w:pPr>
    </w:p>
    <w:p w14:paraId="4F781AB7" w14:textId="77777777" w:rsidR="004E18E4" w:rsidRPr="007C134D" w:rsidRDefault="004E18E4" w:rsidP="007C134D">
      <w:pPr>
        <w:spacing w:line="360" w:lineRule="auto"/>
        <w:ind w:firstLine="720"/>
        <w:rPr>
          <w:rFonts w:ascii="Times New Roman" w:hAnsi="Times New Roman" w:cs="Times New Roman"/>
          <w:sz w:val="24"/>
          <w:szCs w:val="24"/>
        </w:rPr>
      </w:pPr>
    </w:p>
    <w:p w14:paraId="4DA5B7F2" w14:textId="77777777" w:rsidR="004E18E4" w:rsidRPr="007C134D" w:rsidRDefault="004E18E4" w:rsidP="007C134D">
      <w:pPr>
        <w:spacing w:line="360" w:lineRule="auto"/>
        <w:ind w:firstLine="720"/>
        <w:rPr>
          <w:rFonts w:ascii="Times New Roman" w:hAnsi="Times New Roman" w:cs="Times New Roman"/>
          <w:sz w:val="24"/>
          <w:szCs w:val="24"/>
        </w:rPr>
      </w:pPr>
    </w:p>
    <w:p w14:paraId="698E941B" w14:textId="77777777" w:rsidR="004E18E4" w:rsidRPr="007C134D" w:rsidRDefault="004E18E4" w:rsidP="007C134D">
      <w:pPr>
        <w:spacing w:line="360" w:lineRule="auto"/>
        <w:ind w:firstLine="720"/>
        <w:rPr>
          <w:rFonts w:ascii="Times New Roman" w:hAnsi="Times New Roman" w:cs="Times New Roman"/>
          <w:sz w:val="24"/>
          <w:szCs w:val="24"/>
        </w:rPr>
      </w:pPr>
    </w:p>
    <w:p w14:paraId="1DD4BDCE" w14:textId="77777777" w:rsidR="004E18E4" w:rsidRPr="007C134D" w:rsidRDefault="004E18E4" w:rsidP="007C134D">
      <w:pPr>
        <w:spacing w:line="360" w:lineRule="auto"/>
        <w:ind w:firstLine="720"/>
        <w:rPr>
          <w:rFonts w:ascii="Times New Roman" w:hAnsi="Times New Roman" w:cs="Times New Roman"/>
          <w:sz w:val="24"/>
          <w:szCs w:val="24"/>
        </w:rPr>
      </w:pPr>
    </w:p>
    <w:p w14:paraId="05825431" w14:textId="77777777" w:rsidR="004E18E4" w:rsidRDefault="004E18E4" w:rsidP="007C134D">
      <w:pPr>
        <w:spacing w:line="360" w:lineRule="auto"/>
        <w:ind w:firstLine="720"/>
        <w:jc w:val="center"/>
        <w:rPr>
          <w:rFonts w:ascii="Times New Roman" w:hAnsi="Times New Roman" w:cs="Times New Roman"/>
          <w:b/>
          <w:sz w:val="24"/>
          <w:szCs w:val="24"/>
        </w:rPr>
      </w:pPr>
      <w:r w:rsidRPr="007C134D">
        <w:rPr>
          <w:rFonts w:ascii="Times New Roman" w:hAnsi="Times New Roman" w:cs="Times New Roman"/>
          <w:b/>
          <w:sz w:val="24"/>
          <w:szCs w:val="24"/>
        </w:rPr>
        <w:lastRenderedPageBreak/>
        <w:t>References</w:t>
      </w:r>
    </w:p>
    <w:p w14:paraId="73E492CC" w14:textId="77777777" w:rsidR="00A67019" w:rsidRDefault="00A67019" w:rsidP="00A67019">
      <w:pPr>
        <w:spacing w:line="360" w:lineRule="auto"/>
        <w:rPr>
          <w:rFonts w:ascii="Times New Roman" w:hAnsi="Times New Roman" w:cs="Times New Roman"/>
          <w:sz w:val="24"/>
          <w:szCs w:val="24"/>
        </w:rPr>
      </w:pPr>
      <w:r w:rsidRPr="00A67019">
        <w:rPr>
          <w:rFonts w:ascii="Times New Roman" w:hAnsi="Times New Roman" w:cs="Times New Roman"/>
          <w:sz w:val="24"/>
          <w:szCs w:val="24"/>
        </w:rPr>
        <w:t xml:space="preserve">Benisty, S., Hernandez, K., Viswanathan, A., Reyes, S., Kurtz, A., O’Sullivan, M., ... &amp; </w:t>
      </w:r>
      <w:r>
        <w:rPr>
          <w:rFonts w:ascii="Times New Roman" w:hAnsi="Times New Roman" w:cs="Times New Roman"/>
          <w:sz w:val="24"/>
          <w:szCs w:val="24"/>
        </w:rPr>
        <w:tab/>
      </w:r>
      <w:proofErr w:type="spellStart"/>
      <w:r w:rsidRPr="00A67019">
        <w:rPr>
          <w:rFonts w:ascii="Times New Roman" w:hAnsi="Times New Roman" w:cs="Times New Roman"/>
          <w:sz w:val="24"/>
          <w:szCs w:val="24"/>
        </w:rPr>
        <w:t>Chabriat</w:t>
      </w:r>
      <w:proofErr w:type="spellEnd"/>
      <w:r w:rsidRPr="00A67019">
        <w:rPr>
          <w:rFonts w:ascii="Times New Roman" w:hAnsi="Times New Roman" w:cs="Times New Roman"/>
          <w:sz w:val="24"/>
          <w:szCs w:val="24"/>
        </w:rPr>
        <w:t xml:space="preserve">, H. (2008). Diagnostic criteria of vascular dementia in CADASIL. Stroke, 39(3), </w:t>
      </w:r>
      <w:r>
        <w:rPr>
          <w:rFonts w:ascii="Times New Roman" w:hAnsi="Times New Roman" w:cs="Times New Roman"/>
          <w:sz w:val="24"/>
          <w:szCs w:val="24"/>
        </w:rPr>
        <w:tab/>
      </w:r>
      <w:r w:rsidRPr="00A67019">
        <w:rPr>
          <w:rFonts w:ascii="Times New Roman" w:hAnsi="Times New Roman" w:cs="Times New Roman"/>
          <w:sz w:val="24"/>
          <w:szCs w:val="24"/>
        </w:rPr>
        <w:t>838-</w:t>
      </w:r>
      <w:r w:rsidRPr="00A67019">
        <w:rPr>
          <w:rFonts w:ascii="Times New Roman" w:hAnsi="Times New Roman" w:cs="Times New Roman"/>
          <w:sz w:val="24"/>
          <w:szCs w:val="24"/>
        </w:rPr>
        <w:tab/>
        <w:t>844.</w:t>
      </w:r>
    </w:p>
    <w:p w14:paraId="22E08263" w14:textId="77777777" w:rsidR="00A67019" w:rsidRPr="00A67019" w:rsidRDefault="00A67019" w:rsidP="00A67019">
      <w:pPr>
        <w:spacing w:line="360" w:lineRule="auto"/>
        <w:rPr>
          <w:rFonts w:ascii="Times New Roman" w:hAnsi="Times New Roman" w:cs="Times New Roman"/>
          <w:sz w:val="24"/>
          <w:szCs w:val="24"/>
        </w:rPr>
      </w:pPr>
      <w:r w:rsidRPr="00A67019">
        <w:rPr>
          <w:rFonts w:ascii="Times New Roman" w:hAnsi="Times New Roman" w:cs="Times New Roman"/>
          <w:sz w:val="24"/>
          <w:szCs w:val="24"/>
        </w:rPr>
        <w:t xml:space="preserve">Boston, P. F., Dennis, M. S., Jagger, C., Jarman, M., &amp; Lamers, C. (2001). Unequal distribution </w:t>
      </w:r>
      <w:r w:rsidRPr="00A67019">
        <w:rPr>
          <w:rFonts w:ascii="Times New Roman" w:hAnsi="Times New Roman" w:cs="Times New Roman"/>
          <w:sz w:val="24"/>
          <w:szCs w:val="24"/>
        </w:rPr>
        <w:tab/>
        <w:t>of cognitive deficits in vascular dementia–is thi</w:t>
      </w:r>
      <w:r>
        <w:rPr>
          <w:rFonts w:ascii="Times New Roman" w:hAnsi="Times New Roman" w:cs="Times New Roman"/>
          <w:sz w:val="24"/>
          <w:szCs w:val="24"/>
        </w:rPr>
        <w:t>s a valid criterion in the ICD‐</w:t>
      </w:r>
      <w:proofErr w:type="gramStart"/>
      <w:r w:rsidRPr="00A67019">
        <w:rPr>
          <w:rFonts w:ascii="Times New Roman" w:hAnsi="Times New Roman" w:cs="Times New Roman"/>
          <w:sz w:val="24"/>
          <w:szCs w:val="24"/>
        </w:rPr>
        <w:t>10?.</w:t>
      </w:r>
      <w:proofErr w:type="gramEnd"/>
      <w:r w:rsidRPr="00A67019">
        <w:rPr>
          <w:rFonts w:ascii="Times New Roman" w:hAnsi="Times New Roman" w:cs="Times New Roman"/>
          <w:sz w:val="24"/>
          <w:szCs w:val="24"/>
        </w:rPr>
        <w:t xml:space="preserve"> </w:t>
      </w:r>
      <w:r>
        <w:rPr>
          <w:rFonts w:ascii="Times New Roman" w:hAnsi="Times New Roman" w:cs="Times New Roman"/>
          <w:sz w:val="24"/>
          <w:szCs w:val="24"/>
        </w:rPr>
        <w:tab/>
      </w:r>
      <w:r w:rsidRPr="00A67019">
        <w:rPr>
          <w:rFonts w:ascii="Times New Roman" w:hAnsi="Times New Roman" w:cs="Times New Roman"/>
          <w:sz w:val="24"/>
          <w:szCs w:val="24"/>
        </w:rPr>
        <w:t>International journal of geriatric psychiatry, 16(4), 422-426.</w:t>
      </w:r>
    </w:p>
    <w:p w14:paraId="19F6E78F" w14:textId="77777777" w:rsidR="004E18E4" w:rsidRDefault="004E18E4" w:rsidP="007C134D">
      <w:pPr>
        <w:spacing w:line="360" w:lineRule="auto"/>
        <w:rPr>
          <w:rFonts w:ascii="Times New Roman" w:hAnsi="Times New Roman" w:cs="Times New Roman"/>
          <w:color w:val="222222"/>
          <w:sz w:val="24"/>
          <w:szCs w:val="24"/>
          <w:shd w:val="clear" w:color="auto" w:fill="FFFFFF"/>
        </w:rPr>
      </w:pPr>
      <w:r w:rsidRPr="007C134D">
        <w:rPr>
          <w:rFonts w:ascii="Times New Roman" w:hAnsi="Times New Roman" w:cs="Times New Roman"/>
          <w:color w:val="222222"/>
          <w:sz w:val="24"/>
          <w:szCs w:val="24"/>
          <w:shd w:val="clear" w:color="auto" w:fill="FFFFFF"/>
        </w:rPr>
        <w:t xml:space="preserve">Cerullo, E., Quinn, T. J., McCleery, J., </w:t>
      </w:r>
      <w:proofErr w:type="spellStart"/>
      <w:r w:rsidRPr="007C134D">
        <w:rPr>
          <w:rFonts w:ascii="Times New Roman" w:hAnsi="Times New Roman" w:cs="Times New Roman"/>
          <w:color w:val="222222"/>
          <w:sz w:val="24"/>
          <w:szCs w:val="24"/>
          <w:shd w:val="clear" w:color="auto" w:fill="FFFFFF"/>
        </w:rPr>
        <w:t>Vounzoulaki</w:t>
      </w:r>
      <w:proofErr w:type="spellEnd"/>
      <w:r w:rsidRPr="007C134D">
        <w:rPr>
          <w:rFonts w:ascii="Times New Roman" w:hAnsi="Times New Roman" w:cs="Times New Roman"/>
          <w:color w:val="222222"/>
          <w:sz w:val="24"/>
          <w:szCs w:val="24"/>
          <w:shd w:val="clear" w:color="auto" w:fill="FFFFFF"/>
        </w:rPr>
        <w:t xml:space="preserve">, E., Cooper, N. J., &amp; Sutton, A. J. (2021). </w:t>
      </w:r>
      <w:r w:rsidR="007C134D" w:rsidRPr="007C134D">
        <w:rPr>
          <w:rFonts w:ascii="Times New Roman" w:hAnsi="Times New Roman" w:cs="Times New Roman"/>
          <w:color w:val="222222"/>
          <w:sz w:val="24"/>
          <w:szCs w:val="24"/>
          <w:shd w:val="clear" w:color="auto" w:fill="FFFFFF"/>
        </w:rPr>
        <w:tab/>
      </w:r>
      <w:r w:rsidRPr="007C134D">
        <w:rPr>
          <w:rFonts w:ascii="Times New Roman" w:hAnsi="Times New Roman" w:cs="Times New Roman"/>
          <w:color w:val="222222"/>
          <w:sz w:val="24"/>
          <w:szCs w:val="24"/>
          <w:shd w:val="clear" w:color="auto" w:fill="FFFFFF"/>
        </w:rPr>
        <w:t>Interrater agreement in dementia diagnosis: A systematic review and meta‐</w:t>
      </w:r>
      <w:r w:rsidR="007C134D" w:rsidRPr="007C134D">
        <w:rPr>
          <w:rFonts w:ascii="Times New Roman" w:hAnsi="Times New Roman" w:cs="Times New Roman"/>
          <w:color w:val="222222"/>
          <w:sz w:val="24"/>
          <w:szCs w:val="24"/>
          <w:shd w:val="clear" w:color="auto" w:fill="FFFFFF"/>
        </w:rPr>
        <w:tab/>
      </w:r>
      <w:r w:rsidRPr="007C134D">
        <w:rPr>
          <w:rFonts w:ascii="Times New Roman" w:hAnsi="Times New Roman" w:cs="Times New Roman"/>
          <w:color w:val="222222"/>
          <w:sz w:val="24"/>
          <w:szCs w:val="24"/>
          <w:shd w:val="clear" w:color="auto" w:fill="FFFFFF"/>
        </w:rPr>
        <w:t>analysis. </w:t>
      </w:r>
      <w:r w:rsidRPr="007C134D">
        <w:rPr>
          <w:rFonts w:ascii="Times New Roman" w:hAnsi="Times New Roman" w:cs="Times New Roman"/>
          <w:iCs/>
          <w:color w:val="222222"/>
          <w:sz w:val="24"/>
          <w:szCs w:val="24"/>
          <w:shd w:val="clear" w:color="auto" w:fill="FFFFFF"/>
        </w:rPr>
        <w:t>International Journal of Geriatric Psychiatry</w:t>
      </w:r>
      <w:r w:rsidRPr="007C134D">
        <w:rPr>
          <w:rFonts w:ascii="Times New Roman" w:hAnsi="Times New Roman" w:cs="Times New Roman"/>
          <w:color w:val="222222"/>
          <w:sz w:val="24"/>
          <w:szCs w:val="24"/>
          <w:shd w:val="clear" w:color="auto" w:fill="FFFFFF"/>
        </w:rPr>
        <w:t>, </w:t>
      </w:r>
      <w:r w:rsidRPr="007C134D">
        <w:rPr>
          <w:rFonts w:ascii="Times New Roman" w:hAnsi="Times New Roman" w:cs="Times New Roman"/>
          <w:iCs/>
          <w:color w:val="222222"/>
          <w:sz w:val="24"/>
          <w:szCs w:val="24"/>
          <w:shd w:val="clear" w:color="auto" w:fill="FFFFFF"/>
        </w:rPr>
        <w:t>36</w:t>
      </w:r>
      <w:r w:rsidRPr="007C134D">
        <w:rPr>
          <w:rFonts w:ascii="Times New Roman" w:hAnsi="Times New Roman" w:cs="Times New Roman"/>
          <w:color w:val="222222"/>
          <w:sz w:val="24"/>
          <w:szCs w:val="24"/>
          <w:shd w:val="clear" w:color="auto" w:fill="FFFFFF"/>
        </w:rPr>
        <w:t>(8), 1127-1147.</w:t>
      </w:r>
    </w:p>
    <w:p w14:paraId="301E1964" w14:textId="77777777" w:rsidR="00A67019" w:rsidRDefault="00A67019" w:rsidP="007C134D">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t xml:space="preserve">Chui, H. C., Mack, W., Jackson, J. E., </w:t>
      </w:r>
      <w:proofErr w:type="spellStart"/>
      <w:r w:rsidRPr="00A67019">
        <w:rPr>
          <w:rFonts w:ascii="Times New Roman" w:hAnsi="Times New Roman" w:cs="Times New Roman"/>
          <w:color w:val="222222"/>
          <w:sz w:val="24"/>
          <w:szCs w:val="24"/>
          <w:shd w:val="clear" w:color="auto" w:fill="FFFFFF"/>
        </w:rPr>
        <w:t>Mungas</w:t>
      </w:r>
      <w:proofErr w:type="spellEnd"/>
      <w:r w:rsidRPr="00A67019">
        <w:rPr>
          <w:rFonts w:ascii="Times New Roman" w:hAnsi="Times New Roman" w:cs="Times New Roman"/>
          <w:color w:val="222222"/>
          <w:sz w:val="24"/>
          <w:szCs w:val="24"/>
          <w:shd w:val="clear" w:color="auto" w:fill="FFFFFF"/>
        </w:rPr>
        <w:t xml:space="preserve">, D., Reed, B. R., Tinklenberg, J., ... &amp; </w:t>
      </w:r>
      <w:proofErr w:type="spellStart"/>
      <w:r w:rsidRPr="00A67019">
        <w:rPr>
          <w:rFonts w:ascii="Times New Roman" w:hAnsi="Times New Roman" w:cs="Times New Roman"/>
          <w:color w:val="222222"/>
          <w:sz w:val="24"/>
          <w:szCs w:val="24"/>
          <w:shd w:val="clear" w:color="auto" w:fill="FFFFFF"/>
        </w:rPr>
        <w:t>Jagust</w:t>
      </w:r>
      <w:proofErr w:type="spellEnd"/>
      <w:r w:rsidRPr="00A67019">
        <w:rPr>
          <w:rFonts w:ascii="Times New Roman" w:hAnsi="Times New Roman" w:cs="Times New Roman"/>
          <w:color w:val="222222"/>
          <w:sz w:val="24"/>
          <w:szCs w:val="24"/>
          <w:shd w:val="clear" w:color="auto" w:fill="FFFFFF"/>
        </w:rPr>
        <w:t xml:space="preserve">, W. </w:t>
      </w:r>
      <w:r w:rsidRPr="00A67019">
        <w:rPr>
          <w:rFonts w:ascii="Times New Roman" w:hAnsi="Times New Roman" w:cs="Times New Roman"/>
          <w:color w:val="222222"/>
          <w:sz w:val="24"/>
          <w:szCs w:val="24"/>
          <w:shd w:val="clear" w:color="auto" w:fill="FFFFFF"/>
        </w:rPr>
        <w:tab/>
        <w:t xml:space="preserve">J. (2000). Clinical criteria for the diagnosis of vascular dementia: a multicenter study of </w:t>
      </w:r>
      <w:r w:rsidRPr="00A67019">
        <w:rPr>
          <w:rFonts w:ascii="Times New Roman" w:hAnsi="Times New Roman" w:cs="Times New Roman"/>
          <w:color w:val="222222"/>
          <w:sz w:val="24"/>
          <w:szCs w:val="24"/>
          <w:shd w:val="clear" w:color="auto" w:fill="FFFFFF"/>
        </w:rPr>
        <w:tab/>
        <w:t>comparability and interrater reliability. Archives of Neurology, 57(2), 191-196.</w:t>
      </w:r>
    </w:p>
    <w:p w14:paraId="0DC0CCE6" w14:textId="77777777" w:rsidR="00A67019" w:rsidRDefault="00A67019" w:rsidP="007C134D">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t xml:space="preserve">Cosentino, S. A., Jefferson, A. L., Carey, M., Price, C. C., Davis-Garrett, K., Swenson, R., &amp; </w:t>
      </w:r>
      <w:r w:rsidRPr="00A67019">
        <w:rPr>
          <w:rFonts w:ascii="Times New Roman" w:hAnsi="Times New Roman" w:cs="Times New Roman"/>
          <w:color w:val="222222"/>
          <w:sz w:val="24"/>
          <w:szCs w:val="24"/>
          <w:shd w:val="clear" w:color="auto" w:fill="FFFFFF"/>
        </w:rPr>
        <w:tab/>
      </w:r>
      <w:proofErr w:type="spellStart"/>
      <w:r w:rsidRPr="00A67019">
        <w:rPr>
          <w:rFonts w:ascii="Times New Roman" w:hAnsi="Times New Roman" w:cs="Times New Roman"/>
          <w:color w:val="222222"/>
          <w:sz w:val="24"/>
          <w:szCs w:val="24"/>
          <w:shd w:val="clear" w:color="auto" w:fill="FFFFFF"/>
        </w:rPr>
        <w:t>Libon</w:t>
      </w:r>
      <w:proofErr w:type="spellEnd"/>
      <w:r w:rsidRPr="00A67019">
        <w:rPr>
          <w:rFonts w:ascii="Times New Roman" w:hAnsi="Times New Roman" w:cs="Times New Roman"/>
          <w:color w:val="222222"/>
          <w:sz w:val="24"/>
          <w:szCs w:val="24"/>
          <w:shd w:val="clear" w:color="auto" w:fill="FFFFFF"/>
        </w:rPr>
        <w:t xml:space="preserve">, D. J. (2004). The clinical diagnosis of vascular dementia: A comparison among </w:t>
      </w:r>
      <w:r w:rsidRPr="00A67019">
        <w:rPr>
          <w:rFonts w:ascii="Times New Roman" w:hAnsi="Times New Roman" w:cs="Times New Roman"/>
          <w:color w:val="222222"/>
          <w:sz w:val="24"/>
          <w:szCs w:val="24"/>
          <w:shd w:val="clear" w:color="auto" w:fill="FFFFFF"/>
        </w:rPr>
        <w:tab/>
        <w:t xml:space="preserve">four classification systems and a proposal for a new paradigm. The Clinical </w:t>
      </w:r>
      <w:r w:rsidRPr="00A67019">
        <w:rPr>
          <w:rFonts w:ascii="Times New Roman" w:hAnsi="Times New Roman" w:cs="Times New Roman"/>
          <w:color w:val="222222"/>
          <w:sz w:val="24"/>
          <w:szCs w:val="24"/>
          <w:shd w:val="clear" w:color="auto" w:fill="FFFFFF"/>
        </w:rPr>
        <w:tab/>
        <w:t>Neuropsychologist, 18(1), 6-21.</w:t>
      </w:r>
    </w:p>
    <w:p w14:paraId="3881568B" w14:textId="77777777" w:rsidR="00A67019" w:rsidRDefault="00A67019" w:rsidP="007C134D">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t xml:space="preserve">Hirsch, J. A., Nicola, G., McGinty, G., Liu, R. W., Barr, R. M., </w:t>
      </w:r>
      <w:proofErr w:type="spellStart"/>
      <w:r w:rsidRPr="00A67019">
        <w:rPr>
          <w:rFonts w:ascii="Times New Roman" w:hAnsi="Times New Roman" w:cs="Times New Roman"/>
          <w:color w:val="222222"/>
          <w:sz w:val="24"/>
          <w:szCs w:val="24"/>
          <w:shd w:val="clear" w:color="auto" w:fill="FFFFFF"/>
        </w:rPr>
        <w:t>Chittle</w:t>
      </w:r>
      <w:proofErr w:type="spellEnd"/>
      <w:r w:rsidRPr="00A67019">
        <w:rPr>
          <w:rFonts w:ascii="Times New Roman" w:hAnsi="Times New Roman" w:cs="Times New Roman"/>
          <w:color w:val="222222"/>
          <w:sz w:val="24"/>
          <w:szCs w:val="24"/>
          <w:shd w:val="clear" w:color="auto" w:fill="FFFFFF"/>
        </w:rPr>
        <w:t xml:space="preserve">, M. D., &amp; </w:t>
      </w:r>
      <w:proofErr w:type="spellStart"/>
      <w:r w:rsidRPr="00A67019">
        <w:rPr>
          <w:rFonts w:ascii="Times New Roman" w:hAnsi="Times New Roman" w:cs="Times New Roman"/>
          <w:color w:val="222222"/>
          <w:sz w:val="24"/>
          <w:szCs w:val="24"/>
          <w:shd w:val="clear" w:color="auto" w:fill="FFFFFF"/>
        </w:rPr>
        <w:t>Manchikanti</w:t>
      </w:r>
      <w:proofErr w:type="spellEnd"/>
      <w:r w:rsidRPr="00A67019">
        <w:rPr>
          <w:rFonts w:ascii="Times New Roman" w:hAnsi="Times New Roman" w:cs="Times New Roman"/>
          <w:color w:val="222222"/>
          <w:sz w:val="24"/>
          <w:szCs w:val="24"/>
          <w:shd w:val="clear" w:color="auto" w:fill="FFFFFF"/>
        </w:rPr>
        <w:t xml:space="preserve">, </w:t>
      </w:r>
      <w:r w:rsidRPr="00A67019">
        <w:rPr>
          <w:rFonts w:ascii="Times New Roman" w:hAnsi="Times New Roman" w:cs="Times New Roman"/>
          <w:color w:val="222222"/>
          <w:sz w:val="24"/>
          <w:szCs w:val="24"/>
          <w:shd w:val="clear" w:color="auto" w:fill="FFFFFF"/>
        </w:rPr>
        <w:tab/>
        <w:t>L. (2016). ICD-10: history and context. American Journal of Neuroradiology, 37(4), 596-</w:t>
      </w:r>
      <w:r w:rsidRPr="00A67019">
        <w:rPr>
          <w:rFonts w:ascii="Times New Roman" w:hAnsi="Times New Roman" w:cs="Times New Roman"/>
          <w:color w:val="222222"/>
          <w:sz w:val="24"/>
          <w:szCs w:val="24"/>
          <w:shd w:val="clear" w:color="auto" w:fill="FFFFFF"/>
        </w:rPr>
        <w:tab/>
        <w:t>599.</w:t>
      </w:r>
    </w:p>
    <w:p w14:paraId="54E1D4CF" w14:textId="77777777" w:rsidR="00A67019" w:rsidRPr="007C134D" w:rsidRDefault="00A67019" w:rsidP="007C134D">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t xml:space="preserve">Jakobsen, K. D., Frederiksen, J. N., Hansen, T., Jansson, L. B., Parnas, J., &amp; Werge, T. (2005). </w:t>
      </w:r>
      <w:r w:rsidRPr="00A67019">
        <w:rPr>
          <w:rFonts w:ascii="Times New Roman" w:hAnsi="Times New Roman" w:cs="Times New Roman"/>
          <w:color w:val="222222"/>
          <w:sz w:val="24"/>
          <w:szCs w:val="24"/>
          <w:shd w:val="clear" w:color="auto" w:fill="FFFFFF"/>
        </w:rPr>
        <w:tab/>
        <w:t xml:space="preserve">Reliability of clinical ICD-10 schizophrenia diagnoses. Nordic journal of </w:t>
      </w:r>
      <w:r w:rsidRPr="00A67019">
        <w:rPr>
          <w:rFonts w:ascii="Times New Roman" w:hAnsi="Times New Roman" w:cs="Times New Roman"/>
          <w:color w:val="222222"/>
          <w:sz w:val="24"/>
          <w:szCs w:val="24"/>
          <w:shd w:val="clear" w:color="auto" w:fill="FFFFFF"/>
        </w:rPr>
        <w:tab/>
        <w:t xml:space="preserve">psychiatry, </w:t>
      </w:r>
      <w:r w:rsidR="004C569E">
        <w:rPr>
          <w:rFonts w:ascii="Times New Roman" w:hAnsi="Times New Roman" w:cs="Times New Roman"/>
          <w:color w:val="222222"/>
          <w:sz w:val="24"/>
          <w:szCs w:val="24"/>
          <w:shd w:val="clear" w:color="auto" w:fill="FFFFFF"/>
        </w:rPr>
        <w:tab/>
      </w:r>
      <w:r w:rsidRPr="00A67019">
        <w:rPr>
          <w:rFonts w:ascii="Times New Roman" w:hAnsi="Times New Roman" w:cs="Times New Roman"/>
          <w:color w:val="222222"/>
          <w:sz w:val="24"/>
          <w:szCs w:val="24"/>
          <w:shd w:val="clear" w:color="auto" w:fill="FFFFFF"/>
        </w:rPr>
        <w:t>59(3), 209-212.</w:t>
      </w:r>
    </w:p>
    <w:p w14:paraId="76ADD985" w14:textId="77777777" w:rsidR="004E18E4" w:rsidRDefault="004E18E4" w:rsidP="007C134D">
      <w:pPr>
        <w:spacing w:line="360" w:lineRule="auto"/>
        <w:rPr>
          <w:rFonts w:ascii="Times New Roman" w:hAnsi="Times New Roman" w:cs="Times New Roman"/>
          <w:color w:val="222222"/>
          <w:sz w:val="24"/>
          <w:szCs w:val="24"/>
          <w:shd w:val="clear" w:color="auto" w:fill="FFFFFF"/>
        </w:rPr>
      </w:pPr>
      <w:r w:rsidRPr="007C134D">
        <w:rPr>
          <w:rFonts w:ascii="Times New Roman" w:hAnsi="Times New Roman" w:cs="Times New Roman"/>
          <w:color w:val="222222"/>
          <w:sz w:val="24"/>
          <w:szCs w:val="24"/>
          <w:shd w:val="clear" w:color="auto" w:fill="FFFFFF"/>
        </w:rPr>
        <w:t xml:space="preserve">Krawczyk, P., &amp; </w:t>
      </w:r>
      <w:proofErr w:type="spellStart"/>
      <w:r w:rsidRPr="007C134D">
        <w:rPr>
          <w:rFonts w:ascii="Times New Roman" w:hAnsi="Times New Roman" w:cs="Times New Roman"/>
          <w:color w:val="222222"/>
          <w:sz w:val="24"/>
          <w:szCs w:val="24"/>
          <w:shd w:val="clear" w:color="auto" w:fill="FFFFFF"/>
        </w:rPr>
        <w:t>Święcicki</w:t>
      </w:r>
      <w:proofErr w:type="spellEnd"/>
      <w:r w:rsidRPr="007C134D">
        <w:rPr>
          <w:rFonts w:ascii="Times New Roman" w:hAnsi="Times New Roman" w:cs="Times New Roman"/>
          <w:color w:val="222222"/>
          <w:sz w:val="24"/>
          <w:szCs w:val="24"/>
          <w:shd w:val="clear" w:color="auto" w:fill="FFFFFF"/>
        </w:rPr>
        <w:t xml:space="preserve">, Ł. (2020). ICD-11 vs. ICD-10-a review of updates and novelties </w:t>
      </w:r>
      <w:r w:rsidR="007C134D" w:rsidRPr="007C134D">
        <w:rPr>
          <w:rFonts w:ascii="Times New Roman" w:hAnsi="Times New Roman" w:cs="Times New Roman"/>
          <w:color w:val="222222"/>
          <w:sz w:val="24"/>
          <w:szCs w:val="24"/>
          <w:shd w:val="clear" w:color="auto" w:fill="FFFFFF"/>
        </w:rPr>
        <w:tab/>
      </w:r>
      <w:r w:rsidRPr="007C134D">
        <w:rPr>
          <w:rFonts w:ascii="Times New Roman" w:hAnsi="Times New Roman" w:cs="Times New Roman"/>
          <w:color w:val="222222"/>
          <w:sz w:val="24"/>
          <w:szCs w:val="24"/>
          <w:shd w:val="clear" w:color="auto" w:fill="FFFFFF"/>
        </w:rPr>
        <w:t xml:space="preserve">introduced in the latest version of the WHO International Classification of </w:t>
      </w:r>
      <w:r w:rsidR="007C134D" w:rsidRPr="007C134D">
        <w:rPr>
          <w:rFonts w:ascii="Times New Roman" w:hAnsi="Times New Roman" w:cs="Times New Roman"/>
          <w:color w:val="222222"/>
          <w:sz w:val="24"/>
          <w:szCs w:val="24"/>
          <w:shd w:val="clear" w:color="auto" w:fill="FFFFFF"/>
        </w:rPr>
        <w:tab/>
      </w:r>
      <w:r w:rsidRPr="007C134D">
        <w:rPr>
          <w:rFonts w:ascii="Times New Roman" w:hAnsi="Times New Roman" w:cs="Times New Roman"/>
          <w:color w:val="222222"/>
          <w:sz w:val="24"/>
          <w:szCs w:val="24"/>
          <w:shd w:val="clear" w:color="auto" w:fill="FFFFFF"/>
        </w:rPr>
        <w:t>Diseases. </w:t>
      </w:r>
      <w:proofErr w:type="spellStart"/>
      <w:r w:rsidRPr="007C134D">
        <w:rPr>
          <w:rFonts w:ascii="Times New Roman" w:hAnsi="Times New Roman" w:cs="Times New Roman"/>
          <w:iCs/>
          <w:color w:val="222222"/>
          <w:sz w:val="24"/>
          <w:szCs w:val="24"/>
          <w:shd w:val="clear" w:color="auto" w:fill="FFFFFF"/>
        </w:rPr>
        <w:t>Psychiatr</w:t>
      </w:r>
      <w:proofErr w:type="spellEnd"/>
      <w:r w:rsidRPr="007C134D">
        <w:rPr>
          <w:rFonts w:ascii="Times New Roman" w:hAnsi="Times New Roman" w:cs="Times New Roman"/>
          <w:iCs/>
          <w:color w:val="222222"/>
          <w:sz w:val="24"/>
          <w:szCs w:val="24"/>
          <w:shd w:val="clear" w:color="auto" w:fill="FFFFFF"/>
        </w:rPr>
        <w:t xml:space="preserve"> Pol</w:t>
      </w:r>
      <w:r w:rsidRPr="007C134D">
        <w:rPr>
          <w:rFonts w:ascii="Times New Roman" w:hAnsi="Times New Roman" w:cs="Times New Roman"/>
          <w:color w:val="222222"/>
          <w:sz w:val="24"/>
          <w:szCs w:val="24"/>
          <w:shd w:val="clear" w:color="auto" w:fill="FFFFFF"/>
        </w:rPr>
        <w:t>, </w:t>
      </w:r>
      <w:r w:rsidRPr="007C134D">
        <w:rPr>
          <w:rFonts w:ascii="Times New Roman" w:hAnsi="Times New Roman" w:cs="Times New Roman"/>
          <w:iCs/>
          <w:color w:val="222222"/>
          <w:sz w:val="24"/>
          <w:szCs w:val="24"/>
          <w:shd w:val="clear" w:color="auto" w:fill="FFFFFF"/>
        </w:rPr>
        <w:t>54</w:t>
      </w:r>
      <w:r w:rsidRPr="007C134D">
        <w:rPr>
          <w:rFonts w:ascii="Times New Roman" w:hAnsi="Times New Roman" w:cs="Times New Roman"/>
          <w:color w:val="222222"/>
          <w:sz w:val="24"/>
          <w:szCs w:val="24"/>
          <w:shd w:val="clear" w:color="auto" w:fill="FFFFFF"/>
        </w:rPr>
        <w:t>(1), 7-20.</w:t>
      </w:r>
    </w:p>
    <w:p w14:paraId="067EB8BC" w14:textId="77777777" w:rsidR="00A67019" w:rsidRDefault="00A67019" w:rsidP="007C134D">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lastRenderedPageBreak/>
        <w:t xml:space="preserve">Nagata, K., Saito, H., Ueno, T., Sato, M., Nakase, T., Maeda, T., ... &amp; </w:t>
      </w:r>
      <w:proofErr w:type="spellStart"/>
      <w:r w:rsidRPr="00A67019">
        <w:rPr>
          <w:rFonts w:ascii="Times New Roman" w:hAnsi="Times New Roman" w:cs="Times New Roman"/>
          <w:color w:val="222222"/>
          <w:sz w:val="24"/>
          <w:szCs w:val="24"/>
          <w:shd w:val="clear" w:color="auto" w:fill="FFFFFF"/>
        </w:rPr>
        <w:t>Kondoh</w:t>
      </w:r>
      <w:proofErr w:type="spellEnd"/>
      <w:r w:rsidRPr="00A67019">
        <w:rPr>
          <w:rFonts w:ascii="Times New Roman" w:hAnsi="Times New Roman" w:cs="Times New Roman"/>
          <w:color w:val="222222"/>
          <w:sz w:val="24"/>
          <w:szCs w:val="24"/>
          <w:shd w:val="clear" w:color="auto" w:fill="FFFFFF"/>
        </w:rPr>
        <w:t xml:space="preserve">, Y. (2007). </w:t>
      </w:r>
      <w:r w:rsidRPr="00A67019">
        <w:rPr>
          <w:rFonts w:ascii="Times New Roman" w:hAnsi="Times New Roman" w:cs="Times New Roman"/>
          <w:color w:val="222222"/>
          <w:sz w:val="24"/>
          <w:szCs w:val="24"/>
          <w:shd w:val="clear" w:color="auto" w:fill="FFFFFF"/>
        </w:rPr>
        <w:tab/>
        <w:t xml:space="preserve">Clinical diagnosis of vascular dementia. Journal of the neurological sciences, 257(1-2), </w:t>
      </w:r>
      <w:r w:rsidRPr="00A67019">
        <w:rPr>
          <w:rFonts w:ascii="Times New Roman" w:hAnsi="Times New Roman" w:cs="Times New Roman"/>
          <w:color w:val="222222"/>
          <w:sz w:val="24"/>
          <w:szCs w:val="24"/>
          <w:shd w:val="clear" w:color="auto" w:fill="FFFFFF"/>
        </w:rPr>
        <w:tab/>
        <w:t>44-48.</w:t>
      </w:r>
    </w:p>
    <w:p w14:paraId="4681A9B0" w14:textId="77777777" w:rsidR="00A67019" w:rsidRPr="007C134D" w:rsidRDefault="00A67019" w:rsidP="007C134D">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t>Lee, A. Y. (2011). Vascular dementia. Chonnam medical journal, 47(2), 66-71.</w:t>
      </w:r>
    </w:p>
    <w:p w14:paraId="775790E9" w14:textId="77777777" w:rsidR="004E18E4" w:rsidRPr="007C134D" w:rsidRDefault="007C134D" w:rsidP="007C134D">
      <w:pPr>
        <w:spacing w:line="360" w:lineRule="auto"/>
        <w:rPr>
          <w:rFonts w:ascii="Times New Roman" w:hAnsi="Times New Roman" w:cs="Times New Roman"/>
          <w:color w:val="222222"/>
          <w:sz w:val="24"/>
          <w:szCs w:val="24"/>
          <w:shd w:val="clear" w:color="auto" w:fill="FFFFFF"/>
        </w:rPr>
      </w:pPr>
      <w:r w:rsidRPr="007C134D">
        <w:rPr>
          <w:rFonts w:ascii="Times New Roman" w:hAnsi="Times New Roman" w:cs="Times New Roman"/>
          <w:color w:val="222222"/>
          <w:sz w:val="24"/>
          <w:szCs w:val="24"/>
          <w:shd w:val="clear" w:color="auto" w:fill="FFFFFF"/>
        </w:rPr>
        <w:t>Valle, R. (2020). Schizophrenia in ICD-11: Comparison of ICD-10 and DSM-5. </w:t>
      </w:r>
      <w:proofErr w:type="spellStart"/>
      <w:r w:rsidRPr="007C134D">
        <w:rPr>
          <w:rFonts w:ascii="Times New Roman" w:hAnsi="Times New Roman" w:cs="Times New Roman"/>
          <w:iCs/>
          <w:color w:val="222222"/>
          <w:sz w:val="24"/>
          <w:szCs w:val="24"/>
          <w:shd w:val="clear" w:color="auto" w:fill="FFFFFF"/>
        </w:rPr>
        <w:t>Revista</w:t>
      </w:r>
      <w:proofErr w:type="spellEnd"/>
      <w:r w:rsidRPr="007C134D">
        <w:rPr>
          <w:rFonts w:ascii="Times New Roman" w:hAnsi="Times New Roman" w:cs="Times New Roman"/>
          <w:iCs/>
          <w:color w:val="222222"/>
          <w:sz w:val="24"/>
          <w:szCs w:val="24"/>
          <w:shd w:val="clear" w:color="auto" w:fill="FFFFFF"/>
        </w:rPr>
        <w:t xml:space="preserve"> de </w:t>
      </w:r>
      <w:r w:rsidRPr="007C134D">
        <w:rPr>
          <w:rFonts w:ascii="Times New Roman" w:hAnsi="Times New Roman" w:cs="Times New Roman"/>
          <w:iCs/>
          <w:color w:val="222222"/>
          <w:sz w:val="24"/>
          <w:szCs w:val="24"/>
          <w:shd w:val="clear" w:color="auto" w:fill="FFFFFF"/>
        </w:rPr>
        <w:tab/>
      </w:r>
      <w:proofErr w:type="spellStart"/>
      <w:r w:rsidRPr="007C134D">
        <w:rPr>
          <w:rFonts w:ascii="Times New Roman" w:hAnsi="Times New Roman" w:cs="Times New Roman"/>
          <w:iCs/>
          <w:color w:val="222222"/>
          <w:sz w:val="24"/>
          <w:szCs w:val="24"/>
          <w:shd w:val="clear" w:color="auto" w:fill="FFFFFF"/>
        </w:rPr>
        <w:t>Psiquiatría</w:t>
      </w:r>
      <w:proofErr w:type="spellEnd"/>
      <w:r w:rsidRPr="007C134D">
        <w:rPr>
          <w:rFonts w:ascii="Times New Roman" w:hAnsi="Times New Roman" w:cs="Times New Roman"/>
          <w:iCs/>
          <w:color w:val="222222"/>
          <w:sz w:val="24"/>
          <w:szCs w:val="24"/>
          <w:shd w:val="clear" w:color="auto" w:fill="FFFFFF"/>
        </w:rPr>
        <w:t xml:space="preserve"> y Salud Mental (English Edition)</w:t>
      </w:r>
      <w:r w:rsidRPr="007C134D">
        <w:rPr>
          <w:rFonts w:ascii="Times New Roman" w:hAnsi="Times New Roman" w:cs="Times New Roman"/>
          <w:color w:val="222222"/>
          <w:sz w:val="24"/>
          <w:szCs w:val="24"/>
          <w:shd w:val="clear" w:color="auto" w:fill="FFFFFF"/>
        </w:rPr>
        <w:t>, </w:t>
      </w:r>
      <w:r w:rsidRPr="007C134D">
        <w:rPr>
          <w:rFonts w:ascii="Times New Roman" w:hAnsi="Times New Roman" w:cs="Times New Roman"/>
          <w:iCs/>
          <w:color w:val="222222"/>
          <w:sz w:val="24"/>
          <w:szCs w:val="24"/>
          <w:shd w:val="clear" w:color="auto" w:fill="FFFFFF"/>
        </w:rPr>
        <w:t>13</w:t>
      </w:r>
      <w:r w:rsidRPr="007C134D">
        <w:rPr>
          <w:rFonts w:ascii="Times New Roman" w:hAnsi="Times New Roman" w:cs="Times New Roman"/>
          <w:color w:val="222222"/>
          <w:sz w:val="24"/>
          <w:szCs w:val="24"/>
          <w:shd w:val="clear" w:color="auto" w:fill="FFFFFF"/>
        </w:rPr>
        <w:t>(2), 95-104.</w:t>
      </w:r>
    </w:p>
    <w:p w14:paraId="755F41E3" w14:textId="77777777" w:rsidR="007C134D" w:rsidRPr="007C134D" w:rsidRDefault="007C134D" w:rsidP="007C134D">
      <w:pPr>
        <w:spacing w:line="360" w:lineRule="auto"/>
        <w:rPr>
          <w:rFonts w:ascii="Times New Roman" w:hAnsi="Times New Roman" w:cs="Times New Roman"/>
          <w:color w:val="222222"/>
          <w:sz w:val="24"/>
          <w:szCs w:val="24"/>
          <w:shd w:val="clear" w:color="auto" w:fill="FFFFFF"/>
        </w:rPr>
      </w:pPr>
      <w:r w:rsidRPr="007C134D">
        <w:rPr>
          <w:rFonts w:ascii="Times New Roman" w:hAnsi="Times New Roman" w:cs="Times New Roman"/>
          <w:color w:val="222222"/>
          <w:sz w:val="24"/>
          <w:szCs w:val="24"/>
          <w:shd w:val="clear" w:color="auto" w:fill="FFFFFF"/>
        </w:rPr>
        <w:t xml:space="preserve">Wetterling, T., Kanitz, R. D., &amp; Borgis, K. J. (1996). Comparison of different diagnostic criteria </w:t>
      </w:r>
      <w:r w:rsidRPr="007C134D">
        <w:rPr>
          <w:rFonts w:ascii="Times New Roman" w:hAnsi="Times New Roman" w:cs="Times New Roman"/>
          <w:color w:val="222222"/>
          <w:sz w:val="24"/>
          <w:szCs w:val="24"/>
          <w:shd w:val="clear" w:color="auto" w:fill="FFFFFF"/>
        </w:rPr>
        <w:tab/>
        <w:t>for vascular dementia (ADDTC, DSM-IV, ICD-10, NINDS-AIREN). </w:t>
      </w:r>
      <w:r w:rsidRPr="007C134D">
        <w:rPr>
          <w:rFonts w:ascii="Times New Roman" w:hAnsi="Times New Roman" w:cs="Times New Roman"/>
          <w:iCs/>
          <w:color w:val="222222"/>
          <w:sz w:val="24"/>
          <w:szCs w:val="24"/>
          <w:shd w:val="clear" w:color="auto" w:fill="FFFFFF"/>
        </w:rPr>
        <w:t>Stroke</w:t>
      </w:r>
      <w:r w:rsidRPr="007C134D">
        <w:rPr>
          <w:rFonts w:ascii="Times New Roman" w:hAnsi="Times New Roman" w:cs="Times New Roman"/>
          <w:color w:val="222222"/>
          <w:sz w:val="24"/>
          <w:szCs w:val="24"/>
          <w:shd w:val="clear" w:color="auto" w:fill="FFFFFF"/>
        </w:rPr>
        <w:t>, </w:t>
      </w:r>
      <w:r w:rsidRPr="007C134D">
        <w:rPr>
          <w:rFonts w:ascii="Times New Roman" w:hAnsi="Times New Roman" w:cs="Times New Roman"/>
          <w:iCs/>
          <w:color w:val="222222"/>
          <w:sz w:val="24"/>
          <w:szCs w:val="24"/>
          <w:shd w:val="clear" w:color="auto" w:fill="FFFFFF"/>
        </w:rPr>
        <w:t>27</w:t>
      </w:r>
      <w:r w:rsidRPr="007C134D">
        <w:rPr>
          <w:rFonts w:ascii="Times New Roman" w:hAnsi="Times New Roman" w:cs="Times New Roman"/>
          <w:color w:val="222222"/>
          <w:sz w:val="24"/>
          <w:szCs w:val="24"/>
          <w:shd w:val="clear" w:color="auto" w:fill="FFFFFF"/>
        </w:rPr>
        <w:t>(1), 30-</w:t>
      </w:r>
      <w:r w:rsidRPr="007C134D">
        <w:rPr>
          <w:rFonts w:ascii="Times New Roman" w:hAnsi="Times New Roman" w:cs="Times New Roman"/>
          <w:color w:val="222222"/>
          <w:sz w:val="24"/>
          <w:szCs w:val="24"/>
          <w:shd w:val="clear" w:color="auto" w:fill="FFFFFF"/>
        </w:rPr>
        <w:tab/>
        <w:t>36.</w:t>
      </w:r>
    </w:p>
    <w:p w14:paraId="626F9C6C" w14:textId="77777777" w:rsidR="007C134D" w:rsidRDefault="007C134D" w:rsidP="007C134D">
      <w:pPr>
        <w:spacing w:line="360" w:lineRule="auto"/>
        <w:rPr>
          <w:rFonts w:ascii="Times New Roman" w:hAnsi="Times New Roman" w:cs="Times New Roman"/>
          <w:color w:val="222222"/>
          <w:sz w:val="24"/>
          <w:szCs w:val="24"/>
          <w:shd w:val="clear" w:color="auto" w:fill="FFFFFF"/>
        </w:rPr>
      </w:pPr>
      <w:r w:rsidRPr="007C134D">
        <w:rPr>
          <w:rFonts w:ascii="Times New Roman" w:hAnsi="Times New Roman" w:cs="Times New Roman"/>
          <w:color w:val="222222"/>
          <w:sz w:val="24"/>
          <w:szCs w:val="24"/>
          <w:shd w:val="clear" w:color="auto" w:fill="FFFFFF"/>
        </w:rPr>
        <w:t xml:space="preserve">Wetterling, T., Kanitz, R. D., &amp; Borgis, K. J. (1994). The ICD-10 criteria for vascular </w:t>
      </w:r>
      <w:r w:rsidRPr="007C134D">
        <w:rPr>
          <w:rFonts w:ascii="Times New Roman" w:hAnsi="Times New Roman" w:cs="Times New Roman"/>
          <w:color w:val="222222"/>
          <w:sz w:val="24"/>
          <w:szCs w:val="24"/>
          <w:shd w:val="clear" w:color="auto" w:fill="FFFFFF"/>
        </w:rPr>
        <w:tab/>
        <w:t>dementia. </w:t>
      </w:r>
      <w:r w:rsidRPr="007C134D">
        <w:rPr>
          <w:rFonts w:ascii="Times New Roman" w:hAnsi="Times New Roman" w:cs="Times New Roman"/>
          <w:iCs/>
          <w:color w:val="222222"/>
          <w:sz w:val="24"/>
          <w:szCs w:val="24"/>
          <w:shd w:val="clear" w:color="auto" w:fill="FFFFFF"/>
        </w:rPr>
        <w:t>Dementia and Geriatric Cognitive Disorders</w:t>
      </w:r>
      <w:r w:rsidRPr="007C134D">
        <w:rPr>
          <w:rFonts w:ascii="Times New Roman" w:hAnsi="Times New Roman" w:cs="Times New Roman"/>
          <w:color w:val="222222"/>
          <w:sz w:val="24"/>
          <w:szCs w:val="24"/>
          <w:shd w:val="clear" w:color="auto" w:fill="FFFFFF"/>
        </w:rPr>
        <w:t>, </w:t>
      </w:r>
      <w:r w:rsidRPr="007C134D">
        <w:rPr>
          <w:rFonts w:ascii="Times New Roman" w:hAnsi="Times New Roman" w:cs="Times New Roman"/>
          <w:iCs/>
          <w:color w:val="222222"/>
          <w:sz w:val="24"/>
          <w:szCs w:val="24"/>
          <w:shd w:val="clear" w:color="auto" w:fill="FFFFFF"/>
        </w:rPr>
        <w:t>5</w:t>
      </w:r>
      <w:r w:rsidRPr="007C134D">
        <w:rPr>
          <w:rFonts w:ascii="Times New Roman" w:hAnsi="Times New Roman" w:cs="Times New Roman"/>
          <w:color w:val="222222"/>
          <w:sz w:val="24"/>
          <w:szCs w:val="24"/>
          <w:shd w:val="clear" w:color="auto" w:fill="FFFFFF"/>
        </w:rPr>
        <w:t>(3-4), 185-188.</w:t>
      </w:r>
    </w:p>
    <w:p w14:paraId="6ED0B7EB" w14:textId="77777777" w:rsidR="00A67019" w:rsidRPr="00A67019" w:rsidRDefault="00A67019" w:rsidP="00A67019">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t xml:space="preserve">Uysal, S. (2019). ICD-10-CM diagnosis coding for neuropsychological assessment. Archives of </w:t>
      </w:r>
      <w:r w:rsidRPr="00A67019">
        <w:rPr>
          <w:rFonts w:ascii="Times New Roman" w:hAnsi="Times New Roman" w:cs="Times New Roman"/>
          <w:color w:val="222222"/>
          <w:sz w:val="24"/>
          <w:szCs w:val="24"/>
          <w:shd w:val="clear" w:color="auto" w:fill="FFFFFF"/>
        </w:rPr>
        <w:tab/>
        <w:t>clinical neuropsychology, 34(5), 721-730.</w:t>
      </w:r>
    </w:p>
    <w:p w14:paraId="582CA6A9" w14:textId="77777777" w:rsidR="00A67019" w:rsidRPr="007C134D" w:rsidRDefault="00A67019" w:rsidP="00A67019">
      <w:pPr>
        <w:spacing w:line="360" w:lineRule="auto"/>
        <w:rPr>
          <w:rFonts w:ascii="Times New Roman" w:hAnsi="Times New Roman" w:cs="Times New Roman"/>
          <w:color w:val="222222"/>
          <w:sz w:val="24"/>
          <w:szCs w:val="24"/>
          <w:shd w:val="clear" w:color="auto" w:fill="FFFFFF"/>
        </w:rPr>
      </w:pPr>
      <w:r w:rsidRPr="00A67019">
        <w:rPr>
          <w:rFonts w:ascii="Times New Roman" w:hAnsi="Times New Roman" w:cs="Times New Roman"/>
          <w:color w:val="222222"/>
          <w:sz w:val="24"/>
          <w:szCs w:val="24"/>
          <w:shd w:val="clear" w:color="auto" w:fill="FFFFFF"/>
        </w:rPr>
        <w:t xml:space="preserve">Van Straaten, E. C. W., </w:t>
      </w:r>
      <w:proofErr w:type="spellStart"/>
      <w:r w:rsidRPr="00A67019">
        <w:rPr>
          <w:rFonts w:ascii="Times New Roman" w:hAnsi="Times New Roman" w:cs="Times New Roman"/>
          <w:color w:val="222222"/>
          <w:sz w:val="24"/>
          <w:szCs w:val="24"/>
          <w:shd w:val="clear" w:color="auto" w:fill="FFFFFF"/>
        </w:rPr>
        <w:t>Scheltens</w:t>
      </w:r>
      <w:proofErr w:type="spellEnd"/>
      <w:r w:rsidRPr="00A67019">
        <w:rPr>
          <w:rFonts w:ascii="Times New Roman" w:hAnsi="Times New Roman" w:cs="Times New Roman"/>
          <w:color w:val="222222"/>
          <w:sz w:val="24"/>
          <w:szCs w:val="24"/>
          <w:shd w:val="clear" w:color="auto" w:fill="FFFFFF"/>
        </w:rPr>
        <w:t xml:space="preserve">, P., &amp; </w:t>
      </w:r>
      <w:proofErr w:type="spellStart"/>
      <w:r w:rsidRPr="00A67019">
        <w:rPr>
          <w:rFonts w:ascii="Times New Roman" w:hAnsi="Times New Roman" w:cs="Times New Roman"/>
          <w:color w:val="222222"/>
          <w:sz w:val="24"/>
          <w:szCs w:val="24"/>
          <w:shd w:val="clear" w:color="auto" w:fill="FFFFFF"/>
        </w:rPr>
        <w:t>Barkhof</w:t>
      </w:r>
      <w:proofErr w:type="spellEnd"/>
      <w:r w:rsidRPr="00A67019">
        <w:rPr>
          <w:rFonts w:ascii="Times New Roman" w:hAnsi="Times New Roman" w:cs="Times New Roman"/>
          <w:color w:val="222222"/>
          <w:sz w:val="24"/>
          <w:szCs w:val="24"/>
          <w:shd w:val="clear" w:color="auto" w:fill="FFFFFF"/>
        </w:rPr>
        <w:t xml:space="preserve">, F. (2004). MRI and CT in the diagnosis of </w:t>
      </w:r>
      <w:r w:rsidRPr="00A67019">
        <w:rPr>
          <w:rFonts w:ascii="Times New Roman" w:hAnsi="Times New Roman" w:cs="Times New Roman"/>
          <w:color w:val="222222"/>
          <w:sz w:val="24"/>
          <w:szCs w:val="24"/>
          <w:shd w:val="clear" w:color="auto" w:fill="FFFFFF"/>
        </w:rPr>
        <w:tab/>
        <w:t>vascular dementia. Journal of the neurological sciences, 226(1-2), 9-12.</w:t>
      </w:r>
    </w:p>
    <w:p w14:paraId="440277A3" w14:textId="77777777" w:rsidR="007C134D" w:rsidRPr="007C134D" w:rsidRDefault="007C134D" w:rsidP="007C134D">
      <w:pPr>
        <w:spacing w:line="360" w:lineRule="auto"/>
        <w:rPr>
          <w:rFonts w:ascii="Times New Roman" w:hAnsi="Times New Roman" w:cs="Times New Roman"/>
          <w:color w:val="222222"/>
          <w:sz w:val="24"/>
          <w:szCs w:val="24"/>
          <w:shd w:val="clear" w:color="auto" w:fill="FFFFFF"/>
        </w:rPr>
      </w:pPr>
      <w:r w:rsidRPr="007C134D">
        <w:rPr>
          <w:rFonts w:ascii="Times New Roman" w:hAnsi="Times New Roman" w:cs="Times New Roman"/>
          <w:color w:val="222222"/>
          <w:sz w:val="24"/>
          <w:szCs w:val="24"/>
          <w:shd w:val="clear" w:color="auto" w:fill="FFFFFF"/>
        </w:rPr>
        <w:t xml:space="preserve">Wiederkehr, S., Simard, M., Fortin, C., &amp; van </w:t>
      </w:r>
      <w:proofErr w:type="spellStart"/>
      <w:r w:rsidRPr="007C134D">
        <w:rPr>
          <w:rFonts w:ascii="Times New Roman" w:hAnsi="Times New Roman" w:cs="Times New Roman"/>
          <w:color w:val="222222"/>
          <w:sz w:val="24"/>
          <w:szCs w:val="24"/>
          <w:shd w:val="clear" w:color="auto" w:fill="FFFFFF"/>
        </w:rPr>
        <w:t>Reekum</w:t>
      </w:r>
      <w:proofErr w:type="spellEnd"/>
      <w:r w:rsidRPr="007C134D">
        <w:rPr>
          <w:rFonts w:ascii="Times New Roman" w:hAnsi="Times New Roman" w:cs="Times New Roman"/>
          <w:color w:val="222222"/>
          <w:sz w:val="24"/>
          <w:szCs w:val="24"/>
          <w:shd w:val="clear" w:color="auto" w:fill="FFFFFF"/>
        </w:rPr>
        <w:t xml:space="preserve">, R. (2008). Comparability of the clinical </w:t>
      </w:r>
      <w:r w:rsidRPr="007C134D">
        <w:rPr>
          <w:rFonts w:ascii="Times New Roman" w:hAnsi="Times New Roman" w:cs="Times New Roman"/>
          <w:color w:val="222222"/>
          <w:sz w:val="24"/>
          <w:szCs w:val="24"/>
          <w:shd w:val="clear" w:color="auto" w:fill="FFFFFF"/>
        </w:rPr>
        <w:tab/>
        <w:t>diagnostic criteria for vascular dementia: a critical review. Part I. </w:t>
      </w:r>
      <w:r w:rsidRPr="007C134D">
        <w:rPr>
          <w:rFonts w:ascii="Times New Roman" w:hAnsi="Times New Roman" w:cs="Times New Roman"/>
          <w:iCs/>
          <w:color w:val="222222"/>
          <w:sz w:val="24"/>
          <w:szCs w:val="24"/>
          <w:shd w:val="clear" w:color="auto" w:fill="FFFFFF"/>
        </w:rPr>
        <w:t xml:space="preserve">The Journal of </w:t>
      </w:r>
      <w:r w:rsidRPr="007C134D">
        <w:rPr>
          <w:rFonts w:ascii="Times New Roman" w:hAnsi="Times New Roman" w:cs="Times New Roman"/>
          <w:iCs/>
          <w:color w:val="222222"/>
          <w:sz w:val="24"/>
          <w:szCs w:val="24"/>
          <w:shd w:val="clear" w:color="auto" w:fill="FFFFFF"/>
        </w:rPr>
        <w:tab/>
        <w:t>neuropsychiatry and clinical neurosciences</w:t>
      </w:r>
      <w:r w:rsidRPr="007C134D">
        <w:rPr>
          <w:rFonts w:ascii="Times New Roman" w:hAnsi="Times New Roman" w:cs="Times New Roman"/>
          <w:color w:val="222222"/>
          <w:sz w:val="24"/>
          <w:szCs w:val="24"/>
          <w:shd w:val="clear" w:color="auto" w:fill="FFFFFF"/>
        </w:rPr>
        <w:t>, </w:t>
      </w:r>
      <w:r w:rsidRPr="007C134D">
        <w:rPr>
          <w:rFonts w:ascii="Times New Roman" w:hAnsi="Times New Roman" w:cs="Times New Roman"/>
          <w:iCs/>
          <w:color w:val="222222"/>
          <w:sz w:val="24"/>
          <w:szCs w:val="24"/>
          <w:shd w:val="clear" w:color="auto" w:fill="FFFFFF"/>
        </w:rPr>
        <w:t>20</w:t>
      </w:r>
      <w:r w:rsidRPr="007C134D">
        <w:rPr>
          <w:rFonts w:ascii="Times New Roman" w:hAnsi="Times New Roman" w:cs="Times New Roman"/>
          <w:color w:val="222222"/>
          <w:sz w:val="24"/>
          <w:szCs w:val="24"/>
          <w:shd w:val="clear" w:color="auto" w:fill="FFFFFF"/>
        </w:rPr>
        <w:t>(2), 150-161.</w:t>
      </w:r>
    </w:p>
    <w:p w14:paraId="2DB484AE" w14:textId="77777777" w:rsidR="007C134D" w:rsidRPr="007C134D" w:rsidRDefault="007C134D" w:rsidP="007C134D">
      <w:pPr>
        <w:spacing w:line="360" w:lineRule="auto"/>
        <w:rPr>
          <w:rFonts w:ascii="Times New Roman" w:hAnsi="Times New Roman" w:cs="Times New Roman"/>
          <w:sz w:val="24"/>
          <w:szCs w:val="24"/>
        </w:rPr>
      </w:pPr>
      <w:r w:rsidRPr="007C134D">
        <w:rPr>
          <w:rFonts w:ascii="Times New Roman" w:hAnsi="Times New Roman" w:cs="Times New Roman"/>
          <w:color w:val="222222"/>
          <w:sz w:val="24"/>
          <w:szCs w:val="24"/>
          <w:shd w:val="clear" w:color="auto" w:fill="FFFFFF"/>
        </w:rPr>
        <w:t>World Health Organization. (1992). </w:t>
      </w:r>
      <w:r w:rsidRPr="007C134D">
        <w:rPr>
          <w:rFonts w:ascii="Times New Roman" w:hAnsi="Times New Roman" w:cs="Times New Roman"/>
          <w:iCs/>
          <w:color w:val="222222"/>
          <w:sz w:val="24"/>
          <w:szCs w:val="24"/>
          <w:shd w:val="clear" w:color="auto" w:fill="FFFFFF"/>
        </w:rPr>
        <w:t xml:space="preserve">The ICD-10 classification of mental and </w:t>
      </w:r>
      <w:r w:rsidR="00A67019" w:rsidRPr="007C134D">
        <w:rPr>
          <w:rFonts w:ascii="Times New Roman" w:hAnsi="Times New Roman" w:cs="Times New Roman"/>
          <w:iCs/>
          <w:color w:val="222222"/>
          <w:sz w:val="24"/>
          <w:szCs w:val="24"/>
          <w:shd w:val="clear" w:color="auto" w:fill="FFFFFF"/>
        </w:rPr>
        <w:t>behavioral</w:t>
      </w:r>
      <w:r w:rsidRPr="007C134D">
        <w:rPr>
          <w:rFonts w:ascii="Times New Roman" w:hAnsi="Times New Roman" w:cs="Times New Roman"/>
          <w:iCs/>
          <w:color w:val="222222"/>
          <w:sz w:val="24"/>
          <w:szCs w:val="24"/>
          <w:shd w:val="clear" w:color="auto" w:fill="FFFFFF"/>
        </w:rPr>
        <w:t xml:space="preserve"> </w:t>
      </w:r>
      <w:r w:rsidRPr="007C134D">
        <w:rPr>
          <w:rFonts w:ascii="Times New Roman" w:hAnsi="Times New Roman" w:cs="Times New Roman"/>
          <w:iCs/>
          <w:color w:val="222222"/>
          <w:sz w:val="24"/>
          <w:szCs w:val="24"/>
          <w:shd w:val="clear" w:color="auto" w:fill="FFFFFF"/>
        </w:rPr>
        <w:tab/>
        <w:t>disorders: clinical descriptions and diagnostic guidelines</w:t>
      </w:r>
      <w:r w:rsidRPr="007C134D">
        <w:rPr>
          <w:rFonts w:ascii="Times New Roman" w:hAnsi="Times New Roman" w:cs="Times New Roman"/>
          <w:color w:val="222222"/>
          <w:sz w:val="24"/>
          <w:szCs w:val="24"/>
          <w:shd w:val="clear" w:color="auto" w:fill="FFFFFF"/>
        </w:rPr>
        <w:t xml:space="preserve"> (Vol. 1). World Health </w:t>
      </w:r>
      <w:r w:rsidRPr="007C134D">
        <w:rPr>
          <w:rFonts w:ascii="Times New Roman" w:hAnsi="Times New Roman" w:cs="Times New Roman"/>
          <w:color w:val="222222"/>
          <w:sz w:val="24"/>
          <w:szCs w:val="24"/>
          <w:shd w:val="clear" w:color="auto" w:fill="FFFFFF"/>
        </w:rPr>
        <w:tab/>
        <w:t>Organization.</w:t>
      </w:r>
    </w:p>
    <w:p w14:paraId="0152C03C" w14:textId="77777777" w:rsidR="004E18E4" w:rsidRPr="007C134D" w:rsidRDefault="004E18E4" w:rsidP="007C134D">
      <w:pPr>
        <w:spacing w:line="360" w:lineRule="auto"/>
        <w:ind w:firstLine="720"/>
        <w:jc w:val="center"/>
        <w:rPr>
          <w:rFonts w:ascii="Times New Roman" w:hAnsi="Times New Roman" w:cs="Times New Roman"/>
          <w:sz w:val="24"/>
          <w:szCs w:val="24"/>
        </w:rPr>
      </w:pPr>
    </w:p>
    <w:p w14:paraId="5EA57A0A" w14:textId="77777777" w:rsidR="00D25C01" w:rsidRPr="007C134D" w:rsidRDefault="00D25C01" w:rsidP="007C134D">
      <w:pPr>
        <w:spacing w:line="360" w:lineRule="auto"/>
        <w:rPr>
          <w:rFonts w:ascii="Times New Roman" w:hAnsi="Times New Roman" w:cs="Times New Roman"/>
          <w:b/>
          <w:sz w:val="24"/>
          <w:szCs w:val="24"/>
        </w:rPr>
      </w:pPr>
    </w:p>
    <w:sectPr w:rsidR="00D25C01" w:rsidRPr="007C134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708DA" w14:textId="77777777" w:rsidR="00704400" w:rsidRDefault="00704400" w:rsidP="00D25C01">
      <w:pPr>
        <w:spacing w:after="0" w:line="240" w:lineRule="auto"/>
      </w:pPr>
      <w:r>
        <w:separator/>
      </w:r>
    </w:p>
  </w:endnote>
  <w:endnote w:type="continuationSeparator" w:id="0">
    <w:p w14:paraId="29724190" w14:textId="77777777" w:rsidR="00704400" w:rsidRDefault="00704400" w:rsidP="00D25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BF534" w14:textId="77777777" w:rsidR="00704400" w:rsidRDefault="00704400" w:rsidP="00D25C01">
      <w:pPr>
        <w:spacing w:after="0" w:line="240" w:lineRule="auto"/>
      </w:pPr>
      <w:r>
        <w:separator/>
      </w:r>
    </w:p>
  </w:footnote>
  <w:footnote w:type="continuationSeparator" w:id="0">
    <w:p w14:paraId="3A564212" w14:textId="77777777" w:rsidR="00704400" w:rsidRDefault="00704400" w:rsidP="00D25C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867304"/>
      <w:docPartObj>
        <w:docPartGallery w:val="Page Numbers (Top of Page)"/>
        <w:docPartUnique/>
      </w:docPartObj>
    </w:sdtPr>
    <w:sdtEndPr>
      <w:rPr>
        <w:noProof/>
      </w:rPr>
    </w:sdtEndPr>
    <w:sdtContent>
      <w:p w14:paraId="7E913755" w14:textId="77777777" w:rsidR="007B712A" w:rsidRDefault="007B712A">
        <w:pPr>
          <w:pStyle w:val="Header"/>
          <w:jc w:val="right"/>
        </w:pPr>
        <w:r>
          <w:fldChar w:fldCharType="begin"/>
        </w:r>
        <w:r>
          <w:instrText xml:space="preserve"> PAGE   \* MERGEFORMAT </w:instrText>
        </w:r>
        <w:r>
          <w:fldChar w:fldCharType="separate"/>
        </w:r>
        <w:r w:rsidR="00A552A3">
          <w:rPr>
            <w:noProof/>
          </w:rPr>
          <w:t>3</w:t>
        </w:r>
        <w:r>
          <w:rPr>
            <w:noProof/>
          </w:rPr>
          <w:fldChar w:fldCharType="end"/>
        </w:r>
      </w:p>
    </w:sdtContent>
  </w:sdt>
  <w:p w14:paraId="2404A354" w14:textId="77777777" w:rsidR="00D25C01" w:rsidRDefault="00D25C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F203C"/>
    <w:multiLevelType w:val="hybridMultilevel"/>
    <w:tmpl w:val="9D183094"/>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70DC7DE1"/>
    <w:multiLevelType w:val="hybridMultilevel"/>
    <w:tmpl w:val="B8DE996A"/>
    <w:lvl w:ilvl="0" w:tplc="4E28DF2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343893308">
    <w:abstractNumId w:val="0"/>
  </w:num>
  <w:num w:numId="2" w16cid:durableId="684789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UwMrUwNzIwMQeSxko6SsGpxcWZ+XkgBYa1AJnaMJgsAAAA"/>
  </w:docVars>
  <w:rsids>
    <w:rsidRoot w:val="00D25C01"/>
    <w:rsid w:val="000E1057"/>
    <w:rsid w:val="0014775E"/>
    <w:rsid w:val="001A67C1"/>
    <w:rsid w:val="001B791F"/>
    <w:rsid w:val="00201C9F"/>
    <w:rsid w:val="002271B6"/>
    <w:rsid w:val="00295A26"/>
    <w:rsid w:val="00422B51"/>
    <w:rsid w:val="004235A6"/>
    <w:rsid w:val="00427B8C"/>
    <w:rsid w:val="004877E8"/>
    <w:rsid w:val="00497ED4"/>
    <w:rsid w:val="004C569E"/>
    <w:rsid w:val="004E18E4"/>
    <w:rsid w:val="00624B08"/>
    <w:rsid w:val="006C086A"/>
    <w:rsid w:val="00704400"/>
    <w:rsid w:val="007B712A"/>
    <w:rsid w:val="007C134D"/>
    <w:rsid w:val="00847C27"/>
    <w:rsid w:val="008E5670"/>
    <w:rsid w:val="0097197E"/>
    <w:rsid w:val="00A552A3"/>
    <w:rsid w:val="00A67019"/>
    <w:rsid w:val="00B1509E"/>
    <w:rsid w:val="00C615F3"/>
    <w:rsid w:val="00D12EC9"/>
    <w:rsid w:val="00D25C01"/>
    <w:rsid w:val="00E51CE2"/>
    <w:rsid w:val="00EC0E64"/>
    <w:rsid w:val="00F12754"/>
    <w:rsid w:val="00FA4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EEA209"/>
  <w15:chartTrackingRefBased/>
  <w15:docId w15:val="{A89A5481-9606-4F53-B297-6CD2DECC8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C01"/>
  </w:style>
  <w:style w:type="paragraph" w:styleId="Heading1">
    <w:name w:val="heading 1"/>
    <w:basedOn w:val="Normal"/>
    <w:next w:val="Normal"/>
    <w:link w:val="Heading1Char"/>
    <w:uiPriority w:val="9"/>
    <w:qFormat/>
    <w:rsid w:val="00D25C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615F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C0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25C01"/>
    <w:pPr>
      <w:outlineLvl w:val="9"/>
    </w:pPr>
  </w:style>
  <w:style w:type="paragraph" w:styleId="TOC1">
    <w:name w:val="toc 1"/>
    <w:basedOn w:val="Normal"/>
    <w:next w:val="Normal"/>
    <w:autoRedefine/>
    <w:uiPriority w:val="39"/>
    <w:unhideWhenUsed/>
    <w:rsid w:val="00D25C01"/>
    <w:pPr>
      <w:tabs>
        <w:tab w:val="right" w:leader="dot" w:pos="9017"/>
      </w:tabs>
      <w:spacing w:after="100" w:line="480" w:lineRule="auto"/>
    </w:pPr>
  </w:style>
  <w:style w:type="character" w:styleId="Hyperlink">
    <w:name w:val="Hyperlink"/>
    <w:basedOn w:val="DefaultParagraphFont"/>
    <w:uiPriority w:val="99"/>
    <w:unhideWhenUsed/>
    <w:rsid w:val="00D25C01"/>
    <w:rPr>
      <w:color w:val="0563C1" w:themeColor="hyperlink"/>
      <w:u w:val="single"/>
    </w:rPr>
  </w:style>
  <w:style w:type="paragraph" w:styleId="Header">
    <w:name w:val="header"/>
    <w:basedOn w:val="Normal"/>
    <w:link w:val="HeaderChar"/>
    <w:uiPriority w:val="99"/>
    <w:unhideWhenUsed/>
    <w:rsid w:val="00D25C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C01"/>
  </w:style>
  <w:style w:type="paragraph" w:styleId="Footer">
    <w:name w:val="footer"/>
    <w:basedOn w:val="Normal"/>
    <w:link w:val="FooterChar"/>
    <w:uiPriority w:val="99"/>
    <w:unhideWhenUsed/>
    <w:rsid w:val="00D25C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C01"/>
  </w:style>
  <w:style w:type="paragraph" w:styleId="ListParagraph">
    <w:name w:val="List Paragraph"/>
    <w:basedOn w:val="Normal"/>
    <w:uiPriority w:val="34"/>
    <w:qFormat/>
    <w:rsid w:val="00295A26"/>
    <w:pPr>
      <w:ind w:left="720"/>
      <w:contextualSpacing/>
    </w:pPr>
  </w:style>
  <w:style w:type="character" w:customStyle="1" w:styleId="Heading3Char">
    <w:name w:val="Heading 3 Char"/>
    <w:basedOn w:val="DefaultParagraphFont"/>
    <w:link w:val="Heading3"/>
    <w:uiPriority w:val="9"/>
    <w:semiHidden/>
    <w:rsid w:val="00C615F3"/>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296974">
      <w:bodyDiv w:val="1"/>
      <w:marLeft w:val="0"/>
      <w:marRight w:val="0"/>
      <w:marTop w:val="0"/>
      <w:marBottom w:val="0"/>
      <w:divBdr>
        <w:top w:val="none" w:sz="0" w:space="0" w:color="auto"/>
        <w:left w:val="none" w:sz="0" w:space="0" w:color="auto"/>
        <w:bottom w:val="none" w:sz="0" w:space="0" w:color="auto"/>
        <w:right w:val="none" w:sz="0" w:space="0" w:color="auto"/>
      </w:divBdr>
    </w:div>
    <w:div w:id="200940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13</Pages>
  <Words>3785</Words>
  <Characters>21581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 Imam</cp:lastModifiedBy>
  <cp:revision>10</cp:revision>
  <dcterms:created xsi:type="dcterms:W3CDTF">2023-11-30T13:33:00Z</dcterms:created>
  <dcterms:modified xsi:type="dcterms:W3CDTF">2023-11-30T21:18:00Z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0d5abac54ec994207768ada89ec99206c819c5d1317107d23be217f56d0a0ada</vt:lpwstr>
  </property>
</Properties>
</file>