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EF59B5" w14:textId="2D3EE430" w:rsidR="00B96ED1" w:rsidRDefault="002003C6" w:rsidP="002003C6">
      <w:pPr>
        <w:spacing w:beforeAutospacing="1" w:after="100" w:afterAutospacing="1" w:line="360" w:lineRule="auto"/>
        <w:jc w:val="right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0C4C92C" wp14:editId="62AE82C6">
            <wp:simplePos x="0" y="0"/>
            <wp:positionH relativeFrom="column">
              <wp:posOffset>3281680</wp:posOffset>
            </wp:positionH>
            <wp:positionV relativeFrom="paragraph">
              <wp:posOffset>284480</wp:posOffset>
            </wp:positionV>
            <wp:extent cx="3576320" cy="1910080"/>
            <wp:effectExtent l="0" t="0" r="0" b="0"/>
            <wp:wrapTopAndBottom/>
            <wp:docPr id="2446277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462774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576320" cy="1910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F90782" w14:textId="77777777" w:rsidR="00B96ED1" w:rsidRDefault="00B96ED1" w:rsidP="002003C6">
      <w:pPr>
        <w:spacing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6EA1EFA6" w14:textId="77777777" w:rsidR="00B96ED1" w:rsidRDefault="00B96ED1" w:rsidP="00B96ED1">
      <w:pPr>
        <w:spacing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5041F06D" w14:textId="11F3C18A" w:rsidR="00AC7CAA" w:rsidRDefault="00AC7CAA" w:rsidP="0015028A">
      <w:pPr>
        <w:spacing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CB157DF" w14:textId="060F8AEE" w:rsidR="00B96ED1" w:rsidRDefault="00B96ED1" w:rsidP="00B96ED1">
      <w:pPr>
        <w:spacing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A84CA6D" w14:textId="064C09ED" w:rsidR="00B96ED1" w:rsidRDefault="00660B09" w:rsidP="00AE746A">
      <w:pPr>
        <w:spacing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Student Name: Patricia Barradas</w:t>
      </w:r>
    </w:p>
    <w:p w14:paraId="374C8395" w14:textId="201979E9" w:rsidR="00660B09" w:rsidRDefault="00660B09" w:rsidP="00AE746A">
      <w:pPr>
        <w:spacing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>Student Number:2247289</w:t>
      </w:r>
    </w:p>
    <w:p w14:paraId="0102C426" w14:textId="61E708C9" w:rsidR="00660B09" w:rsidRDefault="00660B09" w:rsidP="00AE746A">
      <w:pPr>
        <w:spacing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Lecturer name:Laila </w:t>
      </w: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t>Surani</w:t>
      </w:r>
      <w:proofErr w:type="spellEnd"/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 </w:t>
      </w:r>
    </w:p>
    <w:p w14:paraId="1E1757CA" w14:textId="2D7F163E" w:rsidR="00660B09" w:rsidRDefault="00660B09" w:rsidP="00AE746A">
      <w:pPr>
        <w:spacing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Module Name: </w:t>
      </w:r>
      <w:r w:rsidR="00B21ABB">
        <w:rPr>
          <w:rFonts w:ascii="Times New Roman" w:eastAsia="Times New Roman" w:hAnsi="Times New Roman" w:cs="Times New Roman"/>
          <w:b/>
          <w:sz w:val="24"/>
          <w:szCs w:val="24"/>
        </w:rPr>
        <w:t xml:space="preserve">Digital health Tools through devices to Empower the Older Person </w:t>
      </w:r>
    </w:p>
    <w:p w14:paraId="54959A37" w14:textId="4E34FED2" w:rsidR="00660B09" w:rsidRDefault="00660B09" w:rsidP="00AE746A">
      <w:pPr>
        <w:spacing w:beforeAutospacing="1" w:after="100" w:afterAutospacing="1" w:line="36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t xml:space="preserve">Module Number: </w:t>
      </w:r>
      <w:r w:rsidR="0015028A">
        <w:rPr>
          <w:rFonts w:ascii="Times New Roman" w:eastAsia="Times New Roman" w:hAnsi="Times New Roman" w:cs="Times New Roman"/>
          <w:b/>
          <w:sz w:val="24"/>
          <w:szCs w:val="24"/>
        </w:rPr>
        <w:t>BMHP6027_LON</w:t>
      </w:r>
    </w:p>
    <w:p w14:paraId="235664DB" w14:textId="77777777" w:rsidR="00B96ED1" w:rsidRDefault="00B96ED1">
      <w:pPr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194699062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67F44F" w14:textId="3937A008" w:rsidR="009D2796" w:rsidRDefault="009D2796" w:rsidP="009D2796">
          <w:pPr>
            <w:pStyle w:val="TOCHeading"/>
            <w:spacing w:before="0" w:line="360" w:lineRule="auto"/>
            <w:contextualSpacing/>
            <w:jc w:val="center"/>
          </w:pPr>
        </w:p>
        <w:p w14:paraId="2354EC24" w14:textId="51334C9E" w:rsidR="00B96ED1" w:rsidRDefault="009C50C9" w:rsidP="002164F5">
          <w:pPr>
            <w:spacing w:after="0" w:line="360" w:lineRule="auto"/>
            <w:contextualSpacing/>
          </w:pPr>
        </w:p>
      </w:sdtContent>
    </w:sdt>
    <w:p w14:paraId="0BF3D8C1" w14:textId="77777777" w:rsidR="00B96ED1" w:rsidRDefault="00B96ED1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4CF1604" w14:textId="77777777" w:rsidR="00B96ED1" w:rsidRPr="00AC7CAA" w:rsidRDefault="00B96ED1" w:rsidP="00B96ED1">
      <w:pPr>
        <w:spacing w:beforeAutospacing="1" w:after="100" w:afterAutospacing="1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78C703E" w14:textId="77777777" w:rsidR="00B96ED1" w:rsidRDefault="00B96ED1">
      <w:pPr>
        <w:rPr>
          <w:rFonts w:ascii="Times New Roman" w:eastAsiaTheme="majorEastAsia" w:hAnsi="Times New Roman" w:cstheme="majorBidi"/>
          <w:b/>
          <w:color w:val="0D0D0D" w:themeColor="text1" w:themeTint="F2"/>
          <w:sz w:val="24"/>
          <w:szCs w:val="32"/>
        </w:rPr>
      </w:pPr>
      <w:r>
        <w:br w:type="page"/>
      </w:r>
    </w:p>
    <w:p w14:paraId="2D968893" w14:textId="77777777" w:rsidR="006D73E2" w:rsidRDefault="006D73E2">
      <w:pPr>
        <w:rPr>
          <w:rFonts w:ascii="Times New Roman" w:eastAsia="Times New Roman" w:hAnsi="Times New Roman" w:cstheme="majorBidi"/>
          <w:b/>
          <w:color w:val="0D0D0D" w:themeColor="text1" w:themeTint="F2"/>
          <w:sz w:val="24"/>
          <w:szCs w:val="32"/>
        </w:rPr>
      </w:pPr>
      <w:r>
        <w:rPr>
          <w:rFonts w:eastAsia="Times New Roman"/>
        </w:rPr>
        <w:br w:type="page"/>
      </w:r>
    </w:p>
    <w:p w14:paraId="03024280" w14:textId="77777777" w:rsidR="00937153" w:rsidRPr="0023276D" w:rsidRDefault="00937153" w:rsidP="00937153">
      <w:pPr>
        <w:pStyle w:val="Heading1"/>
        <w:rPr>
          <w:rFonts w:eastAsia="Times New Roman"/>
        </w:rPr>
      </w:pPr>
      <w:bookmarkStart w:id="0" w:name="_Toc215211375"/>
      <w:r>
        <w:rPr>
          <w:rFonts w:eastAsia="Times New Roman"/>
        </w:rPr>
        <w:t>References</w:t>
      </w:r>
      <w:bookmarkEnd w:id="0"/>
    </w:p>
    <w:p w14:paraId="08BDECD7" w14:textId="77777777" w:rsidR="006D73E2" w:rsidRPr="00937153" w:rsidRDefault="006D73E2" w:rsidP="00937153">
      <w:pPr>
        <w:spacing w:after="240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Alamy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Limited (2020).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Senior couple during online medical check up from their home. Video conference with doctor using laptop in kitchen. Online health consultation for elderly people drugs </w:t>
      </w:r>
      <w:proofErr w:type="spellStart"/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ilness</w:t>
      </w:r>
      <w:proofErr w:type="spellEnd"/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advice on symptoms, physician telemedicine webcam. Medical care internet chat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. [online] Alamy.com. Available at: </w:t>
      </w:r>
      <w:hyperlink r:id="rId9" w:history="1">
        <w:r w:rsidRPr="0093715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lamy.com/senior-couple-during-online-medical-check-up-from-their-home-video-conference-with-doctor-using-laptop-in-kitchen-online-health-consultation-for-elderly-people-drugs-ilness-advice-on-symptoms-physician-telemedicine-webcam-medical-care-internet-chat-image382494648.html</w:t>
        </w:r>
      </w:hyperlink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[Accessed 3 Nov. 2025]</w:t>
      </w:r>
    </w:p>
    <w:p w14:paraId="79339A65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Alhussein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M.S., Patel, B. and Liu, X.M.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(2023) ‘Closing the gap: Technology access and telehealth use among older adults in the U.S. Medicare beneficiaries’,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Telematics and Informatics Reports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12, pp. 100103–100103. 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doi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0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https://doi.org/10.1016/j.teler.2023.100103</w:t>
        </w:r>
      </w:hyperlink>
    </w:p>
    <w:p w14:paraId="4BB6FE8E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Alruwaili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M.M.,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Shaban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M. and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Elsayed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 Ramadan, O.M.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(2023) ‘Digital health interventions for promoting healthy aging: a systematic review of adoption patterns, efficacy, and user experience’,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Sustainability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15(23), p. 16503. 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doi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1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https://doi.org/10.3390/su152316503</w:t>
        </w:r>
      </w:hyperlink>
    </w:p>
    <w:p w14:paraId="46507177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Chen, C., Ding, S. and Wang, J.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(2023) ‘Digital health for aging populations’,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Nature Medicine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29, pp. 1234–1242. Available at: </w:t>
      </w:r>
      <w:hyperlink r:id="rId12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https://www.nature.com/articles/s41591-023-02391-8</w:t>
        </w:r>
      </w:hyperlink>
    </w:p>
    <w:p w14:paraId="171DC0F1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Cole, A.C.,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Adapa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K.,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Khasawneh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A. et al.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(2022) ‘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Codesign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approaches involving older adults in the development of electronic healthcare tools: a systematic review’,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BMJ Open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12(7), e058390. Available at: </w:t>
      </w:r>
      <w:hyperlink r:id="rId13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https://bmjopen.bmj.com/content/12/7/e058390</w:t>
        </w:r>
      </w:hyperlink>
    </w:p>
    <w:p w14:paraId="6B7FA7CD" w14:textId="77777777" w:rsidR="006D73E2" w:rsidRPr="006D73E2" w:rsidRDefault="006D73E2" w:rsidP="006D73E2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</w:pPr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Curtis, K. and Price, K., 2017.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Factors that influence older people's engagement with digital health technology. </w:t>
      </w:r>
      <w:r w:rsidRPr="006D73E2">
        <w:rPr>
          <w:rFonts w:ascii="Times New Roman" w:eastAsia="Times New Roman" w:hAnsi="Times New Roman" w:cs="Times New Roman"/>
          <w:i/>
          <w:iCs/>
          <w:sz w:val="24"/>
          <w:szCs w:val="24"/>
          <w:lang w:val="en-GB" w:eastAsia="en-GB"/>
        </w:rPr>
        <w:t>Nursing Older People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, 29(10), pp.27–30.</w:t>
      </w:r>
    </w:p>
    <w:p w14:paraId="1B5563E7" w14:textId="77777777" w:rsidR="006D73E2" w:rsidRPr="006D73E2" w:rsidRDefault="006D73E2" w:rsidP="006D73E2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</w:pPr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Daniels, K. and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Bonnechère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, B., 2024.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Harnessing digital health interventions to bridge the gap in prevention for older adults. </w:t>
      </w:r>
      <w:r w:rsidRPr="006D73E2">
        <w:rPr>
          <w:rFonts w:ascii="Times New Roman" w:eastAsia="Times New Roman" w:hAnsi="Times New Roman" w:cs="Times New Roman"/>
          <w:i/>
          <w:iCs/>
          <w:sz w:val="24"/>
          <w:szCs w:val="24"/>
          <w:lang w:val="en-GB" w:eastAsia="en-GB"/>
        </w:rPr>
        <w:t>Frontiers in Public Health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, 11, p.1281923.</w:t>
      </w:r>
    </w:p>
    <w:p w14:paraId="35E65522" w14:textId="77777777" w:rsidR="006D73E2" w:rsidRPr="006D73E2" w:rsidRDefault="006D73E2" w:rsidP="006D73E2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</w:pPr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De Santis, K.K.,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Mergenthal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, L., Christianson, L.,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Busskamp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, A.,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Vonstein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, C. and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Zeeb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, H., 2023.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Digital technologies for health promotion and disease prevention in older people: scoping review. </w:t>
      </w:r>
      <w:r w:rsidRPr="006D73E2">
        <w:rPr>
          <w:rFonts w:ascii="Times New Roman" w:eastAsia="Times New Roman" w:hAnsi="Times New Roman" w:cs="Times New Roman"/>
          <w:i/>
          <w:iCs/>
          <w:sz w:val="24"/>
          <w:szCs w:val="24"/>
          <w:lang w:val="en-GB" w:eastAsia="en-GB"/>
        </w:rPr>
        <w:t>Journal of Medical Internet Research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, 25, p.e43542.</w:t>
      </w:r>
    </w:p>
    <w:p w14:paraId="605CC660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Finco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M.G., Mir, N., Gresham, G. and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Huisingh-Scheetz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M.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(2024) ‘Ethical considerations of digital health technology in older adult care’,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The Lancet Healthy Longevity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5(1), pp. e12–e13. 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doi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4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https://doi.org/10.1016/s2666-7568(23)00236-2</w:t>
        </w:r>
      </w:hyperlink>
    </w:p>
    <w:p w14:paraId="62334696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Frishammar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J.,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Essén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A.,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Bergström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F. and Ekman, T.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(2023) ‘Digital health platforms for the elderly? Key adoption and usage barriers and ways to address them’,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Technological Forecasting and Social Change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189, 122319. 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doi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5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https://doi.org/10.1016/j.techfore.2023.122319</w:t>
        </w:r>
      </w:hyperlink>
    </w:p>
    <w:p w14:paraId="6427D00B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Fu, Z.,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Zitkus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E., Cook, S.,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Maidment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D.W. and Harmer, L.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(2025) ‘A systematic review investigating the adoption of digital healthcare technology to support self-management for older adults with 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multimorbidity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’, in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Springer Nature Link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pp. 61–70. 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doi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6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https://doi.org/10.1007/978-3-031-84681-6_6</w:t>
        </w:r>
      </w:hyperlink>
    </w:p>
    <w:p w14:paraId="666510E2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Győrffy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Z.,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Boros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J.,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Döbrössy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B. and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Girasek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E.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(2023) ‘Older adults in the digital health era: insights on the digital health-related knowledge, habits and attitudes of the 65 year and older population’,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BMC Geriatrics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23, Article 779. Available at: </w:t>
      </w:r>
      <w:hyperlink r:id="rId17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https://bmcgeriatr.biomedcentral.com/articles/10.1186/s12877-023-04437-5</w:t>
        </w:r>
      </w:hyperlink>
    </w:p>
    <w:p w14:paraId="4E45949A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James, C.A.,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Basu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T.,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Nallamothu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B.K. and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Kullgren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J.T.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(2025) ‘Use of digital health technologies by older US adults’,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JAMA Network Open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8(1), p. e2454727. </w:t>
      </w:r>
      <w:proofErr w:type="spellStart"/>
      <w:r w:rsidRPr="00937153">
        <w:rPr>
          <w:rFonts w:ascii="Times New Roman" w:eastAsia="Times New Roman" w:hAnsi="Times New Roman" w:cs="Times New Roman"/>
          <w:sz w:val="24"/>
          <w:szCs w:val="24"/>
        </w:rPr>
        <w:t>doi</w:t>
      </w:r>
      <w:proofErr w:type="spellEnd"/>
      <w:r w:rsidRPr="00937153">
        <w:rPr>
          <w:rFonts w:ascii="Times New Roman" w:eastAsia="Times New Roman" w:hAnsi="Times New Roman" w:cs="Times New Roman"/>
          <w:sz w:val="24"/>
          <w:szCs w:val="24"/>
        </w:rPr>
        <w:t>: https://doi.org/10.1001/jamanetworkopen.2024.54727</w:t>
      </w:r>
    </w:p>
    <w:p w14:paraId="5E62C45D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Kokebe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A.S. et al.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(2022) ‘Digital engagement of older adults: scoping review’,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[preprint]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8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https://www.researchgate.net/publication/366090127_Digital_Engagement_of_Older_Adults-Scoping_Review</w:t>
        </w:r>
      </w:hyperlink>
    </w:p>
    <w:p w14:paraId="0E141D9F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Kruse, C.,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Fohn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J., Wilson, N., Nunez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Patlan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E.,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Zipp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 xml:space="preserve">, S. and </w:t>
      </w:r>
      <w:proofErr w:type="spellStart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Mileski</w:t>
      </w:r>
      <w:proofErr w:type="spellEnd"/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, M.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(2020) ‘Utilization barriers and medical outcomes commensurate with the use of telehealth among older adults: systematic review’,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JMIR Medical Informatics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8(8), e20359. Available at: </w:t>
      </w:r>
      <w:hyperlink r:id="rId19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https://medinform.jmir.org/2020/8/e20359/</w:t>
        </w:r>
      </w:hyperlink>
    </w:p>
    <w:p w14:paraId="34C11D93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OECD.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(2025) ‘Digital health’,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Health at a Glance 2023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. Paris: OECD Publishing. Available at: </w:t>
      </w:r>
      <w:hyperlink r:id="rId20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https://www.oecd.org/en/publications/health-at-a-glance-2023_7a7afb35-en/full-report/digital-health_d79d912b.html</w:t>
        </w:r>
      </w:hyperlink>
    </w:p>
    <w:p w14:paraId="6F986ECF" w14:textId="77777777" w:rsidR="006D73E2" w:rsidRPr="006D73E2" w:rsidRDefault="006D73E2" w:rsidP="006D73E2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</w:pPr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Smits, M., Kim, C.M., Van Goor, H. and Ludden, G.D., 2022.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From digital health to digital well-being: systematic scoping review. </w:t>
      </w:r>
      <w:r w:rsidRPr="006D73E2">
        <w:rPr>
          <w:rFonts w:ascii="Times New Roman" w:eastAsia="Times New Roman" w:hAnsi="Times New Roman" w:cs="Times New Roman"/>
          <w:i/>
          <w:iCs/>
          <w:sz w:val="24"/>
          <w:szCs w:val="24"/>
          <w:lang w:val="en-GB" w:eastAsia="en-GB"/>
        </w:rPr>
        <w:t>Journal of Medical Internet Research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, 24(4), p.e33787.</w:t>
      </w:r>
    </w:p>
    <w:p w14:paraId="45DFF64E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The Lancet Digital Health.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(2023) ‘Digital health equity for older populations’,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The Lancet Digital Health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>, 5(7), pp. e395–e396. Available at: https://doi.org/10.1016/s2589-7500(23)00114-0</w:t>
      </w:r>
    </w:p>
    <w:p w14:paraId="3BF8F8F6" w14:textId="77777777" w:rsidR="006D73E2" w:rsidRDefault="006D73E2" w:rsidP="006D73E2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</w:pPr>
      <w:r w:rsidRPr="00937153">
        <w:rPr>
          <w:rFonts w:ascii="Times New Roman" w:eastAsia="Times New Roman" w:hAnsi="Times New Roman" w:cs="Times New Roman"/>
          <w:bCs/>
          <w:sz w:val="24"/>
          <w:szCs w:val="24"/>
        </w:rPr>
        <w:t>Yang, R., Gao, S. and Jiang, Y.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 (2024) ‘Digital divide as a determinant of health in U.S. older adults: prevalence, trends, and risk factors’, </w:t>
      </w:r>
      <w:r w:rsidRPr="00937153">
        <w:rPr>
          <w:rFonts w:ascii="Times New Roman" w:eastAsia="Times New Roman" w:hAnsi="Times New Roman" w:cs="Times New Roman"/>
          <w:i/>
          <w:iCs/>
          <w:sz w:val="24"/>
          <w:szCs w:val="24"/>
        </w:rPr>
        <w:t>BMC Geriatrics</w:t>
      </w:r>
      <w:r w:rsidRPr="00937153">
        <w:rPr>
          <w:rFonts w:ascii="Times New Roman" w:eastAsia="Times New Roman" w:hAnsi="Times New Roman" w:cs="Times New Roman"/>
          <w:sz w:val="24"/>
          <w:szCs w:val="24"/>
        </w:rPr>
        <w:t xml:space="preserve">, 24, 1027. Available at: </w:t>
      </w:r>
      <w:hyperlink r:id="rId21" w:tgtFrame="_new" w:history="1">
        <w:r w:rsidRPr="00937153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https://bmcgeriatr.biomedcentral.com/articles/10.1186/s12877-024-05612-y</w:t>
        </w:r>
      </w:hyperlink>
    </w:p>
    <w:p w14:paraId="5973BB0D" w14:textId="77777777" w:rsidR="006D73E2" w:rsidRPr="006D73E2" w:rsidRDefault="006D73E2" w:rsidP="006D73E2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</w:rPr>
      </w:pPr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Yin, R.,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Martinengo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, L., Smith, H.E.,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Subramaniam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 xml:space="preserve">, M., </w:t>
      </w:r>
      <w:proofErr w:type="spellStart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Griva</w:t>
      </w:r>
      <w:proofErr w:type="spellEnd"/>
      <w:r w:rsidRPr="006D73E2">
        <w:rPr>
          <w:rFonts w:ascii="Times New Roman" w:eastAsia="Times New Roman" w:hAnsi="Times New Roman" w:cs="Times New Roman"/>
          <w:bCs/>
          <w:sz w:val="24"/>
          <w:szCs w:val="24"/>
          <w:lang w:val="en-GB" w:eastAsia="en-GB"/>
        </w:rPr>
        <w:t>, K. and Car, L.T., 2024.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The views and experiences of older adults regarding digital mental health interventions: a systematic review of qualitative studies. </w:t>
      </w:r>
      <w:r w:rsidRPr="006D73E2">
        <w:rPr>
          <w:rFonts w:ascii="Times New Roman" w:eastAsia="Times New Roman" w:hAnsi="Times New Roman" w:cs="Times New Roman"/>
          <w:i/>
          <w:iCs/>
          <w:sz w:val="24"/>
          <w:szCs w:val="24"/>
          <w:lang w:val="en-GB" w:eastAsia="en-GB"/>
        </w:rPr>
        <w:t>The Lancet Healthy Longevity</w:t>
      </w:r>
      <w:r w:rsidRPr="006D73E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.</w:t>
      </w:r>
    </w:p>
    <w:p w14:paraId="47DBB8B7" w14:textId="77777777" w:rsidR="006D73E2" w:rsidRPr="00937153" w:rsidRDefault="006D73E2" w:rsidP="00937153">
      <w:pPr>
        <w:spacing w:before="100" w:beforeAutospacing="1" w:after="100" w:afterAutospacing="1" w:line="360" w:lineRule="auto"/>
        <w:ind w:left="720" w:hanging="36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6D73E2" w:rsidRPr="00937153">
      <w:footerReference w:type="default" r:id="rId2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CC817C" w14:textId="77777777" w:rsidR="004A104E" w:rsidRDefault="004A104E" w:rsidP="00B96ED1">
      <w:pPr>
        <w:spacing w:after="0" w:line="240" w:lineRule="auto"/>
      </w:pPr>
      <w:r>
        <w:separator/>
      </w:r>
    </w:p>
  </w:endnote>
  <w:endnote w:type="continuationSeparator" w:id="0">
    <w:p w14:paraId="70E147F1" w14:textId="77777777" w:rsidR="004A104E" w:rsidRDefault="004A104E" w:rsidP="00B96E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03697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C903CB" w14:textId="77777777" w:rsidR="00B96ED1" w:rsidRDefault="00B96ED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164F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07A34789" w14:textId="77777777" w:rsidR="00B96ED1" w:rsidRDefault="00B96E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7FAD7C" w14:textId="77777777" w:rsidR="004A104E" w:rsidRDefault="004A104E" w:rsidP="00B96ED1">
      <w:pPr>
        <w:spacing w:after="0" w:line="240" w:lineRule="auto"/>
      </w:pPr>
      <w:r>
        <w:separator/>
      </w:r>
    </w:p>
  </w:footnote>
  <w:footnote w:type="continuationSeparator" w:id="0">
    <w:p w14:paraId="617B716E" w14:textId="77777777" w:rsidR="004A104E" w:rsidRDefault="004A104E" w:rsidP="00B96E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87124"/>
    <w:multiLevelType w:val="hybridMultilevel"/>
    <w:tmpl w:val="9E20C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621C3A"/>
    <w:multiLevelType w:val="multilevel"/>
    <w:tmpl w:val="2758C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D9F3ABC"/>
    <w:multiLevelType w:val="multilevel"/>
    <w:tmpl w:val="094633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A990272"/>
    <w:multiLevelType w:val="multilevel"/>
    <w:tmpl w:val="E7822E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2317A56"/>
    <w:multiLevelType w:val="multilevel"/>
    <w:tmpl w:val="2182FE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77E4CA1"/>
    <w:multiLevelType w:val="hybridMultilevel"/>
    <w:tmpl w:val="708C2566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E2021D"/>
    <w:multiLevelType w:val="multilevel"/>
    <w:tmpl w:val="63D44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D6C3B7D"/>
    <w:multiLevelType w:val="multilevel"/>
    <w:tmpl w:val="F8686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FA05207"/>
    <w:multiLevelType w:val="multilevel"/>
    <w:tmpl w:val="18CCC6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FDB1158"/>
    <w:multiLevelType w:val="multilevel"/>
    <w:tmpl w:val="23D29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C512349"/>
    <w:multiLevelType w:val="multilevel"/>
    <w:tmpl w:val="C8DC22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EAD7B1C"/>
    <w:multiLevelType w:val="multilevel"/>
    <w:tmpl w:val="68E81B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80774696">
    <w:abstractNumId w:val="11"/>
  </w:num>
  <w:num w:numId="2" w16cid:durableId="939725692">
    <w:abstractNumId w:val="4"/>
  </w:num>
  <w:num w:numId="3" w16cid:durableId="2062558881">
    <w:abstractNumId w:val="7"/>
  </w:num>
  <w:num w:numId="4" w16cid:durableId="1841500550">
    <w:abstractNumId w:val="10"/>
  </w:num>
  <w:num w:numId="5" w16cid:durableId="1701200356">
    <w:abstractNumId w:val="6"/>
  </w:num>
  <w:num w:numId="6" w16cid:durableId="486215798">
    <w:abstractNumId w:val="1"/>
  </w:num>
  <w:num w:numId="7" w16cid:durableId="554507255">
    <w:abstractNumId w:val="9"/>
  </w:num>
  <w:num w:numId="8" w16cid:durableId="656225683">
    <w:abstractNumId w:val="2"/>
  </w:num>
  <w:num w:numId="9" w16cid:durableId="498887440">
    <w:abstractNumId w:val="8"/>
  </w:num>
  <w:num w:numId="10" w16cid:durableId="299070818">
    <w:abstractNumId w:val="0"/>
  </w:num>
  <w:num w:numId="11" w16cid:durableId="1526551277">
    <w:abstractNumId w:val="5"/>
  </w:num>
  <w:num w:numId="12" w16cid:durableId="128839655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4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7CAA"/>
    <w:rsid w:val="00066A12"/>
    <w:rsid w:val="000C2730"/>
    <w:rsid w:val="000D32EF"/>
    <w:rsid w:val="00133C7B"/>
    <w:rsid w:val="0015028A"/>
    <w:rsid w:val="002003C6"/>
    <w:rsid w:val="002164F5"/>
    <w:rsid w:val="004720A8"/>
    <w:rsid w:val="004A104E"/>
    <w:rsid w:val="0053392A"/>
    <w:rsid w:val="00542182"/>
    <w:rsid w:val="005E4DA6"/>
    <w:rsid w:val="006422D2"/>
    <w:rsid w:val="00660B09"/>
    <w:rsid w:val="006B1B41"/>
    <w:rsid w:val="006B5048"/>
    <w:rsid w:val="006D73E2"/>
    <w:rsid w:val="00773F32"/>
    <w:rsid w:val="007A18E1"/>
    <w:rsid w:val="007E728D"/>
    <w:rsid w:val="007F47C5"/>
    <w:rsid w:val="008F31DC"/>
    <w:rsid w:val="009129EA"/>
    <w:rsid w:val="00937153"/>
    <w:rsid w:val="009D2796"/>
    <w:rsid w:val="00AC7CAA"/>
    <w:rsid w:val="00AE746A"/>
    <w:rsid w:val="00B21ABB"/>
    <w:rsid w:val="00B96ED1"/>
    <w:rsid w:val="00D46844"/>
    <w:rsid w:val="00D6458E"/>
    <w:rsid w:val="00DD6F11"/>
    <w:rsid w:val="00E47DE9"/>
    <w:rsid w:val="00E84768"/>
    <w:rsid w:val="00F04DB3"/>
    <w:rsid w:val="00F632E8"/>
    <w:rsid w:val="00FC7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26D879"/>
  <w15:chartTrackingRefBased/>
  <w15:docId w15:val="{38EB56C4-D30A-4414-828F-35ECDE4805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96ED1"/>
    <w:pPr>
      <w:keepNext/>
      <w:keepLines/>
      <w:spacing w:before="240" w:after="0" w:line="360" w:lineRule="auto"/>
      <w:outlineLvl w:val="0"/>
    </w:pPr>
    <w:rPr>
      <w:rFonts w:ascii="Times New Roman" w:eastAsiaTheme="majorEastAsia" w:hAnsi="Times New Roman" w:cstheme="majorBidi"/>
      <w:b/>
      <w:color w:val="0D0D0D" w:themeColor="text1" w:themeTint="F2"/>
      <w:sz w:val="24"/>
      <w:szCs w:val="32"/>
    </w:rPr>
  </w:style>
  <w:style w:type="paragraph" w:styleId="Heading2">
    <w:name w:val="heading 2"/>
    <w:basedOn w:val="Normal"/>
    <w:link w:val="Heading2Char"/>
    <w:autoRedefine/>
    <w:uiPriority w:val="9"/>
    <w:qFormat/>
    <w:rsid w:val="00B96ED1"/>
    <w:pPr>
      <w:spacing w:before="100" w:beforeAutospacing="1" w:after="100" w:afterAutospacing="1" w:line="360" w:lineRule="auto"/>
      <w:outlineLvl w:val="1"/>
    </w:pPr>
    <w:rPr>
      <w:rFonts w:ascii="Times New Roman" w:eastAsia="Times New Roman" w:hAnsi="Times New Roman" w:cs="Times New Roman"/>
      <w:b/>
      <w:bCs/>
      <w:i/>
      <w:color w:val="0D0D0D" w:themeColor="text1" w:themeTint="F2"/>
      <w:sz w:val="24"/>
      <w:szCs w:val="36"/>
    </w:rPr>
  </w:style>
  <w:style w:type="paragraph" w:styleId="Heading3">
    <w:name w:val="heading 3"/>
    <w:basedOn w:val="Normal"/>
    <w:link w:val="Heading3Char"/>
    <w:uiPriority w:val="9"/>
    <w:qFormat/>
    <w:rsid w:val="00AC7CA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AC7CA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96ED1"/>
    <w:rPr>
      <w:rFonts w:ascii="Times New Roman" w:eastAsia="Times New Roman" w:hAnsi="Times New Roman" w:cs="Times New Roman"/>
      <w:b/>
      <w:bCs/>
      <w:i/>
      <w:color w:val="0D0D0D" w:themeColor="text1" w:themeTint="F2"/>
      <w:sz w:val="24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AC7CAA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AC7CAA"/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NormalWeb">
    <w:name w:val="Normal (Web)"/>
    <w:basedOn w:val="Normal"/>
    <w:uiPriority w:val="99"/>
    <w:unhideWhenUsed/>
    <w:rsid w:val="00AC7C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C7CAA"/>
    <w:rPr>
      <w:b/>
      <w:bCs/>
    </w:rPr>
  </w:style>
  <w:style w:type="character" w:styleId="Emphasis">
    <w:name w:val="Emphasis"/>
    <w:basedOn w:val="DefaultParagraphFont"/>
    <w:uiPriority w:val="20"/>
    <w:qFormat/>
    <w:rsid w:val="00AC7CAA"/>
    <w:rPr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E47DE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96ED1"/>
    <w:rPr>
      <w:rFonts w:ascii="Times New Roman" w:eastAsiaTheme="majorEastAsia" w:hAnsi="Times New Roman" w:cstheme="majorBidi"/>
      <w:b/>
      <w:color w:val="0D0D0D" w:themeColor="text1" w:themeTint="F2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6ED1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B96E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96ED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96ED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96E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6ED1"/>
  </w:style>
  <w:style w:type="paragraph" w:styleId="Footer">
    <w:name w:val="footer"/>
    <w:basedOn w:val="Normal"/>
    <w:link w:val="FooterChar"/>
    <w:uiPriority w:val="99"/>
    <w:unhideWhenUsed/>
    <w:rsid w:val="00B96ED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6ED1"/>
  </w:style>
  <w:style w:type="paragraph" w:styleId="ListParagraph">
    <w:name w:val="List Paragraph"/>
    <w:basedOn w:val="Normal"/>
    <w:uiPriority w:val="34"/>
    <w:qFormat/>
    <w:rsid w:val="009371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425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9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6790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55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4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0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6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7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2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bmjopen.bmj.com/content/12/7/e058390?utm_source=chatgpt.com" TargetMode="External"/><Relationship Id="rId18" Type="http://schemas.openxmlformats.org/officeDocument/2006/relationships/hyperlink" Target="https://www.researchgate.net/publication/366090127_Digital_Engagement_of_Older_Adults-Scoping_Review" TargetMode="External"/><Relationship Id="rId3" Type="http://schemas.openxmlformats.org/officeDocument/2006/relationships/styles" Target="styles.xml"/><Relationship Id="rId21" Type="http://schemas.openxmlformats.org/officeDocument/2006/relationships/hyperlink" Target="https://bmcgeriatr.biomedcentral.com/articles/10.1186/s12877-024-05612-y?utm_source=chatgpt.com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nature.com/articles/s41591-023-02391-8" TargetMode="External"/><Relationship Id="rId17" Type="http://schemas.openxmlformats.org/officeDocument/2006/relationships/hyperlink" Target="https://bmcgeriatr.biomedcentral.com/articles/10.1186/s12877-023-04437-5?utm_source=chatgpt.co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07/978-3-031-84681-6_6" TargetMode="External"/><Relationship Id="rId20" Type="http://schemas.openxmlformats.org/officeDocument/2006/relationships/hyperlink" Target="https://www.oecd.org/en/publications/health-at-a-glance-2023_7a7afb35-en/full-report/digital-health_d79d912b.html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390/su152316503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techfore.2023.122319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1016/j.teler.2023.100103" TargetMode="External"/><Relationship Id="rId19" Type="http://schemas.openxmlformats.org/officeDocument/2006/relationships/hyperlink" Target="https://medinform.jmir.org/2020/8/e20359/?utm_source=chatgp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lamy.com/senior-couple-during-online-medical-check-up-from-their-home-video-conference-with-doctor-using-laptop-in-kitchen-online-health-consultation-for-elderly-people-drugs-ilness-advice-on-symptoms-physician-telemedicine-webcam-medical-care-internet-chat-image382494648.html" TargetMode="External"/><Relationship Id="rId14" Type="http://schemas.openxmlformats.org/officeDocument/2006/relationships/hyperlink" Target="https://doi.org/10.1016/s2666-7568(23)00236-2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FED8C75-0D90-4CE6-B15C-A879E390C31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632</Words>
  <Characters>6147</Characters>
  <Application>Microsoft Office Word</Application>
  <DocSecurity>0</DocSecurity>
  <Lines>51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Patricia Orieta Coelho Mirandela De Sousa B (2247289)</cp:lastModifiedBy>
  <cp:revision>2</cp:revision>
  <dcterms:created xsi:type="dcterms:W3CDTF">2025-12-04T16:11:00Z</dcterms:created>
  <dcterms:modified xsi:type="dcterms:W3CDTF">2025-12-04T16:11:00Z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5013e6bd-fe75-4251-bd7a-245044a1b398</vt:lpwstr>
  </property>
</Properties>
</file>