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56726231"/>
        <w:docPartObj>
          <w:docPartGallery w:val="Cover Pages"/>
          <w:docPartUnique/>
        </w:docPartObj>
      </w:sdtPr>
      <w:sdtEndPr/>
      <w:sdtContent>
        <w:p w14:paraId="6F0F4E66" w14:textId="07FA2564" w:rsidR="00B22635" w:rsidRDefault="00B22635">
          <w:r>
            <w:rPr>
              <w:noProof/>
            </w:rPr>
            <mc:AlternateContent>
              <mc:Choice Requires="wps">
                <w:drawing>
                  <wp:anchor distT="0" distB="0" distL="114300" distR="114300" simplePos="0" relativeHeight="251659264" behindDoc="0" locked="0" layoutInCell="1" allowOverlap="1" wp14:anchorId="551EA324" wp14:editId="1365856E">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0C82A266" w14:textId="4DBA0FB8" w:rsidR="00B22635" w:rsidRDefault="001A0275">
                                    <w:pPr>
                                      <w:pStyle w:val="Title"/>
                                      <w:jc w:val="right"/>
                                      <w:rPr>
                                        <w:caps/>
                                        <w:color w:val="FFFFFF" w:themeColor="background1"/>
                                        <w:sz w:val="80"/>
                                        <w:szCs w:val="80"/>
                                      </w:rPr>
                                    </w:pPr>
                                    <w:r>
                                      <w:rPr>
                                        <w:caps/>
                                        <w:color w:val="FFFFFF" w:themeColor="background1"/>
                                        <w:sz w:val="80"/>
                                        <w:szCs w:val="80"/>
                                      </w:rPr>
                                      <w:t>Legal Process – Aissgnment 1</w:t>
                                    </w:r>
                                  </w:p>
                                </w:sdtContent>
                              </w:sdt>
                              <w:p w14:paraId="0A9CC7A0" w14:textId="77777777" w:rsidR="00B22635" w:rsidRDefault="00B22635">
                                <w:pPr>
                                  <w:spacing w:before="240"/>
                                  <w:ind w:left="720"/>
                                  <w:jc w:val="right"/>
                                  <w:rPr>
                                    <w:color w:val="FFFFFF" w:themeColor="background1"/>
                                  </w:rPr>
                                </w:pPr>
                              </w:p>
                              <w:p w14:paraId="3BA2EAD1" w14:textId="1267E201" w:rsidR="00B22635" w:rsidRDefault="00B22635">
                                <w:pPr>
                                  <w:spacing w:before="240"/>
                                  <w:ind w:left="1008"/>
                                  <w:jc w:val="right"/>
                                  <w:rPr>
                                    <w:color w:val="FFFFFF" w:themeColor="background1"/>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551EA324"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0C82A266" w14:textId="4DBA0FB8" w:rsidR="00B22635" w:rsidRDefault="001A0275">
                              <w:pPr>
                                <w:pStyle w:val="Title"/>
                                <w:jc w:val="right"/>
                                <w:rPr>
                                  <w:caps/>
                                  <w:color w:val="FFFFFF" w:themeColor="background1"/>
                                  <w:sz w:val="80"/>
                                  <w:szCs w:val="80"/>
                                </w:rPr>
                              </w:pPr>
                              <w:r>
                                <w:rPr>
                                  <w:caps/>
                                  <w:color w:val="FFFFFF" w:themeColor="background1"/>
                                  <w:sz w:val="80"/>
                                  <w:szCs w:val="80"/>
                                </w:rPr>
                                <w:t>Legal Process – Aissgnment 1</w:t>
                              </w:r>
                            </w:p>
                          </w:sdtContent>
                        </w:sdt>
                        <w:p w14:paraId="0A9CC7A0" w14:textId="77777777" w:rsidR="00B22635" w:rsidRDefault="00B22635">
                          <w:pPr>
                            <w:spacing w:before="240"/>
                            <w:ind w:left="720"/>
                            <w:jc w:val="right"/>
                            <w:rPr>
                              <w:color w:val="FFFFFF" w:themeColor="background1"/>
                            </w:rPr>
                          </w:pPr>
                        </w:p>
                        <w:p w14:paraId="3BA2EAD1" w14:textId="1267E201" w:rsidR="00B22635" w:rsidRDefault="00B22635">
                          <w:pPr>
                            <w:spacing w:before="240"/>
                            <w:ind w:left="1008"/>
                            <w:jc w:val="right"/>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8BC8F46" wp14:editId="34D140C1">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349D53E8" w14:textId="102375F0" w:rsidR="00B22635" w:rsidRDefault="001A0275">
                                    <w:pPr>
                                      <w:pStyle w:val="Subtitle"/>
                                      <w:rPr>
                                        <w:rFonts w:cstheme="minorBidi"/>
                                        <w:color w:val="FFFFFF" w:themeColor="background1"/>
                                      </w:rPr>
                                    </w:pPr>
                                    <w:r>
                                      <w:rPr>
                                        <w:rFonts w:cstheme="minorBidi"/>
                                        <w:color w:val="FFFFFF" w:themeColor="background1"/>
                                      </w:rPr>
                                      <w:t>Diversity in the Judiciary (SUPREME COURT)</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38BC8F46"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349D53E8" w14:textId="102375F0" w:rsidR="00B22635" w:rsidRDefault="001A0275">
                              <w:pPr>
                                <w:pStyle w:val="Subtitle"/>
                                <w:rPr>
                                  <w:rFonts w:cstheme="minorBidi"/>
                                  <w:color w:val="FFFFFF" w:themeColor="background1"/>
                                </w:rPr>
                              </w:pPr>
                              <w:r>
                                <w:rPr>
                                  <w:rFonts w:cstheme="minorBidi"/>
                                  <w:color w:val="FFFFFF" w:themeColor="background1"/>
                                </w:rPr>
                                <w:t>Diversity in the Judiciary (SUPREME COURT)</w:t>
                              </w:r>
                            </w:p>
                          </w:sdtContent>
                        </w:sdt>
                      </w:txbxContent>
                    </v:textbox>
                    <w10:wrap anchorx="page" anchory="page"/>
                  </v:rect>
                </w:pict>
              </mc:Fallback>
            </mc:AlternateContent>
          </w:r>
        </w:p>
        <w:p w14:paraId="393F86AE" w14:textId="77777777" w:rsidR="00B22635" w:rsidRDefault="00B22635"/>
        <w:p w14:paraId="11623C21" w14:textId="77777777" w:rsidR="001A0275" w:rsidRDefault="00B22635">
          <w:r>
            <w:rPr>
              <w:noProof/>
            </w:rPr>
            <mc:AlternateContent>
              <mc:Choice Requires="wps">
                <w:drawing>
                  <wp:anchor distT="45720" distB="45720" distL="114300" distR="114300" simplePos="0" relativeHeight="251662336" behindDoc="0" locked="0" layoutInCell="1" allowOverlap="1" wp14:anchorId="536A6091" wp14:editId="36F6C3F9">
                    <wp:simplePos x="0" y="0"/>
                    <wp:positionH relativeFrom="column">
                      <wp:posOffset>1862455</wp:posOffset>
                    </wp:positionH>
                    <wp:positionV relativeFrom="paragraph">
                      <wp:posOffset>4612005</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E0DD90F" w14:textId="243FF2D6" w:rsidR="00B22635" w:rsidRPr="00B22635" w:rsidRDefault="00B22635">
                                <w:pPr>
                                  <w:rPr>
                                    <w:color w:val="FFFFFF" w:themeColor="background1"/>
                                  </w:rPr>
                                </w:pPr>
                                <w:r w:rsidRPr="00B22635">
                                  <w:rPr>
                                    <w:color w:val="FFFFFF" w:themeColor="background1"/>
                                  </w:rPr>
                                  <w:t xml:space="preserve">OLIVIA JANE HURLOW (2103531)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36A6091" id="_x0000_t202" coordsize="21600,21600" o:spt="202" path="m,l,21600r21600,l21600,xe">
                    <v:stroke joinstyle="miter"/>
                    <v:path gradientshapeok="t" o:connecttype="rect"/>
                  </v:shapetype>
                  <v:shape id="Text Box 2" o:spid="_x0000_s1028" type="#_x0000_t202" style="position:absolute;margin-left:146.65pt;margin-top:363.15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vdF/gEAANUDAAAOAAAAZHJzL2Uyb0RvYy54bWysU8tu2zAQvBfoPxC815Id240Fy0Ga1EWB&#10;9AGk/QCaoiyiJJfl0pbSr++SchyjvRXVgSC52tmd2eH6ZrCGHVVADa7m00nJmXISGu32Nf/+bfvm&#10;mjOMwjXCgFM1f1LIbzavX617X6kZdGAaFRiBOKx6X/MuRl8VBcpOWYET8MpRsIVgRaRj2BdNED2h&#10;W1PMynJZ9BAaH0AqRLq9H4N8k/HbVsn4pW1RRWZqTr3FvIa87tJabNai2gfhOy1PbYh/6MIK7ajo&#10;GepeRMEOQf8FZbUMgNDGiQRbQNtqqTIHYjMt/2Dz2AmvMhcSB/1ZJvx/sPLz8dF/DSwO72CgAWYS&#10;6B9A/kDm4K4Tbq9uQ4C+U6KhwtMkWdF7rE6pSWqsMIHs+k/Q0JDFIUIGGtpgkyrEkxE6DeDpLLoa&#10;IpN0ObtalqsrCkmKTeflfDnLYylE9ZzuA8YPCixLm5oHmmqGF8cHjKkdUT3/kqo52Gpj8mSNY33N&#10;V4vZIidcRKyOZDyjbc2vy/SNVkgs37smJ0ehzbinAsadaCemI+c47AamG6KQcpMKO2ieSIcAo8/o&#10;XdCmg/CLs548VnP8eRBBcWY+OtJyNZ3PkynzYb54S8RZuIzsLiPCSYKqeeRs3N7FbOREGf0tab7V&#10;WY2XTk4tk3eySCefJ3NenvNfL69x8xsAAP//AwBQSwMEFAAGAAgAAAAhACInNZXhAAAACwEAAA8A&#10;AABkcnMvZG93bnJldi54bWxMj8tOwzAQRfdI/IM1SOyo0zQPGuJUiIfEkrYgsXTjSRxhj6PYbcPf&#10;Y1ZlN6M5unNuvZmtYSec/OBIwHKRAENqnRqoF/Cxf727B+aDJCWNIxTwgx42zfVVLSvlzrTF0y70&#10;LIaQr6QAHcJYce5bjVb6hRuR4q1zk5UhrlPP1STPMdwaniZJwa0cKH7QcsQnje337mgFfNKXeesy&#10;pbHM37Pt+PLc5WEvxO3N/PgALOAcLjD86Ud1aKLTwR1JeWYEpOvVKqICyrSIQySKIl8COwhYZ2UO&#10;vKn5/w7NLwAAAP//AwBQSwECLQAUAAYACAAAACEAtoM4kv4AAADhAQAAEwAAAAAAAAAAAAAAAAAA&#10;AAAAW0NvbnRlbnRfVHlwZXNdLnhtbFBLAQItABQABgAIAAAAIQA4/SH/1gAAAJQBAAALAAAAAAAA&#10;AAAAAAAAAC8BAABfcmVscy8ucmVsc1BLAQItABQABgAIAAAAIQCG2vdF/gEAANUDAAAOAAAAAAAA&#10;AAAAAAAAAC4CAABkcnMvZTJvRG9jLnhtbFBLAQItABQABgAIAAAAIQAiJzWV4QAAAAsBAAAPAAAA&#10;AAAAAAAAAAAAAFgEAABkcnMvZG93bnJldi54bWxQSwUGAAAAAAQABADzAAAAZgUAAAAA&#10;" filled="f" stroked="f">
                    <v:textbox style="mso-fit-shape-to-text:t">
                      <w:txbxContent>
                        <w:p w14:paraId="0E0DD90F" w14:textId="243FF2D6" w:rsidR="00B22635" w:rsidRPr="00B22635" w:rsidRDefault="00B22635">
                          <w:pPr>
                            <w:rPr>
                              <w:color w:val="FFFFFF" w:themeColor="background1"/>
                            </w:rPr>
                          </w:pPr>
                          <w:r w:rsidRPr="00B22635">
                            <w:rPr>
                              <w:color w:val="FFFFFF" w:themeColor="background1"/>
                            </w:rPr>
                            <w:t xml:space="preserve">OLIVIA JANE HURLOW (2103531) </w:t>
                          </w:r>
                        </w:p>
                      </w:txbxContent>
                    </v:textbox>
                    <w10:wrap type="square"/>
                  </v:shape>
                </w:pict>
              </mc:Fallback>
            </mc:AlternateContent>
          </w:r>
          <w:r>
            <w:br w:type="page"/>
          </w:r>
        </w:p>
        <w:p w14:paraId="7896BA25" w14:textId="13AC2E74" w:rsidR="003E0F67" w:rsidRDefault="009660BF">
          <w:r w:rsidR="00B22635">
            <w:t xml:space="preserve">What is diversity? Diversity is regarded as the idea that everyone is different and there </w:t>
          </w:r>
          <w:r w:rsidR="00931828">
            <w:t>are</w:t>
          </w:r>
          <w:r w:rsidR="00B22635">
            <w:t xml:space="preserve"> many different groups of </w:t>
          </w:r>
          <w:r w:rsidR="00931828">
            <w:t>people,</w:t>
          </w:r>
          <w:r w:rsidR="00B22635">
            <w:t xml:space="preserve"> and it helps to guide culture, innovation and social vitality in the right direction </w:t>
          </w:r>
          <w:sdt>
            <w:sdtPr>
              <w:id w:val="-1570261248"/>
              <w:citation/>
            </w:sdtPr>
            <w:sdtEndPr/>
            <w:sdtContent>
              <w:r w:rsidR="00BA766F">
                <w:fldChar w:fldCharType="begin"/>
              </w:r>
              <w:r w:rsidR="00BA766F">
                <w:instrText xml:space="preserve"> CITATION Gre22 \l 2057 </w:instrText>
              </w:r>
              <w:r w:rsidR="00BA766F">
                <w:fldChar w:fldCharType="separate"/>
              </w:r>
              <w:r w:rsidR="00BA766F" w:rsidRPr="00BA766F">
                <w:rPr>
                  <w:noProof/>
                </w:rPr>
                <w:t>(Magazine, 2022)</w:t>
              </w:r>
              <w:r w:rsidR="00BA766F">
                <w:fldChar w:fldCharType="end"/>
              </w:r>
            </w:sdtContent>
          </w:sdt>
          <w:r w:rsidR="00931828">
            <w:t xml:space="preserve">. Diversity has become one of great concern within the judiciary and it has been criticised highly because everyone within the judiciary is the same and are from the same mould as one another: white, male or middle class, this has been highly displayed by the current senior judiciary because the five most senior judges within the judiciary have named their educational background and there were all educated in either the University of Oxford or the University of Cambridge as well as all of them being educated previously in a private school, all five were white and male </w:t>
          </w:r>
          <w:sdt>
            <w:sdtPr>
              <w:id w:val="-1614589608"/>
              <w:citation/>
            </w:sdtPr>
            <w:sdtEndPr/>
            <w:sdtContent>
              <w:r w:rsidR="00931828">
                <w:fldChar w:fldCharType="begin"/>
              </w:r>
              <w:r w:rsidR="00931828">
                <w:instrText xml:space="preserve"> CITATION Ali11 \l 2057 </w:instrText>
              </w:r>
              <w:r w:rsidR="00931828">
                <w:fldChar w:fldCharType="separate"/>
              </w:r>
              <w:r w:rsidR="00931828" w:rsidRPr="00931828">
                <w:rPr>
                  <w:noProof/>
                </w:rPr>
                <w:t>(Gillespie, 2011)</w:t>
              </w:r>
              <w:r w:rsidR="00931828">
                <w:fldChar w:fldCharType="end"/>
              </w:r>
            </w:sdtContent>
          </w:sdt>
          <w:r w:rsidR="00931828">
            <w:t xml:space="preserve">. Diversity has not become a new word or concept, but it has always been something that has formed the shape of the world today. </w:t>
          </w:r>
          <w:r w:rsidR="003E0F67">
            <w:t xml:space="preserve">However, in today’s world it is to do with race, gender, culture or something else and we all seem to be moving with the rest of the world where people will face barriers if people class them as a minority and all these issues are caused by diversity </w:t>
          </w:r>
          <w:sdt>
            <w:sdtPr>
              <w:id w:val="-119074390"/>
              <w:citation/>
            </w:sdtPr>
            <w:sdtEndPr/>
            <w:sdtContent>
              <w:r w:rsidR="003E0F67">
                <w:fldChar w:fldCharType="begin"/>
              </w:r>
              <w:r w:rsidR="003E0F67">
                <w:instrText xml:space="preserve"> CITATION Han20 \l 2057 </w:instrText>
              </w:r>
              <w:r w:rsidR="003E0F67">
                <w:fldChar w:fldCharType="separate"/>
              </w:r>
              <w:r w:rsidR="003E0F67" w:rsidRPr="003E0F67">
                <w:rPr>
                  <w:noProof/>
                </w:rPr>
                <w:t>(Thompson, 2020)</w:t>
              </w:r>
              <w:r w:rsidR="003E0F67">
                <w:fldChar w:fldCharType="end"/>
              </w:r>
            </w:sdtContent>
          </w:sdt>
          <w:r w:rsidR="003E0F67">
            <w:t xml:space="preserve">. </w:t>
          </w:r>
          <w:r w:rsidR="00401A08">
            <w:t xml:space="preserve">Does diversity impact on the decisions made by the judges within the judiciary? </w:t>
          </w:r>
        </w:p>
      </w:sdtContent>
    </w:sdt>
    <w:p w14:paraId="622835C1" w14:textId="77777777" w:rsidR="00A57FC2" w:rsidRDefault="003E0F67">
      <w:r>
        <w:t xml:space="preserve">The </w:t>
      </w:r>
      <w:r w:rsidR="00912E7B">
        <w:t xml:space="preserve">Supreme Court is the final court of appeal that cases are heard in within England and Wales, and it plays a huge part in the developmental stages of the laws that we use within the United Kingdom. As the Supreme court is an appeal court it only hears or will only consider a case if it has been through the relevant orders within a lower Court. The Supreme Court is the final stage for a case within civil matters as well as criminal cases within England, </w:t>
      </w:r>
      <w:r w:rsidR="00E53E05">
        <w:t>Wales,</w:t>
      </w:r>
      <w:r w:rsidR="00912E7B">
        <w:t xml:space="preserve"> and Northern Ireland, it concentrates more on the cases with greater constitutional </w:t>
      </w:r>
      <w:r w:rsidR="00BA766F">
        <w:t>importance,</w:t>
      </w:r>
      <w:r w:rsidR="00912E7B">
        <w:t xml:space="preserve"> and it maintains the name of the highest court within the UK while being a leader within the common law </w:t>
      </w:r>
      <w:sdt>
        <w:sdtPr>
          <w:id w:val="-1648271355"/>
          <w:citation/>
        </w:sdtPr>
        <w:sdtEndPr/>
        <w:sdtContent>
          <w:r w:rsidR="00912E7B">
            <w:fldChar w:fldCharType="begin"/>
          </w:r>
          <w:r w:rsidR="000B57EF">
            <w:instrText xml:space="preserve">CITATION The22 \l 2057 </w:instrText>
          </w:r>
          <w:r w:rsidR="00912E7B">
            <w:fldChar w:fldCharType="separate"/>
          </w:r>
          <w:r w:rsidR="000B57EF" w:rsidRPr="000B57EF">
            <w:rPr>
              <w:noProof/>
            </w:rPr>
            <w:t>(Ghannam, 2022)</w:t>
          </w:r>
          <w:r w:rsidR="00912E7B">
            <w:fldChar w:fldCharType="end"/>
          </w:r>
        </w:sdtContent>
      </w:sdt>
      <w:r w:rsidR="00912E7B">
        <w:t xml:space="preserve">. </w:t>
      </w:r>
      <w:r w:rsidR="00E23039">
        <w:t>There are twelve supreme court justices that have been set by the appellate committee, which maintain the highest standards, however</w:t>
      </w:r>
      <w:r w:rsidR="00BA766F">
        <w:t>,</w:t>
      </w:r>
      <w:r w:rsidR="00E23039">
        <w:t xml:space="preserve"> they are now separate from government and parliament </w:t>
      </w:r>
      <w:sdt>
        <w:sdtPr>
          <w:id w:val="-947387642"/>
          <w:citation/>
        </w:sdtPr>
        <w:sdtEndPr/>
        <w:sdtContent>
          <w:r w:rsidR="000B57EF">
            <w:fldChar w:fldCharType="begin"/>
          </w:r>
          <w:r w:rsidR="000B57EF">
            <w:instrText xml:space="preserve">CITATION The21 \l 2057 </w:instrText>
          </w:r>
          <w:r w:rsidR="000B57EF">
            <w:fldChar w:fldCharType="separate"/>
          </w:r>
          <w:r w:rsidR="000B57EF" w:rsidRPr="000B57EF">
            <w:rPr>
              <w:noProof/>
            </w:rPr>
            <w:t>(Ghannam, 2021)</w:t>
          </w:r>
          <w:r w:rsidR="000B57EF">
            <w:fldChar w:fldCharType="end"/>
          </w:r>
        </w:sdtContent>
      </w:sdt>
      <w:r w:rsidR="000B57EF">
        <w:t>.</w:t>
      </w:r>
      <w:r w:rsidR="00167EC3">
        <w:t xml:space="preserve"> </w:t>
      </w:r>
      <w:r w:rsidR="00F95552">
        <w:t xml:space="preserve">The main role that the supreme court justices serve is that </w:t>
      </w:r>
    </w:p>
    <w:p w14:paraId="4AC09EAA" w14:textId="0CC242B2" w:rsidR="003E0F67" w:rsidRDefault="00F95552">
      <w:r>
        <w:lastRenderedPageBreak/>
        <w:t>they judge, they make judgements</w:t>
      </w:r>
      <w:r w:rsidR="00E84525">
        <w:t xml:space="preserve">. </w:t>
      </w:r>
      <w:r w:rsidR="00B50200">
        <w:t xml:space="preserve">Judgements that can also be known as reasons of judgements </w:t>
      </w:r>
      <w:r w:rsidR="00A57FC2">
        <w:t xml:space="preserve">and they are when the justices make the decisions and come to the conclusions that are given in court which helps them to explain why a </w:t>
      </w:r>
      <w:r w:rsidR="00E92AAD">
        <w:t xml:space="preserve">particular </w:t>
      </w:r>
      <w:r w:rsidR="00A57FC2">
        <w:t>order is being made</w:t>
      </w:r>
      <w:r w:rsidR="00E92AAD">
        <w:t xml:space="preserve"> or chosen</w:t>
      </w:r>
      <w:r w:rsidR="00226FBB">
        <w:t>. Supreme Court Justices also makes decisions about judgements that overlook the rights and liabilities of parties that are within legal actions or legal proceedings</w:t>
      </w:r>
      <w:r w:rsidR="00A57FC2">
        <w:t xml:space="preserve"> </w:t>
      </w:r>
      <w:sdt>
        <w:sdtPr>
          <w:id w:val="185802164"/>
          <w:citation/>
        </w:sdtPr>
        <w:sdtContent>
          <w:r w:rsidR="00A57FC2">
            <w:fldChar w:fldCharType="begin"/>
          </w:r>
          <w:r w:rsidR="00A57FC2">
            <w:instrText xml:space="preserve"> CITATION Bri22 \l 2057 </w:instrText>
          </w:r>
          <w:r w:rsidR="00A57FC2">
            <w:fldChar w:fldCharType="separate"/>
          </w:r>
          <w:r w:rsidR="00A57FC2" w:rsidRPr="00A57FC2">
            <w:rPr>
              <w:noProof/>
            </w:rPr>
            <w:t>(Columbia, 2022)</w:t>
          </w:r>
          <w:r w:rsidR="00A57FC2">
            <w:fldChar w:fldCharType="end"/>
          </w:r>
        </w:sdtContent>
      </w:sdt>
      <w:r w:rsidR="008207B1">
        <w:t xml:space="preserve">. </w:t>
      </w:r>
      <w:r w:rsidR="00743746">
        <w:t xml:space="preserve"> </w:t>
      </w:r>
      <w:r w:rsidR="00516E0A">
        <w:t xml:space="preserve">The responsibilities of the Supreme Court Justices </w:t>
      </w:r>
      <w:proofErr w:type="gramStart"/>
      <w:r w:rsidR="00516E0A">
        <w:t>is</w:t>
      </w:r>
      <w:proofErr w:type="gramEnd"/>
      <w:r w:rsidR="00516E0A">
        <w:t xml:space="preserve"> that they interpret statutes</w:t>
      </w:r>
      <w:r w:rsidR="00B60BAB">
        <w:t xml:space="preserve">, </w:t>
      </w:r>
      <w:r w:rsidR="002F75FB">
        <w:t>this is where parliament make a law in the form of a statute, however, it is still for the judges to decide how it is interpret. A statute is a law that is written or made by the UK parliament, it ha</w:t>
      </w:r>
      <w:r w:rsidR="000734D6">
        <w:t>s</w:t>
      </w:r>
      <w:r w:rsidR="002F75FB">
        <w:t xml:space="preserve"> become an act of parliament because when a bill is agreed between both the houses of parliament and </w:t>
      </w:r>
      <w:r w:rsidR="000734D6">
        <w:t>is</w:t>
      </w:r>
      <w:r w:rsidR="002F75FB">
        <w:t xml:space="preserve"> given royal assent by the monarch</w:t>
      </w:r>
      <w:r w:rsidR="000734D6">
        <w:t xml:space="preserve"> it then becomes one of the acts of parliament. This is known as a primary legislation as they do not depend on legislative authority </w:t>
      </w:r>
      <w:sdt>
        <w:sdtPr>
          <w:id w:val="-1837142966"/>
          <w:citation/>
        </w:sdtPr>
        <w:sdtContent>
          <w:r w:rsidR="000734D6">
            <w:fldChar w:fldCharType="begin"/>
          </w:r>
          <w:r w:rsidR="000734D6">
            <w:instrText xml:space="preserve"> CITATION Par22 \l 2057 </w:instrText>
          </w:r>
          <w:r w:rsidR="000734D6">
            <w:fldChar w:fldCharType="separate"/>
          </w:r>
          <w:r w:rsidR="000734D6" w:rsidRPr="000734D6">
            <w:rPr>
              <w:noProof/>
            </w:rPr>
            <w:t>(Parliament, 2022)</w:t>
          </w:r>
          <w:r w:rsidR="000734D6">
            <w:fldChar w:fldCharType="end"/>
          </w:r>
        </w:sdtContent>
      </w:sdt>
      <w:r w:rsidR="000734D6">
        <w:t xml:space="preserve">. </w:t>
      </w:r>
      <w:r w:rsidR="003B7199">
        <w:t xml:space="preserve">An example of statutory interpretation is the case of R V G and another 2003 and the interpretation is of the meaning of reckless within the criminal damage act 1971. </w:t>
      </w:r>
      <w:r w:rsidR="00567281">
        <w:t>Statue</w:t>
      </w:r>
      <w:r w:rsidR="00B60BAB">
        <w:t xml:space="preserve"> start as bills and there are two bills that they can take form of the first being a private bill which is the part of the law that is concerned with the relationship between private persons and the second form it can take is a public law and this is the part of the law that is concerned with relationships between state and private persons </w:t>
      </w:r>
      <w:sdt>
        <w:sdtPr>
          <w:id w:val="-567890126"/>
          <w:citation/>
        </w:sdtPr>
        <w:sdtContent>
          <w:r w:rsidR="00B60BAB">
            <w:fldChar w:fldCharType="begin"/>
          </w:r>
          <w:r w:rsidR="00B60BAB">
            <w:instrText xml:space="preserve"> CITATION Lor21 \l 2057 </w:instrText>
          </w:r>
          <w:r w:rsidR="00B60BAB">
            <w:fldChar w:fldCharType="separate"/>
          </w:r>
          <w:r w:rsidR="00B60BAB" w:rsidRPr="00B60BAB">
            <w:rPr>
              <w:noProof/>
            </w:rPr>
            <w:t>(Elliott, 2021)</w:t>
          </w:r>
          <w:r w:rsidR="00B60BAB">
            <w:fldChar w:fldCharType="end"/>
          </w:r>
        </w:sdtContent>
      </w:sdt>
      <w:r w:rsidR="003D0482">
        <w:t xml:space="preserve">. </w:t>
      </w:r>
      <w:r w:rsidR="00567281">
        <w:t xml:space="preserve">It is the role of the Justices to interpret it the right way and give out punishments following the laws, there are three rules that come under statutory interpretation which are the literal rule, the golden rule and the </w:t>
      </w:r>
      <w:r w:rsidR="00516D68">
        <w:t xml:space="preserve">mischief rule, and by examining these rules it helps people to understand how the courts interpret statutes and the executive and legislative tensions begin to be introduced </w:t>
      </w:r>
      <w:sdt>
        <w:sdtPr>
          <w:id w:val="1079172743"/>
          <w:citation/>
        </w:sdtPr>
        <w:sdtContent>
          <w:r w:rsidR="00516D68">
            <w:fldChar w:fldCharType="begin"/>
          </w:r>
          <w:r w:rsidR="00516D68">
            <w:instrText xml:space="preserve"> CITATION Ali11 \l 2057 </w:instrText>
          </w:r>
          <w:r w:rsidR="00516D68">
            <w:fldChar w:fldCharType="separate"/>
          </w:r>
          <w:r w:rsidR="00516D68" w:rsidRPr="00516D68">
            <w:rPr>
              <w:noProof/>
            </w:rPr>
            <w:t>(Gillespie, 2011)</w:t>
          </w:r>
          <w:r w:rsidR="00516D68">
            <w:fldChar w:fldCharType="end"/>
          </w:r>
        </w:sdtContent>
      </w:sdt>
      <w:r w:rsidR="00516D68">
        <w:t xml:space="preserve">. </w:t>
      </w:r>
    </w:p>
    <w:p w14:paraId="073FF876" w14:textId="11996D50" w:rsidR="003D0482" w:rsidRDefault="00567281">
      <w:r>
        <w:t>The Supreme Court Justices also make precedent,</w:t>
      </w:r>
      <w:r w:rsidR="00516D68">
        <w:t xml:space="preserve"> as it is the ex</w:t>
      </w:r>
      <w:r w:rsidR="00CA5FDF">
        <w:t xml:space="preserve">pectation that if we save the intervention of the legislature, then the law will remain as what it is stated as in the precedent </w:t>
      </w:r>
      <w:sdt>
        <w:sdtPr>
          <w:id w:val="651566320"/>
          <w:citation/>
        </w:sdtPr>
        <w:sdtContent>
          <w:r w:rsidR="00CA5FDF">
            <w:fldChar w:fldCharType="begin"/>
          </w:r>
          <w:r w:rsidR="00CA5FDF">
            <w:instrText xml:space="preserve"> CITATION Ali11 \l 2057 </w:instrText>
          </w:r>
          <w:r w:rsidR="00CA5FDF">
            <w:fldChar w:fldCharType="separate"/>
          </w:r>
          <w:r w:rsidR="00CA5FDF" w:rsidRPr="00CA5FDF">
            <w:rPr>
              <w:noProof/>
            </w:rPr>
            <w:t>(Gillespie, 2011)</w:t>
          </w:r>
          <w:r w:rsidR="00CA5FDF">
            <w:fldChar w:fldCharType="end"/>
          </w:r>
        </w:sdtContent>
      </w:sdt>
      <w:r w:rsidR="00CA5FDF">
        <w:t xml:space="preserve">. </w:t>
      </w:r>
      <w:r w:rsidR="0090720E">
        <w:t xml:space="preserve"> The doctrine of the judicial precedent is based </w:t>
      </w:r>
      <w:proofErr w:type="gramStart"/>
      <w:r w:rsidR="0090720E">
        <w:t>off of</w:t>
      </w:r>
      <w:proofErr w:type="gramEnd"/>
      <w:r w:rsidR="0090720E">
        <w:t xml:space="preserve"> stare decisis and this means standing by the original decision once a particular part of law has been outlined in a case that law has to be applied in all future cases that have the same material facts. For the doctrine judicial </w:t>
      </w:r>
      <w:r w:rsidR="0090720E">
        <w:lastRenderedPageBreak/>
        <w:t xml:space="preserve">precedent to work it is important to decided what a point of law is. This can take form in too different ways the first one being a judgement, </w:t>
      </w:r>
      <w:r w:rsidR="00AC3279">
        <w:t xml:space="preserve">and they will set out their reasons for making that decision, but they will reach their decisions based off the ratio decidendi of the case and this forms the legal principle of the case which is known as a binding precedent but they may also use the obiter dicta which is where things are started within a course of judgement which are not necessary for making decisions for example the case of R v Howe and Bannister (1987) 2 WRL 568 </w:t>
      </w:r>
      <w:sdt>
        <w:sdtPr>
          <w:id w:val="-1658218201"/>
          <w:citation/>
        </w:sdtPr>
        <w:sdtContent>
          <w:r w:rsidR="0026345D">
            <w:fldChar w:fldCharType="begin"/>
          </w:r>
          <w:r w:rsidR="0026345D">
            <w:instrText xml:space="preserve"> CITATION Law20 \l 2057 </w:instrText>
          </w:r>
          <w:r w:rsidR="0026345D">
            <w:fldChar w:fldCharType="separate"/>
          </w:r>
          <w:r w:rsidR="0026345D" w:rsidRPr="0026345D">
            <w:rPr>
              <w:noProof/>
            </w:rPr>
            <w:t>(Resources, 2020)</w:t>
          </w:r>
          <w:r w:rsidR="0026345D">
            <w:fldChar w:fldCharType="end"/>
          </w:r>
        </w:sdtContent>
      </w:sdt>
      <w:r w:rsidR="0026345D">
        <w:t xml:space="preserve">. The Supreme Court Justices also have the power to uphold or overturn decisions that have been given by a lower court. </w:t>
      </w:r>
    </w:p>
    <w:p w14:paraId="460360D7" w14:textId="3720DB4D" w:rsidR="0026345D" w:rsidRDefault="00474E94">
      <w:r>
        <w:t>Within the court more recently than before it shows that decisions have been made while being impacted by peoples race and genders particularly on cases that involved discrimination and certain typed of civil rights, for example women and African judges were more than likely to vote for a sex discrimination plaintiff than those of their colleagues who were while males. However, the findings for cases related to race discrimination were different, there was very little between white men and white women</w:t>
      </w:r>
      <w:r w:rsidR="009660BF">
        <w:t xml:space="preserve"> appointed by presidents from the same political party but there was a difference for African American males’ judges. White male and white female judges appointed by a democrat voted for a race discrimination claimant in 49% and 51% of the cases, so within the courts, depending on the nature of the crime there can be times where race and gender can impact on decisions </w:t>
      </w:r>
      <w:sdt>
        <w:sdtPr>
          <w:id w:val="1974098393"/>
          <w:citation/>
        </w:sdtPr>
        <w:sdtContent>
          <w:r w:rsidR="009660BF">
            <w:fldChar w:fldCharType="begin"/>
          </w:r>
          <w:r w:rsidR="009660BF">
            <w:instrText xml:space="preserve"> CITATION Theresa \l 2057 </w:instrText>
          </w:r>
          <w:r w:rsidR="009660BF">
            <w:fldChar w:fldCharType="separate"/>
          </w:r>
          <w:r w:rsidR="009660BF" w:rsidRPr="009660BF">
            <w:rPr>
              <w:noProof/>
            </w:rPr>
            <w:t>(Beiner, 2022)</w:t>
          </w:r>
          <w:r w:rsidR="009660BF">
            <w:fldChar w:fldCharType="end"/>
          </w:r>
        </w:sdtContent>
      </w:sdt>
      <w:r w:rsidR="009660BF">
        <w:t xml:space="preserve">. </w:t>
      </w:r>
    </w:p>
    <w:p w14:paraId="599938BD" w14:textId="77777777" w:rsidR="00912E7B" w:rsidRDefault="00912E7B"/>
    <w:p w14:paraId="4863DE4B" w14:textId="715F85A3" w:rsidR="00B22635" w:rsidRDefault="00B22635">
      <w:r>
        <w:br w:type="page"/>
      </w:r>
    </w:p>
    <w:p w14:paraId="4598394B" w14:textId="77777777" w:rsidR="00B22635" w:rsidRDefault="00B22635"/>
    <w:sectPr w:rsidR="00B22635" w:rsidSect="00B22635">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908AC" w14:textId="77777777" w:rsidR="00040672" w:rsidRDefault="00040672" w:rsidP="00B22635">
      <w:pPr>
        <w:spacing w:after="0" w:line="240" w:lineRule="auto"/>
      </w:pPr>
      <w:r>
        <w:separator/>
      </w:r>
    </w:p>
  </w:endnote>
  <w:endnote w:type="continuationSeparator" w:id="0">
    <w:p w14:paraId="5FCBD15F" w14:textId="77777777" w:rsidR="00040672" w:rsidRDefault="00040672" w:rsidP="00B226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578813"/>
      <w:docPartObj>
        <w:docPartGallery w:val="Page Numbers (Bottom of Page)"/>
        <w:docPartUnique/>
      </w:docPartObj>
    </w:sdtPr>
    <w:sdtEndPr>
      <w:rPr>
        <w:noProof/>
      </w:rPr>
    </w:sdtEndPr>
    <w:sdtContent>
      <w:p w14:paraId="2B34D9F9" w14:textId="45CDDD74" w:rsidR="003E0F67" w:rsidRDefault="003E0F6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1BD754" w14:textId="77777777" w:rsidR="003E0F67" w:rsidRDefault="003E0F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B3E60" w14:textId="77777777" w:rsidR="00040672" w:rsidRDefault="00040672" w:rsidP="00B22635">
      <w:pPr>
        <w:spacing w:after="0" w:line="240" w:lineRule="auto"/>
      </w:pPr>
      <w:r>
        <w:separator/>
      </w:r>
    </w:p>
  </w:footnote>
  <w:footnote w:type="continuationSeparator" w:id="0">
    <w:p w14:paraId="19DE7C17" w14:textId="77777777" w:rsidR="00040672" w:rsidRDefault="00040672" w:rsidP="00B226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635"/>
    <w:rsid w:val="00040672"/>
    <w:rsid w:val="000734D6"/>
    <w:rsid w:val="000B57EF"/>
    <w:rsid w:val="00167EC3"/>
    <w:rsid w:val="001A0275"/>
    <w:rsid w:val="001B71AA"/>
    <w:rsid w:val="00226FBB"/>
    <w:rsid w:val="0026345D"/>
    <w:rsid w:val="002F75FB"/>
    <w:rsid w:val="003B7199"/>
    <w:rsid w:val="003D0482"/>
    <w:rsid w:val="003E0F67"/>
    <w:rsid w:val="00401A08"/>
    <w:rsid w:val="00474E94"/>
    <w:rsid w:val="00516D68"/>
    <w:rsid w:val="00516E0A"/>
    <w:rsid w:val="00567281"/>
    <w:rsid w:val="00743746"/>
    <w:rsid w:val="008207B1"/>
    <w:rsid w:val="008228E0"/>
    <w:rsid w:val="0090720E"/>
    <w:rsid w:val="00912E7B"/>
    <w:rsid w:val="00931828"/>
    <w:rsid w:val="009347D2"/>
    <w:rsid w:val="009660BF"/>
    <w:rsid w:val="00A26851"/>
    <w:rsid w:val="00A57FC2"/>
    <w:rsid w:val="00AC3279"/>
    <w:rsid w:val="00B22635"/>
    <w:rsid w:val="00B50200"/>
    <w:rsid w:val="00B60BAB"/>
    <w:rsid w:val="00BA766F"/>
    <w:rsid w:val="00CA5FDF"/>
    <w:rsid w:val="00E23039"/>
    <w:rsid w:val="00E53E05"/>
    <w:rsid w:val="00E84525"/>
    <w:rsid w:val="00E92AAD"/>
    <w:rsid w:val="00F51DEF"/>
    <w:rsid w:val="00F9555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1DF7F"/>
  <w15:chartTrackingRefBased/>
  <w15:docId w15:val="{85612746-13C1-48E6-9143-51CDCED5A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26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2635"/>
  </w:style>
  <w:style w:type="paragraph" w:styleId="Footer">
    <w:name w:val="footer"/>
    <w:basedOn w:val="Normal"/>
    <w:link w:val="FooterChar"/>
    <w:uiPriority w:val="99"/>
    <w:unhideWhenUsed/>
    <w:rsid w:val="00B226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2635"/>
  </w:style>
  <w:style w:type="paragraph" w:styleId="Title">
    <w:name w:val="Title"/>
    <w:basedOn w:val="Normal"/>
    <w:next w:val="Normal"/>
    <w:link w:val="TitleChar"/>
    <w:uiPriority w:val="10"/>
    <w:qFormat/>
    <w:rsid w:val="00B22635"/>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eastAsia="en-US"/>
    </w:rPr>
  </w:style>
  <w:style w:type="character" w:customStyle="1" w:styleId="TitleChar">
    <w:name w:val="Title Char"/>
    <w:basedOn w:val="DefaultParagraphFont"/>
    <w:link w:val="Title"/>
    <w:uiPriority w:val="10"/>
    <w:rsid w:val="00B22635"/>
    <w:rPr>
      <w:rFonts w:asciiTheme="majorHAnsi" w:eastAsiaTheme="majorEastAsia" w:hAnsiTheme="majorHAnsi" w:cstheme="majorBidi"/>
      <w:color w:val="404040" w:themeColor="text1" w:themeTint="BF"/>
      <w:spacing w:val="-10"/>
      <w:kern w:val="28"/>
      <w:sz w:val="56"/>
      <w:szCs w:val="56"/>
      <w:lang w:val="en-US" w:eastAsia="en-US"/>
    </w:rPr>
  </w:style>
  <w:style w:type="paragraph" w:styleId="Subtitle">
    <w:name w:val="Subtitle"/>
    <w:basedOn w:val="Normal"/>
    <w:next w:val="Normal"/>
    <w:link w:val="SubtitleChar"/>
    <w:uiPriority w:val="11"/>
    <w:qFormat/>
    <w:rsid w:val="00B22635"/>
    <w:pPr>
      <w:numPr>
        <w:ilvl w:val="1"/>
      </w:numPr>
    </w:pPr>
    <w:rPr>
      <w:rFonts w:cs="Times New Roman"/>
      <w:color w:val="5A5A5A" w:themeColor="text1" w:themeTint="A5"/>
      <w:spacing w:val="15"/>
      <w:lang w:val="en-US" w:eastAsia="en-US"/>
    </w:rPr>
  </w:style>
  <w:style w:type="character" w:customStyle="1" w:styleId="SubtitleChar">
    <w:name w:val="Subtitle Char"/>
    <w:basedOn w:val="DefaultParagraphFont"/>
    <w:link w:val="Subtitle"/>
    <w:uiPriority w:val="11"/>
    <w:rsid w:val="00B22635"/>
    <w:rPr>
      <w:rFonts w:cs="Times New Roman"/>
      <w:color w:val="5A5A5A" w:themeColor="text1" w:themeTint="A5"/>
      <w:spacing w:val="15"/>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472638">
      <w:bodyDiv w:val="1"/>
      <w:marLeft w:val="0"/>
      <w:marRight w:val="0"/>
      <w:marTop w:val="0"/>
      <w:marBottom w:val="0"/>
      <w:divBdr>
        <w:top w:val="none" w:sz="0" w:space="0" w:color="auto"/>
        <w:left w:val="none" w:sz="0" w:space="0" w:color="auto"/>
        <w:bottom w:val="none" w:sz="0" w:space="0" w:color="auto"/>
        <w:right w:val="none" w:sz="0" w:space="0" w:color="auto"/>
      </w:divBdr>
    </w:div>
    <w:div w:id="144861136">
      <w:bodyDiv w:val="1"/>
      <w:marLeft w:val="0"/>
      <w:marRight w:val="0"/>
      <w:marTop w:val="0"/>
      <w:marBottom w:val="0"/>
      <w:divBdr>
        <w:top w:val="none" w:sz="0" w:space="0" w:color="auto"/>
        <w:left w:val="none" w:sz="0" w:space="0" w:color="auto"/>
        <w:bottom w:val="none" w:sz="0" w:space="0" w:color="auto"/>
        <w:right w:val="none" w:sz="0" w:space="0" w:color="auto"/>
      </w:divBdr>
    </w:div>
    <w:div w:id="185797104">
      <w:bodyDiv w:val="1"/>
      <w:marLeft w:val="0"/>
      <w:marRight w:val="0"/>
      <w:marTop w:val="0"/>
      <w:marBottom w:val="0"/>
      <w:divBdr>
        <w:top w:val="none" w:sz="0" w:space="0" w:color="auto"/>
        <w:left w:val="none" w:sz="0" w:space="0" w:color="auto"/>
        <w:bottom w:val="none" w:sz="0" w:space="0" w:color="auto"/>
        <w:right w:val="none" w:sz="0" w:space="0" w:color="auto"/>
      </w:divBdr>
    </w:div>
    <w:div w:id="368190426">
      <w:bodyDiv w:val="1"/>
      <w:marLeft w:val="0"/>
      <w:marRight w:val="0"/>
      <w:marTop w:val="0"/>
      <w:marBottom w:val="0"/>
      <w:divBdr>
        <w:top w:val="none" w:sz="0" w:space="0" w:color="auto"/>
        <w:left w:val="none" w:sz="0" w:space="0" w:color="auto"/>
        <w:bottom w:val="none" w:sz="0" w:space="0" w:color="auto"/>
        <w:right w:val="none" w:sz="0" w:space="0" w:color="auto"/>
      </w:divBdr>
    </w:div>
    <w:div w:id="417093174">
      <w:bodyDiv w:val="1"/>
      <w:marLeft w:val="0"/>
      <w:marRight w:val="0"/>
      <w:marTop w:val="0"/>
      <w:marBottom w:val="0"/>
      <w:divBdr>
        <w:top w:val="none" w:sz="0" w:space="0" w:color="auto"/>
        <w:left w:val="none" w:sz="0" w:space="0" w:color="auto"/>
        <w:bottom w:val="none" w:sz="0" w:space="0" w:color="auto"/>
        <w:right w:val="none" w:sz="0" w:space="0" w:color="auto"/>
      </w:divBdr>
    </w:div>
    <w:div w:id="439884807">
      <w:bodyDiv w:val="1"/>
      <w:marLeft w:val="0"/>
      <w:marRight w:val="0"/>
      <w:marTop w:val="0"/>
      <w:marBottom w:val="0"/>
      <w:divBdr>
        <w:top w:val="none" w:sz="0" w:space="0" w:color="auto"/>
        <w:left w:val="none" w:sz="0" w:space="0" w:color="auto"/>
        <w:bottom w:val="none" w:sz="0" w:space="0" w:color="auto"/>
        <w:right w:val="none" w:sz="0" w:space="0" w:color="auto"/>
      </w:divBdr>
    </w:div>
    <w:div w:id="473328469">
      <w:bodyDiv w:val="1"/>
      <w:marLeft w:val="0"/>
      <w:marRight w:val="0"/>
      <w:marTop w:val="0"/>
      <w:marBottom w:val="0"/>
      <w:divBdr>
        <w:top w:val="none" w:sz="0" w:space="0" w:color="auto"/>
        <w:left w:val="none" w:sz="0" w:space="0" w:color="auto"/>
        <w:bottom w:val="none" w:sz="0" w:space="0" w:color="auto"/>
        <w:right w:val="none" w:sz="0" w:space="0" w:color="auto"/>
      </w:divBdr>
    </w:div>
    <w:div w:id="518617846">
      <w:bodyDiv w:val="1"/>
      <w:marLeft w:val="0"/>
      <w:marRight w:val="0"/>
      <w:marTop w:val="0"/>
      <w:marBottom w:val="0"/>
      <w:divBdr>
        <w:top w:val="none" w:sz="0" w:space="0" w:color="auto"/>
        <w:left w:val="none" w:sz="0" w:space="0" w:color="auto"/>
        <w:bottom w:val="none" w:sz="0" w:space="0" w:color="auto"/>
        <w:right w:val="none" w:sz="0" w:space="0" w:color="auto"/>
      </w:divBdr>
    </w:div>
    <w:div w:id="691688605">
      <w:bodyDiv w:val="1"/>
      <w:marLeft w:val="0"/>
      <w:marRight w:val="0"/>
      <w:marTop w:val="0"/>
      <w:marBottom w:val="0"/>
      <w:divBdr>
        <w:top w:val="none" w:sz="0" w:space="0" w:color="auto"/>
        <w:left w:val="none" w:sz="0" w:space="0" w:color="auto"/>
        <w:bottom w:val="none" w:sz="0" w:space="0" w:color="auto"/>
        <w:right w:val="none" w:sz="0" w:space="0" w:color="auto"/>
      </w:divBdr>
    </w:div>
    <w:div w:id="811480313">
      <w:bodyDiv w:val="1"/>
      <w:marLeft w:val="0"/>
      <w:marRight w:val="0"/>
      <w:marTop w:val="0"/>
      <w:marBottom w:val="0"/>
      <w:divBdr>
        <w:top w:val="none" w:sz="0" w:space="0" w:color="auto"/>
        <w:left w:val="none" w:sz="0" w:space="0" w:color="auto"/>
        <w:bottom w:val="none" w:sz="0" w:space="0" w:color="auto"/>
        <w:right w:val="none" w:sz="0" w:space="0" w:color="auto"/>
      </w:divBdr>
    </w:div>
    <w:div w:id="1225528085">
      <w:bodyDiv w:val="1"/>
      <w:marLeft w:val="0"/>
      <w:marRight w:val="0"/>
      <w:marTop w:val="0"/>
      <w:marBottom w:val="0"/>
      <w:divBdr>
        <w:top w:val="none" w:sz="0" w:space="0" w:color="auto"/>
        <w:left w:val="none" w:sz="0" w:space="0" w:color="auto"/>
        <w:bottom w:val="none" w:sz="0" w:space="0" w:color="auto"/>
        <w:right w:val="none" w:sz="0" w:space="0" w:color="auto"/>
      </w:divBdr>
    </w:div>
    <w:div w:id="1364289086">
      <w:bodyDiv w:val="1"/>
      <w:marLeft w:val="0"/>
      <w:marRight w:val="0"/>
      <w:marTop w:val="0"/>
      <w:marBottom w:val="0"/>
      <w:divBdr>
        <w:top w:val="none" w:sz="0" w:space="0" w:color="auto"/>
        <w:left w:val="none" w:sz="0" w:space="0" w:color="auto"/>
        <w:bottom w:val="none" w:sz="0" w:space="0" w:color="auto"/>
        <w:right w:val="none" w:sz="0" w:space="0" w:color="auto"/>
      </w:divBdr>
    </w:div>
    <w:div w:id="1404714418">
      <w:bodyDiv w:val="1"/>
      <w:marLeft w:val="0"/>
      <w:marRight w:val="0"/>
      <w:marTop w:val="0"/>
      <w:marBottom w:val="0"/>
      <w:divBdr>
        <w:top w:val="none" w:sz="0" w:space="0" w:color="auto"/>
        <w:left w:val="none" w:sz="0" w:space="0" w:color="auto"/>
        <w:bottom w:val="none" w:sz="0" w:space="0" w:color="auto"/>
        <w:right w:val="none" w:sz="0" w:space="0" w:color="auto"/>
      </w:divBdr>
    </w:div>
    <w:div w:id="1516337636">
      <w:bodyDiv w:val="1"/>
      <w:marLeft w:val="0"/>
      <w:marRight w:val="0"/>
      <w:marTop w:val="0"/>
      <w:marBottom w:val="0"/>
      <w:divBdr>
        <w:top w:val="none" w:sz="0" w:space="0" w:color="auto"/>
        <w:left w:val="none" w:sz="0" w:space="0" w:color="auto"/>
        <w:bottom w:val="none" w:sz="0" w:space="0" w:color="auto"/>
        <w:right w:val="none" w:sz="0" w:space="0" w:color="auto"/>
      </w:divBdr>
    </w:div>
    <w:div w:id="1640063466">
      <w:bodyDiv w:val="1"/>
      <w:marLeft w:val="0"/>
      <w:marRight w:val="0"/>
      <w:marTop w:val="0"/>
      <w:marBottom w:val="0"/>
      <w:divBdr>
        <w:top w:val="none" w:sz="0" w:space="0" w:color="auto"/>
        <w:left w:val="none" w:sz="0" w:space="0" w:color="auto"/>
        <w:bottom w:val="none" w:sz="0" w:space="0" w:color="auto"/>
        <w:right w:val="none" w:sz="0" w:space="0" w:color="auto"/>
      </w:divBdr>
    </w:div>
    <w:div w:id="1961103645">
      <w:bodyDiv w:val="1"/>
      <w:marLeft w:val="0"/>
      <w:marRight w:val="0"/>
      <w:marTop w:val="0"/>
      <w:marBottom w:val="0"/>
      <w:divBdr>
        <w:top w:val="none" w:sz="0" w:space="0" w:color="auto"/>
        <w:left w:val="none" w:sz="0" w:space="0" w:color="auto"/>
        <w:bottom w:val="none" w:sz="0" w:space="0" w:color="auto"/>
        <w:right w:val="none" w:sz="0" w:space="0" w:color="auto"/>
      </w:divBdr>
    </w:div>
    <w:div w:id="2021657539">
      <w:bodyDiv w:val="1"/>
      <w:marLeft w:val="0"/>
      <w:marRight w:val="0"/>
      <w:marTop w:val="0"/>
      <w:marBottom w:val="0"/>
      <w:divBdr>
        <w:top w:val="none" w:sz="0" w:space="0" w:color="auto"/>
        <w:left w:val="none" w:sz="0" w:space="0" w:color="auto"/>
        <w:bottom w:val="none" w:sz="0" w:space="0" w:color="auto"/>
        <w:right w:val="none" w:sz="0" w:space="0" w:color="auto"/>
      </w:divBdr>
    </w:div>
    <w:div w:id="2024747754">
      <w:bodyDiv w:val="1"/>
      <w:marLeft w:val="0"/>
      <w:marRight w:val="0"/>
      <w:marTop w:val="0"/>
      <w:marBottom w:val="0"/>
      <w:divBdr>
        <w:top w:val="none" w:sz="0" w:space="0" w:color="auto"/>
        <w:left w:val="none" w:sz="0" w:space="0" w:color="auto"/>
        <w:bottom w:val="none" w:sz="0" w:space="0" w:color="auto"/>
        <w:right w:val="none" w:sz="0" w:space="0" w:color="auto"/>
      </w:divBdr>
    </w:div>
    <w:div w:id="2034724122">
      <w:bodyDiv w:val="1"/>
      <w:marLeft w:val="0"/>
      <w:marRight w:val="0"/>
      <w:marTop w:val="0"/>
      <w:marBottom w:val="0"/>
      <w:divBdr>
        <w:top w:val="none" w:sz="0" w:space="0" w:color="auto"/>
        <w:left w:val="none" w:sz="0" w:space="0" w:color="auto"/>
        <w:bottom w:val="none" w:sz="0" w:space="0" w:color="auto"/>
        <w:right w:val="none" w:sz="0" w:space="0" w:color="auto"/>
      </w:divBdr>
    </w:div>
    <w:div w:id="2092852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Gre22</b:Tag>
    <b:SourceType>InternetSite</b:SourceType>
    <b:Guid>{598EA2CE-1A37-4506-936C-22589482E47E}</b:Guid>
    <b:Title>What is diversity </b:Title>
    <b:Year>2022</b:Year>
    <b:Author>
      <b:Author>
        <b:NameList>
          <b:Person>
            <b:Last>Magazine</b:Last>
            <b:First>Greater</b:First>
            <b:Middle>good</b:Middle>
          </b:Person>
        </b:NameList>
      </b:Author>
    </b:Author>
    <b:YearAccessed>2022</b:YearAccessed>
    <b:MonthAccessed>Feburary </b:MonthAccessed>
    <b:DayAccessed>14</b:DayAccessed>
    <b:URL>https://www.greatergood.berkeley.edu/topic/diversity/definition</b:URL>
    <b:RefOrder>1</b:RefOrder>
  </b:Source>
  <b:Source>
    <b:Tag>Ali11</b:Tag>
    <b:SourceType>BookSection</b:SourceType>
    <b:Guid>{7F1C1A12-593E-4B32-8CF1-88F5C478F9A8}</b:Guid>
    <b:Title>The English Legal System </b:Title>
    <b:Year>2011</b:Year>
    <b:Author>
      <b:Author>
        <b:NameList>
          <b:Person>
            <b:Last>Gillespie</b:Last>
            <b:First>Alisdair</b:First>
          </b:Person>
        </b:NameList>
      </b:Author>
    </b:Author>
    <b:Pages>228-229</b:Pages>
    <b:City>New York </b:City>
    <b:Publisher>University of Oxford Press </b:Publisher>
    <b:RefOrder>2</b:RefOrder>
  </b:Source>
  <b:Source>
    <b:Tag>Han20</b:Tag>
    <b:SourceType>InternetSite</b:SourceType>
    <b:Guid>{87E51FAA-FE48-4B83-99E6-3BA6F1B0904B}</b:Guid>
    <b:Title>The diversity series—BAME diversity in the legal profession</b:Title>
    <b:Year>2020</b:Year>
    <b:Author>
      <b:Author>
        <b:NameList>
          <b:Person>
            <b:Last>Thompson</b:Last>
            <b:First>Hannah</b:First>
          </b:Person>
        </b:NameList>
      </b:Author>
    </b:Author>
    <b:YearAccessed>2022</b:YearAccessed>
    <b:MonthAccessed>Feburary </b:MonthAccessed>
    <b:DayAccessed>14 </b:DayAccessed>
    <b:URL>https://www.lexisnexis.co.uk/blog/future-of-law/the-diversity-series-bame-diversity-in-the-legal-profession#:~:text=Having%20a%20diverse%20legal%20profession%20means%20it%20is,it%20reflects%20the%20world%20clients%20are%20living%20in</b:URL>
    <b:RefOrder>3</b:RefOrder>
  </b:Source>
  <b:Source>
    <b:Tag>The21</b:Tag>
    <b:SourceType>InternetSite</b:SourceType>
    <b:Guid>{467E8B93-0DDB-4F9E-B8D3-22EE3D181446}</b:Guid>
    <b:Title>Biographies of the Justices</b:Title>
    <b:Year>2021</b:Year>
    <b:YearAccessed>2022</b:YearAccessed>
    <b:MonthAccessed>Feburary</b:MonthAccessed>
    <b:DayAccessed>21</b:DayAccessed>
    <b:URL>https://www.supremecourt.uk/index.html</b:URL>
    <b:Author>
      <b:Author>
        <b:NameList>
          <b:Person>
            <b:Last>Ghannam</b:Last>
            <b:First>Tala</b:First>
          </b:Person>
        </b:NameList>
      </b:Author>
    </b:Author>
    <b:RefOrder>5</b:RefOrder>
  </b:Source>
  <b:Source>
    <b:Tag>The22</b:Tag>
    <b:SourceType>InternetSite</b:SourceType>
    <b:Guid>{BE4306F4-06AC-42B2-A9DD-ED9CCEAD5258}</b:Guid>
    <b:Author>
      <b:Author>
        <b:NameList>
          <b:Person>
            <b:Last>Ghannam</b:Last>
            <b:First>Tala</b:First>
          </b:Person>
        </b:NameList>
      </b:Author>
    </b:Author>
    <b:Title>The role of the Supreme Court</b:Title>
    <b:Year>2022</b:Year>
    <b:YearAccessed>2022</b:YearAccessed>
    <b:MonthAccessed>Feburary</b:MonthAccessed>
    <b:DayAccessed>14</b:DayAccessed>
    <b:URL>https://www.supremecourt.uk/about/role-of-the-supreme-court.html</b:URL>
    <b:RefOrder>4</b:RefOrder>
  </b:Source>
  <b:Source>
    <b:Tag>Bri22</b:Tag>
    <b:SourceType>InternetSite</b:SourceType>
    <b:Guid>{21C95690-1724-42D6-9598-8DA9DABE0E2B}</b:Guid>
    <b:Title>About Judgements </b:Title>
    <b:Year>2022</b:Year>
    <b:Author>
      <b:Author>
        <b:NameList>
          <b:Person>
            <b:Last>Columbia</b:Last>
            <b:First>British</b:First>
          </b:Person>
        </b:NameList>
      </b:Author>
    </b:Author>
    <b:YearAccessed>2022</b:YearAccessed>
    <b:MonthAccessed>Feburary </b:MonthAccessed>
    <b:DayAccessed>22</b:DayAccessed>
    <b:URL>https://www.bccourts.ca/supreme_court/about_judgments.aspx</b:URL>
    <b:RefOrder>6</b:RefOrder>
  </b:Source>
  <b:Source>
    <b:Tag>Par22</b:Tag>
    <b:SourceType>InternetSite</b:SourceType>
    <b:Guid>{8A3F0C54-55E2-4989-82C0-F437ECEC7119}</b:Guid>
    <b:Author>
      <b:Author>
        <b:NameList>
          <b:Person>
            <b:Last>Parliament</b:Last>
          </b:Person>
        </b:NameList>
      </b:Author>
    </b:Author>
    <b:Title>Statute </b:Title>
    <b:Year>2022</b:Year>
    <b:YearAccessed>2022</b:YearAccessed>
    <b:MonthAccessed>Feburary </b:MonthAccessed>
    <b:DayAccessed>22</b:DayAccessed>
    <b:URL>https://www.parliament.uk/site-information/glossary/statutes/</b:URL>
    <b:RefOrder>7</b:RefOrder>
  </b:Source>
  <b:Source>
    <b:Tag>Lor21</b:Tag>
    <b:SourceType>InternetSite</b:SourceType>
    <b:Guid>{5D5B1B85-2DC5-49DA-804E-5D9823B8284B}</b:Guid>
    <b:Author>
      <b:Author>
        <b:NameList>
          <b:Person>
            <b:Last>Elliott</b:Last>
            <b:First>Lorna</b:First>
          </b:Person>
        </b:NameList>
      </b:Author>
    </b:Author>
    <b:Title>Statute Law in England </b:Title>
    <b:Year>2021</b:Year>
    <b:YearAccessed>2022</b:YearAccessed>
    <b:MonthAccessed>Feburary </b:MonthAccessed>
    <b:DayAccessed>22</b:DayAccessed>
    <b:URL>http://www.courtroomadvice.co.uk/statute-law-england.html</b:URL>
    <b:RefOrder>8</b:RefOrder>
  </b:Source>
  <b:Source>
    <b:Tag>Law20</b:Tag>
    <b:SourceType>InternetSite</b:SourceType>
    <b:Guid>{CB0D3D93-F174-4A12-9B39-964C9CE25D54}</b:Guid>
    <b:Author>
      <b:Author>
        <b:NameList>
          <b:Person>
            <b:Last>Resources</b:Last>
            <b:First>Law</b:First>
          </b:Person>
        </b:NameList>
      </b:Author>
    </b:Author>
    <b:Title>Judical Precedent </b:Title>
    <b:Year>2020</b:Year>
    <b:YearAccessed>2022</b:YearAccessed>
    <b:MonthAccessed>Feburary </b:MonthAccessed>
    <b:DayAccessed>22</b:DayAccessed>
    <b:URL>https://e-lawresources.co.uk/Home.php</b:URL>
    <b:RefOrder>9</b:RefOrder>
  </b:Source>
  <b:Source>
    <b:Tag>Theresa</b:Tag>
    <b:SourceType>InternetSite</b:SourceType>
    <b:Guid>{EDE78504-ED75-4988-8211-33A1F5941DD4}</b:Guid>
    <b:Author>
      <b:Author>
        <b:NameList>
          <b:Person>
            <b:Last>Beiner</b:Last>
            <b:First>Theresa</b:First>
          </b:Person>
        </b:NameList>
      </b:Author>
    </b:Author>
    <b:Title>Race, Racism and the law </b:Title>
    <b:Year>2022</b:Year>
    <b:YearAccessed>2022</b:YearAccessed>
    <b:MonthAccessed>Feburary </b:MonthAccessed>
    <b:DayAccessed>22</b:DayAccessed>
    <b:URL>https://racism.org/articles/law-and-justice/practice-of-law/1435-judicaldecisionmaking?showall=1</b:URL>
    <b:RefOrder>10</b:RefOrder>
  </b:Source>
</b:Sources>
</file>

<file path=customXml/itemProps1.xml><?xml version="1.0" encoding="utf-8"?>
<ds:datastoreItem xmlns:ds="http://schemas.openxmlformats.org/officeDocument/2006/customXml" ds:itemID="{FF6E28F3-6309-44DF-89FD-5D1A99421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998</Words>
  <Characters>5694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Legal Process – Aissgnment 1</vt:lpstr>
    </vt:vector>
  </TitlesOfParts>
  <Company/>
  <LinksUpToDate>false</LinksUpToDate>
  <CharactersWithSpaces>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Process – Aissgnment 1</dc:title>
  <dc:subject>Diversity in the Judiciary (SUPREME COURT)</dc:subject>
  <dc:creator>Olivia Jane Hurlow (2103531)</dc:creator>
  <cp:keywords/>
  <dc:description/>
  <cp:lastModifiedBy>HURLOW J. (2109227)</cp:lastModifiedBy>
  <cp:revision>2</cp:revision>
  <dcterms:created xsi:type="dcterms:W3CDTF">2022-02-22T15:07:00Z</dcterms:created>
  <dcterms:modified xsi:type="dcterms:W3CDTF">2022-02-22T15:07:00Z</dcterms:modified>
</cp:coreProperties>
</file>