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2357321" w:displacedByCustomXml="next"/>
    <w:sdt>
      <w:sdtPr>
        <w:id w:val="-617915231"/>
        <w:docPartObj>
          <w:docPartGallery w:val="Cover Pages"/>
          <w:docPartUnique/>
        </w:docPartObj>
      </w:sdtPr>
      <w:sdtEndPr>
        <w:rPr>
          <w:rStyle w:val="hoverbg-blue-100"/>
          <w:rFonts w:ascii="Arial" w:hAnsi="Arial" w:cs="Arial"/>
          <w:b/>
          <w:bCs/>
          <w:color w:val="000000"/>
          <w:sz w:val="24"/>
          <w:szCs w:val="24"/>
          <w:shd w:val="clear" w:color="auto" w:fill="DBEAFE"/>
        </w:rPr>
      </w:sdtEndPr>
      <w:sdtContent>
        <w:p w14:paraId="0D649627" w14:textId="63B26BE3" w:rsidR="000F70BD" w:rsidRDefault="000F70BD">
          <w:r>
            <w:rPr>
              <w:noProof/>
            </w:rPr>
            <mc:AlternateContent>
              <mc:Choice Requires="wpg">
                <w:drawing>
                  <wp:anchor distT="0" distB="0" distL="114300" distR="114300" simplePos="0" relativeHeight="251664384" behindDoc="1" locked="0" layoutInCell="1" allowOverlap="1" wp14:anchorId="66E101ED" wp14:editId="794BD88B">
                    <wp:simplePos x="0" y="0"/>
                    <wp:positionH relativeFrom="page">
                      <wp:posOffset>563880</wp:posOffset>
                    </wp:positionH>
                    <wp:positionV relativeFrom="page">
                      <wp:posOffset>487680</wp:posOffset>
                    </wp:positionV>
                    <wp:extent cx="6864824" cy="9281160"/>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281160"/>
                              <a:chOff x="0" y="0"/>
                              <a:chExt cx="6864824" cy="8328659"/>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2600642"/>
                                <a:ext cx="6858000" cy="572801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F5A61A" w14:textId="44C02B24" w:rsidR="000F70BD" w:rsidRDefault="00000000" w:rsidP="000F70BD">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F70BD">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F21036" w14:textId="11E87AD0" w:rsidR="000F70BD" w:rsidRDefault="004346F9">
                                      <w:pPr>
                                        <w:pStyle w:val="NoSpacing"/>
                                        <w:jc w:val="center"/>
                                        <w:rPr>
                                          <w:rFonts w:asciiTheme="majorHAnsi" w:eastAsiaTheme="majorEastAsia" w:hAnsiTheme="majorHAnsi" w:cstheme="majorBidi"/>
                                          <w:caps/>
                                          <w:color w:val="156082" w:themeColor="accent1"/>
                                          <w:sz w:val="72"/>
                                          <w:szCs w:val="72"/>
                                        </w:rPr>
                                      </w:pPr>
                                      <w:r>
                                        <w:rPr>
                                          <w:rFonts w:ascii="Arial" w:eastAsiaTheme="majorEastAsia" w:hAnsi="Arial" w:cs="Arial"/>
                                          <w:caps/>
                                          <w:color w:val="156082" w:themeColor="accent1"/>
                                          <w:sz w:val="56"/>
                                          <w:szCs w:val="56"/>
                                        </w:rPr>
                                        <w:t>STAKEHOLDERS ENGAGEMENT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6E101ED" id="Group 198" o:spid="_x0000_s1026" style="position:absolute;margin-left:44.4pt;margin-top:38.4pt;width:540.55pt;height:730.8pt;z-index:-251652096;mso-width-percent:882;mso-position-horizontal-relative:page;mso-position-vertical-relative:page;mso-width-percent:882" coordsize="68648,832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26006;width:68580;height:5728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5AF5A61A" w14:textId="44C02B24" w:rsidR="000F70BD" w:rsidRDefault="00000000" w:rsidP="000F70BD">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F70B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F21036" w14:textId="11E87AD0" w:rsidR="000F70BD" w:rsidRDefault="004346F9">
                                <w:pPr>
                                  <w:pStyle w:val="NoSpacing"/>
                                  <w:jc w:val="center"/>
                                  <w:rPr>
                                    <w:rFonts w:asciiTheme="majorHAnsi" w:eastAsiaTheme="majorEastAsia" w:hAnsiTheme="majorHAnsi" w:cstheme="majorBidi"/>
                                    <w:caps/>
                                    <w:color w:val="156082" w:themeColor="accent1"/>
                                    <w:sz w:val="72"/>
                                    <w:szCs w:val="72"/>
                                  </w:rPr>
                                </w:pPr>
                                <w:r>
                                  <w:rPr>
                                    <w:rFonts w:ascii="Arial" w:eastAsiaTheme="majorEastAsia" w:hAnsi="Arial" w:cs="Arial"/>
                                    <w:caps/>
                                    <w:color w:val="156082" w:themeColor="accent1"/>
                                    <w:sz w:val="56"/>
                                    <w:szCs w:val="56"/>
                                  </w:rPr>
                                  <w:t>STAKEHOLDERS ENGAGEMENT</w:t>
                                </w:r>
                              </w:p>
                            </w:sdtContent>
                          </w:sdt>
                        </w:txbxContent>
                      </v:textbox>
                    </v:shape>
                    <w10:wrap anchorx="page" anchory="page"/>
                  </v:group>
                </w:pict>
              </mc:Fallback>
            </mc:AlternateContent>
          </w:r>
          <w:r>
            <w:rPr>
              <w:noProof/>
            </w:rPr>
            <w:drawing>
              <wp:inline distT="0" distB="0" distL="0" distR="0" wp14:anchorId="460BFFE6" wp14:editId="1698F1FE">
                <wp:extent cx="5897880" cy="1310640"/>
                <wp:effectExtent l="0" t="0" r="7620" b="3810"/>
                <wp:docPr id="6864703" name="Picture 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703" name="Picture 6"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897880" cy="1310640"/>
                        </a:xfrm>
                        <a:prstGeom prst="rect">
                          <a:avLst/>
                        </a:prstGeom>
                      </pic:spPr>
                    </pic:pic>
                  </a:graphicData>
                </a:graphic>
              </wp:inline>
            </w:drawing>
          </w:r>
        </w:p>
        <w:p w14:paraId="6E11A714" w14:textId="23648AB0" w:rsidR="000F70BD" w:rsidRDefault="004346F9">
          <w:pPr>
            <w:suppressAutoHyphens w:val="0"/>
            <w:rPr>
              <w:rStyle w:val="hoverbg-blue-100"/>
              <w:rFonts w:ascii="Arial" w:hAnsi="Arial" w:cs="Arial"/>
              <w:b/>
              <w:bCs/>
              <w:color w:val="000000"/>
              <w:sz w:val="24"/>
              <w:szCs w:val="24"/>
              <w:shd w:val="clear" w:color="auto" w:fill="DBEAFE"/>
            </w:rPr>
          </w:pPr>
          <w:r>
            <w:rPr>
              <w:rFonts w:ascii="Arial" w:hAnsi="Arial" w:cs="Arial"/>
              <w:b/>
              <w:bCs/>
              <w:noProof/>
              <w:color w:val="000000"/>
              <w:sz w:val="24"/>
              <w:szCs w:val="24"/>
            </w:rPr>
            <mc:AlternateContent>
              <mc:Choice Requires="wps">
                <w:drawing>
                  <wp:anchor distT="0" distB="0" distL="114300" distR="114300" simplePos="0" relativeHeight="251669504" behindDoc="0" locked="0" layoutInCell="1" allowOverlap="1" wp14:anchorId="632956AE" wp14:editId="0C9D89EA">
                    <wp:simplePos x="0" y="0"/>
                    <wp:positionH relativeFrom="column">
                      <wp:posOffset>-350520</wp:posOffset>
                    </wp:positionH>
                    <wp:positionV relativeFrom="paragraph">
                      <wp:posOffset>5369560</wp:posOffset>
                    </wp:positionV>
                    <wp:extent cx="6614795" cy="464820"/>
                    <wp:effectExtent l="0" t="0" r="14605" b="11430"/>
                    <wp:wrapNone/>
                    <wp:docPr id="1399622131" name="Rectangle 10"/>
                    <wp:cNvGraphicFramePr/>
                    <a:graphic xmlns:a="http://schemas.openxmlformats.org/drawingml/2006/main">
                      <a:graphicData uri="http://schemas.microsoft.com/office/word/2010/wordprocessingShape">
                        <wps:wsp>
                          <wps:cNvSpPr/>
                          <wps:spPr>
                            <a:xfrm>
                              <a:off x="0" y="0"/>
                              <a:ext cx="6614795" cy="464820"/>
                            </a:xfrm>
                            <a:prstGeom prst="rect">
                              <a:avLst/>
                            </a:prstGeom>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609AFF4" w14:textId="2EE858D9" w:rsidR="004346F9" w:rsidRPr="004346F9" w:rsidRDefault="004346F9" w:rsidP="004346F9">
                                <w:pPr>
                                  <w:rPr>
                                    <w:sz w:val="28"/>
                                    <w:szCs w:val="28"/>
                                  </w:rPr>
                                </w:pPr>
                                <w:r w:rsidRPr="004346F9">
                                  <w:rPr>
                                    <w:b/>
                                    <w:bCs/>
                                    <w:sz w:val="28"/>
                                    <w:szCs w:val="28"/>
                                  </w:rPr>
                                  <w:t>LECTURE</w:t>
                                </w:r>
                                <w:r w:rsidRPr="004346F9">
                                  <w:rPr>
                                    <w:sz w:val="28"/>
                                    <w:szCs w:val="28"/>
                                  </w:rPr>
                                  <w:t>: ERIC OSEI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2956AE" id="Rectangle 10" o:spid="_x0000_s1030" style="position:absolute;margin-left:-27.6pt;margin-top:422.8pt;width:520.85pt;height:36.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" fillcolor="#156082 [3204]" strokecolor="#156082 [3204]" strokeweight="1.5pt">
                    <v:textbox>
                      <w:txbxContent>
                        <w:p w14:paraId="4609AFF4" w14:textId="2EE858D9" w:rsidR="004346F9" w:rsidRPr="004346F9" w:rsidRDefault="004346F9" w:rsidP="004346F9">
                          <w:pPr>
                            <w:rPr>
                              <w:sz w:val="28"/>
                              <w:szCs w:val="28"/>
                            </w:rPr>
                          </w:pPr>
                          <w:r w:rsidRPr="004346F9">
                            <w:rPr>
                              <w:b/>
                              <w:bCs/>
                              <w:sz w:val="28"/>
                              <w:szCs w:val="28"/>
                            </w:rPr>
                            <w:t>LECTURE</w:t>
                          </w:r>
                          <w:r w:rsidRPr="004346F9">
                            <w:rPr>
                              <w:sz w:val="28"/>
                              <w:szCs w:val="28"/>
                            </w:rPr>
                            <w:t>: ERIC OSEI</w:t>
                          </w:r>
                        </w:p>
                      </w:txbxContent>
                    </v:textbox>
                  </v:rect>
                </w:pict>
              </mc:Fallback>
            </mc:AlternateContent>
          </w:r>
          <w:r>
            <w:rPr>
              <w:rFonts w:ascii="Arial" w:hAnsi="Arial" w:cs="Arial"/>
              <w:b/>
              <w:bCs/>
              <w:noProof/>
              <w:color w:val="000000"/>
              <w:sz w:val="24"/>
              <w:szCs w:val="24"/>
            </w:rPr>
            <mc:AlternateContent>
              <mc:Choice Requires="wps">
                <w:drawing>
                  <wp:anchor distT="0" distB="0" distL="114300" distR="114300" simplePos="0" relativeHeight="251666432" behindDoc="0" locked="0" layoutInCell="1" allowOverlap="1" wp14:anchorId="4A10091C" wp14:editId="6E5AB38B">
                    <wp:simplePos x="0" y="0"/>
                    <wp:positionH relativeFrom="column">
                      <wp:posOffset>-342900</wp:posOffset>
                    </wp:positionH>
                    <wp:positionV relativeFrom="paragraph">
                      <wp:posOffset>3312160</wp:posOffset>
                    </wp:positionV>
                    <wp:extent cx="6576060" cy="434340"/>
                    <wp:effectExtent l="0" t="0" r="15240" b="22860"/>
                    <wp:wrapNone/>
                    <wp:docPr id="1022738339" name="Rectangle 9"/>
                    <wp:cNvGraphicFramePr/>
                    <a:graphic xmlns:a="http://schemas.openxmlformats.org/drawingml/2006/main">
                      <a:graphicData uri="http://schemas.microsoft.com/office/word/2010/wordprocessingShape">
                        <wps:wsp>
                          <wps:cNvSpPr/>
                          <wps:spPr>
                            <a:xfrm>
                              <a:off x="0" y="0"/>
                              <a:ext cx="6576060" cy="434340"/>
                            </a:xfrm>
                            <a:prstGeom prst="rect">
                              <a:avLst/>
                            </a:prstGeom>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F214BE3" w14:textId="23C3E24D" w:rsidR="008A48CB" w:rsidRPr="008A48CB" w:rsidRDefault="008A48CB" w:rsidP="009340B7">
                                <w:pPr>
                                  <w:rPr>
                                    <w:rFonts w:ascii="Arial" w:hAnsi="Arial" w:cs="Arial"/>
                                    <w:sz w:val="28"/>
                                    <w:szCs w:val="28"/>
                                  </w:rPr>
                                </w:pPr>
                                <w:r w:rsidRPr="008A48CB">
                                  <w:rPr>
                                    <w:rFonts w:ascii="Arial" w:hAnsi="Arial" w:cs="Arial"/>
                                    <w:b/>
                                    <w:bCs/>
                                    <w:sz w:val="28"/>
                                    <w:szCs w:val="28"/>
                                  </w:rPr>
                                  <w:t>NAME</w:t>
                                </w:r>
                                <w:r w:rsidRPr="008A48CB">
                                  <w:rPr>
                                    <w:rFonts w:ascii="Arial" w:hAnsi="Arial" w:cs="Arial"/>
                                    <w:sz w:val="28"/>
                                    <w:szCs w:val="28"/>
                                  </w:rPr>
                                  <w:t xml:space="preserve">: IONEL VASILE STEFANITA </w:t>
                                </w:r>
                              </w:p>
                              <w:p w14:paraId="2CCD7652" w14:textId="77777777" w:rsidR="008A48CB" w:rsidRDefault="008A48C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10091C" id="Rectangle 9" o:spid="_x0000_s1031" style="position:absolute;margin-left:-27pt;margin-top:260.8pt;width:517.8pt;height:34.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" fillcolor="#156082 [3204]" strokecolor="#156082 [3204]" strokeweight="1.5pt">
                    <v:textbox>
                      <w:txbxContent>
                        <w:p w14:paraId="2F214BE3" w14:textId="23C3E24D" w:rsidR="008A48CB" w:rsidRPr="008A48CB" w:rsidRDefault="008A48CB" w:rsidP="009340B7">
                          <w:pPr>
                            <w:rPr>
                              <w:rFonts w:ascii="Arial" w:hAnsi="Arial" w:cs="Arial"/>
                              <w:sz w:val="28"/>
                              <w:szCs w:val="28"/>
                            </w:rPr>
                          </w:pPr>
                          <w:r w:rsidRPr="008A48CB">
                            <w:rPr>
                              <w:rFonts w:ascii="Arial" w:hAnsi="Arial" w:cs="Arial"/>
                              <w:b/>
                              <w:bCs/>
                              <w:sz w:val="28"/>
                              <w:szCs w:val="28"/>
                            </w:rPr>
                            <w:t>NAME</w:t>
                          </w:r>
                          <w:r w:rsidRPr="008A48CB">
                            <w:rPr>
                              <w:rFonts w:ascii="Arial" w:hAnsi="Arial" w:cs="Arial"/>
                              <w:sz w:val="28"/>
                              <w:szCs w:val="28"/>
                            </w:rPr>
                            <w:t xml:space="preserve">: IONEL VASILE STEFANITA </w:t>
                          </w:r>
                        </w:p>
                        <w:p w14:paraId="2CCD7652" w14:textId="77777777" w:rsidR="008A48CB" w:rsidRDefault="008A48CB"/>
                      </w:txbxContent>
                    </v:textbox>
                  </v:rect>
                </w:pict>
              </mc:Fallback>
            </mc:AlternateContent>
          </w:r>
          <w:r w:rsidR="009340B7">
            <w:rPr>
              <w:rFonts w:ascii="Arial" w:hAnsi="Arial" w:cs="Arial"/>
              <w:b/>
              <w:bCs/>
              <w:noProof/>
              <w:color w:val="000000"/>
              <w:sz w:val="24"/>
              <w:szCs w:val="24"/>
            </w:rPr>
            <mc:AlternateContent>
              <mc:Choice Requires="wps">
                <w:drawing>
                  <wp:anchor distT="0" distB="0" distL="114300" distR="114300" simplePos="0" relativeHeight="251667456" behindDoc="0" locked="0" layoutInCell="1" allowOverlap="1" wp14:anchorId="01C6E7EB" wp14:editId="68C004BF">
                    <wp:simplePos x="0" y="0"/>
                    <wp:positionH relativeFrom="column">
                      <wp:posOffset>-342900</wp:posOffset>
                    </wp:positionH>
                    <wp:positionV relativeFrom="paragraph">
                      <wp:posOffset>4965700</wp:posOffset>
                    </wp:positionV>
                    <wp:extent cx="6614795" cy="403860"/>
                    <wp:effectExtent l="0" t="0" r="14605" b="15240"/>
                    <wp:wrapNone/>
                    <wp:docPr id="1361327083" name="Rectangle 10"/>
                    <wp:cNvGraphicFramePr/>
                    <a:graphic xmlns:a="http://schemas.openxmlformats.org/drawingml/2006/main">
                      <a:graphicData uri="http://schemas.microsoft.com/office/word/2010/wordprocessingShape">
                        <wps:wsp>
                          <wps:cNvSpPr/>
                          <wps:spPr>
                            <a:xfrm>
                              <a:off x="0" y="0"/>
                              <a:ext cx="6614795" cy="403860"/>
                            </a:xfrm>
                            <a:prstGeom prst="rect">
                              <a:avLst/>
                            </a:prstGeom>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C6D1333" w14:textId="3026FB66" w:rsidR="009340B7" w:rsidRPr="009340B7" w:rsidRDefault="009340B7" w:rsidP="009340B7">
                                <w:pPr>
                                  <w:rPr>
                                    <w:sz w:val="28"/>
                                    <w:szCs w:val="28"/>
                                  </w:rPr>
                                </w:pPr>
                                <w:r w:rsidRPr="009340B7">
                                  <w:rPr>
                                    <w:b/>
                                    <w:bCs/>
                                    <w:sz w:val="28"/>
                                    <w:szCs w:val="28"/>
                                  </w:rPr>
                                  <w:t>MODULE CODE</w:t>
                                </w:r>
                                <w:r w:rsidRPr="009340B7">
                                  <w:rPr>
                                    <w:sz w:val="28"/>
                                    <w:szCs w:val="28"/>
                                  </w:rPr>
                                  <w:t>: LCLM5001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C6E7EB" id="_x0000_s1032" style="position:absolute;margin-left:-27pt;margin-top:391pt;width:520.85pt;height:3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" fillcolor="#156082 [3204]" strokecolor="#156082 [3204]" strokeweight="1.5pt">
                    <v:textbox>
                      <w:txbxContent>
                        <w:p w14:paraId="5C6D1333" w14:textId="3026FB66" w:rsidR="009340B7" w:rsidRPr="009340B7" w:rsidRDefault="009340B7" w:rsidP="009340B7">
                          <w:pPr>
                            <w:rPr>
                              <w:sz w:val="28"/>
                              <w:szCs w:val="28"/>
                            </w:rPr>
                          </w:pPr>
                          <w:r w:rsidRPr="009340B7">
                            <w:rPr>
                              <w:b/>
                              <w:bCs/>
                              <w:sz w:val="28"/>
                              <w:szCs w:val="28"/>
                            </w:rPr>
                            <w:t>MODULE CODE</w:t>
                          </w:r>
                          <w:r w:rsidRPr="009340B7">
                            <w:rPr>
                              <w:sz w:val="28"/>
                              <w:szCs w:val="28"/>
                            </w:rPr>
                            <w:t>: LCLM5001</w:t>
                          </w:r>
                        </w:p>
                      </w:txbxContent>
                    </v:textbox>
                  </v:rect>
                </w:pict>
              </mc:Fallback>
            </mc:AlternateContent>
          </w:r>
          <w:r w:rsidR="009340B7">
            <w:rPr>
              <w:rFonts w:ascii="Arial" w:hAnsi="Arial" w:cs="Arial"/>
              <w:b/>
              <w:bCs/>
              <w:noProof/>
              <w:color w:val="000000"/>
              <w:sz w:val="24"/>
              <w:szCs w:val="24"/>
            </w:rPr>
            <mc:AlternateContent>
              <mc:Choice Requires="wps">
                <w:drawing>
                  <wp:anchor distT="0" distB="0" distL="114300" distR="114300" simplePos="0" relativeHeight="251665408" behindDoc="0" locked="0" layoutInCell="1" allowOverlap="1" wp14:anchorId="3F40B433" wp14:editId="67206E10">
                    <wp:simplePos x="0" y="0"/>
                    <wp:positionH relativeFrom="column">
                      <wp:posOffset>-343535</wp:posOffset>
                    </wp:positionH>
                    <wp:positionV relativeFrom="paragraph">
                      <wp:posOffset>4424680</wp:posOffset>
                    </wp:positionV>
                    <wp:extent cx="6615152" cy="289560"/>
                    <wp:effectExtent l="0" t="0" r="14605" b="15240"/>
                    <wp:wrapNone/>
                    <wp:docPr id="632031990" name="Rectangle 8"/>
                    <wp:cNvGraphicFramePr/>
                    <a:graphic xmlns:a="http://schemas.openxmlformats.org/drawingml/2006/main">
                      <a:graphicData uri="http://schemas.microsoft.com/office/word/2010/wordprocessingShape">
                        <wps:wsp>
                          <wps:cNvSpPr/>
                          <wps:spPr>
                            <a:xfrm>
                              <a:off x="0" y="0"/>
                              <a:ext cx="6615152" cy="289560"/>
                            </a:xfrm>
                            <a:prstGeom prst="rect">
                              <a:avLst/>
                            </a:prstGeom>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EF66748" w14:textId="55BAE782" w:rsidR="008A48CB" w:rsidRPr="008A48CB" w:rsidRDefault="008A48CB" w:rsidP="009340B7">
                                <w:pPr>
                                  <w:rPr>
                                    <w:sz w:val="28"/>
                                    <w:szCs w:val="28"/>
                                  </w:rPr>
                                </w:pPr>
                                <w:r w:rsidRPr="008A48CB">
                                  <w:rPr>
                                    <w:b/>
                                    <w:bCs/>
                                    <w:sz w:val="28"/>
                                    <w:szCs w:val="28"/>
                                  </w:rPr>
                                  <w:t>MODULE NAME</w:t>
                                </w:r>
                                <w:r w:rsidRPr="008A48CB">
                                  <w:rPr>
                                    <w:sz w:val="28"/>
                                    <w:szCs w:val="28"/>
                                  </w:rPr>
                                  <w:t xml:space="preserve">: </w:t>
                                </w:r>
                                <w:r w:rsidRPr="008A48CB">
                                  <w:rPr>
                                    <w:rFonts w:ascii="Arial" w:hAnsi="Arial" w:cs="Arial"/>
                                    <w:sz w:val="28"/>
                                    <w:szCs w:val="28"/>
                                  </w:rPr>
                                  <w:t>UNDERSTANDING AND ENGAGING 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40B433" id="Rectangle 8" o:spid="_x0000_s1033" style="position:absolute;margin-left:-27.05pt;margin-top:348.4pt;width:520.9pt;height:22.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" fillcolor="#156082 [3204]" strokecolor="#156082 [3204]" strokeweight="1.5pt">
                    <v:textbox>
                      <w:txbxContent>
                        <w:p w14:paraId="3EF66748" w14:textId="55BAE782" w:rsidR="008A48CB" w:rsidRPr="008A48CB" w:rsidRDefault="008A48CB" w:rsidP="009340B7">
                          <w:pPr>
                            <w:rPr>
                              <w:sz w:val="28"/>
                              <w:szCs w:val="28"/>
                            </w:rPr>
                          </w:pPr>
                          <w:r w:rsidRPr="008A48CB">
                            <w:rPr>
                              <w:b/>
                              <w:bCs/>
                              <w:sz w:val="28"/>
                              <w:szCs w:val="28"/>
                            </w:rPr>
                            <w:t>MODULE NAME</w:t>
                          </w:r>
                          <w:r w:rsidRPr="008A48CB">
                            <w:rPr>
                              <w:sz w:val="28"/>
                              <w:szCs w:val="28"/>
                            </w:rPr>
                            <w:t xml:space="preserve">: </w:t>
                          </w:r>
                          <w:r w:rsidRPr="008A48CB">
                            <w:rPr>
                              <w:rFonts w:ascii="Arial" w:hAnsi="Arial" w:cs="Arial"/>
                              <w:sz w:val="28"/>
                              <w:szCs w:val="28"/>
                            </w:rPr>
                            <w:t>UNDERSTANDING AND ENGAGING STAKEHOLDERS</w:t>
                          </w:r>
                        </w:p>
                      </w:txbxContent>
                    </v:textbox>
                  </v:rect>
                </w:pict>
              </mc:Fallback>
            </mc:AlternateContent>
          </w:r>
          <w:r w:rsidR="009340B7">
            <w:rPr>
              <w:rFonts w:ascii="Arial" w:hAnsi="Arial" w:cs="Arial"/>
              <w:b/>
              <w:bCs/>
              <w:noProof/>
              <w:color w:val="000000"/>
              <w:sz w:val="24"/>
              <w:szCs w:val="24"/>
            </w:rPr>
            <mc:AlternateContent>
              <mc:Choice Requires="wps">
                <w:drawing>
                  <wp:anchor distT="0" distB="0" distL="114300" distR="114300" simplePos="0" relativeHeight="251668480" behindDoc="0" locked="0" layoutInCell="1" allowOverlap="1" wp14:anchorId="0A8E3CA0" wp14:editId="4B344689">
                    <wp:simplePos x="0" y="0"/>
                    <wp:positionH relativeFrom="column">
                      <wp:posOffset>-342900</wp:posOffset>
                    </wp:positionH>
                    <wp:positionV relativeFrom="paragraph">
                      <wp:posOffset>3860800</wp:posOffset>
                    </wp:positionV>
                    <wp:extent cx="6614795" cy="373380"/>
                    <wp:effectExtent l="0" t="0" r="14605" b="26670"/>
                    <wp:wrapNone/>
                    <wp:docPr id="815577785" name="Rectangle 11"/>
                    <wp:cNvGraphicFramePr/>
                    <a:graphic xmlns:a="http://schemas.openxmlformats.org/drawingml/2006/main">
                      <a:graphicData uri="http://schemas.microsoft.com/office/word/2010/wordprocessingShape">
                        <wps:wsp>
                          <wps:cNvSpPr/>
                          <wps:spPr>
                            <a:xfrm>
                              <a:off x="0" y="0"/>
                              <a:ext cx="6614795" cy="373380"/>
                            </a:xfrm>
                            <a:prstGeom prst="rect">
                              <a:avLst/>
                            </a:prstGeom>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06F201B" w14:textId="330934B7" w:rsidR="009340B7" w:rsidRPr="009340B7" w:rsidRDefault="009340B7" w:rsidP="009340B7">
                                <w:pPr>
                                  <w:rPr>
                                    <w:rFonts w:ascii="Arial" w:hAnsi="Arial" w:cs="Arial"/>
                                    <w:sz w:val="28"/>
                                    <w:szCs w:val="28"/>
                                  </w:rPr>
                                </w:pPr>
                                <w:r w:rsidRPr="009340B7">
                                  <w:rPr>
                                    <w:rFonts w:ascii="Arial" w:hAnsi="Arial" w:cs="Arial"/>
                                    <w:b/>
                                    <w:bCs/>
                                    <w:sz w:val="28"/>
                                    <w:szCs w:val="28"/>
                                  </w:rPr>
                                  <w:t>STUDENT NUMBER</w:t>
                                </w:r>
                                <w:r w:rsidRPr="009340B7">
                                  <w:rPr>
                                    <w:rFonts w:ascii="Arial" w:hAnsi="Arial" w:cs="Arial"/>
                                    <w:sz w:val="28"/>
                                    <w:szCs w:val="28"/>
                                  </w:rPr>
                                  <w:t>: 2408392</w:t>
                                </w:r>
                              </w:p>
                              <w:p w14:paraId="7A3B076B" w14:textId="77777777" w:rsidR="009340B7" w:rsidRDefault="009340B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8E3CA0" id="Rectangle 11" o:spid="_x0000_s1034" style="position:absolute;margin-left:-27pt;margin-top:304pt;width:520.85pt;height:29.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" fillcolor="#156082 [3204]" strokecolor="#156082 [3204]" strokeweight="1.5pt">
                    <v:textbox>
                      <w:txbxContent>
                        <w:p w14:paraId="606F201B" w14:textId="330934B7" w:rsidR="009340B7" w:rsidRPr="009340B7" w:rsidRDefault="009340B7" w:rsidP="009340B7">
                          <w:pPr>
                            <w:rPr>
                              <w:rFonts w:ascii="Arial" w:hAnsi="Arial" w:cs="Arial"/>
                              <w:sz w:val="28"/>
                              <w:szCs w:val="28"/>
                            </w:rPr>
                          </w:pPr>
                          <w:r w:rsidRPr="009340B7">
                            <w:rPr>
                              <w:rFonts w:ascii="Arial" w:hAnsi="Arial" w:cs="Arial"/>
                              <w:b/>
                              <w:bCs/>
                              <w:sz w:val="28"/>
                              <w:szCs w:val="28"/>
                            </w:rPr>
                            <w:t>STUDENT NUMBER</w:t>
                          </w:r>
                          <w:r w:rsidRPr="009340B7">
                            <w:rPr>
                              <w:rFonts w:ascii="Arial" w:hAnsi="Arial" w:cs="Arial"/>
                              <w:sz w:val="28"/>
                              <w:szCs w:val="28"/>
                            </w:rPr>
                            <w:t>: 2408392</w:t>
                          </w:r>
                        </w:p>
                        <w:p w14:paraId="7A3B076B" w14:textId="77777777" w:rsidR="009340B7" w:rsidRDefault="009340B7"/>
                      </w:txbxContent>
                    </v:textbox>
                  </v:rect>
                </w:pict>
              </mc:Fallback>
            </mc:AlternateContent>
          </w:r>
          <w:r w:rsidR="000F70BD">
            <w:rPr>
              <w:rStyle w:val="hoverbg-blue-100"/>
              <w:rFonts w:ascii="Arial" w:hAnsi="Arial" w:cs="Arial"/>
              <w:b/>
              <w:bCs/>
              <w:color w:val="000000"/>
              <w:sz w:val="24"/>
              <w:szCs w:val="24"/>
              <w:shd w:val="clear" w:color="auto" w:fill="DBEAFE"/>
            </w:rPr>
            <w:br w:type="page"/>
          </w:r>
        </w:p>
      </w:sdtContent>
    </w:sdt>
    <w:p w14:paraId="405F8662" w14:textId="7C60B2AD" w:rsidR="008A0AE6" w:rsidRPr="00A25019" w:rsidRDefault="008A0AE6" w:rsidP="00FB1507">
      <w:pPr>
        <w:suppressAutoHyphens w:val="0"/>
        <w:autoSpaceDN/>
        <w:spacing w:after="200" w:line="240" w:lineRule="auto"/>
        <w:rPr>
          <w:rFonts w:ascii="Arial" w:hAnsi="Arial" w:cs="Arial"/>
          <w:b/>
          <w:bCs/>
          <w:color w:val="000000"/>
          <w:sz w:val="24"/>
          <w:szCs w:val="24"/>
          <w:shd w:val="clear" w:color="auto" w:fill="FFFFFF"/>
        </w:rPr>
      </w:pPr>
      <w:r w:rsidRPr="00A25019">
        <w:rPr>
          <w:rFonts w:ascii="Arial" w:hAnsi="Arial" w:cs="Arial"/>
          <w:b/>
          <w:bCs/>
          <w:sz w:val="24"/>
          <w:szCs w:val="24"/>
        </w:rPr>
        <w:lastRenderedPageBreak/>
        <w:t>Executive Summary</w:t>
      </w:r>
    </w:p>
    <w:p w14:paraId="1A0130AD" w14:textId="77777777" w:rsidR="008A0AE6" w:rsidRPr="00A25019" w:rsidRDefault="008A0AE6" w:rsidP="00FB1507">
      <w:pPr>
        <w:suppressAutoHyphens w:val="0"/>
        <w:autoSpaceDN/>
        <w:spacing w:after="200" w:line="240" w:lineRule="auto"/>
        <w:rPr>
          <w:rFonts w:ascii="Arial" w:hAnsi="Arial" w:cs="Arial"/>
          <w:b/>
          <w:bCs/>
          <w:color w:val="000000"/>
          <w:sz w:val="24"/>
          <w:szCs w:val="24"/>
          <w:shd w:val="clear" w:color="auto" w:fill="FFFFFF"/>
        </w:rPr>
      </w:pPr>
    </w:p>
    <w:p w14:paraId="783C969D" w14:textId="37BBF2D4" w:rsidR="008A0AE6" w:rsidRPr="00A25019" w:rsidRDefault="008A0AE6" w:rsidP="008A0AE6">
      <w:pPr>
        <w:suppressAutoHyphens w:val="0"/>
        <w:autoSpaceDN/>
        <w:spacing w:after="200" w:line="360" w:lineRule="auto"/>
        <w:rPr>
          <w:rFonts w:ascii="Arial" w:eastAsia="MS Mincho" w:hAnsi="Arial" w:cs="Arial"/>
          <w:b/>
          <w:bCs/>
          <w:kern w:val="0"/>
          <w:sz w:val="24"/>
          <w:szCs w:val="24"/>
          <w:lang w:val="en-US"/>
        </w:rPr>
      </w:pPr>
      <w:r w:rsidRPr="00A25019">
        <w:rPr>
          <w:rFonts w:ascii="Arial" w:hAnsi="Arial" w:cs="Arial"/>
          <w:color w:val="000000"/>
          <w:sz w:val="24"/>
          <w:szCs w:val="24"/>
          <w:shd w:val="clear" w:color="auto" w:fill="FFFFFF"/>
        </w:rPr>
        <w:t xml:space="preserve">The report focuses on Bupa UK, a healthcare company, to analyse its internal strengths and weaknesses and the external environment </w:t>
      </w:r>
      <w:proofErr w:type="gramStart"/>
      <w:r w:rsidRPr="00A25019">
        <w:rPr>
          <w:rFonts w:ascii="Arial" w:hAnsi="Arial" w:cs="Arial"/>
          <w:color w:val="000000"/>
          <w:sz w:val="24"/>
          <w:szCs w:val="24"/>
          <w:shd w:val="clear" w:color="auto" w:fill="FFFFFF"/>
        </w:rPr>
        <w:t>in order to</w:t>
      </w:r>
      <w:proofErr w:type="gramEnd"/>
      <w:r w:rsidRPr="00A25019">
        <w:rPr>
          <w:rFonts w:ascii="Arial" w:hAnsi="Arial" w:cs="Arial"/>
          <w:color w:val="000000"/>
          <w:sz w:val="24"/>
          <w:szCs w:val="24"/>
          <w:shd w:val="clear" w:color="auto" w:fill="FFFFFF"/>
        </w:rPr>
        <w:t xml:space="preserve"> prepare it for the launch of a wearable health device. The research process led to the identification of key internal and external stakeholders. The report describes their stakeholder management characteristics, including roles and responsibilities as well as challenges faced. Stakeholder engagement frameworks, such as the Stakeholder Matrix, Communication Plan and RACI are discussed and illustrated by the chosen organisation’s specific practices, which have shown success in stakeholder engagement. The 4C’s Model (Communication, Coordination, Cooperation and Collaboration) are applied to some of the challenges to emphasise conflict resolution and partnership building. In conclusion, a successful stakeholder engagement is important for innovation and improvement of trust, processes and operations. The report ends with recommendations for digital engagement, fostering long-term relationships and continuous monitoring of the performance.</w:t>
      </w:r>
    </w:p>
    <w:p w14:paraId="6F41CC14" w14:textId="77777777" w:rsidR="008A0AE6" w:rsidRPr="008A0AE6" w:rsidRDefault="008A0AE6">
      <w:pPr>
        <w:suppressAutoHyphens w:val="0"/>
        <w:rPr>
          <w:rFonts w:ascii="Arial" w:eastAsia="MS Mincho" w:hAnsi="Arial" w:cs="Arial"/>
          <w:b/>
          <w:bCs/>
          <w:kern w:val="0"/>
          <w:lang w:val="en-US"/>
        </w:rPr>
      </w:pPr>
      <w:r w:rsidRPr="008A0AE6">
        <w:rPr>
          <w:rFonts w:ascii="Arial" w:eastAsia="MS Mincho" w:hAnsi="Arial" w:cs="Arial"/>
          <w:b/>
          <w:bCs/>
          <w:kern w:val="0"/>
          <w:lang w:val="en-US"/>
        </w:rPr>
        <w:br w:type="page"/>
      </w:r>
    </w:p>
    <w:p w14:paraId="05305B28" w14:textId="476B023D" w:rsidR="00FB1507" w:rsidRPr="00A25019" w:rsidRDefault="00FB1507" w:rsidP="00FB1507">
      <w:pPr>
        <w:suppressAutoHyphens w:val="0"/>
        <w:autoSpaceDN/>
        <w:spacing w:after="200" w:line="240" w:lineRule="auto"/>
        <w:rPr>
          <w:rFonts w:ascii="Arial" w:eastAsia="MS Mincho" w:hAnsi="Arial" w:cs="Arial"/>
          <w:b/>
          <w:bCs/>
          <w:kern w:val="0"/>
          <w:sz w:val="24"/>
          <w:szCs w:val="24"/>
          <w:lang w:val="en-US"/>
        </w:rPr>
      </w:pPr>
      <w:r w:rsidRPr="00A25019">
        <w:rPr>
          <w:rFonts w:ascii="Arial" w:eastAsia="MS Mincho" w:hAnsi="Arial" w:cs="Arial"/>
          <w:b/>
          <w:bCs/>
          <w:kern w:val="0"/>
          <w:sz w:val="24"/>
          <w:szCs w:val="24"/>
          <w:lang w:val="en-US"/>
        </w:rPr>
        <w:lastRenderedPageBreak/>
        <w:t>TABLE OF CONTENTS</w:t>
      </w:r>
    </w:p>
    <w:p w14:paraId="2B25B4B8"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1. Introduction</w:t>
      </w:r>
    </w:p>
    <w:p w14:paraId="6092D09B"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2. Bupa UK Appraisal Using SWOT</w:t>
      </w:r>
    </w:p>
    <w:p w14:paraId="7B59BB5F"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Strengths</w:t>
      </w:r>
    </w:p>
    <w:p w14:paraId="3C762F63"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Weaknesses</w:t>
      </w:r>
    </w:p>
    <w:p w14:paraId="1D04B6D1"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Opportunities</w:t>
      </w:r>
    </w:p>
    <w:p w14:paraId="58E63F33"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Threats</w:t>
      </w:r>
    </w:p>
    <w:p w14:paraId="1413681D"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3. Key Internal and External Stakeholders</w:t>
      </w:r>
    </w:p>
    <w:p w14:paraId="478DD92E"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4. Stakeholders’ Roles, Responsibilities, Benefits, and Challenges</w:t>
      </w:r>
    </w:p>
    <w:p w14:paraId="27D19FD7"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Internal Stakeholders</w:t>
      </w:r>
    </w:p>
    <w:p w14:paraId="2FEDC4B0"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External Stakeholders</w:t>
      </w:r>
    </w:p>
    <w:p w14:paraId="4F9F55A6"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5. Frameworks, Models and Theories for Stakeholder Engagement</w:t>
      </w:r>
    </w:p>
    <w:p w14:paraId="2EA5A69C"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Stakeholder Matrix</w:t>
      </w:r>
    </w:p>
    <w:p w14:paraId="23F57854"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Engagement Plan</w:t>
      </w:r>
    </w:p>
    <w:p w14:paraId="1B15F733"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Communication Plan</w:t>
      </w:r>
    </w:p>
    <w:p w14:paraId="34B91A59"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RACI Matrix</w:t>
      </w:r>
    </w:p>
    <w:p w14:paraId="3C34925D"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6. Stakeholder Engagement and Conflict Management Using the 4C’s Model</w:t>
      </w:r>
    </w:p>
    <w:p w14:paraId="47DFBEF2"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Communication</w:t>
      </w:r>
    </w:p>
    <w:p w14:paraId="6DAD167D"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Coordination</w:t>
      </w:r>
    </w:p>
    <w:p w14:paraId="2444ABAE"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Cooperation</w:t>
      </w:r>
    </w:p>
    <w:p w14:paraId="797AE5D5"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Collaboration</w:t>
      </w:r>
    </w:p>
    <w:p w14:paraId="7AD02259"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7. Evaluation of Bupa’s Stakeholder Engagement and Recommendations for the Future</w:t>
      </w:r>
    </w:p>
    <w:p w14:paraId="1DC2A7D8"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Impact on Business Performance</w:t>
      </w:r>
    </w:p>
    <w:p w14:paraId="4FADD884"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Evaluation of Engagement</w:t>
      </w:r>
    </w:p>
    <w:p w14:paraId="5B5831FE"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 xml:space="preserve">   - Recommendations</w:t>
      </w:r>
    </w:p>
    <w:p w14:paraId="6182C8A5"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8. Conclusion</w:t>
      </w:r>
    </w:p>
    <w:p w14:paraId="715846F1" w14:textId="77777777" w:rsidR="00FB1507" w:rsidRPr="00A25019" w:rsidRDefault="00FB1507" w:rsidP="00FB1507">
      <w:pPr>
        <w:suppressAutoHyphens w:val="0"/>
        <w:autoSpaceDN/>
        <w:spacing w:after="200" w:line="240" w:lineRule="auto"/>
        <w:rPr>
          <w:rFonts w:ascii="Arial" w:eastAsia="MS Mincho" w:hAnsi="Arial" w:cs="Arial"/>
          <w:kern w:val="0"/>
          <w:sz w:val="24"/>
          <w:szCs w:val="24"/>
          <w:lang w:val="en-US"/>
        </w:rPr>
      </w:pPr>
      <w:r w:rsidRPr="00A25019">
        <w:rPr>
          <w:rFonts w:ascii="Arial" w:eastAsia="MS Mincho" w:hAnsi="Arial" w:cs="Arial"/>
          <w:kern w:val="0"/>
          <w:sz w:val="24"/>
          <w:szCs w:val="24"/>
          <w:lang w:val="en-US"/>
        </w:rPr>
        <w:t>9. References</w:t>
      </w:r>
    </w:p>
    <w:p w14:paraId="57F0BB18" w14:textId="442B9765" w:rsidR="00DF66F0" w:rsidRPr="00FB1507" w:rsidRDefault="00DF66F0" w:rsidP="00FB1507">
      <w:pPr>
        <w:spacing w:line="600" w:lineRule="auto"/>
        <w:jc w:val="both"/>
        <w:rPr>
          <w:rStyle w:val="hoverbg-blue-100"/>
          <w:rFonts w:ascii="Arial" w:hAnsi="Arial" w:cs="Arial"/>
          <w:color w:val="000000"/>
          <w:shd w:val="clear" w:color="auto" w:fill="DBEAFE"/>
        </w:rPr>
      </w:pPr>
    </w:p>
    <w:p w14:paraId="6179A860" w14:textId="77777777" w:rsidR="00DF66F0" w:rsidRDefault="00DF66F0" w:rsidP="00DF66F0">
      <w:pPr>
        <w:spacing w:line="360" w:lineRule="auto"/>
        <w:jc w:val="center"/>
        <w:rPr>
          <w:rStyle w:val="hoverbg-blue-100"/>
          <w:rFonts w:ascii="Arial" w:hAnsi="Arial" w:cs="Arial"/>
          <w:b/>
          <w:bCs/>
          <w:color w:val="000000"/>
          <w:sz w:val="24"/>
          <w:szCs w:val="24"/>
          <w:shd w:val="clear" w:color="auto" w:fill="DBEAFE"/>
        </w:rPr>
      </w:pPr>
    </w:p>
    <w:p w14:paraId="332573C3" w14:textId="77777777" w:rsidR="00DF66F0" w:rsidRDefault="00DF66F0" w:rsidP="00DF66F0">
      <w:pPr>
        <w:spacing w:line="360" w:lineRule="auto"/>
        <w:jc w:val="center"/>
        <w:rPr>
          <w:rStyle w:val="hoverbg-blue-100"/>
          <w:rFonts w:ascii="Arial" w:hAnsi="Arial" w:cs="Arial"/>
          <w:b/>
          <w:bCs/>
          <w:color w:val="000000"/>
          <w:sz w:val="24"/>
          <w:szCs w:val="24"/>
          <w:shd w:val="clear" w:color="auto" w:fill="DBEAFE"/>
        </w:rPr>
      </w:pPr>
    </w:p>
    <w:p w14:paraId="46A4E1A6" w14:textId="4B6E8C5B" w:rsidR="00DF66F0" w:rsidRDefault="00DF66F0" w:rsidP="00DF66F0">
      <w:pPr>
        <w:suppressAutoHyphens w:val="0"/>
        <w:rPr>
          <w:rStyle w:val="hoverbg-blue-100"/>
          <w:rFonts w:ascii="Arial" w:hAnsi="Arial" w:cs="Arial"/>
          <w:b/>
          <w:bCs/>
          <w:color w:val="000000"/>
          <w:sz w:val="24"/>
          <w:szCs w:val="24"/>
          <w:shd w:val="clear" w:color="auto" w:fill="DBEAFE"/>
        </w:rPr>
      </w:pPr>
    </w:p>
    <w:p w14:paraId="08A50212" w14:textId="6E4776C9" w:rsidR="001F2F98" w:rsidRPr="001F2F98" w:rsidRDefault="001F2F98" w:rsidP="001950E4">
      <w:pPr>
        <w:spacing w:line="360" w:lineRule="auto"/>
        <w:rPr>
          <w:rStyle w:val="hoverbg-blue-100"/>
          <w:rFonts w:ascii="Arial" w:hAnsi="Arial" w:cs="Arial"/>
          <w:b/>
          <w:bCs/>
          <w:color w:val="000000"/>
          <w:sz w:val="24"/>
          <w:szCs w:val="24"/>
          <w:shd w:val="clear" w:color="auto" w:fill="DBEAFE"/>
        </w:rPr>
      </w:pPr>
      <w:r w:rsidRPr="001F2F98">
        <w:rPr>
          <w:rStyle w:val="hoverbg-blue-100"/>
          <w:rFonts w:ascii="Arial" w:hAnsi="Arial" w:cs="Arial"/>
          <w:b/>
          <w:bCs/>
          <w:color w:val="000000"/>
          <w:sz w:val="24"/>
          <w:szCs w:val="24"/>
          <w:shd w:val="clear" w:color="auto" w:fill="DBEAFE"/>
        </w:rPr>
        <w:t xml:space="preserve">Introduction </w:t>
      </w:r>
    </w:p>
    <w:p w14:paraId="55D5B091" w14:textId="405B464E" w:rsidR="00314D22" w:rsidRPr="001950E4" w:rsidRDefault="00314D22" w:rsidP="001950E4">
      <w:pPr>
        <w:spacing w:line="360" w:lineRule="auto"/>
        <w:rPr>
          <w:rStyle w:val="hoverbg-blue-100"/>
          <w:rFonts w:ascii="Arial" w:hAnsi="Arial" w:cs="Arial"/>
          <w:color w:val="000000"/>
          <w:sz w:val="24"/>
          <w:szCs w:val="24"/>
          <w:shd w:val="clear" w:color="auto" w:fill="FFFFFF"/>
        </w:rPr>
      </w:pPr>
      <w:r w:rsidRPr="001950E4">
        <w:rPr>
          <w:rStyle w:val="hoverbg-blue-100"/>
          <w:rFonts w:ascii="Arial" w:hAnsi="Arial" w:cs="Arial"/>
          <w:color w:val="000000"/>
          <w:sz w:val="24"/>
          <w:szCs w:val="24"/>
          <w:shd w:val="clear" w:color="auto" w:fill="DBEAFE"/>
        </w:rPr>
        <w:t>In the context of a business or project, stakeholders are individuals, groups, or organisations that have an interest in or are affected by the outcome of a project. </w:t>
      </w:r>
      <w:r w:rsidRPr="001950E4">
        <w:rPr>
          <w:rStyle w:val="hoverbg-blue-100"/>
          <w:rFonts w:ascii="Arial" w:hAnsi="Arial" w:cs="Arial"/>
          <w:color w:val="000000"/>
          <w:sz w:val="24"/>
          <w:szCs w:val="24"/>
          <w:shd w:val="clear" w:color="auto" w:fill="FFFFFF"/>
        </w:rPr>
        <w:t>Stakeholders can influence decisions, provide resources, or determine the level of success of a new initiative</w:t>
      </w:r>
      <w:r w:rsidR="00FF69A0" w:rsidRPr="001950E4">
        <w:rPr>
          <w:rStyle w:val="hoverbg-blue-100"/>
          <w:rFonts w:ascii="Arial" w:hAnsi="Arial" w:cs="Arial"/>
          <w:color w:val="000000"/>
          <w:sz w:val="24"/>
          <w:szCs w:val="24"/>
          <w:shd w:val="clear" w:color="auto" w:fill="FFFFFF"/>
        </w:rPr>
        <w:t xml:space="preserve"> </w:t>
      </w:r>
      <w:r w:rsidR="00FF69A0" w:rsidRPr="001950E4">
        <w:rPr>
          <w:rFonts w:ascii="Arial" w:hAnsi="Arial" w:cs="Arial"/>
          <w:sz w:val="24"/>
          <w:szCs w:val="24"/>
        </w:rPr>
        <w:t>(Freeman, 2010)</w:t>
      </w:r>
      <w:r w:rsidR="00FF69A0" w:rsidRPr="001950E4">
        <w:rPr>
          <w:rStyle w:val="hoverbg-blue-100"/>
          <w:rFonts w:ascii="Arial" w:hAnsi="Arial" w:cs="Arial"/>
          <w:color w:val="000000"/>
          <w:sz w:val="24"/>
          <w:szCs w:val="24"/>
          <w:shd w:val="clear" w:color="auto" w:fill="FFFFFF"/>
        </w:rPr>
        <w:t xml:space="preserve">. </w:t>
      </w:r>
      <w:r w:rsidRPr="001950E4">
        <w:rPr>
          <w:rStyle w:val="hoverbg-blue-100"/>
          <w:rFonts w:ascii="Arial" w:hAnsi="Arial" w:cs="Arial"/>
          <w:color w:val="000000"/>
          <w:sz w:val="24"/>
          <w:szCs w:val="24"/>
          <w:shd w:val="clear" w:color="auto" w:fill="FFFFFF"/>
        </w:rPr>
        <w:t>In this project, stakeholders could include customers who will use the wearable device, healthcare professionals who may incorporate the data into treatment plans, regulators ensuring compliance, technology partners, shareholders, and employees involved in product development and marketing.</w:t>
      </w:r>
    </w:p>
    <w:bookmarkEnd w:id="0"/>
    <w:p w14:paraId="340F3AA0" w14:textId="793CA895" w:rsidR="001F2EB2" w:rsidRDefault="00000000" w:rsidP="001950E4">
      <w:pPr>
        <w:spacing w:line="360" w:lineRule="auto"/>
        <w:rPr>
          <w:rFonts w:ascii="Arial" w:hAnsi="Arial" w:cs="Arial"/>
          <w:sz w:val="24"/>
          <w:szCs w:val="24"/>
        </w:rPr>
      </w:pPr>
      <w:r w:rsidRPr="001950E4">
        <w:rPr>
          <w:rStyle w:val="hoverbg-blue-100"/>
          <w:rFonts w:ascii="Arial" w:hAnsi="Arial" w:cs="Arial"/>
          <w:color w:val="000000"/>
          <w:sz w:val="24"/>
          <w:szCs w:val="24"/>
          <w:shd w:val="clear" w:color="auto" w:fill="FFFFFF"/>
        </w:rPr>
        <w:t>Bupa UK is one of the largest health and care organisations in the United Kingdom, providing a wide range of medical, dental, and elderly care services. Founded in 1947, the company has a not-for-profit model, with all profits going back into improving healthcare services and fostering innovation</w:t>
      </w:r>
      <w:r w:rsidR="006C321D" w:rsidRPr="001950E4">
        <w:rPr>
          <w:rFonts w:ascii="Arial" w:hAnsi="Arial" w:cs="Arial"/>
          <w:sz w:val="24"/>
          <w:szCs w:val="24"/>
        </w:rPr>
        <w:t xml:space="preserve"> (Bupa, 2024)</w:t>
      </w:r>
      <w:r w:rsidRPr="001950E4">
        <w:rPr>
          <w:rStyle w:val="hoverbg-blue-100"/>
          <w:rFonts w:ascii="Arial" w:hAnsi="Arial" w:cs="Arial"/>
          <w:color w:val="000000"/>
          <w:sz w:val="24"/>
          <w:szCs w:val="24"/>
          <w:shd w:val="clear" w:color="auto" w:fill="FFFFFF"/>
        </w:rPr>
        <w:t>. </w:t>
      </w:r>
      <w:r w:rsidR="00E53B0C" w:rsidRPr="001950E4">
        <w:rPr>
          <w:rStyle w:val="hoverbg-blue-100"/>
          <w:rFonts w:ascii="Arial" w:hAnsi="Arial" w:cs="Arial"/>
          <w:color w:val="000000"/>
          <w:sz w:val="24"/>
          <w:szCs w:val="24"/>
          <w:shd w:val="clear" w:color="auto" w:fill="FFFFFF"/>
        </w:rPr>
        <w:t>“</w:t>
      </w:r>
      <w:r w:rsidRPr="001950E4">
        <w:rPr>
          <w:rStyle w:val="hoverbg-blue-100"/>
          <w:rFonts w:ascii="Arial" w:hAnsi="Arial" w:cs="Arial"/>
          <w:color w:val="000000"/>
          <w:sz w:val="24"/>
          <w:szCs w:val="24"/>
          <w:shd w:val="clear" w:color="auto" w:fill="FFFFFF"/>
        </w:rPr>
        <w:t>Bupa serves over 43 million customers worldwide and has a significant presence in the UK</w:t>
      </w:r>
      <w:r w:rsidR="00943B44" w:rsidRPr="001950E4">
        <w:rPr>
          <w:rStyle w:val="hoverbg-blue-100"/>
          <w:rFonts w:ascii="Arial" w:hAnsi="Arial" w:cs="Arial"/>
          <w:color w:val="000000"/>
          <w:sz w:val="24"/>
          <w:szCs w:val="24"/>
          <w:shd w:val="clear" w:color="auto" w:fill="FFFFFF"/>
        </w:rPr>
        <w:t>”</w:t>
      </w:r>
      <w:r w:rsidRPr="001950E4">
        <w:rPr>
          <w:rStyle w:val="hoverbg-blue-100"/>
          <w:rFonts w:ascii="Arial" w:hAnsi="Arial" w:cs="Arial"/>
          <w:color w:val="000000"/>
          <w:sz w:val="24"/>
          <w:szCs w:val="24"/>
          <w:shd w:val="clear" w:color="auto" w:fill="FFFFFF"/>
        </w:rPr>
        <w:t xml:space="preserve"> </w:t>
      </w:r>
      <w:r w:rsidR="00943B44" w:rsidRPr="001950E4">
        <w:rPr>
          <w:rFonts w:ascii="Arial" w:hAnsi="Arial" w:cs="Arial"/>
          <w:sz w:val="24"/>
          <w:szCs w:val="24"/>
        </w:rPr>
        <w:t>(Mintel, 2023</w:t>
      </w:r>
      <w:proofErr w:type="gramStart"/>
      <w:r w:rsidR="00943B44" w:rsidRPr="001950E4">
        <w:rPr>
          <w:rFonts w:ascii="Arial" w:hAnsi="Arial" w:cs="Arial"/>
          <w:sz w:val="24"/>
          <w:szCs w:val="24"/>
        </w:rPr>
        <w:t>),</w:t>
      </w:r>
      <w:r w:rsidRPr="001950E4">
        <w:rPr>
          <w:rStyle w:val="hoverbg-blue-100"/>
          <w:rFonts w:ascii="Arial" w:hAnsi="Arial" w:cs="Arial"/>
          <w:color w:val="000000"/>
          <w:sz w:val="24"/>
          <w:szCs w:val="24"/>
          <w:shd w:val="clear" w:color="auto" w:fill="FFFFFF"/>
        </w:rPr>
        <w:t>recognised</w:t>
      </w:r>
      <w:proofErr w:type="gramEnd"/>
      <w:r w:rsidRPr="001950E4">
        <w:rPr>
          <w:rStyle w:val="hoverbg-blue-100"/>
          <w:rFonts w:ascii="Arial" w:hAnsi="Arial" w:cs="Arial"/>
          <w:color w:val="000000"/>
          <w:sz w:val="24"/>
          <w:szCs w:val="24"/>
          <w:shd w:val="clear" w:color="auto" w:fill="FFFFFF"/>
        </w:rPr>
        <w:t xml:space="preserve"> for its efforts in improving health outcomes </w:t>
      </w:r>
      <w:r w:rsidR="001F2EB2">
        <w:rPr>
          <w:rStyle w:val="hoverbg-blue-100"/>
          <w:rFonts w:ascii="Arial" w:hAnsi="Arial" w:cs="Arial"/>
          <w:color w:val="000000"/>
          <w:sz w:val="24"/>
          <w:szCs w:val="24"/>
          <w:shd w:val="clear" w:color="auto" w:fill="FFFFFF"/>
        </w:rPr>
        <w:t>(refer fig 1</w:t>
      </w:r>
      <w:proofErr w:type="gramStart"/>
      <w:r w:rsidR="001F2EB2">
        <w:rPr>
          <w:rStyle w:val="hoverbg-blue-100"/>
          <w:rFonts w:ascii="Arial" w:hAnsi="Arial" w:cs="Arial"/>
          <w:color w:val="000000"/>
          <w:sz w:val="24"/>
          <w:szCs w:val="24"/>
          <w:shd w:val="clear" w:color="auto" w:fill="FFFFFF"/>
        </w:rPr>
        <w:t xml:space="preserve">)  </w:t>
      </w:r>
      <w:r w:rsidRPr="001950E4">
        <w:rPr>
          <w:rStyle w:val="hoverbg-blue-100"/>
          <w:rFonts w:ascii="Arial" w:hAnsi="Arial" w:cs="Arial"/>
          <w:color w:val="000000"/>
          <w:sz w:val="24"/>
          <w:szCs w:val="24"/>
          <w:shd w:val="clear" w:color="auto" w:fill="FFFFFF"/>
        </w:rPr>
        <w:t>through</w:t>
      </w:r>
      <w:proofErr w:type="gramEnd"/>
      <w:r w:rsidRPr="001950E4">
        <w:rPr>
          <w:rStyle w:val="hoverbg-blue-100"/>
          <w:rFonts w:ascii="Arial" w:hAnsi="Arial" w:cs="Arial"/>
          <w:color w:val="000000"/>
          <w:sz w:val="24"/>
          <w:szCs w:val="24"/>
          <w:shd w:val="clear" w:color="auto" w:fill="FFFFFF"/>
        </w:rPr>
        <w:t xml:space="preserve"> cutting</w:t>
      </w:r>
      <w:r w:rsidR="00E648FF" w:rsidRPr="001950E4">
        <w:rPr>
          <w:rStyle w:val="hoverbg-blue-100"/>
          <w:rFonts w:ascii="Arial" w:hAnsi="Arial" w:cs="Arial"/>
          <w:color w:val="000000"/>
          <w:sz w:val="24"/>
          <w:szCs w:val="24"/>
          <w:shd w:val="clear" w:color="auto" w:fill="FFFFFF"/>
        </w:rPr>
        <w:t xml:space="preserve"> </w:t>
      </w:r>
      <w:r w:rsidRPr="001950E4">
        <w:rPr>
          <w:rStyle w:val="hoverbg-blue-100"/>
          <w:rFonts w:ascii="Arial" w:hAnsi="Arial" w:cs="Arial"/>
          <w:color w:val="000000"/>
          <w:sz w:val="24"/>
          <w:szCs w:val="24"/>
          <w:shd w:val="clear" w:color="auto" w:fill="FFFFFF"/>
        </w:rPr>
        <w:t>edge technology, personalised care, and preventive health solutions</w:t>
      </w:r>
      <w:r w:rsidR="00943B44" w:rsidRPr="001950E4">
        <w:rPr>
          <w:rFonts w:ascii="Arial" w:hAnsi="Arial" w:cs="Arial"/>
          <w:sz w:val="24"/>
          <w:szCs w:val="24"/>
        </w:rPr>
        <w:t>.</w:t>
      </w:r>
      <w:r w:rsidRPr="001950E4">
        <w:rPr>
          <w:rFonts w:ascii="Arial" w:hAnsi="Arial" w:cs="Arial"/>
          <w:color w:val="000000"/>
          <w:sz w:val="24"/>
          <w:szCs w:val="24"/>
        </w:rPr>
        <w:br/>
      </w:r>
      <w:r w:rsidR="00314D22" w:rsidRPr="001950E4">
        <w:rPr>
          <w:rFonts w:ascii="Arial" w:hAnsi="Arial" w:cs="Arial"/>
          <w:noProof/>
          <w:color w:val="000000"/>
          <w:sz w:val="24"/>
          <w:szCs w:val="24"/>
        </w:rPr>
        <w:drawing>
          <wp:inline distT="0" distB="0" distL="0" distR="0" wp14:anchorId="51E2C2F9" wp14:editId="47187995">
            <wp:extent cx="5731510" cy="1846580"/>
            <wp:effectExtent l="0" t="0" r="2540" b="1270"/>
            <wp:docPr id="18164965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496501" name="Picture 1" descr="A screenshot of a computer&#10;&#10;AI-generated content may be incorrect."/>
                    <pic:cNvPicPr/>
                  </pic:nvPicPr>
                  <pic:blipFill>
                    <a:blip r:embed="rId9"/>
                    <a:stretch>
                      <a:fillRect/>
                    </a:stretch>
                  </pic:blipFill>
                  <pic:spPr>
                    <a:xfrm>
                      <a:off x="0" y="0"/>
                      <a:ext cx="5731510" cy="1846580"/>
                    </a:xfrm>
                    <a:prstGeom prst="rect">
                      <a:avLst/>
                    </a:prstGeom>
                  </pic:spPr>
                </pic:pic>
              </a:graphicData>
            </a:graphic>
          </wp:inline>
        </w:drawing>
      </w:r>
    </w:p>
    <w:p w14:paraId="23A2BDBD" w14:textId="030AC3C4" w:rsidR="00DC1F83" w:rsidRPr="001950E4" w:rsidRDefault="001F2EB2" w:rsidP="001950E4">
      <w:pPr>
        <w:spacing w:line="360" w:lineRule="auto"/>
        <w:rPr>
          <w:rStyle w:val="hoverbg-blue-100"/>
          <w:rFonts w:ascii="Arial" w:hAnsi="Arial" w:cs="Arial"/>
          <w:color w:val="000000"/>
          <w:sz w:val="24"/>
          <w:szCs w:val="24"/>
          <w:shd w:val="clear" w:color="auto" w:fill="FFFFFF"/>
        </w:rPr>
      </w:pPr>
      <w:r>
        <w:rPr>
          <w:rFonts w:ascii="Arial" w:hAnsi="Arial" w:cs="Arial"/>
          <w:sz w:val="24"/>
          <w:szCs w:val="24"/>
        </w:rPr>
        <w:t>Figure 1. Revenue</w:t>
      </w:r>
      <w:r w:rsidRPr="001950E4">
        <w:rPr>
          <w:rFonts w:ascii="Arial" w:hAnsi="Arial" w:cs="Arial"/>
          <w:color w:val="000000"/>
          <w:sz w:val="24"/>
          <w:szCs w:val="24"/>
        </w:rPr>
        <w:br/>
      </w:r>
      <w:r w:rsidRPr="001950E4">
        <w:rPr>
          <w:rStyle w:val="hoverbg-blue-100"/>
          <w:rFonts w:ascii="Arial" w:hAnsi="Arial" w:cs="Arial"/>
          <w:color w:val="000000"/>
          <w:sz w:val="24"/>
          <w:szCs w:val="24"/>
          <w:shd w:val="clear" w:color="auto" w:fill="FFFFFF"/>
        </w:rPr>
        <w:t xml:space="preserve">Engaging with stakeholders effectively is important for the success of any project, as their support, expertise, and feedback can contribute to the success and mitigate risks. In the context of the upcoming wearable device project, this presents an </w:t>
      </w:r>
      <w:r w:rsidRPr="001950E4">
        <w:rPr>
          <w:rStyle w:val="hoverbg-blue-100"/>
          <w:rFonts w:ascii="Arial" w:hAnsi="Arial" w:cs="Arial"/>
          <w:color w:val="000000"/>
          <w:sz w:val="24"/>
          <w:szCs w:val="24"/>
          <w:shd w:val="clear" w:color="auto" w:fill="FFFFFF"/>
        </w:rPr>
        <w:lastRenderedPageBreak/>
        <w:t>opportunity for Bupa to strengthen stakeholder engagement while expanding its digital health portfolio.</w:t>
      </w:r>
    </w:p>
    <w:p w14:paraId="73B30061" w14:textId="7BFD9225" w:rsidR="00605124" w:rsidRDefault="00765581" w:rsidP="001950E4">
      <w:pPr>
        <w:spacing w:line="360" w:lineRule="auto"/>
        <w:rPr>
          <w:rStyle w:val="hoverbg-blue-100"/>
          <w:rFonts w:ascii="Arial" w:hAnsi="Arial" w:cs="Arial"/>
          <w:color w:val="000000"/>
          <w:sz w:val="24"/>
          <w:szCs w:val="24"/>
          <w:bdr w:val="single" w:sz="2" w:space="0" w:color="E5E7EB" w:frame="1"/>
          <w:shd w:val="clear" w:color="auto" w:fill="FFFFFF"/>
        </w:rPr>
      </w:pPr>
      <w:r w:rsidRPr="001950E4">
        <w:rPr>
          <w:rStyle w:val="text-black"/>
          <w:rFonts w:ascii="Arial" w:hAnsi="Arial" w:cs="Arial"/>
          <w:b/>
          <w:bCs/>
          <w:color w:val="000000"/>
          <w:sz w:val="24"/>
          <w:szCs w:val="24"/>
          <w:bdr w:val="single" w:sz="2" w:space="0" w:color="E5E7EB" w:frame="1"/>
          <w:shd w:val="clear" w:color="auto" w:fill="FFFFFF"/>
        </w:rPr>
        <w:t>Bupa UK Appraisal Using SWOT</w:t>
      </w:r>
      <w:r w:rsidRPr="001950E4">
        <w:rPr>
          <w:rFonts w:ascii="Arial" w:hAnsi="Arial" w:cs="Arial"/>
          <w:color w:val="000000"/>
          <w:sz w:val="24"/>
          <w:szCs w:val="24"/>
        </w:rPr>
        <w:br/>
      </w:r>
      <w:r w:rsidRPr="001950E4">
        <w:rPr>
          <w:rStyle w:val="hoverbg-blue-100"/>
          <w:rFonts w:ascii="Arial" w:hAnsi="Arial" w:cs="Arial"/>
          <w:color w:val="000000"/>
          <w:sz w:val="24"/>
          <w:szCs w:val="24"/>
          <w:bdr w:val="single" w:sz="2" w:space="0" w:color="E5E7EB" w:frame="1"/>
          <w:shd w:val="clear" w:color="auto" w:fill="FFFFFF"/>
        </w:rPr>
        <w:t xml:space="preserve">A strategic appraisal of an organisation is essential for the evaluation of the internal and external factors that may impact the performance and the strategic plans of the organisation. One of the most well-known models for conducting such an appraisal is known as a SWOT analysis. SWOT analysis allows an organisation to identify its Strengths, Weaknesses, Opportunities and Threats (Gürel and Tat, 2017). This is the model </w:t>
      </w:r>
      <w:r w:rsidR="001F2EB2">
        <w:rPr>
          <w:rStyle w:val="hoverbg-blue-100"/>
          <w:rFonts w:ascii="Arial" w:hAnsi="Arial" w:cs="Arial"/>
          <w:color w:val="000000"/>
          <w:sz w:val="24"/>
          <w:szCs w:val="24"/>
          <w:bdr w:val="single" w:sz="2" w:space="0" w:color="E5E7EB" w:frame="1"/>
          <w:shd w:val="clear" w:color="auto" w:fill="FFFFFF"/>
        </w:rPr>
        <w:t xml:space="preserve">(refer fig 2) </w:t>
      </w:r>
      <w:r w:rsidRPr="001950E4">
        <w:rPr>
          <w:rStyle w:val="hoverbg-blue-100"/>
          <w:rFonts w:ascii="Arial" w:hAnsi="Arial" w:cs="Arial"/>
          <w:color w:val="000000"/>
          <w:sz w:val="24"/>
          <w:szCs w:val="24"/>
          <w:bdr w:val="single" w:sz="2" w:space="0" w:color="E5E7EB" w:frame="1"/>
          <w:shd w:val="clear" w:color="auto" w:fill="FFFFFF"/>
        </w:rPr>
        <w:t>that will be used in this paper to appraise Bupa UK for its readiness to launch the new wearable health device.</w:t>
      </w:r>
    </w:p>
    <w:p w14:paraId="09F15F29" w14:textId="77777777" w:rsidR="001F2EB2" w:rsidRDefault="00C15D84" w:rsidP="001950E4">
      <w:pPr>
        <w:spacing w:line="360" w:lineRule="auto"/>
        <w:rPr>
          <w:rStyle w:val="text-black"/>
          <w:rFonts w:ascii="Arial" w:hAnsi="Arial" w:cs="Arial"/>
          <w:b/>
          <w:bCs/>
          <w:color w:val="000000"/>
          <w:sz w:val="24"/>
          <w:szCs w:val="24"/>
          <w:bdr w:val="single" w:sz="2" w:space="0" w:color="E5E7EB" w:frame="1"/>
          <w:shd w:val="clear" w:color="auto" w:fill="FFFFFF"/>
        </w:rPr>
      </w:pPr>
      <w:r>
        <w:rPr>
          <w:rFonts w:ascii="Arial" w:hAnsi="Arial" w:cs="Arial"/>
          <w:noProof/>
          <w:color w:val="000000"/>
          <w:sz w:val="24"/>
          <w:szCs w:val="24"/>
        </w:rPr>
        <w:drawing>
          <wp:inline distT="0" distB="0" distL="0" distR="0" wp14:anchorId="56C6BC72" wp14:editId="455235D0">
            <wp:extent cx="5669280" cy="4091940"/>
            <wp:effectExtent l="0" t="0" r="7620" b="3810"/>
            <wp:docPr id="747646927"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646927" name="Picture 1" descr="A diagram of a busines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669777" cy="4092299"/>
                    </a:xfrm>
                    <a:prstGeom prst="rect">
                      <a:avLst/>
                    </a:prstGeom>
                  </pic:spPr>
                </pic:pic>
              </a:graphicData>
            </a:graphic>
          </wp:inline>
        </w:drawing>
      </w:r>
    </w:p>
    <w:p w14:paraId="7852E95E" w14:textId="091A06C8" w:rsidR="00765581" w:rsidRPr="00A25019" w:rsidRDefault="001F2EB2" w:rsidP="001950E4">
      <w:pPr>
        <w:spacing w:line="360" w:lineRule="auto"/>
        <w:rPr>
          <w:rStyle w:val="hoverbg-blue-100"/>
          <w:rFonts w:ascii="Arial" w:hAnsi="Arial" w:cs="Arial"/>
          <w:color w:val="000000"/>
          <w:sz w:val="24"/>
          <w:szCs w:val="24"/>
          <w:bdr w:val="single" w:sz="2" w:space="0" w:color="E5E7EB" w:frame="1"/>
          <w:shd w:val="clear" w:color="auto" w:fill="FFFFFF"/>
        </w:rPr>
      </w:pPr>
      <w:r w:rsidRPr="00A25019">
        <w:rPr>
          <w:rStyle w:val="text-black"/>
          <w:rFonts w:ascii="Arial" w:hAnsi="Arial" w:cs="Arial"/>
          <w:color w:val="000000"/>
          <w:sz w:val="24"/>
          <w:szCs w:val="24"/>
          <w:bdr w:val="single" w:sz="2" w:space="0" w:color="E5E7EB" w:frame="1"/>
          <w:shd w:val="clear" w:color="auto" w:fill="FFFFFF"/>
        </w:rPr>
        <w:t>Fig 2. SWOT</w:t>
      </w:r>
      <w:r w:rsidR="00765581" w:rsidRPr="00A25019">
        <w:rPr>
          <w:rFonts w:ascii="Arial" w:hAnsi="Arial" w:cs="Arial"/>
          <w:color w:val="000000"/>
          <w:sz w:val="24"/>
          <w:szCs w:val="24"/>
        </w:rPr>
        <w:br/>
      </w:r>
      <w:r w:rsidR="00765581" w:rsidRPr="00A25019">
        <w:rPr>
          <w:rStyle w:val="text-black"/>
          <w:rFonts w:ascii="Arial" w:hAnsi="Arial" w:cs="Arial"/>
          <w:b/>
          <w:bCs/>
          <w:color w:val="000000"/>
          <w:sz w:val="24"/>
          <w:szCs w:val="24"/>
          <w:bdr w:val="single" w:sz="2" w:space="0" w:color="E5E7EB" w:frame="1"/>
          <w:shd w:val="clear" w:color="auto" w:fill="FFFFFF"/>
        </w:rPr>
        <w:t>Strengths</w:t>
      </w:r>
      <w:r w:rsidR="00765581" w:rsidRPr="00A25019">
        <w:rPr>
          <w:rFonts w:ascii="Arial" w:hAnsi="Arial" w:cs="Arial"/>
          <w:color w:val="000000"/>
          <w:sz w:val="24"/>
          <w:szCs w:val="24"/>
        </w:rPr>
        <w:br/>
      </w:r>
      <w:r w:rsidR="00765581" w:rsidRPr="00A25019">
        <w:rPr>
          <w:rStyle w:val="hoverbg-blue-100"/>
          <w:rFonts w:ascii="Arial" w:hAnsi="Arial" w:cs="Arial"/>
          <w:color w:val="000000"/>
          <w:sz w:val="24"/>
          <w:szCs w:val="24"/>
          <w:bdr w:val="single" w:sz="2" w:space="0" w:color="E5E7EB" w:frame="1"/>
          <w:shd w:val="clear" w:color="auto" w:fill="FFFFFF"/>
        </w:rPr>
        <w:t xml:space="preserve">The first strength of the organisation is its long history of providing high quality of care to its customers and its not-for-profit status. These characteristics enable Bupa UK to be able to “reinvest any profits we make into innovation, patient services and digital transformation” (Bupa, 2024). This builds trust between its customers and its </w:t>
      </w:r>
      <w:r w:rsidR="00765581" w:rsidRPr="00A25019">
        <w:rPr>
          <w:rStyle w:val="hoverbg-blue-100"/>
          <w:rFonts w:ascii="Arial" w:hAnsi="Arial" w:cs="Arial"/>
          <w:color w:val="000000"/>
          <w:sz w:val="24"/>
          <w:szCs w:val="24"/>
          <w:bdr w:val="single" w:sz="2" w:space="0" w:color="E5E7EB" w:frame="1"/>
          <w:shd w:val="clear" w:color="auto" w:fill="FFFFFF"/>
        </w:rPr>
        <w:lastRenderedPageBreak/>
        <w:t>partners and allows the company to develop and maintain high equity and brand recognition. The second advantage of the company is its existing customer base of more than “43 million customers worldwide” (Bupa, 2024). This means that the organisation already has a customer base which it can expand through digital products and services such as the new wearable health product. The integration of healthcare and insurance services is a core strength of the company, which allows it to provide an all-round service in terms of prevention, monitoring and treatment (Mintel, 2023). This can be combined with the provision of digital health devices such as the wearables to create a holistic service in terms of health management. The investment that the company makes in terms of technologies and data-driven healthcare means that it is in line with its strategy of providing “personalised and preventive” health management (Mintel, 2023).</w:t>
      </w:r>
      <w:r w:rsidR="00765581" w:rsidRPr="00A25019">
        <w:rPr>
          <w:rFonts w:ascii="Arial" w:hAnsi="Arial" w:cs="Arial"/>
          <w:color w:val="000000"/>
          <w:sz w:val="24"/>
          <w:szCs w:val="24"/>
        </w:rPr>
        <w:br/>
      </w:r>
      <w:r w:rsidR="00765581" w:rsidRPr="00A25019">
        <w:rPr>
          <w:rStyle w:val="text-black"/>
          <w:rFonts w:ascii="Arial" w:hAnsi="Arial" w:cs="Arial"/>
          <w:b/>
          <w:bCs/>
          <w:color w:val="000000"/>
          <w:sz w:val="24"/>
          <w:szCs w:val="24"/>
          <w:bdr w:val="single" w:sz="2" w:space="0" w:color="E5E7EB" w:frame="1"/>
          <w:shd w:val="clear" w:color="auto" w:fill="FFFFFF"/>
        </w:rPr>
        <w:t>Weaknesses</w:t>
      </w:r>
      <w:r w:rsidR="00765581" w:rsidRPr="00A25019">
        <w:rPr>
          <w:rFonts w:ascii="Arial" w:hAnsi="Arial" w:cs="Arial"/>
          <w:color w:val="000000"/>
          <w:sz w:val="24"/>
          <w:szCs w:val="24"/>
        </w:rPr>
        <w:br/>
      </w:r>
      <w:r w:rsidR="00765581" w:rsidRPr="00A25019">
        <w:rPr>
          <w:rStyle w:val="hoverbg-blue-100"/>
          <w:rFonts w:ascii="Arial" w:hAnsi="Arial" w:cs="Arial"/>
          <w:color w:val="000000"/>
          <w:sz w:val="24"/>
          <w:szCs w:val="24"/>
          <w:bdr w:val="single" w:sz="2" w:space="0" w:color="E5E7EB" w:frame="1"/>
          <w:shd w:val="clear" w:color="auto" w:fill="FFFFFF"/>
        </w:rPr>
        <w:t>One of the major internal weaknesses is its complex structure, which may lead to slower decision-making processes and innovation adoption in comparison with smaller start-up companies</w:t>
      </w:r>
      <w:r w:rsidR="00BC60BD" w:rsidRPr="00A25019">
        <w:rPr>
          <w:rStyle w:val="hoverbg-blue-100"/>
          <w:rFonts w:ascii="Arial" w:hAnsi="Arial" w:cs="Arial"/>
          <w:color w:val="000000"/>
          <w:sz w:val="24"/>
          <w:szCs w:val="24"/>
          <w:bdr w:val="single" w:sz="2" w:space="0" w:color="E5E7EB" w:frame="1"/>
          <w:shd w:val="clear" w:color="auto" w:fill="FFFFFF"/>
        </w:rPr>
        <w:t>(Porter,2008)</w:t>
      </w:r>
      <w:r w:rsidR="00765581" w:rsidRPr="00A25019">
        <w:rPr>
          <w:rStyle w:val="hoverbg-blue-100"/>
          <w:rFonts w:ascii="Arial" w:hAnsi="Arial" w:cs="Arial"/>
          <w:color w:val="000000"/>
          <w:sz w:val="24"/>
          <w:szCs w:val="24"/>
          <w:bdr w:val="single" w:sz="2" w:space="0" w:color="E5E7EB" w:frame="1"/>
          <w:shd w:val="clear" w:color="auto" w:fill="FFFFFF"/>
        </w:rPr>
        <w:t>. The reputation of the company is mostly based on healthcare rather than technology which may have an impact on its ability to be a trusted provider of the new digital product in the wearable health device sector. The third issue that could be of importance to the company is the data management issues that may arise. The volume of data that the company will have to collect and store from the users of these devices may increase the risk of cybersecurity breaches, increase the organisational risk and cause the company to invest a significant amount of time and money into IT infrastructure and ensuring compliance.</w:t>
      </w:r>
      <w:r w:rsidR="00765581" w:rsidRPr="00A25019">
        <w:rPr>
          <w:rFonts w:ascii="Arial" w:hAnsi="Arial" w:cs="Arial"/>
          <w:color w:val="000000"/>
          <w:sz w:val="24"/>
          <w:szCs w:val="24"/>
        </w:rPr>
        <w:br/>
      </w:r>
      <w:r w:rsidR="00765581" w:rsidRPr="00A25019">
        <w:rPr>
          <w:rStyle w:val="text-black"/>
          <w:rFonts w:ascii="Arial" w:hAnsi="Arial" w:cs="Arial"/>
          <w:b/>
          <w:bCs/>
          <w:color w:val="000000"/>
          <w:sz w:val="24"/>
          <w:szCs w:val="24"/>
          <w:bdr w:val="single" w:sz="2" w:space="0" w:color="E5E7EB" w:frame="1"/>
          <w:shd w:val="clear" w:color="auto" w:fill="FFFFFF"/>
        </w:rPr>
        <w:t>Opportunities</w:t>
      </w:r>
      <w:r w:rsidR="00765581" w:rsidRPr="00A25019">
        <w:rPr>
          <w:rFonts w:ascii="Arial" w:hAnsi="Arial" w:cs="Arial"/>
          <w:color w:val="000000"/>
          <w:sz w:val="24"/>
          <w:szCs w:val="24"/>
        </w:rPr>
        <w:br/>
      </w:r>
      <w:r w:rsidR="00765581" w:rsidRPr="00A25019">
        <w:rPr>
          <w:rStyle w:val="hoverbg-blue-100"/>
          <w:rFonts w:ascii="Arial" w:hAnsi="Arial" w:cs="Arial"/>
          <w:color w:val="000000"/>
          <w:sz w:val="24"/>
          <w:szCs w:val="24"/>
          <w:bdr w:val="single" w:sz="2" w:space="0" w:color="E5E7EB" w:frame="1"/>
          <w:shd w:val="clear" w:color="auto" w:fill="FFFFFF"/>
        </w:rPr>
        <w:t xml:space="preserve">There are several opportunities in the external environment that Bupa can use to further strengthen its market position. The global demand for wearable health technology and remote health monitoring solutions is growing (Statista, 2024). The focus on preventive health and personal tracking devices after the pandemic has become a consumer trend and provides an opportunity for the company to introduce its new product into the market. Collaboration with technology companies is another opportunity that the company could utilise </w:t>
      </w:r>
      <w:proofErr w:type="gramStart"/>
      <w:r w:rsidR="00765581" w:rsidRPr="00A25019">
        <w:rPr>
          <w:rStyle w:val="hoverbg-blue-100"/>
          <w:rFonts w:ascii="Arial" w:hAnsi="Arial" w:cs="Arial"/>
          <w:color w:val="000000"/>
          <w:sz w:val="24"/>
          <w:szCs w:val="24"/>
          <w:bdr w:val="single" w:sz="2" w:space="0" w:color="E5E7EB" w:frame="1"/>
          <w:shd w:val="clear" w:color="auto" w:fill="FFFFFF"/>
        </w:rPr>
        <w:t>in order to</w:t>
      </w:r>
      <w:proofErr w:type="gramEnd"/>
      <w:r w:rsidR="00765581" w:rsidRPr="00A25019">
        <w:rPr>
          <w:rStyle w:val="hoverbg-blue-100"/>
          <w:rFonts w:ascii="Arial" w:hAnsi="Arial" w:cs="Arial"/>
          <w:color w:val="000000"/>
          <w:sz w:val="24"/>
          <w:szCs w:val="24"/>
          <w:bdr w:val="single" w:sz="2" w:space="0" w:color="E5E7EB" w:frame="1"/>
          <w:shd w:val="clear" w:color="auto" w:fill="FFFFFF"/>
        </w:rPr>
        <w:t xml:space="preserve"> increase its digital offering and </w:t>
      </w:r>
      <w:r w:rsidR="00765581" w:rsidRPr="00A25019">
        <w:rPr>
          <w:rStyle w:val="hoverbg-blue-100"/>
          <w:rFonts w:ascii="Arial" w:hAnsi="Arial" w:cs="Arial"/>
          <w:color w:val="000000"/>
          <w:sz w:val="24"/>
          <w:szCs w:val="24"/>
          <w:bdr w:val="single" w:sz="2" w:space="0" w:color="E5E7EB" w:frame="1"/>
          <w:shd w:val="clear" w:color="auto" w:fill="FFFFFF"/>
        </w:rPr>
        <w:lastRenderedPageBreak/>
        <w:t xml:space="preserve">its pipeline for innovation and new products. There are also opportunities for partnerships with NHS and other healthcare service providers to leverage the collected data from these wearables and other digital products </w:t>
      </w:r>
      <w:proofErr w:type="gramStart"/>
      <w:r w:rsidR="00765581" w:rsidRPr="00A25019">
        <w:rPr>
          <w:rStyle w:val="hoverbg-blue-100"/>
          <w:rFonts w:ascii="Arial" w:hAnsi="Arial" w:cs="Arial"/>
          <w:color w:val="000000"/>
          <w:sz w:val="24"/>
          <w:szCs w:val="24"/>
          <w:bdr w:val="single" w:sz="2" w:space="0" w:color="E5E7EB" w:frame="1"/>
          <w:shd w:val="clear" w:color="auto" w:fill="FFFFFF"/>
        </w:rPr>
        <w:t>in order to</w:t>
      </w:r>
      <w:proofErr w:type="gramEnd"/>
      <w:r w:rsidR="00765581" w:rsidRPr="00A25019">
        <w:rPr>
          <w:rStyle w:val="hoverbg-blue-100"/>
          <w:rFonts w:ascii="Arial" w:hAnsi="Arial" w:cs="Arial"/>
          <w:color w:val="000000"/>
          <w:sz w:val="24"/>
          <w:szCs w:val="24"/>
          <w:bdr w:val="single" w:sz="2" w:space="0" w:color="E5E7EB" w:frame="1"/>
          <w:shd w:val="clear" w:color="auto" w:fill="FFFFFF"/>
        </w:rPr>
        <w:t xml:space="preserve"> improve patient outcomes and the efficiency of these organisations.</w:t>
      </w:r>
      <w:r w:rsidR="00765581" w:rsidRPr="00A25019">
        <w:rPr>
          <w:rFonts w:ascii="Arial" w:hAnsi="Arial" w:cs="Arial"/>
          <w:color w:val="000000"/>
          <w:sz w:val="24"/>
          <w:szCs w:val="24"/>
        </w:rPr>
        <w:br/>
      </w:r>
      <w:r w:rsidR="00765581" w:rsidRPr="00A25019">
        <w:rPr>
          <w:rStyle w:val="text-black"/>
          <w:rFonts w:ascii="Arial" w:hAnsi="Arial" w:cs="Arial"/>
          <w:b/>
          <w:bCs/>
          <w:color w:val="000000"/>
          <w:sz w:val="24"/>
          <w:szCs w:val="24"/>
          <w:bdr w:val="single" w:sz="2" w:space="0" w:color="E5E7EB" w:frame="1"/>
          <w:shd w:val="clear" w:color="auto" w:fill="FFFFFF"/>
        </w:rPr>
        <w:t>Threats</w:t>
      </w:r>
      <w:r w:rsidR="00765581" w:rsidRPr="00A25019">
        <w:rPr>
          <w:rFonts w:ascii="Arial" w:hAnsi="Arial" w:cs="Arial"/>
          <w:color w:val="000000"/>
          <w:sz w:val="24"/>
          <w:szCs w:val="24"/>
        </w:rPr>
        <w:br/>
      </w:r>
      <w:r w:rsidR="00765581" w:rsidRPr="00A25019">
        <w:rPr>
          <w:rStyle w:val="hoverbg-blue-100"/>
          <w:rFonts w:ascii="Arial" w:hAnsi="Arial" w:cs="Arial"/>
          <w:color w:val="000000"/>
          <w:sz w:val="24"/>
          <w:szCs w:val="24"/>
          <w:bdr w:val="single" w:sz="2" w:space="0" w:color="E5E7EB" w:frame="1"/>
          <w:shd w:val="clear" w:color="auto" w:fill="FFFFFF"/>
        </w:rPr>
        <w:t xml:space="preserve">Bupa may be threatened in its current position in the market by other competitors and market trends. The wearable technology market is already highly saturated and has well-established leaders such as Apple, Fitbit and Garmin that have the consumer trust. The company may also be restricted by regulations regarding data protection and patient privacy (GDPR) as well as medical device registration (MHRA), which will </w:t>
      </w:r>
      <w:proofErr w:type="gramStart"/>
      <w:r w:rsidR="00765581" w:rsidRPr="00A25019">
        <w:rPr>
          <w:rStyle w:val="hoverbg-blue-100"/>
          <w:rFonts w:ascii="Arial" w:hAnsi="Arial" w:cs="Arial"/>
          <w:color w:val="000000"/>
          <w:sz w:val="24"/>
          <w:szCs w:val="24"/>
          <w:bdr w:val="single" w:sz="2" w:space="0" w:color="E5E7EB" w:frame="1"/>
          <w:shd w:val="clear" w:color="auto" w:fill="FFFFFF"/>
        </w:rPr>
        <w:t>have an effect on</w:t>
      </w:r>
      <w:proofErr w:type="gramEnd"/>
      <w:r w:rsidR="00765581" w:rsidRPr="00A25019">
        <w:rPr>
          <w:rStyle w:val="hoverbg-blue-100"/>
          <w:rFonts w:ascii="Arial" w:hAnsi="Arial" w:cs="Arial"/>
          <w:color w:val="000000"/>
          <w:sz w:val="24"/>
          <w:szCs w:val="24"/>
          <w:bdr w:val="single" w:sz="2" w:space="0" w:color="E5E7EB" w:frame="1"/>
          <w:shd w:val="clear" w:color="auto" w:fill="FFFFFF"/>
        </w:rPr>
        <w:t xml:space="preserve"> the time required to bring the product to market and the associated costs. </w:t>
      </w:r>
      <w:r w:rsidR="00765581" w:rsidRPr="00A25019">
        <w:rPr>
          <w:rStyle w:val="hoverbg-blue-100"/>
          <w:rFonts w:ascii="Arial" w:hAnsi="Arial" w:cs="Arial"/>
          <w:color w:val="000000"/>
          <w:sz w:val="24"/>
          <w:szCs w:val="24"/>
          <w:bdr w:val="single" w:sz="2" w:space="0" w:color="E5E7EB" w:frame="1"/>
          <w:shd w:val="clear" w:color="auto" w:fill="DBEAFE"/>
        </w:rPr>
        <w:t>The rising inflation and cost of living in the UK may have a negative effect on the amount of disposable income that consumers are able to spend on private healthcare and services/products such as the new wearable device (Mintel, 2023). </w:t>
      </w:r>
      <w:r w:rsidR="00765581" w:rsidRPr="00A25019">
        <w:rPr>
          <w:rStyle w:val="hoverbg-blue-100"/>
          <w:rFonts w:ascii="Arial" w:hAnsi="Arial" w:cs="Arial"/>
          <w:color w:val="000000"/>
          <w:sz w:val="24"/>
          <w:szCs w:val="24"/>
          <w:bdr w:val="single" w:sz="2" w:space="0" w:color="E5E7EB" w:frame="1"/>
          <w:shd w:val="clear" w:color="auto" w:fill="FFFFFF"/>
        </w:rPr>
        <w:t>The major issue that may result in a threat to the company is the cybersecurity and data breaches that may reduce customer trust and be severely damaging to the brand.</w:t>
      </w:r>
    </w:p>
    <w:p w14:paraId="12D81D72" w14:textId="7C1987C7" w:rsidR="001F2EB2" w:rsidRPr="00A25019" w:rsidRDefault="001950E4" w:rsidP="00126B3C">
      <w:pPr>
        <w:spacing w:line="360" w:lineRule="auto"/>
        <w:rPr>
          <w:rFonts w:ascii="Arial" w:hAnsi="Arial" w:cs="Arial"/>
          <w:color w:val="000000"/>
          <w:sz w:val="24"/>
          <w:szCs w:val="24"/>
        </w:rPr>
      </w:pPr>
      <w:r w:rsidRPr="00A25019">
        <w:rPr>
          <w:rFonts w:ascii="Arial" w:hAnsi="Arial" w:cs="Arial"/>
          <w:b/>
          <w:bCs/>
          <w:color w:val="000000"/>
          <w:sz w:val="24"/>
          <w:szCs w:val="24"/>
          <w:bdr w:val="single" w:sz="2" w:space="0" w:color="E5E7EB" w:frame="1"/>
        </w:rPr>
        <w:t>Key Internal and External Stakeholders</w:t>
      </w:r>
      <w:r w:rsidRPr="00A25019">
        <w:rPr>
          <w:rFonts w:ascii="Arial" w:hAnsi="Arial" w:cs="Arial"/>
          <w:color w:val="000000"/>
          <w:sz w:val="24"/>
          <w:szCs w:val="24"/>
          <w:bdr w:val="single" w:sz="2" w:space="0" w:color="E5E7EB" w:frame="1"/>
        </w:rPr>
        <w:t xml:space="preserve"> </w:t>
      </w:r>
      <w:r w:rsidRPr="00A25019">
        <w:rPr>
          <w:rFonts w:ascii="Arial" w:hAnsi="Arial" w:cs="Arial"/>
          <w:color w:val="000000"/>
          <w:sz w:val="24"/>
          <w:szCs w:val="24"/>
        </w:rPr>
        <w:br/>
      </w:r>
      <w:proofErr w:type="spellStart"/>
      <w:r w:rsidRPr="00A25019">
        <w:rPr>
          <w:rFonts w:ascii="Arial" w:hAnsi="Arial" w:cs="Arial"/>
          <w:color w:val="000000"/>
          <w:sz w:val="24"/>
          <w:szCs w:val="24"/>
          <w:bdr w:val="single" w:sz="2" w:space="0" w:color="E5E7EB" w:frame="1"/>
        </w:rPr>
        <w:t>Stakeholders</w:t>
      </w:r>
      <w:proofErr w:type="spellEnd"/>
      <w:r w:rsidRPr="00A25019">
        <w:rPr>
          <w:rFonts w:ascii="Arial" w:hAnsi="Arial" w:cs="Arial"/>
          <w:color w:val="000000"/>
          <w:sz w:val="24"/>
          <w:szCs w:val="24"/>
          <w:bdr w:val="single" w:sz="2" w:space="0" w:color="E5E7EB" w:frame="1"/>
        </w:rPr>
        <w:t xml:space="preserve"> play vital roles in the success or failure of a project. They have an interest in the project, the power to influence, and involvement to ensure it is a success (Freeman, 2010). Stakeholders are critical to Bupa’s new wearable health device, either internal or external to the organisation.</w:t>
      </w:r>
      <w:r w:rsidR="001650C6" w:rsidRPr="00A25019">
        <w:rPr>
          <w:rFonts w:ascii="Arial" w:hAnsi="Arial" w:cs="Arial"/>
          <w:color w:val="000000"/>
          <w:sz w:val="24"/>
          <w:szCs w:val="24"/>
          <w:bdr w:val="single" w:sz="2" w:space="0" w:color="E5E7EB" w:frame="1"/>
        </w:rPr>
        <w:t xml:space="preserve"> </w:t>
      </w:r>
      <w:r w:rsidR="001650C6" w:rsidRPr="00A25019">
        <w:rPr>
          <w:rFonts w:ascii="Arial" w:hAnsi="Arial" w:cs="Arial"/>
          <w:sz w:val="24"/>
          <w:szCs w:val="24"/>
        </w:rPr>
        <w:t xml:space="preserve">Internal stakeholders are individuals or groups within an organisation who directly contribute to its operations, while external stakeholders are those outside the organisation who are affected by or can influence its </w:t>
      </w:r>
      <w:proofErr w:type="spellStart"/>
      <w:proofErr w:type="gramStart"/>
      <w:r w:rsidR="001650C6" w:rsidRPr="00A25019">
        <w:rPr>
          <w:rFonts w:ascii="Arial" w:hAnsi="Arial" w:cs="Arial"/>
          <w:sz w:val="24"/>
          <w:szCs w:val="24"/>
        </w:rPr>
        <w:t>activities.</w:t>
      </w:r>
      <w:r w:rsidRPr="00A25019">
        <w:rPr>
          <w:rFonts w:ascii="Arial" w:hAnsi="Arial" w:cs="Arial"/>
          <w:color w:val="000000"/>
          <w:sz w:val="24"/>
          <w:szCs w:val="24"/>
          <w:bdr w:val="single" w:sz="2" w:space="0" w:color="E5E7EB" w:frame="1"/>
        </w:rPr>
        <w:t>Internal</w:t>
      </w:r>
      <w:proofErr w:type="spellEnd"/>
      <w:proofErr w:type="gramEnd"/>
      <w:r w:rsidRPr="00A25019">
        <w:rPr>
          <w:rFonts w:ascii="Arial" w:hAnsi="Arial" w:cs="Arial"/>
          <w:color w:val="000000"/>
          <w:sz w:val="24"/>
          <w:szCs w:val="24"/>
          <w:bdr w:val="single" w:sz="2" w:space="0" w:color="E5E7EB" w:frame="1"/>
        </w:rPr>
        <w:t xml:space="preserve"> stakeholders work for Bupa or are involved with it, while external stakeholders can be customers, investors, or partners, directly or indirectly connected to the business. (PMI, 2021). Below is a list of the key internal and external stakeholders </w:t>
      </w:r>
      <w:r w:rsidR="001F2EB2" w:rsidRPr="00A25019">
        <w:rPr>
          <w:rFonts w:ascii="Arial" w:hAnsi="Arial" w:cs="Arial"/>
          <w:color w:val="000000"/>
          <w:sz w:val="24"/>
          <w:szCs w:val="24"/>
          <w:bdr w:val="single" w:sz="2" w:space="0" w:color="E5E7EB" w:frame="1"/>
        </w:rPr>
        <w:t>(refer fig 3)</w:t>
      </w:r>
      <w:r w:rsidR="003743F0" w:rsidRPr="00A25019">
        <w:rPr>
          <w:rFonts w:ascii="Arial" w:hAnsi="Arial" w:cs="Arial"/>
          <w:color w:val="000000"/>
          <w:sz w:val="24"/>
          <w:szCs w:val="24"/>
          <w:bdr w:val="single" w:sz="2" w:space="0" w:color="E5E7EB" w:frame="1"/>
        </w:rPr>
        <w:t xml:space="preserve"> involved in developing Bupa’s wearable health device.</w:t>
      </w:r>
    </w:p>
    <w:p w14:paraId="730D3096" w14:textId="6C665B31" w:rsidR="00C15D84" w:rsidRDefault="003743F0" w:rsidP="00126B3C">
      <w:pPr>
        <w:spacing w:line="360" w:lineRule="auto"/>
        <w:rPr>
          <w:rFonts w:ascii="Arial" w:hAnsi="Arial" w:cs="Arial"/>
          <w:noProof/>
          <w:color w:val="000000"/>
          <w:sz w:val="24"/>
          <w:szCs w:val="24"/>
        </w:rPr>
      </w:pPr>
      <w:r>
        <w:rPr>
          <w:rFonts w:ascii="Arial" w:hAnsi="Arial" w:cs="Arial"/>
          <w:noProof/>
          <w:color w:val="000000"/>
          <w:sz w:val="24"/>
          <w:szCs w:val="24"/>
        </w:rPr>
        <w:lastRenderedPageBreak/>
        <mc:AlternateContent>
          <mc:Choice Requires="wps">
            <w:drawing>
              <wp:anchor distT="0" distB="0" distL="114300" distR="114300" simplePos="0" relativeHeight="251670528" behindDoc="0" locked="0" layoutInCell="1" allowOverlap="1" wp14:anchorId="2DC563A2" wp14:editId="24F5E54E">
                <wp:simplePos x="0" y="0"/>
                <wp:positionH relativeFrom="column">
                  <wp:posOffset>495300</wp:posOffset>
                </wp:positionH>
                <wp:positionV relativeFrom="paragraph">
                  <wp:posOffset>1033780</wp:posOffset>
                </wp:positionV>
                <wp:extent cx="487680" cy="373380"/>
                <wp:effectExtent l="0" t="0" r="26670" b="26670"/>
                <wp:wrapNone/>
                <wp:docPr id="1531020478" name="Rectangle 11"/>
                <wp:cNvGraphicFramePr/>
                <a:graphic xmlns:a="http://schemas.openxmlformats.org/drawingml/2006/main">
                  <a:graphicData uri="http://schemas.microsoft.com/office/word/2010/wordprocessingShape">
                    <wps:wsp>
                      <wps:cNvSpPr/>
                      <wps:spPr>
                        <a:xfrm>
                          <a:off x="0" y="0"/>
                          <a:ext cx="487680" cy="373380"/>
                        </a:xfrm>
                        <a:prstGeom prst="rect">
                          <a:avLst/>
                        </a:prstGeom>
                        <a:solidFill>
                          <a:schemeClr val="tx2">
                            <a:lumMod val="10000"/>
                            <a:lumOff val="90000"/>
                          </a:schemeClr>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DACFDC" id="Rectangle 11" o:spid="_x0000_s1026" style="position:absolute;margin-left:39pt;margin-top:81.4pt;width:38.4pt;height:29.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" fillcolor="#dceaf7 [351]" strokecolor="#dceaf7 [351]" strokeweight="1.5pt"/>
            </w:pict>
          </mc:Fallback>
        </mc:AlternateContent>
      </w:r>
      <w:r w:rsidR="00C654A7">
        <w:rPr>
          <w:rFonts w:ascii="Arial" w:hAnsi="Arial" w:cs="Arial"/>
          <w:noProof/>
          <w:color w:val="000000"/>
          <w:sz w:val="24"/>
          <w:szCs w:val="24"/>
        </w:rPr>
        <mc:AlternateContent>
          <mc:Choice Requires="wps">
            <w:drawing>
              <wp:anchor distT="0" distB="0" distL="114300" distR="114300" simplePos="0" relativeHeight="251662336" behindDoc="0" locked="0" layoutInCell="1" allowOverlap="1" wp14:anchorId="7413453F" wp14:editId="54C3F042">
                <wp:simplePos x="0" y="0"/>
                <wp:positionH relativeFrom="column">
                  <wp:posOffset>1684020</wp:posOffset>
                </wp:positionH>
                <wp:positionV relativeFrom="paragraph">
                  <wp:posOffset>1842770</wp:posOffset>
                </wp:positionV>
                <wp:extent cx="914400" cy="350520"/>
                <wp:effectExtent l="0" t="0" r="19050" b="11430"/>
                <wp:wrapNone/>
                <wp:docPr id="641543810" name="Rectangle 4"/>
                <wp:cNvGraphicFramePr/>
                <a:graphic xmlns:a="http://schemas.openxmlformats.org/drawingml/2006/main">
                  <a:graphicData uri="http://schemas.microsoft.com/office/word/2010/wordprocessingShape">
                    <wps:wsp>
                      <wps:cNvSpPr/>
                      <wps:spPr>
                        <a:xfrm>
                          <a:off x="0" y="0"/>
                          <a:ext cx="914400" cy="350520"/>
                        </a:xfrm>
                        <a:prstGeom prst="rect">
                          <a:avLst/>
                        </a:prstGeom>
                        <a:solidFill>
                          <a:schemeClr val="tx2">
                            <a:lumMod val="10000"/>
                            <a:lumOff val="90000"/>
                          </a:schemeClr>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829DD9" id="Rectangle 4" o:spid="_x0000_s1026" style="position:absolute;margin-left:132.6pt;margin-top:145.1pt;width:1in;height:27.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" fillcolor="#dceaf7 [351]" strokecolor="#dceaf7 [351]" strokeweight="1.5pt"/>
            </w:pict>
          </mc:Fallback>
        </mc:AlternateContent>
      </w:r>
      <w:r w:rsidR="00C654A7">
        <w:rPr>
          <w:rFonts w:ascii="Arial" w:hAnsi="Arial" w:cs="Arial"/>
          <w:noProof/>
          <w:color w:val="000000"/>
          <w:sz w:val="24"/>
          <w:szCs w:val="24"/>
        </w:rPr>
        <mc:AlternateContent>
          <mc:Choice Requires="wpi">
            <w:drawing>
              <wp:anchor distT="0" distB="0" distL="114300" distR="114300" simplePos="0" relativeHeight="251660288" behindDoc="0" locked="0" layoutInCell="1" allowOverlap="1" wp14:anchorId="6E0A0C9F" wp14:editId="30917ED1">
                <wp:simplePos x="0" y="0"/>
                <wp:positionH relativeFrom="column">
                  <wp:posOffset>2826900</wp:posOffset>
                </wp:positionH>
                <wp:positionV relativeFrom="paragraph">
                  <wp:posOffset>2483125</wp:posOffset>
                </wp:positionV>
                <wp:extent cx="360" cy="360"/>
                <wp:effectExtent l="57150" t="57150" r="57150" b="57150"/>
                <wp:wrapNone/>
                <wp:docPr id="379008412"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19442E8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21.2pt;margin-top:194.1pt;width:2.9pt;height:2.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">
                <v:imagedata r:id="rId12" o:title=""/>
              </v:shape>
            </w:pict>
          </mc:Fallback>
        </mc:AlternateContent>
      </w:r>
      <w:r w:rsidR="00C654A7">
        <w:rPr>
          <w:rFonts w:ascii="Arial" w:hAnsi="Arial" w:cs="Arial"/>
          <w:noProof/>
          <w:color w:val="000000"/>
          <w:sz w:val="24"/>
          <w:szCs w:val="24"/>
        </w:rPr>
        <mc:AlternateContent>
          <mc:Choice Requires="wpi">
            <w:drawing>
              <wp:anchor distT="0" distB="0" distL="114300" distR="114300" simplePos="0" relativeHeight="251659264" behindDoc="0" locked="0" layoutInCell="1" allowOverlap="1" wp14:anchorId="71409B83" wp14:editId="7F424C51">
                <wp:simplePos x="0" y="0"/>
                <wp:positionH relativeFrom="column">
                  <wp:posOffset>695340</wp:posOffset>
                </wp:positionH>
                <wp:positionV relativeFrom="paragraph">
                  <wp:posOffset>1842325</wp:posOffset>
                </wp:positionV>
                <wp:extent cx="55440" cy="16560"/>
                <wp:effectExtent l="57150" t="57150" r="59055" b="59690"/>
                <wp:wrapNone/>
                <wp:docPr id="1831397328"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55440" cy="16560"/>
                      </w14:xfrm>
                    </w14:contentPart>
                  </a:graphicData>
                </a:graphic>
              </wp:anchor>
            </w:drawing>
          </mc:Choice>
          <mc:Fallback>
            <w:pict>
              <v:shape w14:anchorId="16C536AC" id="Ink 1" o:spid="_x0000_s1026" type="#_x0000_t75" style="position:absolute;margin-left:53.35pt;margin-top:143.65pt;width:7.15pt;height:4.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">
                <v:imagedata r:id="rId14" o:title=""/>
              </v:shape>
            </w:pict>
          </mc:Fallback>
        </mc:AlternateContent>
      </w:r>
      <w:r w:rsidR="00C15D84">
        <w:rPr>
          <w:rFonts w:ascii="Arial" w:hAnsi="Arial" w:cs="Arial"/>
          <w:noProof/>
          <w:color w:val="000000"/>
          <w:sz w:val="24"/>
          <w:szCs w:val="24"/>
        </w:rPr>
        <w:drawing>
          <wp:inline distT="0" distB="0" distL="0" distR="0" wp14:anchorId="043A5DBF" wp14:editId="6DD9B752">
            <wp:extent cx="5500370" cy="2346960"/>
            <wp:effectExtent l="0" t="0" r="5080" b="0"/>
            <wp:docPr id="1302944420" name="Picture 2" descr="A diagram of the internal stakehold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44420" name="Picture 2" descr="A diagram of the internal stakeholder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539375" cy="2363603"/>
                    </a:xfrm>
                    <a:prstGeom prst="rect">
                      <a:avLst/>
                    </a:prstGeom>
                  </pic:spPr>
                </pic:pic>
              </a:graphicData>
            </a:graphic>
          </wp:inline>
        </w:drawing>
      </w:r>
    </w:p>
    <w:p w14:paraId="022F4752" w14:textId="0DA0CF82" w:rsidR="001F2EB2" w:rsidRDefault="001F2EB2" w:rsidP="00126B3C">
      <w:pPr>
        <w:spacing w:line="360" w:lineRule="auto"/>
        <w:rPr>
          <w:rFonts w:ascii="Arial" w:hAnsi="Arial" w:cs="Arial"/>
          <w:noProof/>
          <w:color w:val="000000"/>
          <w:sz w:val="24"/>
          <w:szCs w:val="24"/>
        </w:rPr>
      </w:pPr>
      <w:r>
        <w:rPr>
          <w:rFonts w:ascii="Arial" w:hAnsi="Arial" w:cs="Arial"/>
          <w:noProof/>
          <w:color w:val="000000"/>
          <w:sz w:val="24"/>
          <w:szCs w:val="24"/>
        </w:rPr>
        <w:t>Fig 3 . Stakeholders</w:t>
      </w:r>
    </w:p>
    <w:p w14:paraId="4E0DAED3" w14:textId="39043FB7" w:rsidR="001950E4" w:rsidRPr="00FE6159" w:rsidRDefault="001950E4" w:rsidP="00126B3C">
      <w:pPr>
        <w:spacing w:line="360" w:lineRule="auto"/>
        <w:rPr>
          <w:rFonts w:ascii="Arial" w:hAnsi="Arial" w:cs="Arial"/>
          <w:color w:val="000000"/>
          <w:sz w:val="24"/>
          <w:szCs w:val="24"/>
        </w:rPr>
      </w:pPr>
      <w:r w:rsidRPr="00126B3C">
        <w:rPr>
          <w:rFonts w:ascii="Arial" w:hAnsi="Arial" w:cs="Arial"/>
          <w:color w:val="000000"/>
          <w:sz w:val="24"/>
          <w:szCs w:val="24"/>
        </w:rPr>
        <w:br/>
      </w:r>
      <w:r w:rsidRPr="00126B3C">
        <w:rPr>
          <w:rFonts w:ascii="Arial" w:hAnsi="Arial" w:cs="Arial"/>
          <w:b/>
          <w:bCs/>
          <w:color w:val="000000"/>
          <w:sz w:val="24"/>
          <w:szCs w:val="24"/>
          <w:bdr w:val="single" w:sz="2" w:space="0" w:color="E5E7EB" w:frame="1"/>
        </w:rPr>
        <w:t>Internal Stakeholders</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1. </w:t>
      </w:r>
      <w:r w:rsidRPr="00126B3C">
        <w:rPr>
          <w:rFonts w:ascii="Arial" w:hAnsi="Arial" w:cs="Arial"/>
          <w:color w:val="000000"/>
          <w:sz w:val="24"/>
          <w:szCs w:val="24"/>
          <w:bdr w:val="single" w:sz="2" w:space="0" w:color="E5E7EB" w:frame="1"/>
        </w:rPr>
        <w:t>Executive Management – Senior management such as the Chief Executive Officer (CEO) and Chief Innovation Officer provide strategic direction for the new product, budget approval, and the alignment of the project with Bupa’s organisational goals. This stakeholder group must be won over to ensure resources and authority for the project.</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2. </w:t>
      </w:r>
      <w:r w:rsidRPr="00126B3C">
        <w:rPr>
          <w:rFonts w:ascii="Arial" w:hAnsi="Arial" w:cs="Arial"/>
          <w:color w:val="000000"/>
          <w:sz w:val="24"/>
          <w:szCs w:val="24"/>
          <w:bdr w:val="single" w:sz="2" w:space="0" w:color="E5E7EB" w:frame="1"/>
        </w:rPr>
        <w:t>Product Development and Research &amp; Development (R&amp;D) Teams – The teams working on designing, testing, and refining the wearable device. These teams ensure the product is safe, functional, and of quality prior to launch. Engineers, data scientists, and healthcare professionals collaborate to ensure medical accuracy and technological integrity (PMI, 2021).</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3. </w:t>
      </w:r>
      <w:r w:rsidRPr="00126B3C">
        <w:rPr>
          <w:rFonts w:ascii="Arial" w:hAnsi="Arial" w:cs="Arial"/>
          <w:color w:val="000000"/>
          <w:sz w:val="24"/>
          <w:szCs w:val="24"/>
          <w:bdr w:val="single" w:sz="2" w:space="0" w:color="E5E7EB" w:frame="1"/>
        </w:rPr>
        <w:t>Marketing and Communications Department – This department is tasked with branding, advertising, and promoting the new device. They develop strategies to create a unique selling proposition and engage with their target market.</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4. </w:t>
      </w:r>
      <w:bookmarkStart w:id="1" w:name="_Hlk212883398"/>
      <w:r w:rsidRPr="00126B3C">
        <w:rPr>
          <w:rFonts w:ascii="Arial" w:hAnsi="Arial" w:cs="Arial"/>
          <w:color w:val="000000"/>
          <w:sz w:val="24"/>
          <w:szCs w:val="24"/>
          <w:bdr w:val="single" w:sz="2" w:space="0" w:color="E5E7EB" w:frame="1"/>
        </w:rPr>
        <w:t xml:space="preserve">Sales and Customer Service </w:t>
      </w:r>
      <w:bookmarkEnd w:id="1"/>
      <w:r w:rsidRPr="00126B3C">
        <w:rPr>
          <w:rFonts w:ascii="Arial" w:hAnsi="Arial" w:cs="Arial"/>
          <w:color w:val="000000"/>
          <w:sz w:val="24"/>
          <w:szCs w:val="24"/>
          <w:bdr w:val="single" w:sz="2" w:space="0" w:color="E5E7EB" w:frame="1"/>
        </w:rPr>
        <w:t>Teams – Teams responsible for the distribution and sales channels, as well as after-sales support. This team will provide feedback for future improvements.</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5. </w:t>
      </w:r>
      <w:bookmarkStart w:id="2" w:name="_Hlk212883478"/>
      <w:r w:rsidRPr="00126B3C">
        <w:rPr>
          <w:rFonts w:ascii="Arial" w:hAnsi="Arial" w:cs="Arial"/>
          <w:color w:val="000000"/>
          <w:sz w:val="24"/>
          <w:szCs w:val="24"/>
          <w:bdr w:val="single" w:sz="2" w:space="0" w:color="E5E7EB" w:frame="1"/>
        </w:rPr>
        <w:t xml:space="preserve">IT and Data Security Department </w:t>
      </w:r>
      <w:bookmarkEnd w:id="2"/>
      <w:r w:rsidRPr="00126B3C">
        <w:rPr>
          <w:rFonts w:ascii="Arial" w:hAnsi="Arial" w:cs="Arial"/>
          <w:color w:val="000000"/>
          <w:sz w:val="24"/>
          <w:szCs w:val="24"/>
          <w:bdr w:val="single" w:sz="2" w:space="0" w:color="E5E7EB" w:frame="1"/>
        </w:rPr>
        <w:t>– This team is tasked with managing all the digital infrastructure and customer data securely in line with data protection regulations such as the General Data Protection Regulation (GDPR).</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6. </w:t>
      </w:r>
      <w:r w:rsidRPr="00126B3C">
        <w:rPr>
          <w:rFonts w:ascii="Arial" w:hAnsi="Arial" w:cs="Arial"/>
          <w:color w:val="000000"/>
          <w:sz w:val="24"/>
          <w:szCs w:val="24"/>
          <w:bdr w:val="single" w:sz="2" w:space="0" w:color="E5E7EB" w:frame="1"/>
        </w:rPr>
        <w:t xml:space="preserve">Human Resources (HR) – </w:t>
      </w:r>
      <w:bookmarkStart w:id="3" w:name="_Hlk212883563"/>
      <w:r w:rsidRPr="00126B3C">
        <w:rPr>
          <w:rFonts w:ascii="Arial" w:hAnsi="Arial" w:cs="Arial"/>
          <w:color w:val="000000"/>
          <w:sz w:val="24"/>
          <w:szCs w:val="24"/>
          <w:bdr w:val="single" w:sz="2" w:space="0" w:color="E5E7EB" w:frame="1"/>
        </w:rPr>
        <w:t>HR</w:t>
      </w:r>
      <w:bookmarkEnd w:id="3"/>
      <w:r w:rsidRPr="00126B3C">
        <w:rPr>
          <w:rFonts w:ascii="Arial" w:hAnsi="Arial" w:cs="Arial"/>
          <w:color w:val="000000"/>
          <w:sz w:val="24"/>
          <w:szCs w:val="24"/>
          <w:bdr w:val="single" w:sz="2" w:space="0" w:color="E5E7EB" w:frame="1"/>
        </w:rPr>
        <w:t xml:space="preserve"> will ensure that all necessary internal collaboration, </w:t>
      </w:r>
      <w:r w:rsidRPr="00126B3C">
        <w:rPr>
          <w:rFonts w:ascii="Arial" w:hAnsi="Arial" w:cs="Arial"/>
          <w:color w:val="000000"/>
          <w:sz w:val="24"/>
          <w:szCs w:val="24"/>
          <w:bdr w:val="single" w:sz="2" w:space="0" w:color="E5E7EB" w:frame="1"/>
        </w:rPr>
        <w:lastRenderedPageBreak/>
        <w:t>training, and workforce readiness are available for the teams to develop and deliver the product.</w:t>
      </w:r>
      <w:r w:rsidRPr="00126B3C">
        <w:rPr>
          <w:rFonts w:ascii="Arial" w:hAnsi="Arial" w:cs="Arial"/>
          <w:color w:val="000000"/>
          <w:sz w:val="24"/>
          <w:szCs w:val="24"/>
        </w:rPr>
        <w:br/>
      </w:r>
      <w:r w:rsidRPr="00126B3C">
        <w:rPr>
          <w:rFonts w:ascii="Arial" w:hAnsi="Arial" w:cs="Arial"/>
          <w:color w:val="000000"/>
          <w:sz w:val="24"/>
          <w:szCs w:val="24"/>
        </w:rPr>
        <w:br/>
      </w:r>
      <w:r w:rsidRPr="00126B3C">
        <w:rPr>
          <w:rFonts w:ascii="Arial" w:hAnsi="Arial" w:cs="Arial"/>
          <w:b/>
          <w:bCs/>
          <w:color w:val="000000"/>
          <w:sz w:val="24"/>
          <w:szCs w:val="24"/>
          <w:bdr w:val="single" w:sz="2" w:space="0" w:color="E5E7EB" w:frame="1"/>
        </w:rPr>
        <w:t>External Stakeholders</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1. </w:t>
      </w:r>
      <w:r w:rsidRPr="00126B3C">
        <w:rPr>
          <w:rFonts w:ascii="Arial" w:hAnsi="Arial" w:cs="Arial"/>
          <w:color w:val="000000"/>
          <w:sz w:val="24"/>
          <w:szCs w:val="24"/>
          <w:bdr w:val="single" w:sz="2" w:space="0" w:color="E5E7EB" w:frame="1"/>
        </w:rPr>
        <w:t>Customers – As the primary end-users, their feedback and experience with the product will inform the future design and improve the project going forward. Their needs and expectations are critical to the product’s market success.</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2. </w:t>
      </w:r>
      <w:r w:rsidRPr="00126B3C">
        <w:rPr>
          <w:rFonts w:ascii="Arial" w:hAnsi="Arial" w:cs="Arial"/>
          <w:color w:val="000000"/>
          <w:sz w:val="24"/>
          <w:szCs w:val="24"/>
          <w:bdr w:val="single" w:sz="2" w:space="0" w:color="E5E7EB" w:frame="1"/>
        </w:rPr>
        <w:t>Healthcare Professionals and Partners – Doctors, clinics, and medical institutions that will use the data from the wearable in healthcare planning and patient treatment. Their approval will bring credibility and drive adoption.</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3. </w:t>
      </w:r>
      <w:r w:rsidRPr="00126B3C">
        <w:rPr>
          <w:rFonts w:ascii="Arial" w:hAnsi="Arial" w:cs="Arial"/>
          <w:color w:val="000000"/>
          <w:sz w:val="24"/>
          <w:szCs w:val="24"/>
          <w:bdr w:val="single" w:sz="2" w:space="0" w:color="E5E7EB" w:frame="1"/>
        </w:rPr>
        <w:t>Technology Partners and Suppliers – Third-party companies that supply sensors, software, and hardware for the wearable device.</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4, </w:t>
      </w:r>
      <w:r w:rsidRPr="00126B3C">
        <w:rPr>
          <w:rFonts w:ascii="Arial" w:hAnsi="Arial" w:cs="Arial"/>
          <w:color w:val="000000"/>
          <w:sz w:val="24"/>
          <w:szCs w:val="24"/>
          <w:bdr w:val="single" w:sz="2" w:space="0" w:color="E5E7EB" w:frame="1"/>
        </w:rPr>
        <w:t>Regulatory Bodies – Agencies like the Medicines and Healthcare Products Regulatory Agency (MHRA) ensure that the device meets all the safety and medical device standards.</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5. </w:t>
      </w:r>
      <w:r w:rsidRPr="00126B3C">
        <w:rPr>
          <w:rFonts w:ascii="Arial" w:hAnsi="Arial" w:cs="Arial"/>
          <w:color w:val="000000"/>
          <w:sz w:val="24"/>
          <w:szCs w:val="24"/>
          <w:bdr w:val="single" w:sz="2" w:space="0" w:color="E5E7EB" w:frame="1"/>
        </w:rPr>
        <w:t>Investors and Shareholders – Stakeholders who provide financial backing for the project and expect long-term sustainable returns on their investment.</w:t>
      </w:r>
      <w:r w:rsidRPr="00126B3C">
        <w:rPr>
          <w:rFonts w:ascii="Arial" w:hAnsi="Arial" w:cs="Arial"/>
          <w:color w:val="000000"/>
          <w:sz w:val="24"/>
          <w:szCs w:val="24"/>
        </w:rPr>
        <w:br/>
      </w:r>
      <w:r w:rsidR="00126B3C">
        <w:rPr>
          <w:rFonts w:ascii="Arial" w:hAnsi="Arial" w:cs="Arial"/>
          <w:color w:val="000000"/>
          <w:sz w:val="24"/>
          <w:szCs w:val="24"/>
          <w:bdr w:val="single" w:sz="2" w:space="0" w:color="E5E7EB" w:frame="1"/>
        </w:rPr>
        <w:t xml:space="preserve">6. </w:t>
      </w:r>
      <w:r w:rsidRPr="00126B3C">
        <w:rPr>
          <w:rFonts w:ascii="Arial" w:hAnsi="Arial" w:cs="Arial"/>
          <w:color w:val="000000"/>
          <w:sz w:val="24"/>
          <w:szCs w:val="24"/>
          <w:bdr w:val="single" w:sz="2" w:space="0" w:color="E5E7EB" w:frame="1"/>
        </w:rPr>
        <w:t>Insurance and Healthcare Partners – Collaborations with insurers and healthcare providers, such as Bupa’s own health insurance division, to integrate the wearable into healthcare packages for better customer engagement.</w:t>
      </w:r>
    </w:p>
    <w:p w14:paraId="64F148B9" w14:textId="44B79F14" w:rsidR="006F26CB" w:rsidRDefault="00A940EE" w:rsidP="00A940EE">
      <w:pPr>
        <w:suppressAutoHyphens w:val="0"/>
        <w:autoSpaceDN/>
        <w:spacing w:after="0" w:line="360" w:lineRule="auto"/>
        <w:rPr>
          <w:rFonts w:ascii="Arial" w:eastAsia="Times New Roman" w:hAnsi="Arial" w:cs="Arial"/>
          <w:color w:val="000000"/>
          <w:kern w:val="0"/>
          <w:sz w:val="24"/>
          <w:szCs w:val="24"/>
          <w:lang w:eastAsia="en-GB"/>
        </w:rPr>
      </w:pPr>
      <w:r w:rsidRPr="00A940EE">
        <w:rPr>
          <w:rFonts w:ascii="Arial" w:eastAsia="Times New Roman" w:hAnsi="Arial" w:cs="Arial"/>
          <w:b/>
          <w:bCs/>
          <w:color w:val="000000"/>
          <w:kern w:val="0"/>
          <w:sz w:val="24"/>
          <w:szCs w:val="24"/>
          <w:bdr w:val="single" w:sz="2" w:space="0" w:color="E5E7EB" w:frame="1"/>
          <w:lang w:eastAsia="en-GB"/>
        </w:rPr>
        <w:t>Stakeholders Roles, Responsibilities, Benefits, and Challenges</w:t>
      </w:r>
      <w:r w:rsidRPr="00A940EE">
        <w:rPr>
          <w:rFonts w:ascii="Arial" w:eastAsia="Times New Roman" w:hAnsi="Arial" w:cs="Arial"/>
          <w:color w:val="000000"/>
          <w:kern w:val="0"/>
          <w:sz w:val="24"/>
          <w:szCs w:val="24"/>
          <w:bdr w:val="single" w:sz="2" w:space="0" w:color="E5E7EB" w:frame="1"/>
          <w:lang w:eastAsia="en-GB"/>
        </w:rPr>
        <w:t xml:space="preserve"> </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shd w:val="clear" w:color="auto" w:fill="DBEAFE"/>
          <w:lang w:eastAsia="en-GB"/>
        </w:rPr>
        <w:t>The foundation of successful stakeholder engagement is the role of individual stakeholders and their responsibilities, as different stakeholders have varying levels of expertise, resources, and influence on a project (Freeman, 2010). </w:t>
      </w:r>
      <w:r w:rsidRPr="00A940EE">
        <w:rPr>
          <w:rFonts w:ascii="Arial" w:eastAsia="Times New Roman" w:hAnsi="Arial" w:cs="Arial"/>
          <w:color w:val="000000"/>
          <w:kern w:val="0"/>
          <w:sz w:val="24"/>
          <w:szCs w:val="24"/>
          <w:bdr w:val="single" w:sz="2" w:space="0" w:color="E5E7EB" w:frame="1"/>
          <w:lang w:eastAsia="en-GB"/>
        </w:rPr>
        <w:t>The stakeholders of the Bupa wearable device have distinct roles and responsibilities as well as benefits and challenges of engagement with the project.</w:t>
      </w:r>
    </w:p>
    <w:p w14:paraId="562A003E" w14:textId="1341F8C5" w:rsidR="00EF4EB8" w:rsidRDefault="00A940EE" w:rsidP="00A940EE">
      <w:pPr>
        <w:suppressAutoHyphens w:val="0"/>
        <w:autoSpaceDN/>
        <w:spacing w:after="0" w:line="360" w:lineRule="auto"/>
        <w:rPr>
          <w:rFonts w:ascii="Arial" w:eastAsia="Times New Roman" w:hAnsi="Arial" w:cs="Arial"/>
          <w:color w:val="000000"/>
          <w:kern w:val="0"/>
          <w:sz w:val="24"/>
          <w:szCs w:val="24"/>
          <w:lang w:eastAsia="en-GB"/>
        </w:rPr>
      </w:pPr>
      <w:r w:rsidRPr="00A940EE">
        <w:rPr>
          <w:rFonts w:ascii="Arial" w:eastAsia="Times New Roman" w:hAnsi="Arial" w:cs="Arial"/>
          <w:color w:val="000000"/>
          <w:kern w:val="0"/>
          <w:sz w:val="24"/>
          <w:szCs w:val="24"/>
          <w:lang w:eastAsia="en-GB"/>
        </w:rPr>
        <w:br/>
      </w:r>
      <w:r w:rsidRPr="00A940EE">
        <w:rPr>
          <w:rFonts w:ascii="Arial" w:eastAsia="Times New Roman" w:hAnsi="Arial" w:cs="Arial"/>
          <w:b/>
          <w:bCs/>
          <w:color w:val="000000"/>
          <w:kern w:val="0"/>
          <w:sz w:val="24"/>
          <w:szCs w:val="24"/>
          <w:bdr w:val="single" w:sz="2" w:space="0" w:color="E5E7EB" w:frame="1"/>
          <w:lang w:eastAsia="en-GB"/>
        </w:rPr>
        <w:t>Internal Stakeholders</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 xml:space="preserve">Executive Management (CEO and CIO) – Role: The executive board and board members provide the overall strategic direction, governance, and budget approval. Responsibility: Ensure that the project aligns with the Bupa’s mission and vision of contributing to better health outcomes and innovation in healthcare. Benefit: </w:t>
      </w:r>
      <w:r w:rsidRPr="00A940EE">
        <w:rPr>
          <w:rFonts w:ascii="Arial" w:eastAsia="Times New Roman" w:hAnsi="Arial" w:cs="Arial"/>
          <w:color w:val="000000"/>
          <w:kern w:val="0"/>
          <w:sz w:val="24"/>
          <w:szCs w:val="24"/>
          <w:bdr w:val="single" w:sz="2" w:space="0" w:color="E5E7EB" w:frame="1"/>
          <w:lang w:eastAsia="en-GB"/>
        </w:rPr>
        <w:lastRenderedPageBreak/>
        <w:t>Availability of resources and inter-departmental coordination. Challenge: Overseeing innovation while balancing the financial risks, especially in a competitive market against big tech corporations.</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Product Development and Research &amp; Development (R&amp;D) Teams – Role: Designing, prototyping, testing, and iterating on the features of the wearable device. Responsibility: Ensure product safety, accuracy, and user-friendliness. Benefit: Technical innovation and ensuring that the wearable meets the medical device regulations. Challenge: Development and testing timeline, budget constraints, ensuring compatibility with existing healthcare systems.</w:t>
      </w:r>
    </w:p>
    <w:p w14:paraId="4EF88068" w14:textId="0B58510C" w:rsidR="00A940EE" w:rsidRDefault="00A940EE" w:rsidP="00A940E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IT and Data Security Department – Role: Managing the digital infrastructure, cloud storage, and data encryption. Responsibility: Ensure data integrity, compliance with GDPR, and resilience to cybersecurity threats. Benefit: Securing customer trust and data privacy. Challenge: Keeping up with the evolving cyber threats and data privacy laws (PMI, 2021).</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Marketing and Communications Team – Role: Market research, branding, and promotional campaigns for the wearable device. Responsibility: Ensure that the product is well-positioned in the market and that its benefits are communicated clearly to consumers. Benefit: Ability to influence customer adoption. Challenge: Positioning the Bupa device against dominant brands in the health wearables market, such as Apple or Fitbit.</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Sales and Customer Service Teams – Role: Customer acquisition, distribution, and after-sales support. Responsibility: Customer satisfaction and retention. Challenge: Addressing technical problems and customer feedback, especially in the initial phase of product launch.</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Human Resources (HR) – Role: Staff training and internal communications. Responsibility: Ensure that the project runs smoothly with the necessary manpower and that the team is motivated. Benefit: Efficient project execution and team morale. Challenge: Recruiting or upskilling employees with the necessary digital health expertise.</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lang w:eastAsia="en-GB"/>
        </w:rPr>
        <w:lastRenderedPageBreak/>
        <w:br/>
      </w:r>
      <w:r w:rsidRPr="00A940EE">
        <w:rPr>
          <w:rFonts w:ascii="Arial" w:eastAsia="Times New Roman" w:hAnsi="Arial" w:cs="Arial"/>
          <w:b/>
          <w:bCs/>
          <w:color w:val="000000"/>
          <w:kern w:val="0"/>
          <w:sz w:val="24"/>
          <w:szCs w:val="24"/>
          <w:bdr w:val="single" w:sz="2" w:space="0" w:color="E5E7EB" w:frame="1"/>
          <w:lang w:eastAsia="en-GB"/>
        </w:rPr>
        <w:t>External Stakeholders</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Customers and End Users – Role: The ultimate users of the wearable device, providing feedback for product improvements. Responsibility: Adoption and providing user reviews and testimonials. Benefit: Direct benefit from using the product. Challenge: Concerns about data privacy, device usability.</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Healthcare Professionals and Partners – Role: Doctors and healthcare institutions that may use the device’s data for patient care and remote monitoring. Responsibility: Clinical validation of the product’s claims. Benefit: Providing expert insights and credibility to the product. Challenge: Integrating device data into their existing clinical workflows.</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Regulatory Bodies (MHRA, GDPR Authorities) – Role: Ensure that the wearable device complies with safety, efficacy, and data privacy standards. Responsibility: Approval and monitoring of the device’s market performance. Benefit: Legal and ethical clearance for the product. Challenge: Compliance requirements can slow down the product launch.</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Technology Partners and Suppliers – Role: Providing technical expertise, hardware components, or software solutions for the wearable device. Responsibility: Quality of their supplied components and meeting project timelines. Benefit: Access to innovation and expertise. Challenge: Dependency on external parties for product components.</w:t>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lang w:eastAsia="en-GB"/>
        </w:rPr>
        <w:br/>
      </w:r>
      <w:r w:rsidRPr="00A940EE">
        <w:rPr>
          <w:rFonts w:ascii="Arial" w:eastAsia="Times New Roman" w:hAnsi="Arial" w:cs="Arial"/>
          <w:color w:val="000000"/>
          <w:kern w:val="0"/>
          <w:sz w:val="24"/>
          <w:szCs w:val="24"/>
          <w:bdr w:val="single" w:sz="2" w:space="0" w:color="E5E7EB" w:frame="1"/>
          <w:lang w:eastAsia="en-GB"/>
        </w:rPr>
        <w:t>Investors and Shareholders – Role: Providing financial investment for the project and expecting a return on their investment. Responsibility: Monitoring the financial performance and growth of the project. Benefit: Fiscal stability and potential market growth. Challenge: Uncertainty about the project’s market performance</w:t>
      </w:r>
      <w:r w:rsidR="0036306E">
        <w:rPr>
          <w:rFonts w:ascii="Arial" w:eastAsia="Times New Roman" w:hAnsi="Arial" w:cs="Arial"/>
          <w:color w:val="000000"/>
          <w:kern w:val="0"/>
          <w:sz w:val="24"/>
          <w:szCs w:val="24"/>
          <w:bdr w:val="single" w:sz="2" w:space="0" w:color="E5E7EB" w:frame="1"/>
          <w:lang w:eastAsia="en-GB"/>
        </w:rPr>
        <w:t>.</w:t>
      </w:r>
    </w:p>
    <w:p w14:paraId="1EA75F0A" w14:textId="77777777" w:rsidR="00F871B8" w:rsidRDefault="00F871B8" w:rsidP="00A940E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54E06E74" w14:textId="77777777" w:rsidR="00E4127D" w:rsidRDefault="00F871B8" w:rsidP="00A940EE">
      <w:pPr>
        <w:suppressAutoHyphens w:val="0"/>
        <w:autoSpaceDN/>
        <w:spacing w:after="0" w:line="360" w:lineRule="auto"/>
        <w:rPr>
          <w:rFonts w:ascii="Arial" w:hAnsi="Arial" w:cs="Arial"/>
          <w:color w:val="000000"/>
          <w:sz w:val="24"/>
          <w:szCs w:val="24"/>
          <w:bdr w:val="single" w:sz="2" w:space="0" w:color="E5E7EB" w:frame="1"/>
        </w:rPr>
      </w:pPr>
      <w:bookmarkStart w:id="4" w:name="_Hlk214096338"/>
      <w:r w:rsidRPr="00F871B8">
        <w:rPr>
          <w:rFonts w:ascii="Arial" w:hAnsi="Arial" w:cs="Arial"/>
          <w:b/>
          <w:bCs/>
          <w:color w:val="000000"/>
          <w:sz w:val="24"/>
          <w:szCs w:val="24"/>
          <w:bdr w:val="single" w:sz="2" w:space="0" w:color="E5E7EB" w:frame="1"/>
        </w:rPr>
        <w:t>Frameworks, Models and Theories for Stakeholder Engagement</w:t>
      </w:r>
      <w:r w:rsidRPr="00F871B8">
        <w:rPr>
          <w:rFonts w:ascii="Arial" w:hAnsi="Arial" w:cs="Arial"/>
          <w:color w:val="000000"/>
          <w:sz w:val="24"/>
          <w:szCs w:val="24"/>
          <w:bdr w:val="single" w:sz="2" w:space="0" w:color="E5E7EB" w:frame="1"/>
        </w:rPr>
        <w:t xml:space="preserve"> </w:t>
      </w:r>
      <w:bookmarkEnd w:id="4"/>
      <w:r w:rsidRPr="00F871B8">
        <w:rPr>
          <w:rFonts w:ascii="Arial" w:hAnsi="Arial" w:cs="Arial"/>
          <w:color w:val="000000"/>
          <w:sz w:val="24"/>
          <w:szCs w:val="24"/>
        </w:rPr>
        <w:br/>
      </w:r>
      <w:r w:rsidRPr="00F871B8">
        <w:rPr>
          <w:rFonts w:ascii="Arial" w:hAnsi="Arial" w:cs="Arial"/>
          <w:color w:val="000000"/>
          <w:sz w:val="24"/>
          <w:szCs w:val="24"/>
          <w:bdr w:val="single" w:sz="2" w:space="0" w:color="E5E7EB" w:frame="1"/>
        </w:rPr>
        <w:t xml:space="preserve">Bupa’s new wearable health device project will have to ensure the engagement of </w:t>
      </w:r>
      <w:r w:rsidRPr="00F871B8">
        <w:rPr>
          <w:rFonts w:ascii="Arial" w:hAnsi="Arial" w:cs="Arial"/>
          <w:color w:val="000000"/>
          <w:sz w:val="24"/>
          <w:szCs w:val="24"/>
          <w:bdr w:val="single" w:sz="2" w:space="0" w:color="E5E7EB" w:frame="1"/>
        </w:rPr>
        <w:lastRenderedPageBreak/>
        <w:t>different stakeholders whose interests are impacted by the decisions made by the organisation.</w:t>
      </w:r>
      <w:r>
        <w:rPr>
          <w:rFonts w:ascii="Arial" w:hAnsi="Arial" w:cs="Arial"/>
          <w:color w:val="000000"/>
          <w:sz w:val="24"/>
          <w:szCs w:val="24"/>
          <w:bdr w:val="single" w:sz="2" w:space="0" w:color="E5E7EB" w:frame="1"/>
        </w:rPr>
        <w:t xml:space="preserve"> A</w:t>
      </w:r>
      <w:r w:rsidRPr="00F871B8">
        <w:rPr>
          <w:rFonts w:ascii="Arial" w:hAnsi="Arial" w:cs="Arial"/>
          <w:color w:val="000000"/>
          <w:sz w:val="24"/>
          <w:szCs w:val="24"/>
          <w:bdr w:val="single" w:sz="2" w:space="0" w:color="E5E7EB" w:frame="1"/>
        </w:rPr>
        <w:t xml:space="preserve">re </w:t>
      </w:r>
      <w:r>
        <w:rPr>
          <w:rFonts w:ascii="Arial" w:hAnsi="Arial" w:cs="Arial"/>
          <w:color w:val="000000"/>
          <w:sz w:val="24"/>
          <w:szCs w:val="24"/>
          <w:bdr w:val="single" w:sz="2" w:space="0" w:color="E5E7EB" w:frame="1"/>
        </w:rPr>
        <w:t>some</w:t>
      </w:r>
      <w:r w:rsidRPr="00F871B8">
        <w:rPr>
          <w:rFonts w:ascii="Arial" w:hAnsi="Arial" w:cs="Arial"/>
          <w:color w:val="000000"/>
          <w:sz w:val="24"/>
          <w:szCs w:val="24"/>
          <w:bdr w:val="single" w:sz="2" w:space="0" w:color="E5E7EB" w:frame="1"/>
        </w:rPr>
        <w:t xml:space="preserve"> steps that help with stakeholder relationship management, including identification of all stakeholders, prioritisation of their importance, visualisation through stakeholder mapping, engagement through communication and the monitoring of engagement impact. The latter can be used to identify relevant mechanisms including the stakeholder matrix, the engagement plan, the communication plan and the RACI matrix.</w:t>
      </w:r>
      <w:r w:rsidRPr="00F871B8">
        <w:rPr>
          <w:rFonts w:ascii="Arial" w:hAnsi="Arial" w:cs="Arial"/>
          <w:color w:val="000000"/>
          <w:sz w:val="24"/>
          <w:szCs w:val="24"/>
        </w:rPr>
        <w:br/>
      </w:r>
      <w:r w:rsidRPr="00F871B8">
        <w:rPr>
          <w:rFonts w:ascii="Arial" w:hAnsi="Arial" w:cs="Arial"/>
          <w:color w:val="000000"/>
          <w:sz w:val="24"/>
          <w:szCs w:val="24"/>
        </w:rPr>
        <w:br/>
      </w:r>
      <w:r w:rsidRPr="00F871B8">
        <w:rPr>
          <w:rFonts w:ascii="Arial" w:hAnsi="Arial" w:cs="Arial"/>
          <w:b/>
          <w:bCs/>
          <w:color w:val="000000"/>
          <w:sz w:val="24"/>
          <w:szCs w:val="24"/>
          <w:bdr w:val="single" w:sz="2" w:space="0" w:color="E5E7EB" w:frame="1"/>
        </w:rPr>
        <w:t>A stakeholder matrix</w:t>
      </w:r>
      <w:r w:rsidRPr="00F871B8">
        <w:rPr>
          <w:rFonts w:ascii="Arial" w:hAnsi="Arial" w:cs="Arial"/>
          <w:color w:val="000000"/>
          <w:sz w:val="24"/>
          <w:szCs w:val="24"/>
          <w:bdr w:val="single" w:sz="2" w:space="0" w:color="E5E7EB" w:frame="1"/>
        </w:rPr>
        <w:t xml:space="preserve"> is a two-dimensional chart that will show the relevant stakeholders of Bupa’s project according to their level of power and interest in the project. The stakeholders will be mapped into quadrants, for example, “high power, high interest” or “low power, low interest,” and an appropriate engagement approach will be identified. Regulatory bodies and executive management are likely to be part of the high-power, high-interest quadrant and will, therefore, need a high level of engagement, perhaps through regular progress reports and project meetings. General consumers will be better served by an informative engagement approach, which will be less </w:t>
      </w:r>
      <w:proofErr w:type="gramStart"/>
      <w:r w:rsidRPr="00F871B8">
        <w:rPr>
          <w:rFonts w:ascii="Arial" w:hAnsi="Arial" w:cs="Arial"/>
          <w:color w:val="000000"/>
          <w:sz w:val="24"/>
          <w:szCs w:val="24"/>
          <w:bdr w:val="single" w:sz="2" w:space="0" w:color="E5E7EB" w:frame="1"/>
        </w:rPr>
        <w:t>time-intensive</w:t>
      </w:r>
      <w:proofErr w:type="gramEnd"/>
      <w:r w:rsidRPr="00F871B8">
        <w:rPr>
          <w:rFonts w:ascii="Arial" w:hAnsi="Arial" w:cs="Arial"/>
          <w:color w:val="000000"/>
          <w:sz w:val="24"/>
          <w:szCs w:val="24"/>
          <w:bdr w:val="single" w:sz="2" w:space="0" w:color="E5E7EB" w:frame="1"/>
        </w:rPr>
        <w:t>. This approach acknowledges the inherent value of each of the stakeholder groups, which is at the heart of Stakeholder Theory (Freeman, Phillips and Wicks, 2003) and also helps to balance the interests of different stakeholder groups, which is the key argument of Bowie (1991) for Stakeholder Theory.</w:t>
      </w:r>
      <w:r w:rsidRPr="00F871B8">
        <w:rPr>
          <w:rFonts w:ascii="Arial" w:hAnsi="Arial" w:cs="Arial"/>
          <w:color w:val="000000"/>
          <w:sz w:val="24"/>
          <w:szCs w:val="24"/>
        </w:rPr>
        <w:br/>
      </w:r>
      <w:r w:rsidRPr="00F871B8">
        <w:rPr>
          <w:rFonts w:ascii="Arial" w:hAnsi="Arial" w:cs="Arial"/>
          <w:color w:val="000000"/>
          <w:sz w:val="24"/>
          <w:szCs w:val="24"/>
        </w:rPr>
        <w:br/>
      </w:r>
      <w:r w:rsidRPr="00F871B8">
        <w:rPr>
          <w:rFonts w:ascii="Arial" w:hAnsi="Arial" w:cs="Arial"/>
          <w:b/>
          <w:bCs/>
          <w:color w:val="000000"/>
          <w:sz w:val="24"/>
          <w:szCs w:val="24"/>
          <w:bdr w:val="single" w:sz="2" w:space="0" w:color="E5E7EB" w:frame="1"/>
        </w:rPr>
        <w:t>The engagement plan</w:t>
      </w:r>
      <w:r w:rsidRPr="00F871B8">
        <w:rPr>
          <w:rFonts w:ascii="Arial" w:hAnsi="Arial" w:cs="Arial"/>
          <w:color w:val="000000"/>
          <w:sz w:val="24"/>
          <w:szCs w:val="24"/>
          <w:bdr w:val="single" w:sz="2" w:space="0" w:color="E5E7EB" w:frame="1"/>
        </w:rPr>
        <w:t xml:space="preserve"> translates the matrix into a practical document that defines the details of engaging each of the identified stakeholders. As the presentation outlines, this </w:t>
      </w:r>
      <w:proofErr w:type="gramStart"/>
      <w:r w:rsidRPr="00F871B8">
        <w:rPr>
          <w:rFonts w:ascii="Arial" w:hAnsi="Arial" w:cs="Arial"/>
          <w:color w:val="000000"/>
          <w:sz w:val="24"/>
          <w:szCs w:val="24"/>
          <w:bdr w:val="single" w:sz="2" w:space="0" w:color="E5E7EB" w:frame="1"/>
        </w:rPr>
        <w:t>has to</w:t>
      </w:r>
      <w:proofErr w:type="gramEnd"/>
      <w:r w:rsidRPr="00F871B8">
        <w:rPr>
          <w:rFonts w:ascii="Arial" w:hAnsi="Arial" w:cs="Arial"/>
          <w:color w:val="000000"/>
          <w:sz w:val="24"/>
          <w:szCs w:val="24"/>
          <w:bdr w:val="single" w:sz="2" w:space="0" w:color="E5E7EB" w:frame="1"/>
        </w:rPr>
        <w:t xml:space="preserve"> be done through communication to build trust and foster understanding, which must be seen as an ongoing process. For example, the engagement plan may identify performance indicators that will be used to determine the success of the engagement of each of the stakeholders.</w:t>
      </w:r>
      <w:r w:rsidRPr="00F871B8">
        <w:rPr>
          <w:rFonts w:ascii="Arial" w:hAnsi="Arial" w:cs="Arial"/>
          <w:color w:val="000000"/>
          <w:sz w:val="24"/>
          <w:szCs w:val="24"/>
        </w:rPr>
        <w:br/>
      </w:r>
      <w:r w:rsidRPr="00F871B8">
        <w:rPr>
          <w:rFonts w:ascii="Arial" w:hAnsi="Arial" w:cs="Arial"/>
          <w:color w:val="000000"/>
          <w:sz w:val="24"/>
          <w:szCs w:val="24"/>
        </w:rPr>
        <w:br/>
      </w:r>
      <w:r w:rsidRPr="00F871B8">
        <w:rPr>
          <w:rFonts w:ascii="Arial" w:hAnsi="Arial" w:cs="Arial"/>
          <w:b/>
          <w:bCs/>
          <w:color w:val="000000"/>
          <w:sz w:val="24"/>
          <w:szCs w:val="24"/>
          <w:bdr w:val="single" w:sz="2" w:space="0" w:color="E5E7EB" w:frame="1"/>
        </w:rPr>
        <w:t>The communication plan</w:t>
      </w:r>
      <w:r w:rsidRPr="00F871B8">
        <w:rPr>
          <w:rFonts w:ascii="Arial" w:hAnsi="Arial" w:cs="Arial"/>
          <w:color w:val="000000"/>
          <w:sz w:val="24"/>
          <w:szCs w:val="24"/>
          <w:bdr w:val="single" w:sz="2" w:space="0" w:color="E5E7EB" w:frame="1"/>
        </w:rPr>
        <w:t xml:space="preserve"> is also required to ensure transparency and a lack of ambiguity in </w:t>
      </w:r>
      <w:proofErr w:type="gramStart"/>
      <w:r w:rsidRPr="00F871B8">
        <w:rPr>
          <w:rFonts w:ascii="Arial" w:hAnsi="Arial" w:cs="Arial"/>
          <w:color w:val="000000"/>
          <w:sz w:val="24"/>
          <w:szCs w:val="24"/>
          <w:bdr w:val="single" w:sz="2" w:space="0" w:color="E5E7EB" w:frame="1"/>
        </w:rPr>
        <w:t>all of</w:t>
      </w:r>
      <w:proofErr w:type="gramEnd"/>
      <w:r w:rsidRPr="00F871B8">
        <w:rPr>
          <w:rFonts w:ascii="Arial" w:hAnsi="Arial" w:cs="Arial"/>
          <w:color w:val="000000"/>
          <w:sz w:val="24"/>
          <w:szCs w:val="24"/>
          <w:bdr w:val="single" w:sz="2" w:space="0" w:color="E5E7EB" w:frame="1"/>
        </w:rPr>
        <w:t xml:space="preserve"> the communications. It will include </w:t>
      </w:r>
      <w:proofErr w:type="gramStart"/>
      <w:r w:rsidRPr="00F871B8">
        <w:rPr>
          <w:rFonts w:ascii="Arial" w:hAnsi="Arial" w:cs="Arial"/>
          <w:color w:val="000000"/>
          <w:sz w:val="24"/>
          <w:szCs w:val="24"/>
          <w:bdr w:val="single" w:sz="2" w:space="0" w:color="E5E7EB" w:frame="1"/>
        </w:rPr>
        <w:t>all of</w:t>
      </w:r>
      <w:proofErr w:type="gramEnd"/>
      <w:r w:rsidRPr="00F871B8">
        <w:rPr>
          <w:rFonts w:ascii="Arial" w:hAnsi="Arial" w:cs="Arial"/>
          <w:color w:val="000000"/>
          <w:sz w:val="24"/>
          <w:szCs w:val="24"/>
          <w:bdr w:val="single" w:sz="2" w:space="0" w:color="E5E7EB" w:frame="1"/>
        </w:rPr>
        <w:t xml:space="preserve"> the details about mode, frequency and individuals responsible for each stakeholder. Network Analysis Theory (Nohria, 1992) is used to understand the patterns of communication and the interrelationships between groups of stakeholders in an organisation as a form of network </w:t>
      </w:r>
      <w:r w:rsidRPr="00F871B8">
        <w:rPr>
          <w:rFonts w:ascii="Arial" w:hAnsi="Arial" w:cs="Arial"/>
          <w:color w:val="000000"/>
          <w:sz w:val="24"/>
          <w:szCs w:val="24"/>
          <w:bdr w:val="single" w:sz="2" w:space="0" w:color="E5E7EB" w:frame="1"/>
        </w:rPr>
        <w:lastRenderedPageBreak/>
        <w:t>and it is important to note that these networks can have important consequences for organisational behaviour and outcomes.</w:t>
      </w:r>
    </w:p>
    <w:p w14:paraId="0208ED87" w14:textId="77777777" w:rsidR="00C654A7" w:rsidRDefault="00C654A7" w:rsidP="00A940EE">
      <w:pPr>
        <w:suppressAutoHyphens w:val="0"/>
        <w:autoSpaceDN/>
        <w:spacing w:after="0" w:line="360" w:lineRule="auto"/>
        <w:rPr>
          <w:rFonts w:ascii="Arial" w:hAnsi="Arial" w:cs="Arial"/>
          <w:color w:val="000000"/>
          <w:sz w:val="24"/>
          <w:szCs w:val="24"/>
          <w:bdr w:val="single" w:sz="2" w:space="0" w:color="E5E7EB" w:frame="1"/>
        </w:rPr>
      </w:pPr>
    </w:p>
    <w:p w14:paraId="6162DD59" w14:textId="0B02E50E" w:rsidR="00C654A7" w:rsidRDefault="00C654A7" w:rsidP="00A940EE">
      <w:pPr>
        <w:suppressAutoHyphens w:val="0"/>
        <w:autoSpaceDN/>
        <w:spacing w:after="0" w:line="360" w:lineRule="auto"/>
        <w:rPr>
          <w:rFonts w:ascii="Arial" w:hAnsi="Arial" w:cs="Arial"/>
          <w:color w:val="000000"/>
          <w:sz w:val="24"/>
          <w:szCs w:val="24"/>
          <w:bdr w:val="single" w:sz="2" w:space="0" w:color="E5E7EB" w:frame="1"/>
        </w:rPr>
      </w:pPr>
      <w:r w:rsidRPr="00F871B8">
        <w:rPr>
          <w:rFonts w:ascii="Arial" w:hAnsi="Arial" w:cs="Arial"/>
          <w:color w:val="000000"/>
          <w:sz w:val="24"/>
          <w:szCs w:val="24"/>
          <w:bdr w:val="single" w:sz="2" w:space="0" w:color="E5E7EB" w:frame="1"/>
        </w:rPr>
        <w:t xml:space="preserve">Finally, </w:t>
      </w:r>
      <w:r w:rsidRPr="00F871B8">
        <w:rPr>
          <w:rFonts w:ascii="Arial" w:hAnsi="Arial" w:cs="Arial"/>
          <w:b/>
          <w:bCs/>
          <w:color w:val="000000"/>
          <w:sz w:val="24"/>
          <w:szCs w:val="24"/>
          <w:bdr w:val="single" w:sz="2" w:space="0" w:color="E5E7EB" w:frame="1"/>
        </w:rPr>
        <w:t>the RACI matrix</w:t>
      </w:r>
      <w:r w:rsidRPr="00F871B8">
        <w:rPr>
          <w:rFonts w:ascii="Arial" w:hAnsi="Arial" w:cs="Arial"/>
          <w:color w:val="000000"/>
          <w:sz w:val="24"/>
          <w:szCs w:val="24"/>
          <w:bdr w:val="single" w:sz="2" w:space="0" w:color="E5E7EB" w:frame="1"/>
        </w:rPr>
        <w:t xml:space="preserve"> </w:t>
      </w:r>
      <w:r w:rsidR="003743F0">
        <w:rPr>
          <w:rFonts w:ascii="Arial" w:hAnsi="Arial" w:cs="Arial"/>
          <w:color w:val="000000"/>
          <w:sz w:val="24"/>
          <w:szCs w:val="24"/>
          <w:bdr w:val="single" w:sz="2" w:space="0" w:color="E5E7EB" w:frame="1"/>
        </w:rPr>
        <w:t xml:space="preserve">(refer fig 4) </w:t>
      </w:r>
      <w:r w:rsidRPr="00F871B8">
        <w:rPr>
          <w:rFonts w:ascii="Arial" w:hAnsi="Arial" w:cs="Arial"/>
          <w:color w:val="000000"/>
          <w:sz w:val="24"/>
          <w:szCs w:val="24"/>
          <w:bdr w:val="single" w:sz="2" w:space="0" w:color="E5E7EB" w:frame="1"/>
        </w:rPr>
        <w:t xml:space="preserve">is an approach for clearly defining the roles and responsibilities of each of the stakeholders in the project. This is particularly important for avoiding any uncertainty and confusion in the decision-making processes for the project. This is especially important when it comes to collaborating with other stakeholders. Resource Dependence Theory (Pfeffer and </w:t>
      </w:r>
      <w:proofErr w:type="spellStart"/>
      <w:r w:rsidRPr="00F871B8">
        <w:rPr>
          <w:rFonts w:ascii="Arial" w:hAnsi="Arial" w:cs="Arial"/>
          <w:color w:val="000000"/>
          <w:sz w:val="24"/>
          <w:szCs w:val="24"/>
          <w:bdr w:val="single" w:sz="2" w:space="0" w:color="E5E7EB" w:frame="1"/>
        </w:rPr>
        <w:t>Salancik</w:t>
      </w:r>
      <w:proofErr w:type="spellEnd"/>
      <w:r w:rsidRPr="00F871B8">
        <w:rPr>
          <w:rFonts w:ascii="Arial" w:hAnsi="Arial" w:cs="Arial"/>
          <w:color w:val="000000"/>
          <w:sz w:val="24"/>
          <w:szCs w:val="24"/>
          <w:bdr w:val="single" w:sz="2" w:space="0" w:color="E5E7EB" w:frame="1"/>
        </w:rPr>
        <w:t>, 1978) can be used to argue that each of the stakeholders can have access to specific resources (expertise, decision-making power, technology, funding, etc.) that will be required by the organisation at different stages of its product development life cycle. Their roles are to help the organisation access these resources as w</w:t>
      </w:r>
      <w:r w:rsidR="003743F0" w:rsidRPr="00F871B8">
        <w:rPr>
          <w:rFonts w:ascii="Arial" w:hAnsi="Arial" w:cs="Arial"/>
          <w:color w:val="000000"/>
          <w:sz w:val="24"/>
          <w:szCs w:val="24"/>
          <w:bdr w:val="single" w:sz="2" w:space="0" w:color="E5E7EB" w:frame="1"/>
        </w:rPr>
        <w:t>ell as to legitimate the organisation.</w:t>
      </w:r>
      <w:r w:rsidR="003743F0">
        <w:rPr>
          <w:rFonts w:ascii="Arial" w:hAnsi="Arial" w:cs="Arial"/>
          <w:noProof/>
          <w:color w:val="000000"/>
          <w:sz w:val="24"/>
          <w:szCs w:val="24"/>
        </w:rPr>
        <w:drawing>
          <wp:inline distT="0" distB="0" distL="0" distR="0" wp14:anchorId="0F0B8FC1" wp14:editId="7D7D6479">
            <wp:extent cx="5731510" cy="3246755"/>
            <wp:effectExtent l="0" t="0" r="2540" b="0"/>
            <wp:docPr id="110972209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722095" name="Picture 2"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246755"/>
                    </a:xfrm>
                    <a:prstGeom prst="rect">
                      <a:avLst/>
                    </a:prstGeom>
                  </pic:spPr>
                </pic:pic>
              </a:graphicData>
            </a:graphic>
          </wp:inline>
        </w:drawing>
      </w:r>
    </w:p>
    <w:p w14:paraId="5A3C71C4" w14:textId="105985D0" w:rsidR="00E4127D" w:rsidRDefault="003743F0" w:rsidP="00A940EE">
      <w:pPr>
        <w:suppressAutoHyphens w:val="0"/>
        <w:autoSpaceDN/>
        <w:spacing w:after="0" w:line="360" w:lineRule="auto"/>
        <w:rPr>
          <w:rFonts w:ascii="Arial" w:hAnsi="Arial" w:cs="Arial"/>
          <w:color w:val="000000"/>
          <w:sz w:val="24"/>
          <w:szCs w:val="24"/>
          <w:bdr w:val="single" w:sz="2" w:space="0" w:color="E5E7EB" w:frame="1"/>
        </w:rPr>
      </w:pPr>
      <w:r>
        <w:rPr>
          <w:rFonts w:ascii="Arial" w:hAnsi="Arial" w:cs="Arial"/>
          <w:color w:val="000000"/>
          <w:sz w:val="24"/>
          <w:szCs w:val="24"/>
          <w:bdr w:val="single" w:sz="2" w:space="0" w:color="E5E7EB" w:frame="1"/>
        </w:rPr>
        <w:t>Fig 4. RACI</w:t>
      </w:r>
      <w:r w:rsidR="00F871B8" w:rsidRPr="00F871B8">
        <w:rPr>
          <w:rFonts w:ascii="Arial" w:hAnsi="Arial" w:cs="Arial"/>
          <w:color w:val="000000"/>
          <w:sz w:val="24"/>
          <w:szCs w:val="24"/>
        </w:rPr>
        <w:br/>
      </w:r>
    </w:p>
    <w:p w14:paraId="6DF7E4BB" w14:textId="77777777" w:rsidR="001F2EB2" w:rsidRDefault="001F2EB2" w:rsidP="00A940EE">
      <w:pPr>
        <w:suppressAutoHyphens w:val="0"/>
        <w:autoSpaceDN/>
        <w:spacing w:after="0" w:line="360" w:lineRule="auto"/>
        <w:rPr>
          <w:rFonts w:ascii="Arial" w:hAnsi="Arial" w:cs="Arial"/>
          <w:color w:val="000000"/>
          <w:sz w:val="24"/>
          <w:szCs w:val="24"/>
          <w:bdr w:val="single" w:sz="2" w:space="0" w:color="E5E7EB" w:frame="1"/>
        </w:rPr>
      </w:pPr>
    </w:p>
    <w:p w14:paraId="250C2241" w14:textId="5CF8E465" w:rsidR="00F15ADB" w:rsidRDefault="00F15ADB" w:rsidP="00A940EE">
      <w:pPr>
        <w:suppressAutoHyphens w:val="0"/>
        <w:autoSpaceDN/>
        <w:spacing w:after="0" w:line="360" w:lineRule="auto"/>
        <w:rPr>
          <w:rFonts w:ascii="Arial" w:hAnsi="Arial" w:cs="Arial"/>
          <w:color w:val="000000"/>
          <w:sz w:val="24"/>
          <w:szCs w:val="24"/>
          <w:bdr w:val="single" w:sz="2" w:space="0" w:color="E5E7EB" w:frame="1"/>
        </w:rPr>
      </w:pPr>
    </w:p>
    <w:p w14:paraId="1DB66DCE" w14:textId="3D72AFDA" w:rsidR="0036306E" w:rsidRPr="00F15ADB" w:rsidRDefault="00F15ADB" w:rsidP="0036306E">
      <w:pPr>
        <w:suppressAutoHyphens w:val="0"/>
        <w:autoSpaceDN/>
        <w:spacing w:after="0" w:line="360" w:lineRule="auto"/>
        <w:rPr>
          <w:rFonts w:ascii="Arial" w:eastAsia="Times New Roman" w:hAnsi="Arial" w:cs="Arial"/>
          <w:b/>
          <w:bCs/>
          <w:color w:val="000000"/>
          <w:kern w:val="0"/>
          <w:sz w:val="24"/>
          <w:szCs w:val="24"/>
          <w:bdr w:val="single" w:sz="2" w:space="0" w:color="E5E7EB" w:frame="1"/>
          <w:lang w:eastAsia="en-GB"/>
        </w:rPr>
      </w:pPr>
      <w:bookmarkStart w:id="5" w:name="_Hlk214096389"/>
      <w:r w:rsidRPr="00F15ADB">
        <w:rPr>
          <w:rFonts w:ascii="Arial" w:hAnsi="Arial" w:cs="Arial"/>
          <w:b/>
          <w:bCs/>
          <w:sz w:val="24"/>
          <w:szCs w:val="24"/>
        </w:rPr>
        <w:t>Stakeholder Engagement and Conflict Management Using the 4C’s Model</w:t>
      </w:r>
    </w:p>
    <w:bookmarkEnd w:id="5"/>
    <w:p w14:paraId="238EA17B" w14:textId="16E6655A" w:rsidR="00F15ADB" w:rsidRDefault="00F15ADB" w:rsidP="0036306E">
      <w:pPr>
        <w:suppressAutoHyphens w:val="0"/>
        <w:autoSpaceDN/>
        <w:spacing w:after="0" w:line="360" w:lineRule="auto"/>
        <w:rPr>
          <w:rFonts w:ascii="Arial" w:hAnsi="Arial" w:cs="Arial"/>
          <w:color w:val="000000"/>
          <w:sz w:val="24"/>
          <w:szCs w:val="24"/>
          <w:bdr w:val="single" w:sz="2" w:space="0" w:color="E5E7EB" w:frame="1"/>
        </w:rPr>
      </w:pPr>
      <w:r w:rsidRPr="00F15ADB">
        <w:rPr>
          <w:rFonts w:ascii="Arial" w:hAnsi="Arial" w:cs="Arial"/>
          <w:color w:val="000000"/>
          <w:sz w:val="24"/>
          <w:szCs w:val="24"/>
          <w:bdr w:val="single" w:sz="2" w:space="0" w:color="E5E7EB" w:frame="1"/>
        </w:rPr>
        <w:t xml:space="preserve">Key stakeholder groups for this project include the project team, healthcare professionals, end users or customers, suppliers, and regulatory bodies. As the project </w:t>
      </w:r>
      <w:r w:rsidRPr="00F15ADB">
        <w:rPr>
          <w:rFonts w:ascii="Arial" w:hAnsi="Arial" w:cs="Arial"/>
          <w:color w:val="000000"/>
          <w:sz w:val="24"/>
          <w:szCs w:val="24"/>
          <w:bdr w:val="single" w:sz="2" w:space="0" w:color="E5E7EB" w:frame="1"/>
        </w:rPr>
        <w:lastRenderedPageBreak/>
        <w:t>manager, it is important for me to consider proactive approaches to both engage these key stakeholders and identify and manage any potential conflicts before they arise. A practical and useful model to guide this process is the 4C’s Model, which encompasses Communication, Coordination, Cooperation, and Collaboration (Lau, 2014).</w:t>
      </w:r>
      <w:r w:rsidRPr="00F15ADB">
        <w:rPr>
          <w:rFonts w:ascii="Arial" w:hAnsi="Arial" w:cs="Arial"/>
          <w:color w:val="000000"/>
          <w:sz w:val="24"/>
          <w:szCs w:val="24"/>
        </w:rPr>
        <w:br/>
      </w:r>
      <w:r w:rsidRPr="00F15ADB">
        <w:rPr>
          <w:rFonts w:ascii="Arial" w:hAnsi="Arial" w:cs="Arial"/>
          <w:color w:val="000000"/>
          <w:sz w:val="24"/>
          <w:szCs w:val="24"/>
        </w:rPr>
        <w:br/>
      </w:r>
      <w:r w:rsidRPr="00F15ADB">
        <w:rPr>
          <w:rFonts w:ascii="Arial" w:hAnsi="Arial" w:cs="Arial"/>
          <w:color w:val="000000"/>
          <w:sz w:val="24"/>
          <w:szCs w:val="24"/>
          <w:bdr w:val="single" w:sz="2" w:space="0" w:color="E5E7EB" w:frame="1"/>
        </w:rPr>
        <w:t xml:space="preserve">The first is </w:t>
      </w:r>
      <w:r w:rsidRPr="00F15ADB">
        <w:rPr>
          <w:rFonts w:ascii="Arial" w:hAnsi="Arial" w:cs="Arial"/>
          <w:b/>
          <w:bCs/>
          <w:color w:val="000000"/>
          <w:sz w:val="24"/>
          <w:szCs w:val="24"/>
          <w:bdr w:val="single" w:sz="2" w:space="0" w:color="E5E7EB" w:frame="1"/>
        </w:rPr>
        <w:t>Communication</w:t>
      </w:r>
      <w:r w:rsidRPr="00F15ADB">
        <w:rPr>
          <w:rFonts w:ascii="Arial" w:hAnsi="Arial" w:cs="Arial"/>
          <w:color w:val="000000"/>
          <w:sz w:val="24"/>
          <w:szCs w:val="24"/>
          <w:bdr w:val="single" w:sz="2" w:space="0" w:color="E5E7EB" w:frame="1"/>
        </w:rPr>
        <w:t>, involves the process of building trust and establishing a common understanding amongst project stakeholders. Freeman (1984) notes that an organisation needs to communicate with any individual or group that affects or is affected by its actions. For Bupa’s wearable device project, the communication plan should outline the key messages to be delivered, including the frequency and medium of communication as well as who is responsible for it. Regular updates and briefings for stakeholders, as well as feedback sessions, would help reduce uncertainty and prevent potential conflicts caused by misinformation or misunderstanding (Mazur and Pisarski, 2015). At the same time, two-way communication and feedback channels would allow stakeholders to raise any concerns early on, which supports conflict resolution and joint ownership.</w:t>
      </w:r>
      <w:r w:rsidRPr="00F15ADB">
        <w:rPr>
          <w:rFonts w:ascii="Arial" w:hAnsi="Arial" w:cs="Arial"/>
          <w:color w:val="000000"/>
          <w:sz w:val="24"/>
          <w:szCs w:val="24"/>
        </w:rPr>
        <w:br/>
      </w:r>
      <w:r w:rsidRPr="00F15ADB">
        <w:rPr>
          <w:rFonts w:ascii="Arial" w:hAnsi="Arial" w:cs="Arial"/>
          <w:color w:val="000000"/>
          <w:sz w:val="24"/>
          <w:szCs w:val="24"/>
        </w:rPr>
        <w:br/>
      </w:r>
      <w:r w:rsidRPr="00F15ADB">
        <w:rPr>
          <w:rFonts w:ascii="Arial" w:hAnsi="Arial" w:cs="Arial"/>
          <w:b/>
          <w:bCs/>
          <w:color w:val="000000"/>
          <w:sz w:val="24"/>
          <w:szCs w:val="24"/>
          <w:bdr w:val="single" w:sz="2" w:space="0" w:color="E5E7EB" w:frame="1"/>
        </w:rPr>
        <w:t>Coordination</w:t>
      </w:r>
      <w:r w:rsidRPr="00F15ADB">
        <w:rPr>
          <w:rFonts w:ascii="Arial" w:hAnsi="Arial" w:cs="Arial"/>
          <w:color w:val="000000"/>
          <w:sz w:val="24"/>
          <w:szCs w:val="24"/>
          <w:bdr w:val="single" w:sz="2" w:space="0" w:color="E5E7EB" w:frame="1"/>
        </w:rPr>
        <w:t xml:space="preserve"> as the second, focuses on linking the actions of different stakeholders and aligning their roles and responsibilities towards achieving project goals in an effective and efficient manner. For the context of an innovative medical technology project, it is crucial to coordinate and integrate clinical requirements, technical specifications, and ethical considerations. Tools like RACI matrix can be employed to assign and clarify roles such as who is Responsible, Accountable, Consulted, and Informed for different tasks to avoid any confusion or duplication of effort (PMI, 2021). Coordination meetings between internal project teams and external suppliers or partners can help in promoting shared accountability and reduce task-based conflicts (Walker, Bourne and Shelley, 2008). In cases of any disagreements, a clear governance structure can facilitate the escalation and resolution of issues in a constructive manner.</w:t>
      </w:r>
      <w:r w:rsidRPr="00F15ADB">
        <w:rPr>
          <w:rFonts w:ascii="Arial" w:hAnsi="Arial" w:cs="Arial"/>
          <w:color w:val="000000"/>
          <w:sz w:val="24"/>
          <w:szCs w:val="24"/>
        </w:rPr>
        <w:br/>
      </w:r>
      <w:r w:rsidRPr="00F15ADB">
        <w:rPr>
          <w:rFonts w:ascii="Arial" w:hAnsi="Arial" w:cs="Arial"/>
          <w:color w:val="000000"/>
          <w:sz w:val="24"/>
          <w:szCs w:val="24"/>
        </w:rPr>
        <w:br/>
      </w:r>
      <w:r w:rsidRPr="00F15ADB">
        <w:rPr>
          <w:rFonts w:ascii="Arial" w:hAnsi="Arial" w:cs="Arial"/>
          <w:color w:val="000000"/>
          <w:sz w:val="24"/>
          <w:szCs w:val="24"/>
          <w:bdr w:val="single" w:sz="2" w:space="0" w:color="E5E7EB" w:frame="1"/>
        </w:rPr>
        <w:t xml:space="preserve">The third is </w:t>
      </w:r>
      <w:r w:rsidRPr="00F15ADB">
        <w:rPr>
          <w:rFonts w:ascii="Arial" w:hAnsi="Arial" w:cs="Arial"/>
          <w:b/>
          <w:bCs/>
          <w:color w:val="000000"/>
          <w:sz w:val="24"/>
          <w:szCs w:val="24"/>
          <w:bdr w:val="single" w:sz="2" w:space="0" w:color="E5E7EB" w:frame="1"/>
        </w:rPr>
        <w:t>Cooperation</w:t>
      </w:r>
      <w:r w:rsidRPr="00F15ADB">
        <w:rPr>
          <w:rFonts w:ascii="Arial" w:hAnsi="Arial" w:cs="Arial"/>
          <w:color w:val="000000"/>
          <w:sz w:val="24"/>
          <w:szCs w:val="24"/>
          <w:bdr w:val="single" w:sz="2" w:space="0" w:color="E5E7EB" w:frame="1"/>
        </w:rPr>
        <w:t xml:space="preserve">, involves building relationships of mutual respect and trust </w:t>
      </w:r>
      <w:r w:rsidRPr="00F15ADB">
        <w:rPr>
          <w:rFonts w:ascii="Arial" w:hAnsi="Arial" w:cs="Arial"/>
          <w:color w:val="000000"/>
          <w:sz w:val="24"/>
          <w:szCs w:val="24"/>
          <w:bdr w:val="single" w:sz="2" w:space="0" w:color="E5E7EB" w:frame="1"/>
        </w:rPr>
        <w:lastRenderedPageBreak/>
        <w:t xml:space="preserve">among project stakeholders. Blau (1964) argues that any cooperative social relationship is based on the norms of reciprocity and fairness. In terms of Bupa’s health technology development, the project team could encourage cooperation by involving healthcare practitioners, patients, and data management specialists </w:t>
      </w:r>
      <w:proofErr w:type="gramStart"/>
      <w:r w:rsidRPr="00F15ADB">
        <w:rPr>
          <w:rFonts w:ascii="Arial" w:hAnsi="Arial" w:cs="Arial"/>
          <w:color w:val="000000"/>
          <w:sz w:val="24"/>
          <w:szCs w:val="24"/>
          <w:bdr w:val="single" w:sz="2" w:space="0" w:color="E5E7EB" w:frame="1"/>
        </w:rPr>
        <w:t>early on in the</w:t>
      </w:r>
      <w:proofErr w:type="gramEnd"/>
      <w:r w:rsidRPr="00F15ADB">
        <w:rPr>
          <w:rFonts w:ascii="Arial" w:hAnsi="Arial" w:cs="Arial"/>
          <w:color w:val="000000"/>
          <w:sz w:val="24"/>
          <w:szCs w:val="24"/>
          <w:bdr w:val="single" w:sz="2" w:space="0" w:color="E5E7EB" w:frame="1"/>
        </w:rPr>
        <w:t xml:space="preserve"> design process to promote a sense of inclusion and reduce resistance to change. Cooperation is also important in managing and resolving conflicts in areas where the project’s commercial and technical objectives may need to be aligned with ethical and regulatory considerations, such as ensuring data privacy. Potential conflicts at this stage can be constructively managed through negotiation and compromise to ensure that the final decisions reflect shared values like patient safety and innovation (Jehn and Bendersky, 2003).</w:t>
      </w:r>
      <w:r w:rsidRPr="00F15ADB">
        <w:rPr>
          <w:rFonts w:ascii="Arial" w:hAnsi="Arial" w:cs="Arial"/>
          <w:color w:val="000000"/>
          <w:sz w:val="24"/>
          <w:szCs w:val="24"/>
        </w:rPr>
        <w:br/>
      </w:r>
      <w:r w:rsidRPr="00F15ADB">
        <w:rPr>
          <w:rFonts w:ascii="Arial" w:hAnsi="Arial" w:cs="Arial"/>
          <w:color w:val="000000"/>
          <w:sz w:val="24"/>
          <w:szCs w:val="24"/>
        </w:rPr>
        <w:br/>
      </w:r>
      <w:r w:rsidRPr="00F15ADB">
        <w:rPr>
          <w:rFonts w:ascii="Arial" w:hAnsi="Arial" w:cs="Arial"/>
          <w:color w:val="000000"/>
          <w:sz w:val="24"/>
          <w:szCs w:val="24"/>
          <w:bdr w:val="single" w:sz="2" w:space="0" w:color="E5E7EB" w:frame="1"/>
        </w:rPr>
        <w:t xml:space="preserve">Finally, </w:t>
      </w:r>
      <w:r w:rsidRPr="00F15ADB">
        <w:rPr>
          <w:rFonts w:ascii="Arial" w:hAnsi="Arial" w:cs="Arial"/>
          <w:b/>
          <w:bCs/>
          <w:color w:val="000000"/>
          <w:sz w:val="24"/>
          <w:szCs w:val="24"/>
          <w:bdr w:val="single" w:sz="2" w:space="0" w:color="E5E7EB" w:frame="1"/>
        </w:rPr>
        <w:t>Collaboration</w:t>
      </w:r>
      <w:r w:rsidRPr="00F15ADB">
        <w:rPr>
          <w:rFonts w:ascii="Arial" w:hAnsi="Arial" w:cs="Arial"/>
          <w:color w:val="000000"/>
          <w:sz w:val="24"/>
          <w:szCs w:val="24"/>
          <w:bdr w:val="single" w:sz="2" w:space="0" w:color="E5E7EB" w:frame="1"/>
        </w:rPr>
        <w:t xml:space="preserve"> as the </w:t>
      </w:r>
      <w:proofErr w:type="gramStart"/>
      <w:r w:rsidRPr="00F15ADB">
        <w:rPr>
          <w:rFonts w:ascii="Arial" w:hAnsi="Arial" w:cs="Arial"/>
          <w:color w:val="000000"/>
          <w:sz w:val="24"/>
          <w:szCs w:val="24"/>
          <w:bdr w:val="single" w:sz="2" w:space="0" w:color="E5E7EB" w:frame="1"/>
        </w:rPr>
        <w:t>last  of</w:t>
      </w:r>
      <w:proofErr w:type="gramEnd"/>
      <w:r w:rsidRPr="00F15ADB">
        <w:rPr>
          <w:rFonts w:ascii="Arial" w:hAnsi="Arial" w:cs="Arial"/>
          <w:color w:val="000000"/>
          <w:sz w:val="24"/>
          <w:szCs w:val="24"/>
          <w:bdr w:val="single" w:sz="2" w:space="0" w:color="E5E7EB" w:frame="1"/>
        </w:rPr>
        <w:t xml:space="preserve"> the model refers to stakeholders engaging in joint decision-making and sharing accountability for project outcomes. Collaboration also facilitates innovation and builds long-term relationships (Bryson, Crosby and Stone, 2015). In this project, collaboration could be implemented by forming cross-functional teams that include clinical experts, IT developers, and legal or regulatory advisors. The teams could be charged with generating and evaluating ideas for the device’s features, with a diverse set of stakeholders involved in the decision-making process. When conflicts do arise, collaborative approaches like integrative negotiation and joint problem-solving can be used to encourage dialogue and shared ownership of solutions, thus transforming a potential win-lose situation into a win-win opportunity for the project (Rahim, 2011).</w:t>
      </w:r>
      <w:r w:rsidRPr="00F15ADB">
        <w:rPr>
          <w:rFonts w:ascii="Arial" w:hAnsi="Arial" w:cs="Arial"/>
          <w:color w:val="000000"/>
          <w:sz w:val="24"/>
          <w:szCs w:val="24"/>
        </w:rPr>
        <w:br/>
      </w:r>
      <w:r w:rsidRPr="00F15ADB">
        <w:rPr>
          <w:rFonts w:ascii="Arial" w:hAnsi="Arial" w:cs="Arial"/>
          <w:color w:val="000000"/>
          <w:sz w:val="24"/>
          <w:szCs w:val="24"/>
        </w:rPr>
        <w:br/>
      </w:r>
      <w:r w:rsidRPr="00F15ADB">
        <w:rPr>
          <w:rFonts w:ascii="Arial" w:hAnsi="Arial" w:cs="Arial"/>
          <w:color w:val="000000"/>
          <w:sz w:val="24"/>
          <w:szCs w:val="24"/>
          <w:bdr w:val="single" w:sz="2" w:space="0" w:color="E5E7EB" w:frame="1"/>
        </w:rPr>
        <w:t xml:space="preserve">From a theoretical perspective, Resource Dependence Theory also supports this collaborative approach by recognising that such partnerships and networks also strengthen the project’s access to resources like specialist knowledge and legitimacy (Pfeffer and </w:t>
      </w:r>
      <w:proofErr w:type="spellStart"/>
      <w:r w:rsidRPr="00F15ADB">
        <w:rPr>
          <w:rFonts w:ascii="Arial" w:hAnsi="Arial" w:cs="Arial"/>
          <w:color w:val="000000"/>
          <w:sz w:val="24"/>
          <w:szCs w:val="24"/>
          <w:bdr w:val="single" w:sz="2" w:space="0" w:color="E5E7EB" w:frame="1"/>
        </w:rPr>
        <w:t>Salancik</w:t>
      </w:r>
      <w:proofErr w:type="spellEnd"/>
      <w:r w:rsidRPr="00F15ADB">
        <w:rPr>
          <w:rFonts w:ascii="Arial" w:hAnsi="Arial" w:cs="Arial"/>
          <w:color w:val="000000"/>
          <w:sz w:val="24"/>
          <w:szCs w:val="24"/>
          <w:bdr w:val="single" w:sz="2" w:space="0" w:color="E5E7EB" w:frame="1"/>
        </w:rPr>
        <w:t>, 1978).</w:t>
      </w:r>
      <w:r w:rsidRPr="00F15ADB">
        <w:rPr>
          <w:rFonts w:ascii="Arial" w:hAnsi="Arial" w:cs="Arial"/>
          <w:color w:val="000000"/>
          <w:sz w:val="24"/>
          <w:szCs w:val="24"/>
        </w:rPr>
        <w:br/>
      </w:r>
      <w:r w:rsidRPr="00F15ADB">
        <w:rPr>
          <w:rFonts w:ascii="Arial" w:hAnsi="Arial" w:cs="Arial"/>
          <w:color w:val="000000"/>
          <w:sz w:val="24"/>
          <w:szCs w:val="24"/>
        </w:rPr>
        <w:br/>
      </w:r>
      <w:r w:rsidRPr="00F15ADB">
        <w:rPr>
          <w:rFonts w:ascii="Arial" w:hAnsi="Arial" w:cs="Arial"/>
          <w:color w:val="000000"/>
          <w:sz w:val="24"/>
          <w:szCs w:val="24"/>
          <w:bdr w:val="single" w:sz="2" w:space="0" w:color="E5E7EB" w:frame="1"/>
        </w:rPr>
        <w:t xml:space="preserve">In conclusion, by applying the 4C’s model of stakeholder engagement and conflict management, Bupa’s new health technology project can systematically involve key stakeholders while also being proactive in preventing and addressing any conflicts or </w:t>
      </w:r>
      <w:r w:rsidRPr="00F15ADB">
        <w:rPr>
          <w:rFonts w:ascii="Arial" w:hAnsi="Arial" w:cs="Arial"/>
          <w:color w:val="000000"/>
          <w:sz w:val="24"/>
          <w:szCs w:val="24"/>
          <w:bdr w:val="single" w:sz="2" w:space="0" w:color="E5E7EB" w:frame="1"/>
        </w:rPr>
        <w:lastRenderedPageBreak/>
        <w:t xml:space="preserve">issues that may arise. Transparent and regular communication, well-organised coordination, </w:t>
      </w:r>
      <w:proofErr w:type="gramStart"/>
      <w:r w:rsidRPr="00F15ADB">
        <w:rPr>
          <w:rFonts w:ascii="Arial" w:hAnsi="Arial" w:cs="Arial"/>
          <w:color w:val="000000"/>
          <w:sz w:val="24"/>
          <w:szCs w:val="24"/>
          <w:bdr w:val="single" w:sz="2" w:space="0" w:color="E5E7EB" w:frame="1"/>
        </w:rPr>
        <w:t>mutual cooperation</w:t>
      </w:r>
      <w:proofErr w:type="gramEnd"/>
      <w:r w:rsidRPr="00F15ADB">
        <w:rPr>
          <w:rFonts w:ascii="Arial" w:hAnsi="Arial" w:cs="Arial"/>
          <w:color w:val="000000"/>
          <w:sz w:val="24"/>
          <w:szCs w:val="24"/>
          <w:bdr w:val="single" w:sz="2" w:space="0" w:color="E5E7EB" w:frame="1"/>
        </w:rPr>
        <w:t>, and collaborative decision-making can contribute towards maintaining trust and confidence, encouraging innovation and change, and eventually delivering a successful and ethical health technology product to market.</w:t>
      </w:r>
    </w:p>
    <w:p w14:paraId="062E4C86" w14:textId="77777777" w:rsidR="007B15CA" w:rsidRDefault="007B15CA" w:rsidP="0036306E">
      <w:pPr>
        <w:suppressAutoHyphens w:val="0"/>
        <w:autoSpaceDN/>
        <w:spacing w:after="0" w:line="360" w:lineRule="auto"/>
        <w:rPr>
          <w:rFonts w:ascii="Arial" w:hAnsi="Arial" w:cs="Arial"/>
          <w:color w:val="000000"/>
          <w:sz w:val="24"/>
          <w:szCs w:val="24"/>
          <w:bdr w:val="single" w:sz="2" w:space="0" w:color="E5E7EB" w:frame="1"/>
        </w:rPr>
      </w:pPr>
    </w:p>
    <w:p w14:paraId="4DBF5C80" w14:textId="77777777" w:rsidR="007B15CA" w:rsidRDefault="007B15CA" w:rsidP="0036306E">
      <w:pPr>
        <w:suppressAutoHyphens w:val="0"/>
        <w:autoSpaceDN/>
        <w:spacing w:after="0" w:line="360" w:lineRule="auto"/>
        <w:rPr>
          <w:rStyle w:val="text-black"/>
          <w:rFonts w:ascii="Arial" w:hAnsi="Arial" w:cs="Arial"/>
          <w:b/>
          <w:bCs/>
          <w:color w:val="000000"/>
          <w:sz w:val="24"/>
          <w:szCs w:val="24"/>
          <w:bdr w:val="single" w:sz="2" w:space="0" w:color="E5E7EB" w:frame="1"/>
          <w:shd w:val="clear" w:color="auto" w:fill="FFFFFF"/>
        </w:rPr>
      </w:pPr>
      <w:r w:rsidRPr="007B15CA">
        <w:rPr>
          <w:rStyle w:val="hoverbg-blue-100"/>
          <w:rFonts w:ascii="Arial" w:hAnsi="Arial" w:cs="Arial"/>
          <w:b/>
          <w:bCs/>
          <w:color w:val="000000"/>
          <w:sz w:val="24"/>
          <w:szCs w:val="24"/>
          <w:bdr w:val="single" w:sz="2" w:space="0" w:color="E5E7EB" w:frame="1"/>
          <w:shd w:val="clear" w:color="auto" w:fill="FFFFFF"/>
        </w:rPr>
        <w:t>Evaluation of Bupa’s Stakeholder Engagement and Recommendations for the Future</w:t>
      </w:r>
      <w:r w:rsidRPr="007B15CA">
        <w:rPr>
          <w:rStyle w:val="hoverbg-blue-100"/>
          <w:rFonts w:ascii="Arial" w:hAnsi="Arial" w:cs="Arial"/>
          <w:color w:val="000000"/>
          <w:sz w:val="24"/>
          <w:szCs w:val="24"/>
          <w:bdr w:val="single" w:sz="2" w:space="0" w:color="E5E7EB" w:frame="1"/>
          <w:shd w:val="clear" w:color="auto" w:fill="FFFFFF"/>
        </w:rPr>
        <w:t xml:space="preserve"> </w:t>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 xml:space="preserve">Stakeholder engagement plays a critical role in business performance outcomes, and its importance is particularly pronounced in the healthcare industry. The success of the new wearable health device depends on Bupa’s ability to effectively engage with various stakeholders, including healthcare professionals, customers, suppliers, and regulatory authorities. Engaging stakeholders in an ethical and meaningful way not only </w:t>
      </w:r>
      <w:proofErr w:type="spellStart"/>
      <w:r w:rsidRPr="007B15CA">
        <w:rPr>
          <w:rStyle w:val="hoverbg-blue-100"/>
          <w:rFonts w:ascii="Arial" w:hAnsi="Arial" w:cs="Arial"/>
          <w:color w:val="000000"/>
          <w:sz w:val="24"/>
          <w:szCs w:val="24"/>
          <w:bdr w:val="single" w:sz="2" w:space="0" w:color="E5E7EB" w:frame="1"/>
          <w:shd w:val="clear" w:color="auto" w:fill="FFFFFF"/>
        </w:rPr>
        <w:t>fulfills</w:t>
      </w:r>
      <w:proofErr w:type="spellEnd"/>
      <w:r w:rsidRPr="007B15CA">
        <w:rPr>
          <w:rStyle w:val="hoverbg-blue-100"/>
          <w:rFonts w:ascii="Arial" w:hAnsi="Arial" w:cs="Arial"/>
          <w:color w:val="000000"/>
          <w:sz w:val="24"/>
          <w:szCs w:val="24"/>
          <w:bdr w:val="single" w:sz="2" w:space="0" w:color="E5E7EB" w:frame="1"/>
          <w:shd w:val="clear" w:color="auto" w:fill="FFFFFF"/>
        </w:rPr>
        <w:t xml:space="preserve"> corporate responsibility but also contributes to innovation, operational efficiency, and long-term competitiveness (Freeman, 1984; Bryson, Crosby and Stone, 2015).</w:t>
      </w:r>
      <w:r w:rsidRPr="007B15CA">
        <w:rPr>
          <w:rFonts w:ascii="Arial" w:hAnsi="Arial" w:cs="Arial"/>
          <w:color w:val="000000"/>
          <w:sz w:val="24"/>
          <w:szCs w:val="24"/>
        </w:rPr>
        <w:br/>
      </w:r>
      <w:r w:rsidRPr="007B15CA">
        <w:rPr>
          <w:rStyle w:val="text-black"/>
          <w:rFonts w:ascii="Arial" w:hAnsi="Arial" w:cs="Arial"/>
          <w:b/>
          <w:bCs/>
          <w:color w:val="000000"/>
          <w:sz w:val="24"/>
          <w:szCs w:val="24"/>
          <w:bdr w:val="single" w:sz="2" w:space="0" w:color="E5E7EB" w:frame="1"/>
          <w:shd w:val="clear" w:color="auto" w:fill="FFFFFF"/>
        </w:rPr>
        <w:t>Impact on Business Performance</w:t>
      </w:r>
    </w:p>
    <w:p w14:paraId="22A4D1A8" w14:textId="280BDF44" w:rsidR="00C654A7" w:rsidRDefault="007B15CA"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r w:rsidRPr="007B15CA">
        <w:rPr>
          <w:rFonts w:ascii="Arial" w:hAnsi="Arial" w:cs="Arial"/>
          <w:color w:val="000000"/>
          <w:sz w:val="24"/>
          <w:szCs w:val="24"/>
        </w:rPr>
        <w:br/>
      </w:r>
      <w:r w:rsidRPr="007B15CA">
        <w:rPr>
          <w:rStyle w:val="text-black"/>
          <w:rFonts w:ascii="Arial" w:hAnsi="Arial" w:cs="Arial"/>
          <w:b/>
          <w:bCs/>
          <w:color w:val="000000"/>
          <w:sz w:val="24"/>
          <w:szCs w:val="24"/>
          <w:bdr w:val="single" w:sz="2" w:space="0" w:color="E5E7EB" w:frame="1"/>
          <w:shd w:val="clear" w:color="auto" w:fill="FFFFFF"/>
        </w:rPr>
        <w:t>Enhancing Innovation and Product Development</w:t>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 xml:space="preserve">Robust stakeholder engagement contributes directly to innovation and product development. Collaborating with end-users and healthcare experts from the design phase increases the likelihood that the wearable health device will be accurate, safe, and user-friendly. Integrative and multi-stakeholder engagement facilitates knowledge exchange, creativity, and cross-fertilisation of ideas, leading to improved outcomes and accelerated problem-solving (Aaltonen and Kujala, 2016). This observation resonates with Resource Dependence Theory, which posits that strategic partnerships and collaborations provide access to external expertise, resources, and information that are critical for innovation and organisational legitimacy (Pfeffer and </w:t>
      </w:r>
      <w:proofErr w:type="spellStart"/>
      <w:r w:rsidRPr="007B15CA">
        <w:rPr>
          <w:rStyle w:val="hoverbg-blue-100"/>
          <w:rFonts w:ascii="Arial" w:hAnsi="Arial" w:cs="Arial"/>
          <w:color w:val="000000"/>
          <w:sz w:val="24"/>
          <w:szCs w:val="24"/>
          <w:bdr w:val="single" w:sz="2" w:space="0" w:color="E5E7EB" w:frame="1"/>
          <w:shd w:val="clear" w:color="auto" w:fill="FFFFFF"/>
        </w:rPr>
        <w:t>Salancik</w:t>
      </w:r>
      <w:proofErr w:type="spellEnd"/>
      <w:r w:rsidRPr="007B15CA">
        <w:rPr>
          <w:rStyle w:val="hoverbg-blue-100"/>
          <w:rFonts w:ascii="Arial" w:hAnsi="Arial" w:cs="Arial"/>
          <w:color w:val="000000"/>
          <w:sz w:val="24"/>
          <w:szCs w:val="24"/>
          <w:bdr w:val="single" w:sz="2" w:space="0" w:color="E5E7EB" w:frame="1"/>
          <w:shd w:val="clear" w:color="auto" w:fill="FFFFFF"/>
        </w:rPr>
        <w:t>, 1978).</w:t>
      </w:r>
      <w:r w:rsidRPr="007B15CA">
        <w:rPr>
          <w:rFonts w:ascii="Arial" w:hAnsi="Arial" w:cs="Arial"/>
          <w:color w:val="000000"/>
          <w:sz w:val="24"/>
          <w:szCs w:val="24"/>
        </w:rPr>
        <w:br/>
      </w:r>
      <w:r w:rsidRPr="007B15CA">
        <w:rPr>
          <w:rFonts w:ascii="Arial" w:hAnsi="Arial" w:cs="Arial"/>
          <w:color w:val="000000"/>
          <w:sz w:val="24"/>
          <w:szCs w:val="24"/>
        </w:rPr>
        <w:br/>
      </w:r>
      <w:r w:rsidRPr="007B15CA">
        <w:rPr>
          <w:rStyle w:val="text-black"/>
          <w:rFonts w:ascii="Arial" w:hAnsi="Arial" w:cs="Arial"/>
          <w:b/>
          <w:bCs/>
          <w:color w:val="000000"/>
          <w:sz w:val="24"/>
          <w:szCs w:val="24"/>
          <w:bdr w:val="single" w:sz="2" w:space="0" w:color="E5E7EB" w:frame="1"/>
          <w:shd w:val="clear" w:color="auto" w:fill="FFFFFF"/>
        </w:rPr>
        <w:t>Building Customer Trust and Brand Reputation</w:t>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 xml:space="preserve">Stakeholder engagement also significantly influences customer trust and brand reputation. Transparent communication about product benefits, safety, privacy, and data </w:t>
      </w:r>
      <w:r w:rsidRPr="007B15CA">
        <w:rPr>
          <w:rStyle w:val="hoverbg-blue-100"/>
          <w:rFonts w:ascii="Arial" w:hAnsi="Arial" w:cs="Arial"/>
          <w:color w:val="000000"/>
          <w:sz w:val="24"/>
          <w:szCs w:val="24"/>
          <w:bdr w:val="single" w:sz="2" w:space="0" w:color="E5E7EB" w:frame="1"/>
          <w:shd w:val="clear" w:color="auto" w:fill="FFFFFF"/>
        </w:rPr>
        <w:lastRenderedPageBreak/>
        <w:t>protection instils confidence among users and patients, which in turn enhances customer loyalty and brand credibility in a competitive market. Greenwood (2007) found that trust-based, relational, and collaborative interactions with key stakeholders result in long-term business performance through reputation and customer retention benefits. For Bupa, maintaining open communication with patients, customers, and regulators demonstrates commitment to ethical practices, responsible data use, and patient welfare.</w:t>
      </w:r>
      <w:r w:rsidRPr="007B15CA">
        <w:rPr>
          <w:rFonts w:ascii="Arial" w:hAnsi="Arial" w:cs="Arial"/>
          <w:color w:val="000000"/>
          <w:sz w:val="24"/>
          <w:szCs w:val="24"/>
        </w:rPr>
        <w:br/>
      </w:r>
      <w:r w:rsidRPr="007B15CA">
        <w:rPr>
          <w:rFonts w:ascii="Arial" w:hAnsi="Arial" w:cs="Arial"/>
          <w:color w:val="000000"/>
          <w:sz w:val="24"/>
          <w:szCs w:val="24"/>
        </w:rPr>
        <w:br/>
      </w:r>
      <w:r w:rsidRPr="007B15CA">
        <w:rPr>
          <w:rStyle w:val="text-black"/>
          <w:rFonts w:ascii="Arial" w:hAnsi="Arial" w:cs="Arial"/>
          <w:b/>
          <w:bCs/>
          <w:color w:val="000000"/>
          <w:sz w:val="24"/>
          <w:szCs w:val="24"/>
          <w:bdr w:val="single" w:sz="2" w:space="0" w:color="E5E7EB" w:frame="1"/>
          <w:shd w:val="clear" w:color="auto" w:fill="FFFFFF"/>
        </w:rPr>
        <w:t>Improving Operational Efficiency and Risk Management</w:t>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 xml:space="preserve">Effective stakeholder engagement can also enhance operational efficiency and risk management within the organisation. Aligning internal teams with external partners through stakeholder engagement reduces duplication of efforts, clarifies objectives, and prevents costly errors or project failures. According to Walker, Bourne and Shelley (2008), clearly defining stakeholder roles and lines of communication improves decision-making, resource allocation, and project delivery. In addition, early engagement with regulators and </w:t>
      </w:r>
      <w:proofErr w:type="gramStart"/>
      <w:r w:rsidRPr="007B15CA">
        <w:rPr>
          <w:rStyle w:val="hoverbg-blue-100"/>
          <w:rFonts w:ascii="Arial" w:hAnsi="Arial" w:cs="Arial"/>
          <w:color w:val="000000"/>
          <w:sz w:val="24"/>
          <w:szCs w:val="24"/>
          <w:bdr w:val="single" w:sz="2" w:space="0" w:color="E5E7EB" w:frame="1"/>
          <w:shd w:val="clear" w:color="auto" w:fill="FFFFFF"/>
        </w:rPr>
        <w:t>policy-makers</w:t>
      </w:r>
      <w:proofErr w:type="gramEnd"/>
      <w:r w:rsidRPr="007B15CA">
        <w:rPr>
          <w:rStyle w:val="hoverbg-blue-100"/>
          <w:rFonts w:ascii="Arial" w:hAnsi="Arial" w:cs="Arial"/>
          <w:color w:val="000000"/>
          <w:sz w:val="24"/>
          <w:szCs w:val="24"/>
          <w:bdr w:val="single" w:sz="2" w:space="0" w:color="E5E7EB" w:frame="1"/>
          <w:shd w:val="clear" w:color="auto" w:fill="FFFFFF"/>
        </w:rPr>
        <w:t xml:space="preserve"> can help ensure compliance with healthcare and data protection standards, avoiding potential risks, delays, or reputational damage.</w:t>
      </w:r>
      <w:r w:rsidRPr="007B15CA">
        <w:rPr>
          <w:rFonts w:ascii="Arial" w:hAnsi="Arial" w:cs="Arial"/>
          <w:color w:val="000000"/>
          <w:sz w:val="24"/>
          <w:szCs w:val="24"/>
        </w:rPr>
        <w:br/>
      </w:r>
      <w:r w:rsidRPr="007B15CA">
        <w:rPr>
          <w:rFonts w:ascii="Arial" w:hAnsi="Arial" w:cs="Arial"/>
          <w:color w:val="000000"/>
          <w:sz w:val="24"/>
          <w:szCs w:val="24"/>
        </w:rPr>
        <w:br/>
      </w:r>
      <w:r w:rsidRPr="007B15CA">
        <w:rPr>
          <w:rStyle w:val="text-black"/>
          <w:rFonts w:ascii="Arial" w:hAnsi="Arial" w:cs="Arial"/>
          <w:b/>
          <w:bCs/>
          <w:color w:val="000000"/>
          <w:sz w:val="24"/>
          <w:szCs w:val="24"/>
          <w:bdr w:val="single" w:sz="2" w:space="0" w:color="E5E7EB" w:frame="1"/>
          <w:shd w:val="clear" w:color="auto" w:fill="FFFFFF"/>
        </w:rPr>
        <w:t>Evaluation of Engagement and Potential Challenges</w:t>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While the benefits of stakeholder engagement are compelling, there are also potential challenges that Bupa should be aware of and monitor. These include difficulties in balancing diverse and sometimes conflicting stakeholder interests, time and resource constraints in engagement processes, and challenges in measuring the effectiveness of engagement efforts. For example, while engaging with investors and regulators, Bupa may face challenges in balancing profit-driven goals with patient data privacy and security expectations. Moreover, measuring stakeholder engagement effectiveness can be challenging, given the intangible nature of many desired outcomes like trust, satisfaction, and influence (Aaltonen, 2011). Therefore, to evaluate engagement performance, Bupa should use both qualitative and quantitative tools such as stakeholder satisfaction surveys, specific performance indicators, and regular project evaluation and review meetings. In addition, mapping stakeholder en</w:t>
      </w:r>
      <w:r w:rsidRPr="007B15CA">
        <w:rPr>
          <w:rStyle w:val="hoverbg-blue-100"/>
          <w:rFonts w:ascii="Arial" w:hAnsi="Arial" w:cs="Arial"/>
          <w:color w:val="000000"/>
          <w:sz w:val="24"/>
          <w:szCs w:val="24"/>
          <w:bdr w:val="single" w:sz="2" w:space="0" w:color="E5E7EB" w:frame="1"/>
          <w:shd w:val="clear" w:color="auto" w:fill="FFFFFF"/>
        </w:rPr>
        <w:lastRenderedPageBreak/>
        <w:t>gagement efforts to key business performance metrics, such as innovation rate, customer satisfaction, or project delivery timelines, can provide tangible and objective ways to demonstrate impact.</w:t>
      </w:r>
      <w:r w:rsidRPr="007B15CA">
        <w:rPr>
          <w:rFonts w:ascii="Arial" w:hAnsi="Arial" w:cs="Arial"/>
          <w:color w:val="000000"/>
          <w:sz w:val="24"/>
          <w:szCs w:val="24"/>
        </w:rPr>
        <w:br/>
      </w:r>
      <w:r w:rsidRPr="007B15CA">
        <w:rPr>
          <w:rFonts w:ascii="Arial" w:hAnsi="Arial" w:cs="Arial"/>
          <w:color w:val="000000"/>
          <w:sz w:val="24"/>
          <w:szCs w:val="24"/>
        </w:rPr>
        <w:br/>
      </w:r>
      <w:r w:rsidRPr="007B15CA">
        <w:rPr>
          <w:rStyle w:val="text-black"/>
          <w:rFonts w:ascii="Arial" w:hAnsi="Arial" w:cs="Arial"/>
          <w:b/>
          <w:bCs/>
          <w:color w:val="000000"/>
          <w:sz w:val="24"/>
          <w:szCs w:val="24"/>
          <w:bdr w:val="single" w:sz="2" w:space="0" w:color="E5E7EB" w:frame="1"/>
          <w:shd w:val="clear" w:color="auto" w:fill="FFFFFF"/>
        </w:rPr>
        <w:t>Recommendations for Future Engagement</w:t>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In the future, it is recommended that Bupa consider the following best practices to improve stakeholder engagement and business performance:</w:t>
      </w:r>
      <w:r w:rsidRPr="007B15CA">
        <w:rPr>
          <w:rFonts w:ascii="Arial" w:hAnsi="Arial" w:cs="Arial"/>
          <w:color w:val="000000"/>
          <w:sz w:val="24"/>
          <w:szCs w:val="24"/>
        </w:rPr>
        <w:br/>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Develop a long-term engagement framework: Stakeholder engagement should be formalised as an on-going function rather than an ad-hoc project activity. A dedicated engagement framework can help Bupa develop consistency and deeper relationships over time (Cornelissen, 2017).</w:t>
      </w:r>
      <w:r w:rsidRPr="007B15CA">
        <w:rPr>
          <w:rFonts w:ascii="Arial" w:hAnsi="Arial" w:cs="Arial"/>
          <w:color w:val="000000"/>
          <w:sz w:val="24"/>
          <w:szCs w:val="24"/>
        </w:rPr>
        <w:br/>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Leverage digital engagement tools: Use of digital dashboards and feedback platforms enables real-time monitoring and communication as well as data-driven decision-making. Digital tools can also help improve transparency and timeliness in responding to stakeholder concerns (Lau, 2014).</w:t>
      </w:r>
      <w:r w:rsidRPr="007B15CA">
        <w:rPr>
          <w:rFonts w:ascii="Arial" w:hAnsi="Arial" w:cs="Arial"/>
          <w:color w:val="000000"/>
          <w:sz w:val="24"/>
          <w:szCs w:val="24"/>
        </w:rPr>
        <w:br/>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Embed stakeholder engagement into organisational culture: Train employees to internalise a stakeholder-focused mindset that is embedded into everyday organisational practices. Cultivating organisational habits and attitudes of empathy, accountability, and co-operation to stakeholders can improve cross-departmental engagement (Greenwood, 2007).</w:t>
      </w:r>
      <w:r w:rsidRPr="007B15CA">
        <w:rPr>
          <w:rFonts w:ascii="Arial" w:hAnsi="Arial" w:cs="Arial"/>
          <w:color w:val="000000"/>
          <w:sz w:val="24"/>
          <w:szCs w:val="24"/>
        </w:rPr>
        <w:br/>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Measure and review engagement performance: Establish measurable performance indicators such as satisfaction levels, compliance scores, and project efficiency rates, and regularly evaluate and report on engagement performance. This allows for timely course correction and ensures continuous alignment with business goals (PMI, 2021).</w:t>
      </w:r>
      <w:r w:rsidRPr="007B15CA">
        <w:rPr>
          <w:rFonts w:ascii="Arial" w:hAnsi="Arial" w:cs="Arial"/>
          <w:color w:val="000000"/>
          <w:sz w:val="24"/>
          <w:szCs w:val="24"/>
        </w:rPr>
        <w:br/>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 xml:space="preserve">Strengthen collaborative governance: Establish joint advisory panels, working groups, or governance forums with external experts, community representatives, and patient advocacy groups to improve inclusivity and strengthen legitimacy and trust </w:t>
      </w:r>
      <w:r w:rsidRPr="007B15CA">
        <w:rPr>
          <w:rStyle w:val="hoverbg-blue-100"/>
          <w:rFonts w:ascii="Arial" w:hAnsi="Arial" w:cs="Arial"/>
          <w:color w:val="000000"/>
          <w:sz w:val="24"/>
          <w:szCs w:val="24"/>
          <w:bdr w:val="single" w:sz="2" w:space="0" w:color="E5E7EB" w:frame="1"/>
          <w:shd w:val="clear" w:color="auto" w:fill="FFFFFF"/>
        </w:rPr>
        <w:lastRenderedPageBreak/>
        <w:t>for the long-term (Rowley, 1997).</w:t>
      </w:r>
      <w:r w:rsidRPr="007B15CA">
        <w:rPr>
          <w:rFonts w:ascii="Arial" w:hAnsi="Arial" w:cs="Arial"/>
          <w:color w:val="000000"/>
          <w:sz w:val="24"/>
          <w:szCs w:val="24"/>
        </w:rPr>
        <w:br/>
      </w:r>
      <w:r w:rsidRPr="007B15CA">
        <w:rPr>
          <w:rFonts w:ascii="Arial" w:hAnsi="Arial" w:cs="Arial"/>
          <w:color w:val="000000"/>
          <w:sz w:val="24"/>
          <w:szCs w:val="24"/>
        </w:rPr>
        <w:br/>
      </w:r>
      <w:r w:rsidRPr="007B15CA">
        <w:rPr>
          <w:rStyle w:val="hoverbg-blue-100"/>
          <w:rFonts w:ascii="Arial" w:hAnsi="Arial" w:cs="Arial"/>
          <w:color w:val="000000"/>
          <w:sz w:val="24"/>
          <w:szCs w:val="24"/>
          <w:bdr w:val="single" w:sz="2" w:space="0" w:color="E5E7EB" w:frame="1"/>
          <w:shd w:val="clear" w:color="auto" w:fill="FFFFFF"/>
        </w:rPr>
        <w:t>In conclusion, stakeholder engagement is likely to have a positive and measurable impact on Bupa’s business performance by improving innovation, trust, efficiency, and compliance. </w:t>
      </w:r>
      <w:r w:rsidRPr="007B15CA">
        <w:rPr>
          <w:rStyle w:val="hoverbg-blue-100"/>
          <w:rFonts w:ascii="Arial" w:hAnsi="Arial" w:cs="Arial"/>
          <w:color w:val="000000"/>
          <w:sz w:val="24"/>
          <w:szCs w:val="24"/>
          <w:bdr w:val="single" w:sz="2" w:space="0" w:color="E5E7EB" w:frame="1"/>
          <w:shd w:val="clear" w:color="auto" w:fill="DBEAFE"/>
        </w:rPr>
        <w:t>The future strategy for Bupa is to prioritise consistency in communication and interactions, digitalisation, and continuous evaluation and improvement of engagement processes. </w:t>
      </w:r>
      <w:r w:rsidRPr="007B15CA">
        <w:rPr>
          <w:rStyle w:val="hoverbg-blue-100"/>
          <w:rFonts w:ascii="Arial" w:hAnsi="Arial" w:cs="Arial"/>
          <w:color w:val="000000"/>
          <w:sz w:val="24"/>
          <w:szCs w:val="24"/>
          <w:bdr w:val="single" w:sz="2" w:space="0" w:color="E5E7EB" w:frame="1"/>
          <w:shd w:val="clear" w:color="auto" w:fill="FFFFFF"/>
        </w:rPr>
        <w:t>By embedding stakeholder engagement into the organisational culture, structure, and governance, Bupa can deliver competitive advantage and ethical leadership in the rapidly evolving digital healthcare marketplace.</w:t>
      </w:r>
    </w:p>
    <w:p w14:paraId="72FFEA07" w14:textId="77777777" w:rsidR="00C654A7" w:rsidRDefault="00C654A7"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55CDC65B" w14:textId="77777777" w:rsidR="00C654A7" w:rsidRDefault="00C654A7"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68FA0870" w14:textId="77777777" w:rsidR="00C654A7" w:rsidRDefault="00C654A7"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57B048A3" w14:textId="77777777" w:rsidR="00C654A7" w:rsidRPr="007B15CA" w:rsidRDefault="00C654A7"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4D2E6DF6" w14:textId="65857918" w:rsidR="00F871B8" w:rsidRDefault="009D1FC7" w:rsidP="0036306E">
      <w:pPr>
        <w:suppressAutoHyphens w:val="0"/>
        <w:autoSpaceDN/>
        <w:spacing w:after="0" w:line="360" w:lineRule="auto"/>
        <w:rPr>
          <w:rFonts w:ascii="Arial" w:eastAsia="Times New Roman" w:hAnsi="Arial" w:cs="Arial"/>
          <w:b/>
          <w:bCs/>
          <w:color w:val="000000"/>
          <w:kern w:val="0"/>
          <w:sz w:val="24"/>
          <w:szCs w:val="24"/>
          <w:bdr w:val="single" w:sz="2" w:space="0" w:color="E5E7EB" w:frame="1"/>
          <w:lang w:eastAsia="en-GB"/>
        </w:rPr>
      </w:pPr>
      <w:r w:rsidRPr="009D1FC7">
        <w:rPr>
          <w:rFonts w:ascii="Arial" w:eastAsia="Times New Roman" w:hAnsi="Arial" w:cs="Arial"/>
          <w:b/>
          <w:bCs/>
          <w:color w:val="000000"/>
          <w:kern w:val="0"/>
          <w:sz w:val="24"/>
          <w:szCs w:val="24"/>
          <w:bdr w:val="single" w:sz="2" w:space="0" w:color="E5E7EB" w:frame="1"/>
          <w:lang w:eastAsia="en-GB"/>
        </w:rPr>
        <w:t xml:space="preserve">Conclusion </w:t>
      </w:r>
    </w:p>
    <w:p w14:paraId="654E85BD" w14:textId="4ABB7593" w:rsidR="009D1FC7" w:rsidRPr="009D1FC7" w:rsidRDefault="009D1FC7" w:rsidP="0036306E">
      <w:pPr>
        <w:suppressAutoHyphens w:val="0"/>
        <w:autoSpaceDN/>
        <w:spacing w:after="0" w:line="360" w:lineRule="auto"/>
        <w:rPr>
          <w:rFonts w:ascii="Arial" w:eastAsia="Times New Roman" w:hAnsi="Arial" w:cs="Arial"/>
          <w:b/>
          <w:bCs/>
          <w:color w:val="000000"/>
          <w:kern w:val="0"/>
          <w:sz w:val="24"/>
          <w:szCs w:val="24"/>
          <w:bdr w:val="single" w:sz="2" w:space="0" w:color="E5E7EB" w:frame="1"/>
          <w:lang w:eastAsia="en-GB"/>
        </w:rPr>
      </w:pPr>
      <w:r>
        <w:rPr>
          <w:rFonts w:ascii="Arial" w:hAnsi="Arial" w:cs="Arial"/>
          <w:color w:val="000000"/>
          <w:sz w:val="24"/>
          <w:szCs w:val="24"/>
          <w:bdr w:val="single" w:sz="2" w:space="0" w:color="E5E7EB" w:frame="1"/>
        </w:rPr>
        <w:t>I</w:t>
      </w:r>
      <w:r w:rsidRPr="009D1FC7">
        <w:rPr>
          <w:rFonts w:ascii="Arial" w:hAnsi="Arial" w:cs="Arial"/>
          <w:color w:val="000000"/>
          <w:sz w:val="24"/>
          <w:szCs w:val="24"/>
          <w:bdr w:val="single" w:sz="2" w:space="0" w:color="E5E7EB" w:frame="1"/>
        </w:rPr>
        <w:t>n conclusion, stakeholder engagement has played a pivotal role in contributing to the success of Bupa’s wearable health device project and the organisation’s business performance. In today’s healthcare industry, technological innovation is only one aspect of project success, and Bupa’s ability to effectively manage its diverse range of stakeholders is equally important. By utilising stakeholder management frameworks like the Stakeholder Matrix, Engagement Plan, Communication Plan, and RACI Matrix, Bupa has laid the foundation for informed decision-making, accountability, and mutual benefit in the project’s outcomes.</w:t>
      </w:r>
      <w:r w:rsidRPr="009D1FC7">
        <w:rPr>
          <w:rFonts w:ascii="Arial" w:hAnsi="Arial" w:cs="Arial"/>
          <w:color w:val="000000"/>
          <w:sz w:val="24"/>
          <w:szCs w:val="24"/>
        </w:rPr>
        <w:br/>
      </w:r>
      <w:r w:rsidRPr="009D1FC7">
        <w:rPr>
          <w:rFonts w:ascii="Arial" w:hAnsi="Arial" w:cs="Arial"/>
          <w:color w:val="000000"/>
          <w:sz w:val="24"/>
          <w:szCs w:val="24"/>
        </w:rPr>
        <w:br/>
      </w:r>
      <w:r w:rsidRPr="009D1FC7">
        <w:rPr>
          <w:rFonts w:ascii="Arial" w:hAnsi="Arial" w:cs="Arial"/>
          <w:color w:val="000000"/>
          <w:sz w:val="24"/>
          <w:szCs w:val="24"/>
          <w:bdr w:val="single" w:sz="2" w:space="0" w:color="E5E7EB" w:frame="1"/>
        </w:rPr>
        <w:t>Incorporating the 4C’s Model, encompassing Communication, Coordination, Cooperation, and Collaboration, has been instrumental in managing stakeholder relationships and conflict resolution. Transparent communication has built trust and transparency; coordination has facilitated the alignment of stakeholder goals and actions; cooperation has encouraged empathy and respect; and collaboration has created a sense of shared ownership and commitment to the project. These components of stakeholder engagement have not only contributed to efficient project delivery but have also enhanced stakeholder confidence in Bupa’s ethical and patient-centred approach to innovation.</w:t>
      </w:r>
      <w:r w:rsidRPr="009D1FC7">
        <w:rPr>
          <w:rFonts w:ascii="Arial" w:hAnsi="Arial" w:cs="Arial"/>
          <w:color w:val="000000"/>
          <w:sz w:val="24"/>
          <w:szCs w:val="24"/>
        </w:rPr>
        <w:br/>
      </w:r>
      <w:r w:rsidRPr="009D1FC7">
        <w:rPr>
          <w:rFonts w:ascii="Arial" w:hAnsi="Arial" w:cs="Arial"/>
          <w:color w:val="000000"/>
          <w:sz w:val="24"/>
          <w:szCs w:val="24"/>
        </w:rPr>
        <w:br/>
      </w:r>
      <w:r w:rsidRPr="009D1FC7">
        <w:rPr>
          <w:rFonts w:ascii="Arial" w:hAnsi="Arial" w:cs="Arial"/>
          <w:color w:val="000000"/>
          <w:sz w:val="24"/>
          <w:szCs w:val="24"/>
          <w:bdr w:val="single" w:sz="2" w:space="0" w:color="E5E7EB" w:frame="1"/>
        </w:rPr>
        <w:lastRenderedPageBreak/>
        <w:t>Assessing the outcomes and benefits of stakeholder engagement, Bupa has experienced positive outcomes such as enhanced innovation, improved brand reputation, and greater compliance with healthcare and data protection regulations. On the other hand, stakeholder engagement challenges, including conflicting stakeholder priorities and measurement difficulties, have also been observed. This highlights the need for ongoing monitoring and evaluation of engagement activities.</w:t>
      </w:r>
      <w:r w:rsidRPr="009D1FC7">
        <w:rPr>
          <w:rFonts w:ascii="Arial" w:hAnsi="Arial" w:cs="Arial"/>
          <w:color w:val="000000"/>
          <w:sz w:val="24"/>
          <w:szCs w:val="24"/>
        </w:rPr>
        <w:br/>
      </w:r>
      <w:r w:rsidRPr="009D1FC7">
        <w:rPr>
          <w:rFonts w:ascii="Arial" w:hAnsi="Arial" w:cs="Arial"/>
          <w:color w:val="000000"/>
          <w:sz w:val="24"/>
          <w:szCs w:val="24"/>
        </w:rPr>
        <w:br/>
      </w:r>
      <w:r w:rsidRPr="009D1FC7">
        <w:rPr>
          <w:rFonts w:ascii="Arial" w:hAnsi="Arial" w:cs="Arial"/>
          <w:color w:val="000000"/>
          <w:sz w:val="24"/>
          <w:szCs w:val="24"/>
          <w:bdr w:val="single" w:sz="2" w:space="0" w:color="E5E7EB" w:frame="1"/>
        </w:rPr>
        <w:t>For future practices, Bupa can integrate stakeholder engagement into its organisational culture, leverage digital communication tools for enhanced transparency, and establish specific performance indicators to measure the success of engagement initiatives. Developing long-term, trust-based relationships and fostering an inclusive governance structure will also be critical in the future. As the digital healthcare landscape becomes more competitive, Bupa’s ability to adapt and continuously improve its stakeholder engagement strategies will be essential for long-term success.</w:t>
      </w:r>
      <w:r w:rsidRPr="009D1FC7">
        <w:rPr>
          <w:rFonts w:ascii="Arial" w:hAnsi="Arial" w:cs="Arial"/>
          <w:color w:val="000000"/>
          <w:sz w:val="24"/>
          <w:szCs w:val="24"/>
        </w:rPr>
        <w:br/>
      </w:r>
      <w:r w:rsidRPr="009D1FC7">
        <w:rPr>
          <w:rFonts w:ascii="Arial" w:hAnsi="Arial" w:cs="Arial"/>
          <w:color w:val="000000"/>
          <w:sz w:val="24"/>
          <w:szCs w:val="24"/>
        </w:rPr>
        <w:br/>
      </w:r>
      <w:r w:rsidRPr="009D1FC7">
        <w:rPr>
          <w:rFonts w:ascii="Arial" w:hAnsi="Arial" w:cs="Arial"/>
          <w:color w:val="000000"/>
          <w:sz w:val="24"/>
          <w:szCs w:val="24"/>
          <w:bdr w:val="single" w:sz="2" w:space="0" w:color="E5E7EB" w:frame="1"/>
        </w:rPr>
        <w:t>Stakeholder engagement is not a one-time event but an ongoing process that directly impacts business performance. By prioritising open communication, shared accountability, and ethical leadership, Bupa can not only achieve project success but also build lasting relationships with its stakeholders, leading to sustained business growth.</w:t>
      </w:r>
    </w:p>
    <w:p w14:paraId="0F889AF2" w14:textId="77777777" w:rsidR="00F871B8" w:rsidRDefault="00F871B8"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363CC811" w14:textId="77777777" w:rsidR="00F871B8" w:rsidRDefault="00F871B8"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6247EDDF" w14:textId="77777777" w:rsidR="00F871B8" w:rsidRDefault="00F871B8"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716C3B85" w14:textId="77777777" w:rsidR="00F871B8" w:rsidRDefault="00F871B8"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0D14FBF4" w14:textId="77777777" w:rsidR="00F871B8" w:rsidRDefault="00F871B8"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7D93132C" w14:textId="77777777" w:rsidR="002E771A" w:rsidRDefault="002E771A"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30F60C35" w14:textId="77777777" w:rsidR="002E771A" w:rsidRDefault="002E771A"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125E85D1" w14:textId="77777777" w:rsidR="002E771A" w:rsidRDefault="002E771A"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75DFF551" w14:textId="77777777" w:rsidR="002E771A" w:rsidRDefault="002E771A"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5A1D951B" w14:textId="77777777" w:rsidR="002E771A" w:rsidRDefault="002E771A"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35680124" w14:textId="77777777" w:rsidR="002E771A" w:rsidRDefault="002E771A"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1AC09DF9" w14:textId="77777777" w:rsidR="00C654A7" w:rsidRDefault="00C654A7"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5C106AA2" w14:textId="77777777" w:rsidR="00F871B8" w:rsidRDefault="00F871B8" w:rsidP="0036306E">
      <w:pPr>
        <w:suppressAutoHyphens w:val="0"/>
        <w:autoSpaceDN/>
        <w:spacing w:after="0" w:line="360" w:lineRule="auto"/>
        <w:rPr>
          <w:rFonts w:ascii="Arial" w:eastAsia="Times New Roman" w:hAnsi="Arial" w:cs="Arial"/>
          <w:color w:val="000000"/>
          <w:kern w:val="0"/>
          <w:sz w:val="24"/>
          <w:szCs w:val="24"/>
          <w:bdr w:val="single" w:sz="2" w:space="0" w:color="E5E7EB" w:frame="1"/>
          <w:lang w:eastAsia="en-GB"/>
        </w:rPr>
      </w:pPr>
    </w:p>
    <w:p w14:paraId="5F702CD1" w14:textId="6BE4BA99" w:rsidR="00F871B8" w:rsidRPr="00F15ADB" w:rsidRDefault="00F15ADB" w:rsidP="0036306E">
      <w:pPr>
        <w:suppressAutoHyphens w:val="0"/>
        <w:autoSpaceDN/>
        <w:spacing w:after="0" w:line="360" w:lineRule="auto"/>
        <w:rPr>
          <w:rFonts w:ascii="Arial" w:eastAsia="Times New Roman" w:hAnsi="Arial" w:cs="Arial"/>
          <w:b/>
          <w:bCs/>
          <w:color w:val="000000"/>
          <w:kern w:val="0"/>
          <w:sz w:val="24"/>
          <w:szCs w:val="24"/>
          <w:bdr w:val="single" w:sz="2" w:space="0" w:color="E5E7EB" w:frame="1"/>
          <w:lang w:eastAsia="en-GB"/>
        </w:rPr>
      </w:pPr>
      <w:r w:rsidRPr="00F15ADB">
        <w:rPr>
          <w:rFonts w:ascii="Arial" w:eastAsia="Times New Roman" w:hAnsi="Arial" w:cs="Arial"/>
          <w:b/>
          <w:bCs/>
          <w:color w:val="000000"/>
          <w:kern w:val="0"/>
          <w:sz w:val="24"/>
          <w:szCs w:val="24"/>
          <w:bdr w:val="single" w:sz="2" w:space="0" w:color="E5E7EB" w:frame="1"/>
          <w:lang w:eastAsia="en-GB"/>
        </w:rPr>
        <w:lastRenderedPageBreak/>
        <w:t xml:space="preserve">Reference </w:t>
      </w:r>
    </w:p>
    <w:p w14:paraId="2C77366E" w14:textId="14C4BEF1" w:rsidR="006C321D" w:rsidRPr="001950E4" w:rsidRDefault="006C321D" w:rsidP="00750862">
      <w:pPr>
        <w:pStyle w:val="NormalWeb"/>
        <w:rPr>
          <w:rFonts w:ascii="Arial" w:hAnsi="Arial" w:cs="Arial"/>
        </w:rPr>
      </w:pPr>
      <w:r w:rsidRPr="001950E4">
        <w:rPr>
          <w:rFonts w:ascii="Arial" w:hAnsi="Arial" w:cs="Arial"/>
        </w:rPr>
        <w:t xml:space="preserve">Bupa (2024) </w:t>
      </w:r>
      <w:r w:rsidRPr="001950E4">
        <w:rPr>
          <w:rStyle w:val="Emphasis"/>
          <w:rFonts w:ascii="Arial" w:hAnsi="Arial" w:cs="Arial"/>
          <w:i w:val="0"/>
          <w:iCs w:val="0"/>
        </w:rPr>
        <w:t>About Bupa UK</w:t>
      </w:r>
      <w:r w:rsidRPr="001950E4">
        <w:rPr>
          <w:rStyle w:val="Emphasis"/>
          <w:rFonts w:ascii="Arial" w:hAnsi="Arial" w:cs="Arial"/>
        </w:rPr>
        <w:t>.</w:t>
      </w:r>
      <w:r w:rsidRPr="001950E4">
        <w:rPr>
          <w:rFonts w:ascii="Arial" w:hAnsi="Arial" w:cs="Arial"/>
        </w:rPr>
        <w:t xml:space="preserve"> Available at: https://www.bupa.co.uk </w:t>
      </w:r>
    </w:p>
    <w:p w14:paraId="746FF21C" w14:textId="77777777" w:rsidR="006C321D" w:rsidRPr="001950E4" w:rsidRDefault="006C321D" w:rsidP="00750862">
      <w:pPr>
        <w:pStyle w:val="NormalWeb"/>
        <w:rPr>
          <w:rFonts w:ascii="Arial" w:hAnsi="Arial" w:cs="Arial"/>
        </w:rPr>
      </w:pPr>
      <w:r w:rsidRPr="001950E4">
        <w:rPr>
          <w:rFonts w:ascii="Arial" w:hAnsi="Arial" w:cs="Arial"/>
        </w:rPr>
        <w:t xml:space="preserve">Freeman, R. E. (2010) </w:t>
      </w:r>
      <w:r w:rsidRPr="001950E4">
        <w:rPr>
          <w:rStyle w:val="Emphasis"/>
          <w:rFonts w:ascii="Arial" w:hAnsi="Arial" w:cs="Arial"/>
          <w:i w:val="0"/>
          <w:iCs w:val="0"/>
        </w:rPr>
        <w:t>Strategic Management: A Stakeholder Approach.</w:t>
      </w:r>
      <w:r w:rsidRPr="001950E4">
        <w:rPr>
          <w:rFonts w:ascii="Arial" w:hAnsi="Arial" w:cs="Arial"/>
          <w:i/>
          <w:iCs/>
        </w:rPr>
        <w:t xml:space="preserve"> </w:t>
      </w:r>
      <w:r w:rsidRPr="001950E4">
        <w:rPr>
          <w:rFonts w:ascii="Arial" w:hAnsi="Arial" w:cs="Arial"/>
        </w:rPr>
        <w:t>Cambridge: Cambridge University Press.</w:t>
      </w:r>
    </w:p>
    <w:p w14:paraId="05A8240F" w14:textId="77777777" w:rsidR="006C321D" w:rsidRPr="001950E4" w:rsidRDefault="006C321D" w:rsidP="00750862">
      <w:pPr>
        <w:pStyle w:val="NormalWeb"/>
        <w:rPr>
          <w:rFonts w:ascii="Arial" w:hAnsi="Arial" w:cs="Arial"/>
        </w:rPr>
      </w:pPr>
      <w:r w:rsidRPr="001950E4">
        <w:rPr>
          <w:rFonts w:ascii="Arial" w:hAnsi="Arial" w:cs="Arial"/>
        </w:rPr>
        <w:t xml:space="preserve">Mintel (2023) </w:t>
      </w:r>
      <w:r w:rsidRPr="001950E4">
        <w:rPr>
          <w:rStyle w:val="Emphasis"/>
          <w:rFonts w:ascii="Arial" w:hAnsi="Arial" w:cs="Arial"/>
          <w:i w:val="0"/>
          <w:iCs w:val="0"/>
        </w:rPr>
        <w:t>UK Health and Wellness Technology Market Report</w:t>
      </w:r>
      <w:r w:rsidRPr="001950E4">
        <w:rPr>
          <w:rStyle w:val="Emphasis"/>
          <w:rFonts w:ascii="Arial" w:hAnsi="Arial" w:cs="Arial"/>
        </w:rPr>
        <w:t>.</w:t>
      </w:r>
      <w:r w:rsidRPr="001950E4">
        <w:rPr>
          <w:rFonts w:ascii="Arial" w:hAnsi="Arial" w:cs="Arial"/>
        </w:rPr>
        <w:t xml:space="preserve"> London: Mintel Group Ltd.</w:t>
      </w:r>
    </w:p>
    <w:p w14:paraId="715344B5" w14:textId="40E1BA67" w:rsidR="00BC60BD" w:rsidRPr="001950E4" w:rsidRDefault="00BC60BD" w:rsidP="00750862">
      <w:pPr>
        <w:pStyle w:val="NormalWeb"/>
        <w:rPr>
          <w:rFonts w:ascii="Arial" w:hAnsi="Arial" w:cs="Arial"/>
        </w:rPr>
      </w:pPr>
      <w:r w:rsidRPr="001950E4">
        <w:rPr>
          <w:rFonts w:ascii="Arial" w:hAnsi="Arial" w:cs="Arial"/>
        </w:rPr>
        <w:t xml:space="preserve">Gürel, E. and Tat, M. (2017) ‘SWOT analysis: A theoretical review’, </w:t>
      </w:r>
      <w:r w:rsidRPr="001950E4">
        <w:rPr>
          <w:rStyle w:val="Emphasis"/>
          <w:rFonts w:ascii="Arial" w:hAnsi="Arial" w:cs="Arial"/>
          <w:i w:val="0"/>
          <w:iCs w:val="0"/>
        </w:rPr>
        <w:t>The Journal of International Social Research</w:t>
      </w:r>
      <w:r w:rsidRPr="001950E4">
        <w:rPr>
          <w:rFonts w:ascii="Arial" w:hAnsi="Arial" w:cs="Arial"/>
          <w:i/>
          <w:iCs/>
        </w:rPr>
        <w:t>,</w:t>
      </w:r>
      <w:r w:rsidRPr="001950E4">
        <w:rPr>
          <w:rFonts w:ascii="Arial" w:hAnsi="Arial" w:cs="Arial"/>
        </w:rPr>
        <w:t xml:space="preserve"> 10(51), pp. 994–1006.</w:t>
      </w:r>
    </w:p>
    <w:p w14:paraId="227FD322" w14:textId="77777777" w:rsidR="00BC60BD" w:rsidRPr="001950E4" w:rsidRDefault="00BC60BD" w:rsidP="00750862">
      <w:pPr>
        <w:pStyle w:val="NormalWeb"/>
        <w:rPr>
          <w:rFonts w:ascii="Arial" w:hAnsi="Arial" w:cs="Arial"/>
        </w:rPr>
      </w:pPr>
      <w:r w:rsidRPr="001950E4">
        <w:rPr>
          <w:rFonts w:ascii="Arial" w:hAnsi="Arial" w:cs="Arial"/>
        </w:rPr>
        <w:t xml:space="preserve">Porter, M. E. (2008) ‘The five competitive forces that shape strategy’, </w:t>
      </w:r>
      <w:r w:rsidRPr="001950E4">
        <w:rPr>
          <w:rStyle w:val="Emphasis"/>
          <w:rFonts w:ascii="Arial" w:hAnsi="Arial" w:cs="Arial"/>
          <w:i w:val="0"/>
          <w:iCs w:val="0"/>
        </w:rPr>
        <w:t>Harvard Business Review</w:t>
      </w:r>
      <w:r w:rsidRPr="001950E4">
        <w:rPr>
          <w:rFonts w:ascii="Arial" w:hAnsi="Arial" w:cs="Arial"/>
          <w:i/>
          <w:iCs/>
        </w:rPr>
        <w:t>,</w:t>
      </w:r>
      <w:r w:rsidRPr="001950E4">
        <w:rPr>
          <w:rFonts w:ascii="Arial" w:hAnsi="Arial" w:cs="Arial"/>
        </w:rPr>
        <w:t xml:space="preserve"> 86(1), pp. 78–93.</w:t>
      </w:r>
    </w:p>
    <w:p w14:paraId="5F30553B" w14:textId="394207BE" w:rsidR="001950E4" w:rsidRPr="001950E4" w:rsidRDefault="00BC60BD" w:rsidP="00750862">
      <w:pPr>
        <w:pStyle w:val="NormalWeb"/>
        <w:rPr>
          <w:rFonts w:ascii="Arial" w:hAnsi="Arial" w:cs="Arial"/>
        </w:rPr>
      </w:pPr>
      <w:r w:rsidRPr="001950E4">
        <w:rPr>
          <w:rFonts w:ascii="Arial" w:hAnsi="Arial" w:cs="Arial"/>
        </w:rPr>
        <w:t xml:space="preserve">Statista (2024) </w:t>
      </w:r>
      <w:r w:rsidRPr="001950E4">
        <w:rPr>
          <w:rStyle w:val="Emphasis"/>
          <w:rFonts w:ascii="Arial" w:hAnsi="Arial" w:cs="Arial"/>
          <w:i w:val="0"/>
          <w:iCs w:val="0"/>
        </w:rPr>
        <w:t>Wearable Technology – Market Analysis, Growth and Forecast 2024–2030.</w:t>
      </w:r>
      <w:r w:rsidRPr="001950E4">
        <w:rPr>
          <w:rFonts w:ascii="Arial" w:hAnsi="Arial" w:cs="Arial"/>
          <w:i/>
          <w:iCs/>
        </w:rPr>
        <w:t xml:space="preserve"> </w:t>
      </w:r>
      <w:r w:rsidRPr="001950E4">
        <w:rPr>
          <w:rFonts w:ascii="Arial" w:hAnsi="Arial" w:cs="Arial"/>
        </w:rPr>
        <w:t>Available at: https://www.statista.c</w:t>
      </w:r>
      <w:r w:rsidR="001950E4">
        <w:rPr>
          <w:rFonts w:ascii="Arial" w:hAnsi="Arial" w:cs="Arial"/>
        </w:rPr>
        <w:t>om</w:t>
      </w:r>
    </w:p>
    <w:p w14:paraId="6B6F84F3" w14:textId="1E053FD4" w:rsidR="00A940EE" w:rsidRPr="00A940EE" w:rsidRDefault="001950E4" w:rsidP="00750862">
      <w:pPr>
        <w:pStyle w:val="NormalWeb"/>
        <w:rPr>
          <w:rFonts w:ascii="Arial" w:hAnsi="Arial" w:cs="Arial"/>
        </w:rPr>
      </w:pPr>
      <w:r w:rsidRPr="001950E4">
        <w:rPr>
          <w:rFonts w:ascii="Arial" w:hAnsi="Arial" w:cs="Arial"/>
        </w:rPr>
        <w:t xml:space="preserve">PMI (Project Management Institute) (2021) </w:t>
      </w:r>
      <w:r w:rsidRPr="001950E4">
        <w:rPr>
          <w:rStyle w:val="Emphasis"/>
          <w:rFonts w:ascii="Arial" w:hAnsi="Arial" w:cs="Arial"/>
          <w:i w:val="0"/>
          <w:iCs w:val="0"/>
        </w:rPr>
        <w:t>A Guide to the Project Management Body of Knowledge (PMBOK® Guide).</w:t>
      </w:r>
      <w:r w:rsidRPr="001950E4">
        <w:rPr>
          <w:rFonts w:ascii="Arial" w:hAnsi="Arial" w:cs="Arial"/>
        </w:rPr>
        <w:t xml:space="preserve"> 7th </w:t>
      </w:r>
      <w:proofErr w:type="spellStart"/>
      <w:r w:rsidRPr="001950E4">
        <w:rPr>
          <w:rFonts w:ascii="Arial" w:hAnsi="Arial" w:cs="Arial"/>
        </w:rPr>
        <w:t>edn</w:t>
      </w:r>
      <w:proofErr w:type="spellEnd"/>
      <w:r w:rsidRPr="001950E4">
        <w:rPr>
          <w:rFonts w:ascii="Arial" w:hAnsi="Arial" w:cs="Arial"/>
        </w:rPr>
        <w:t>. Pennsylvania: Project Management Institute.</w:t>
      </w:r>
    </w:p>
    <w:p w14:paraId="797E8CB5" w14:textId="3644FDE2" w:rsidR="00A940EE" w:rsidRDefault="00A940EE" w:rsidP="00750862">
      <w:pPr>
        <w:pStyle w:val="NormalWeb"/>
        <w:rPr>
          <w:rFonts w:ascii="Arial" w:hAnsi="Arial" w:cs="Arial"/>
        </w:rPr>
      </w:pPr>
      <w:r w:rsidRPr="00A940EE">
        <w:rPr>
          <w:rFonts w:ascii="Arial" w:hAnsi="Arial" w:cs="Arial"/>
        </w:rPr>
        <w:t xml:space="preserve">Johnson, G., Whittington, R. and Scholes, K. (2020) </w:t>
      </w:r>
      <w:r w:rsidRPr="00A940EE">
        <w:rPr>
          <w:rStyle w:val="Emphasis"/>
          <w:rFonts w:ascii="Arial" w:hAnsi="Arial" w:cs="Arial"/>
          <w:i w:val="0"/>
          <w:iCs w:val="0"/>
        </w:rPr>
        <w:t>Exploring Strategy: Text and Cases</w:t>
      </w:r>
      <w:r w:rsidRPr="00A940EE">
        <w:rPr>
          <w:rStyle w:val="Emphasis"/>
          <w:rFonts w:ascii="Arial" w:hAnsi="Arial" w:cs="Arial"/>
        </w:rPr>
        <w:t>.</w:t>
      </w:r>
      <w:r w:rsidRPr="00A940EE">
        <w:rPr>
          <w:rFonts w:ascii="Arial" w:hAnsi="Arial" w:cs="Arial"/>
        </w:rPr>
        <w:t xml:space="preserve"> 12th </w:t>
      </w:r>
      <w:proofErr w:type="spellStart"/>
      <w:r w:rsidRPr="00A940EE">
        <w:rPr>
          <w:rFonts w:ascii="Arial" w:hAnsi="Arial" w:cs="Arial"/>
        </w:rPr>
        <w:t>edn</w:t>
      </w:r>
      <w:proofErr w:type="spellEnd"/>
      <w:r w:rsidRPr="00A940EE">
        <w:rPr>
          <w:rFonts w:ascii="Arial" w:hAnsi="Arial" w:cs="Arial"/>
        </w:rPr>
        <w:t>. Harlow: Pearson Education.</w:t>
      </w:r>
    </w:p>
    <w:p w14:paraId="4EB54B0B" w14:textId="77777777" w:rsidR="0036306E" w:rsidRPr="003A0052" w:rsidRDefault="0036306E" w:rsidP="00750862">
      <w:pPr>
        <w:pStyle w:val="NormalWeb"/>
        <w:rPr>
          <w:rFonts w:ascii="Arial" w:hAnsi="Arial" w:cs="Arial"/>
        </w:rPr>
      </w:pPr>
      <w:r w:rsidRPr="003A0052">
        <w:rPr>
          <w:rFonts w:ascii="Arial" w:hAnsi="Arial" w:cs="Arial"/>
        </w:rPr>
        <w:t xml:space="preserve">Bourne, L. (2010) </w:t>
      </w:r>
      <w:r w:rsidRPr="003A0052">
        <w:rPr>
          <w:rStyle w:val="Emphasis"/>
          <w:rFonts w:ascii="Arial" w:hAnsi="Arial" w:cs="Arial"/>
          <w:i w:val="0"/>
          <w:iCs w:val="0"/>
        </w:rPr>
        <w:t>Stakeholder Relationship Management: Using the Stakeholder Circle Methodology for More Effective Stakeholder Engagement of Senior Management</w:t>
      </w:r>
      <w:r w:rsidRPr="003A0052">
        <w:rPr>
          <w:rStyle w:val="Emphasis"/>
          <w:rFonts w:ascii="Arial" w:hAnsi="Arial" w:cs="Arial"/>
        </w:rPr>
        <w:t>.</w:t>
      </w:r>
      <w:r w:rsidRPr="003A0052">
        <w:rPr>
          <w:rFonts w:ascii="Arial" w:hAnsi="Arial" w:cs="Arial"/>
        </w:rPr>
        <w:t xml:space="preserve"> PMI Chapter, Rio de Janeiro.</w:t>
      </w:r>
    </w:p>
    <w:p w14:paraId="1C0CB8D8" w14:textId="77777777" w:rsidR="0036306E" w:rsidRPr="003A0052" w:rsidRDefault="0036306E" w:rsidP="00750862">
      <w:pPr>
        <w:pStyle w:val="NormalWeb"/>
        <w:rPr>
          <w:rFonts w:ascii="Arial" w:hAnsi="Arial" w:cs="Arial"/>
        </w:rPr>
      </w:pPr>
      <w:r w:rsidRPr="003A0052">
        <w:rPr>
          <w:rFonts w:ascii="Arial" w:hAnsi="Arial" w:cs="Arial"/>
        </w:rPr>
        <w:t xml:space="preserve">Bourne, L. (2016) </w:t>
      </w:r>
      <w:r w:rsidRPr="003A0052">
        <w:rPr>
          <w:rStyle w:val="Emphasis"/>
          <w:rFonts w:ascii="Arial" w:hAnsi="Arial" w:cs="Arial"/>
          <w:i w:val="0"/>
          <w:iCs w:val="0"/>
        </w:rPr>
        <w:t>Stakeholder Relationship Management: A Maturity Model for Organisational Implementation</w:t>
      </w:r>
      <w:r w:rsidRPr="003A0052">
        <w:rPr>
          <w:rStyle w:val="Emphasis"/>
          <w:rFonts w:ascii="Arial" w:hAnsi="Arial" w:cs="Arial"/>
        </w:rPr>
        <w:t>.</w:t>
      </w:r>
      <w:r w:rsidRPr="003A0052">
        <w:rPr>
          <w:rFonts w:ascii="Arial" w:hAnsi="Arial" w:cs="Arial"/>
        </w:rPr>
        <w:t xml:space="preserve"> New York: Routledge.</w:t>
      </w:r>
    </w:p>
    <w:p w14:paraId="2F1BF3C3" w14:textId="77777777" w:rsidR="0036306E" w:rsidRPr="003A0052" w:rsidRDefault="0036306E" w:rsidP="00750862">
      <w:pPr>
        <w:pStyle w:val="NormalWeb"/>
        <w:rPr>
          <w:rFonts w:ascii="Arial" w:hAnsi="Arial" w:cs="Arial"/>
        </w:rPr>
      </w:pPr>
      <w:r w:rsidRPr="003A0052">
        <w:rPr>
          <w:rFonts w:ascii="Arial" w:hAnsi="Arial" w:cs="Arial"/>
        </w:rPr>
        <w:t xml:space="preserve">Mitchell, R. K., Agle, B. R. and Wood, D. J. (1997) ‘Toward a Theory of Stakeholder Identification and Salience: Defining the Principle of Who and What Really Counts’, </w:t>
      </w:r>
      <w:r w:rsidRPr="003A0052">
        <w:rPr>
          <w:rStyle w:val="Emphasis"/>
          <w:rFonts w:ascii="Arial" w:hAnsi="Arial" w:cs="Arial"/>
          <w:i w:val="0"/>
          <w:iCs w:val="0"/>
        </w:rPr>
        <w:t>Academy of Management Review</w:t>
      </w:r>
      <w:r w:rsidRPr="003A0052">
        <w:rPr>
          <w:rFonts w:ascii="Arial" w:hAnsi="Arial" w:cs="Arial"/>
        </w:rPr>
        <w:t>, 22(4), pp. 853–886.</w:t>
      </w:r>
    </w:p>
    <w:p w14:paraId="0EB0DBF4" w14:textId="5102A902" w:rsidR="0036306E" w:rsidRPr="00750862" w:rsidRDefault="00750862" w:rsidP="00750862">
      <w:pPr>
        <w:pStyle w:val="NormalWeb"/>
        <w:rPr>
          <w:rFonts w:ascii="Arial" w:hAnsi="Arial" w:cs="Arial"/>
        </w:rPr>
      </w:pPr>
      <w:r w:rsidRPr="00750862">
        <w:rPr>
          <w:rFonts w:ascii="Arial" w:hAnsi="Arial" w:cs="Arial"/>
        </w:rPr>
        <w:t xml:space="preserve">Bowie, N. E. (1991) </w:t>
      </w:r>
      <w:r w:rsidRPr="00750862">
        <w:rPr>
          <w:rStyle w:val="Emphasis"/>
          <w:rFonts w:ascii="Arial" w:hAnsi="Arial" w:cs="Arial"/>
          <w:i w:val="0"/>
          <w:iCs w:val="0"/>
        </w:rPr>
        <w:t>New Directions in Corporate Social Responsibility</w:t>
      </w:r>
      <w:r w:rsidRPr="00750862">
        <w:rPr>
          <w:rFonts w:ascii="Arial" w:hAnsi="Arial" w:cs="Arial"/>
          <w:i/>
          <w:iCs/>
        </w:rPr>
        <w:t>.</w:t>
      </w:r>
      <w:r w:rsidRPr="00750862">
        <w:rPr>
          <w:rFonts w:ascii="Arial" w:hAnsi="Arial" w:cs="Arial"/>
        </w:rPr>
        <w:t xml:space="preserve"> Boston: Harvard Business School Press.</w:t>
      </w:r>
    </w:p>
    <w:p w14:paraId="6164465C" w14:textId="3ED69546" w:rsidR="00A940EE" w:rsidRPr="00750862" w:rsidRDefault="00750862" w:rsidP="00750862">
      <w:pPr>
        <w:pStyle w:val="NormalWeb"/>
        <w:rPr>
          <w:rFonts w:ascii="Arial" w:hAnsi="Arial" w:cs="Arial"/>
        </w:rPr>
      </w:pPr>
      <w:r w:rsidRPr="00750862">
        <w:rPr>
          <w:rFonts w:ascii="Arial" w:hAnsi="Arial" w:cs="Arial"/>
        </w:rPr>
        <w:t xml:space="preserve">Freeman, R. E., Phillips, R. and Wicks, A. C. (2003) ‘What Stakeholder Theory is Not’, </w:t>
      </w:r>
      <w:r w:rsidRPr="00750862">
        <w:rPr>
          <w:rStyle w:val="Emphasis"/>
          <w:rFonts w:ascii="Arial" w:hAnsi="Arial" w:cs="Arial"/>
          <w:i w:val="0"/>
          <w:iCs w:val="0"/>
        </w:rPr>
        <w:t>Business Ethics Quarterly</w:t>
      </w:r>
      <w:r w:rsidRPr="00750862">
        <w:rPr>
          <w:rFonts w:ascii="Arial" w:hAnsi="Arial" w:cs="Arial"/>
        </w:rPr>
        <w:t>, 13(4), pp. 479–502.</w:t>
      </w:r>
    </w:p>
    <w:p w14:paraId="0C7A1E80" w14:textId="10D780DA" w:rsidR="001950E4" w:rsidRPr="00750862" w:rsidRDefault="00750862" w:rsidP="00750862">
      <w:pPr>
        <w:pStyle w:val="NormalWeb"/>
        <w:rPr>
          <w:rFonts w:ascii="Arial" w:hAnsi="Arial" w:cs="Arial"/>
        </w:rPr>
      </w:pPr>
      <w:r w:rsidRPr="00750862">
        <w:rPr>
          <w:rFonts w:ascii="Arial" w:hAnsi="Arial" w:cs="Arial"/>
        </w:rPr>
        <w:t xml:space="preserve">Nohria, N. (1992) </w:t>
      </w:r>
      <w:r w:rsidRPr="009D1FC7">
        <w:rPr>
          <w:rStyle w:val="Emphasis"/>
          <w:rFonts w:ascii="Arial" w:hAnsi="Arial" w:cs="Arial"/>
          <w:i w:val="0"/>
          <w:iCs w:val="0"/>
        </w:rPr>
        <w:t>Information and Search in the Creation of New Ventures</w:t>
      </w:r>
      <w:r w:rsidRPr="00750862">
        <w:rPr>
          <w:rFonts w:ascii="Arial" w:hAnsi="Arial" w:cs="Arial"/>
        </w:rPr>
        <w:t xml:space="preserve">. In Nohria, N. and Eccles, R. (eds.) </w:t>
      </w:r>
      <w:r w:rsidRPr="009D1FC7">
        <w:rPr>
          <w:rStyle w:val="Emphasis"/>
          <w:rFonts w:ascii="Arial" w:hAnsi="Arial" w:cs="Arial"/>
          <w:i w:val="0"/>
          <w:iCs w:val="0"/>
        </w:rPr>
        <w:t>Networks and Organizations: Structure, Form and Action</w:t>
      </w:r>
      <w:r w:rsidRPr="00750862">
        <w:rPr>
          <w:rFonts w:ascii="Arial" w:hAnsi="Arial" w:cs="Arial"/>
        </w:rPr>
        <w:t>. Boston: Harvard Business School Press.</w:t>
      </w:r>
    </w:p>
    <w:p w14:paraId="271823EC" w14:textId="2DB6E5BF" w:rsidR="00DC1F83" w:rsidRDefault="00750862" w:rsidP="00750862">
      <w:pPr>
        <w:spacing w:line="240" w:lineRule="auto"/>
        <w:rPr>
          <w:rFonts w:ascii="Arial" w:hAnsi="Arial" w:cs="Arial"/>
          <w:sz w:val="24"/>
          <w:szCs w:val="24"/>
        </w:rPr>
      </w:pPr>
      <w:r w:rsidRPr="00750862">
        <w:rPr>
          <w:rFonts w:ascii="Arial" w:hAnsi="Arial" w:cs="Arial"/>
          <w:sz w:val="24"/>
          <w:szCs w:val="24"/>
        </w:rPr>
        <w:t xml:space="preserve">Pfeffer, J. and </w:t>
      </w:r>
      <w:proofErr w:type="spellStart"/>
      <w:r w:rsidRPr="00750862">
        <w:rPr>
          <w:rFonts w:ascii="Arial" w:hAnsi="Arial" w:cs="Arial"/>
          <w:sz w:val="24"/>
          <w:szCs w:val="24"/>
        </w:rPr>
        <w:t>Salancik</w:t>
      </w:r>
      <w:proofErr w:type="spellEnd"/>
      <w:r w:rsidRPr="00750862">
        <w:rPr>
          <w:rFonts w:ascii="Arial" w:hAnsi="Arial" w:cs="Arial"/>
          <w:sz w:val="24"/>
          <w:szCs w:val="24"/>
        </w:rPr>
        <w:t xml:space="preserve">, G. R. (1978) </w:t>
      </w:r>
      <w:r w:rsidRPr="00750862">
        <w:rPr>
          <w:rStyle w:val="Emphasis"/>
          <w:rFonts w:ascii="Arial" w:hAnsi="Arial" w:cs="Arial"/>
          <w:i w:val="0"/>
          <w:iCs w:val="0"/>
          <w:sz w:val="24"/>
          <w:szCs w:val="24"/>
        </w:rPr>
        <w:t>The External Control of Organizations: A Re</w:t>
      </w:r>
      <w:r w:rsidR="00F15ADB" w:rsidRPr="00F15ADB">
        <w:t xml:space="preserve"> </w:t>
      </w:r>
      <w:r w:rsidRPr="00750862">
        <w:rPr>
          <w:rStyle w:val="Emphasis"/>
          <w:rFonts w:ascii="Arial" w:hAnsi="Arial" w:cs="Arial"/>
          <w:i w:val="0"/>
          <w:iCs w:val="0"/>
          <w:sz w:val="24"/>
          <w:szCs w:val="24"/>
        </w:rPr>
        <w:t>source Dependence Perspective</w:t>
      </w:r>
      <w:r w:rsidRPr="00750862">
        <w:rPr>
          <w:rFonts w:ascii="Arial" w:hAnsi="Arial" w:cs="Arial"/>
          <w:sz w:val="24"/>
          <w:szCs w:val="24"/>
        </w:rPr>
        <w:t>. New York: Harper and Row.</w:t>
      </w:r>
    </w:p>
    <w:p w14:paraId="679946CF" w14:textId="280A6623" w:rsidR="00F15ADB" w:rsidRDefault="00F15ADB" w:rsidP="00750862">
      <w:pPr>
        <w:spacing w:line="240" w:lineRule="auto"/>
        <w:rPr>
          <w:rFonts w:ascii="Arial" w:hAnsi="Arial" w:cs="Arial"/>
          <w:sz w:val="24"/>
          <w:szCs w:val="24"/>
        </w:rPr>
      </w:pPr>
      <w:r w:rsidRPr="00F15ADB">
        <w:rPr>
          <w:rFonts w:ascii="Arial" w:hAnsi="Arial" w:cs="Arial"/>
          <w:sz w:val="24"/>
          <w:szCs w:val="24"/>
        </w:rPr>
        <w:lastRenderedPageBreak/>
        <w:t xml:space="preserve">Blau, P. M. (1964) </w:t>
      </w:r>
      <w:r w:rsidRPr="00F15ADB">
        <w:rPr>
          <w:rStyle w:val="Emphasis"/>
          <w:rFonts w:ascii="Arial" w:hAnsi="Arial" w:cs="Arial"/>
          <w:i w:val="0"/>
          <w:iCs w:val="0"/>
          <w:sz w:val="24"/>
          <w:szCs w:val="24"/>
        </w:rPr>
        <w:t>Exchange and Power in Social Life</w:t>
      </w:r>
      <w:r w:rsidRPr="00F15ADB">
        <w:rPr>
          <w:rFonts w:ascii="Arial" w:hAnsi="Arial" w:cs="Arial"/>
          <w:sz w:val="24"/>
          <w:szCs w:val="24"/>
        </w:rPr>
        <w:t>. New York: Wiley.</w:t>
      </w:r>
    </w:p>
    <w:p w14:paraId="07B54288" w14:textId="75BBCBE7" w:rsidR="00F15ADB" w:rsidRDefault="00F15ADB" w:rsidP="00750862">
      <w:pPr>
        <w:spacing w:line="240" w:lineRule="auto"/>
        <w:rPr>
          <w:rFonts w:ascii="Arial" w:hAnsi="Arial" w:cs="Arial"/>
          <w:sz w:val="24"/>
          <w:szCs w:val="24"/>
        </w:rPr>
      </w:pPr>
      <w:r w:rsidRPr="00F15ADB">
        <w:rPr>
          <w:rFonts w:ascii="Arial" w:hAnsi="Arial" w:cs="Arial"/>
          <w:sz w:val="24"/>
          <w:szCs w:val="24"/>
        </w:rPr>
        <w:t xml:space="preserve">Bryson, J. M., Crosby, B. C. and Stone, M. M. (2015) ‘Designing and Implementing Cross-Sector Collaborations’, </w:t>
      </w:r>
      <w:r w:rsidRPr="00F15ADB">
        <w:rPr>
          <w:rStyle w:val="Emphasis"/>
          <w:rFonts w:ascii="Arial" w:hAnsi="Arial" w:cs="Arial"/>
          <w:i w:val="0"/>
          <w:iCs w:val="0"/>
          <w:sz w:val="24"/>
          <w:szCs w:val="24"/>
        </w:rPr>
        <w:t>Public Administration Review</w:t>
      </w:r>
      <w:r w:rsidRPr="00F15ADB">
        <w:rPr>
          <w:rFonts w:ascii="Arial" w:hAnsi="Arial" w:cs="Arial"/>
          <w:sz w:val="24"/>
          <w:szCs w:val="24"/>
        </w:rPr>
        <w:t>, 75(5), pp. 647–663.</w:t>
      </w:r>
    </w:p>
    <w:p w14:paraId="5D58F579" w14:textId="099BEE7C" w:rsidR="00F15ADB" w:rsidRDefault="00F15ADB" w:rsidP="00750862">
      <w:pPr>
        <w:spacing w:line="240" w:lineRule="auto"/>
        <w:rPr>
          <w:rFonts w:ascii="Arial" w:hAnsi="Arial" w:cs="Arial"/>
          <w:sz w:val="24"/>
          <w:szCs w:val="24"/>
        </w:rPr>
      </w:pPr>
      <w:r w:rsidRPr="00F15ADB">
        <w:rPr>
          <w:rFonts w:ascii="Arial" w:hAnsi="Arial" w:cs="Arial"/>
          <w:sz w:val="24"/>
          <w:szCs w:val="24"/>
        </w:rPr>
        <w:t xml:space="preserve">Freeman, R. E. (1984) </w:t>
      </w:r>
      <w:r w:rsidRPr="00F15ADB">
        <w:rPr>
          <w:rStyle w:val="Emphasis"/>
          <w:rFonts w:ascii="Arial" w:hAnsi="Arial" w:cs="Arial"/>
          <w:i w:val="0"/>
          <w:iCs w:val="0"/>
          <w:sz w:val="24"/>
          <w:szCs w:val="24"/>
        </w:rPr>
        <w:t>Strategic Management: A Stakeholder Approach</w:t>
      </w:r>
      <w:r w:rsidRPr="00F15ADB">
        <w:rPr>
          <w:rFonts w:ascii="Arial" w:hAnsi="Arial" w:cs="Arial"/>
          <w:sz w:val="24"/>
          <w:szCs w:val="24"/>
        </w:rPr>
        <w:t>. Boston: Pitman.</w:t>
      </w:r>
    </w:p>
    <w:p w14:paraId="0F82A460" w14:textId="47F3739F" w:rsidR="00F15ADB" w:rsidRDefault="00F15ADB" w:rsidP="00750862">
      <w:pPr>
        <w:spacing w:line="240" w:lineRule="auto"/>
        <w:rPr>
          <w:rFonts w:ascii="Arial" w:hAnsi="Arial" w:cs="Arial"/>
          <w:sz w:val="24"/>
          <w:szCs w:val="24"/>
        </w:rPr>
      </w:pPr>
      <w:r w:rsidRPr="00F15ADB">
        <w:rPr>
          <w:rFonts w:ascii="Arial" w:hAnsi="Arial" w:cs="Arial"/>
          <w:sz w:val="24"/>
          <w:szCs w:val="24"/>
        </w:rPr>
        <w:t xml:space="preserve">Jehn, K. A. and Bendersky, C. (2003) ‘Intragroup Conflict in Organizations’, </w:t>
      </w:r>
      <w:r w:rsidRPr="00A61FCF">
        <w:rPr>
          <w:rStyle w:val="Emphasis"/>
          <w:rFonts w:ascii="Arial" w:hAnsi="Arial" w:cs="Arial"/>
          <w:i w:val="0"/>
          <w:iCs w:val="0"/>
          <w:sz w:val="24"/>
          <w:szCs w:val="24"/>
        </w:rPr>
        <w:t xml:space="preserve">Research in Organizational </w:t>
      </w:r>
      <w:proofErr w:type="spellStart"/>
      <w:r w:rsidRPr="00A61FCF">
        <w:rPr>
          <w:rStyle w:val="Emphasis"/>
          <w:rFonts w:ascii="Arial" w:hAnsi="Arial" w:cs="Arial"/>
          <w:i w:val="0"/>
          <w:iCs w:val="0"/>
          <w:sz w:val="24"/>
          <w:szCs w:val="24"/>
        </w:rPr>
        <w:t>Behavior</w:t>
      </w:r>
      <w:proofErr w:type="spellEnd"/>
      <w:r w:rsidRPr="00F15ADB">
        <w:rPr>
          <w:rFonts w:ascii="Arial" w:hAnsi="Arial" w:cs="Arial"/>
          <w:sz w:val="24"/>
          <w:szCs w:val="24"/>
        </w:rPr>
        <w:t>, 25, pp. 187–242.</w:t>
      </w:r>
    </w:p>
    <w:p w14:paraId="0ABEC7B4" w14:textId="46BE3ECE" w:rsidR="00A61FCF" w:rsidRDefault="00A61FCF" w:rsidP="00750862">
      <w:pPr>
        <w:spacing w:line="240" w:lineRule="auto"/>
        <w:rPr>
          <w:rFonts w:ascii="Arial" w:hAnsi="Arial" w:cs="Arial"/>
          <w:sz w:val="24"/>
          <w:szCs w:val="24"/>
        </w:rPr>
      </w:pPr>
      <w:r w:rsidRPr="00A61FCF">
        <w:rPr>
          <w:rFonts w:ascii="Arial" w:hAnsi="Arial" w:cs="Arial"/>
          <w:sz w:val="24"/>
          <w:szCs w:val="24"/>
        </w:rPr>
        <w:t xml:space="preserve">Lau, E. (2014) ‘The 4Cs Framework in Stakeholder Engagement’, </w:t>
      </w:r>
      <w:r w:rsidRPr="00A61FCF">
        <w:rPr>
          <w:rStyle w:val="Emphasis"/>
          <w:rFonts w:ascii="Arial" w:hAnsi="Arial" w:cs="Arial"/>
          <w:i w:val="0"/>
          <w:iCs w:val="0"/>
          <w:sz w:val="24"/>
          <w:szCs w:val="24"/>
        </w:rPr>
        <w:t>Journal of Management Development</w:t>
      </w:r>
      <w:r w:rsidRPr="00A61FCF">
        <w:rPr>
          <w:rFonts w:ascii="Arial" w:hAnsi="Arial" w:cs="Arial"/>
          <w:sz w:val="24"/>
          <w:szCs w:val="24"/>
        </w:rPr>
        <w:t>, 33(4), pp. 350–362.</w:t>
      </w:r>
    </w:p>
    <w:p w14:paraId="36DD61A2" w14:textId="69643B8C" w:rsidR="00A61FCF" w:rsidRDefault="00A61FCF" w:rsidP="00750862">
      <w:pPr>
        <w:spacing w:line="240" w:lineRule="auto"/>
        <w:rPr>
          <w:rFonts w:ascii="Arial" w:hAnsi="Arial" w:cs="Arial"/>
          <w:sz w:val="24"/>
          <w:szCs w:val="24"/>
        </w:rPr>
      </w:pPr>
      <w:r w:rsidRPr="00A61FCF">
        <w:rPr>
          <w:rFonts w:ascii="Arial" w:hAnsi="Arial" w:cs="Arial"/>
          <w:sz w:val="24"/>
          <w:szCs w:val="24"/>
        </w:rPr>
        <w:t xml:space="preserve">Mazur, A. and Pisarski, A. (2015) ‘Major Project Managers’ Internal and External Stakeholders’, </w:t>
      </w:r>
      <w:r w:rsidRPr="00A61FCF">
        <w:rPr>
          <w:rStyle w:val="Emphasis"/>
          <w:rFonts w:ascii="Arial" w:hAnsi="Arial" w:cs="Arial"/>
          <w:i w:val="0"/>
          <w:iCs w:val="0"/>
          <w:sz w:val="24"/>
          <w:szCs w:val="24"/>
        </w:rPr>
        <w:t>International Journal of Project Management</w:t>
      </w:r>
      <w:r w:rsidRPr="00A61FCF">
        <w:rPr>
          <w:rFonts w:ascii="Arial" w:hAnsi="Arial" w:cs="Arial"/>
          <w:sz w:val="24"/>
          <w:szCs w:val="24"/>
        </w:rPr>
        <w:t>, 33(7), pp. 1684–1698.</w:t>
      </w:r>
    </w:p>
    <w:p w14:paraId="7D6F33BF" w14:textId="502A2E64" w:rsidR="00A61FCF" w:rsidRDefault="00A61FCF" w:rsidP="00750862">
      <w:pPr>
        <w:spacing w:line="240" w:lineRule="auto"/>
        <w:rPr>
          <w:rFonts w:ascii="Arial" w:hAnsi="Arial" w:cs="Arial"/>
          <w:sz w:val="24"/>
          <w:szCs w:val="24"/>
        </w:rPr>
      </w:pPr>
      <w:r w:rsidRPr="00A61FCF">
        <w:rPr>
          <w:rFonts w:ascii="Arial" w:hAnsi="Arial" w:cs="Arial"/>
          <w:sz w:val="24"/>
          <w:szCs w:val="24"/>
        </w:rPr>
        <w:t xml:space="preserve">Pfeffer, J. and </w:t>
      </w:r>
      <w:proofErr w:type="spellStart"/>
      <w:r w:rsidRPr="00A61FCF">
        <w:rPr>
          <w:rFonts w:ascii="Arial" w:hAnsi="Arial" w:cs="Arial"/>
          <w:sz w:val="24"/>
          <w:szCs w:val="24"/>
        </w:rPr>
        <w:t>Salancik</w:t>
      </w:r>
      <w:proofErr w:type="spellEnd"/>
      <w:r w:rsidRPr="00A61FCF">
        <w:rPr>
          <w:rFonts w:ascii="Arial" w:hAnsi="Arial" w:cs="Arial"/>
          <w:sz w:val="24"/>
          <w:szCs w:val="24"/>
        </w:rPr>
        <w:t xml:space="preserve">, G. R. (1978) </w:t>
      </w:r>
      <w:r w:rsidRPr="00A61FCF">
        <w:rPr>
          <w:rStyle w:val="Emphasis"/>
          <w:rFonts w:ascii="Arial" w:hAnsi="Arial" w:cs="Arial"/>
          <w:i w:val="0"/>
          <w:iCs w:val="0"/>
          <w:sz w:val="24"/>
          <w:szCs w:val="24"/>
        </w:rPr>
        <w:t>The External Control of Organizations: A Resource Dependence Perspective</w:t>
      </w:r>
      <w:r w:rsidRPr="00A61FCF">
        <w:rPr>
          <w:rFonts w:ascii="Arial" w:hAnsi="Arial" w:cs="Arial"/>
          <w:sz w:val="24"/>
          <w:szCs w:val="24"/>
        </w:rPr>
        <w:t>. New York: Harper &amp; Row.</w:t>
      </w:r>
    </w:p>
    <w:p w14:paraId="3B28DF59" w14:textId="26C3CF93" w:rsidR="00A61FCF" w:rsidRDefault="00A61FCF" w:rsidP="00750862">
      <w:pPr>
        <w:spacing w:line="240" w:lineRule="auto"/>
        <w:rPr>
          <w:rFonts w:ascii="Arial" w:hAnsi="Arial" w:cs="Arial"/>
          <w:sz w:val="24"/>
          <w:szCs w:val="24"/>
        </w:rPr>
      </w:pPr>
      <w:r w:rsidRPr="00A61FCF">
        <w:rPr>
          <w:rFonts w:ascii="Arial" w:hAnsi="Arial" w:cs="Arial"/>
          <w:sz w:val="24"/>
          <w:szCs w:val="24"/>
        </w:rPr>
        <w:t xml:space="preserve">Rahim, M. A. (2011) </w:t>
      </w:r>
      <w:r w:rsidRPr="00A61FCF">
        <w:rPr>
          <w:rStyle w:val="Emphasis"/>
          <w:rFonts w:ascii="Arial" w:hAnsi="Arial" w:cs="Arial"/>
          <w:i w:val="0"/>
          <w:iCs w:val="0"/>
          <w:sz w:val="24"/>
          <w:szCs w:val="24"/>
        </w:rPr>
        <w:t>Managing Conflict in Organizations</w:t>
      </w:r>
      <w:r w:rsidRPr="00A61FCF">
        <w:rPr>
          <w:rFonts w:ascii="Arial" w:hAnsi="Arial" w:cs="Arial"/>
          <w:sz w:val="24"/>
          <w:szCs w:val="24"/>
        </w:rPr>
        <w:t xml:space="preserve">. 4th </w:t>
      </w:r>
      <w:proofErr w:type="spellStart"/>
      <w:r w:rsidRPr="00A61FCF">
        <w:rPr>
          <w:rFonts w:ascii="Arial" w:hAnsi="Arial" w:cs="Arial"/>
          <w:sz w:val="24"/>
          <w:szCs w:val="24"/>
        </w:rPr>
        <w:t>edn</w:t>
      </w:r>
      <w:proofErr w:type="spellEnd"/>
      <w:r w:rsidRPr="00A61FCF">
        <w:rPr>
          <w:rFonts w:ascii="Arial" w:hAnsi="Arial" w:cs="Arial"/>
          <w:sz w:val="24"/>
          <w:szCs w:val="24"/>
        </w:rPr>
        <w:t>. New Brunswick: Transaction Publishers.</w:t>
      </w:r>
    </w:p>
    <w:p w14:paraId="1A738405" w14:textId="0C9C4BF3" w:rsidR="00A61FCF" w:rsidRDefault="00A61FCF" w:rsidP="00750862">
      <w:pPr>
        <w:spacing w:line="240" w:lineRule="auto"/>
        <w:rPr>
          <w:rFonts w:ascii="Arial" w:hAnsi="Arial" w:cs="Arial"/>
          <w:sz w:val="24"/>
          <w:szCs w:val="24"/>
        </w:rPr>
      </w:pPr>
      <w:r w:rsidRPr="00A61FCF">
        <w:rPr>
          <w:rFonts w:ascii="Arial" w:hAnsi="Arial" w:cs="Arial"/>
          <w:sz w:val="24"/>
          <w:szCs w:val="24"/>
        </w:rPr>
        <w:t xml:space="preserve">Walker, D., Bourne, L. and Shelley, A. (2008) ‘Influence, Stakeholder Mapping and Visualisation’, </w:t>
      </w:r>
      <w:r w:rsidRPr="00A61FCF">
        <w:rPr>
          <w:rStyle w:val="Emphasis"/>
          <w:rFonts w:ascii="Arial" w:hAnsi="Arial" w:cs="Arial"/>
          <w:i w:val="0"/>
          <w:iCs w:val="0"/>
          <w:sz w:val="24"/>
          <w:szCs w:val="24"/>
        </w:rPr>
        <w:t>Construction Management and Economics</w:t>
      </w:r>
      <w:r w:rsidRPr="00A61FCF">
        <w:rPr>
          <w:rFonts w:ascii="Arial" w:hAnsi="Arial" w:cs="Arial"/>
          <w:sz w:val="24"/>
          <w:szCs w:val="24"/>
        </w:rPr>
        <w:t>, 26(6), pp. 645–658.</w:t>
      </w:r>
    </w:p>
    <w:p w14:paraId="52BEF525" w14:textId="752C31C8" w:rsidR="007B15CA" w:rsidRPr="009D1FC7" w:rsidRDefault="007B15CA" w:rsidP="007B15CA">
      <w:pPr>
        <w:pStyle w:val="NormalWeb"/>
        <w:rPr>
          <w:rFonts w:ascii="Arial" w:hAnsi="Arial" w:cs="Arial"/>
        </w:rPr>
      </w:pPr>
      <w:r w:rsidRPr="009D1FC7">
        <w:rPr>
          <w:rFonts w:ascii="Arial" w:hAnsi="Arial" w:cs="Arial"/>
        </w:rPr>
        <w:t xml:space="preserve">Aaltonen, K. and Kujala, J. (2016) ‘Towards an Improved Understanding of Project Stakeholder Landscapes’, </w:t>
      </w:r>
      <w:r w:rsidRPr="009D1FC7">
        <w:rPr>
          <w:rStyle w:val="Emphasis"/>
          <w:rFonts w:ascii="Arial" w:hAnsi="Arial" w:cs="Arial"/>
          <w:i w:val="0"/>
          <w:iCs w:val="0"/>
        </w:rPr>
        <w:t>International Journal of Project Management</w:t>
      </w:r>
      <w:r w:rsidRPr="009D1FC7">
        <w:rPr>
          <w:rFonts w:ascii="Arial" w:hAnsi="Arial" w:cs="Arial"/>
        </w:rPr>
        <w:t>, 34(8), pp. 1537–1552.</w:t>
      </w:r>
    </w:p>
    <w:p w14:paraId="6B2337D9" w14:textId="58BFE66E" w:rsidR="007B15CA" w:rsidRPr="009D1FC7" w:rsidRDefault="007B15CA" w:rsidP="007B15CA">
      <w:pPr>
        <w:pStyle w:val="NormalWeb"/>
        <w:rPr>
          <w:rFonts w:ascii="Arial" w:hAnsi="Arial" w:cs="Arial"/>
        </w:rPr>
      </w:pPr>
      <w:r w:rsidRPr="009D1FC7">
        <w:rPr>
          <w:rFonts w:ascii="Arial" w:hAnsi="Arial" w:cs="Arial"/>
        </w:rPr>
        <w:t xml:space="preserve">Cornelissen, J. (2017) </w:t>
      </w:r>
      <w:r w:rsidRPr="009D1FC7">
        <w:rPr>
          <w:rStyle w:val="Emphasis"/>
          <w:rFonts w:ascii="Arial" w:hAnsi="Arial" w:cs="Arial"/>
          <w:i w:val="0"/>
          <w:iCs w:val="0"/>
        </w:rPr>
        <w:t>Corporate Communication</w:t>
      </w:r>
      <w:r w:rsidRPr="009D1FC7">
        <w:rPr>
          <w:rStyle w:val="Emphasis"/>
          <w:rFonts w:ascii="Arial" w:hAnsi="Arial" w:cs="Arial"/>
        </w:rPr>
        <w:t xml:space="preserve">: </w:t>
      </w:r>
      <w:r w:rsidRPr="009D1FC7">
        <w:rPr>
          <w:rStyle w:val="Emphasis"/>
          <w:rFonts w:ascii="Arial" w:hAnsi="Arial" w:cs="Arial"/>
          <w:i w:val="0"/>
          <w:iCs w:val="0"/>
        </w:rPr>
        <w:t>A Guide to Theory and Practice</w:t>
      </w:r>
      <w:r w:rsidRPr="009D1FC7">
        <w:rPr>
          <w:rFonts w:ascii="Arial" w:hAnsi="Arial" w:cs="Arial"/>
        </w:rPr>
        <w:t xml:space="preserve">. 5th </w:t>
      </w:r>
      <w:proofErr w:type="spellStart"/>
      <w:r w:rsidRPr="009D1FC7">
        <w:rPr>
          <w:rFonts w:ascii="Arial" w:hAnsi="Arial" w:cs="Arial"/>
        </w:rPr>
        <w:t>edn</w:t>
      </w:r>
      <w:proofErr w:type="spellEnd"/>
      <w:r w:rsidRPr="009D1FC7">
        <w:rPr>
          <w:rFonts w:ascii="Arial" w:hAnsi="Arial" w:cs="Arial"/>
        </w:rPr>
        <w:t>. London: SAGE.</w:t>
      </w:r>
    </w:p>
    <w:p w14:paraId="0FA83FFC" w14:textId="497217ED" w:rsidR="007B15CA" w:rsidRPr="009D1FC7" w:rsidRDefault="007B15CA" w:rsidP="007B15CA">
      <w:pPr>
        <w:pStyle w:val="NormalWeb"/>
        <w:rPr>
          <w:rFonts w:ascii="Arial" w:hAnsi="Arial" w:cs="Arial"/>
        </w:rPr>
      </w:pPr>
      <w:r w:rsidRPr="009D1FC7">
        <w:rPr>
          <w:rFonts w:ascii="Arial" w:hAnsi="Arial" w:cs="Arial"/>
        </w:rPr>
        <w:t xml:space="preserve">Greenwood, M. (2007) ‘Stakeholder Engagement: Beyond the Myth of Corporate Responsibility’, </w:t>
      </w:r>
      <w:r w:rsidRPr="009D1FC7">
        <w:rPr>
          <w:rStyle w:val="Emphasis"/>
          <w:rFonts w:ascii="Arial" w:hAnsi="Arial" w:cs="Arial"/>
          <w:i w:val="0"/>
          <w:iCs w:val="0"/>
        </w:rPr>
        <w:t>Journal of Business Ethics</w:t>
      </w:r>
      <w:r w:rsidRPr="009D1FC7">
        <w:rPr>
          <w:rFonts w:ascii="Arial" w:hAnsi="Arial" w:cs="Arial"/>
        </w:rPr>
        <w:t>, 74(4), pp. 315–327.</w:t>
      </w:r>
    </w:p>
    <w:p w14:paraId="7C89CB45" w14:textId="3A0C82BD" w:rsidR="007B15CA" w:rsidRPr="009D1FC7" w:rsidRDefault="007B15CA" w:rsidP="007B15CA">
      <w:pPr>
        <w:pStyle w:val="NormalWeb"/>
        <w:rPr>
          <w:rFonts w:ascii="Arial" w:hAnsi="Arial" w:cs="Arial"/>
        </w:rPr>
      </w:pPr>
      <w:r w:rsidRPr="009D1FC7">
        <w:rPr>
          <w:rFonts w:ascii="Arial" w:hAnsi="Arial" w:cs="Arial"/>
        </w:rPr>
        <w:t xml:space="preserve">Rowley, T. J. (1997) ‘Moving Beyond Dyadic Ties: A Network Theory of Stakeholder Influences’, </w:t>
      </w:r>
      <w:r w:rsidRPr="009D1FC7">
        <w:rPr>
          <w:rStyle w:val="Emphasis"/>
          <w:rFonts w:ascii="Arial" w:hAnsi="Arial" w:cs="Arial"/>
          <w:i w:val="0"/>
          <w:iCs w:val="0"/>
        </w:rPr>
        <w:t>Academy of Management Review</w:t>
      </w:r>
      <w:r w:rsidRPr="009D1FC7">
        <w:rPr>
          <w:rFonts w:ascii="Arial" w:hAnsi="Arial" w:cs="Arial"/>
        </w:rPr>
        <w:t>, 22(4), pp. 887–910.</w:t>
      </w:r>
    </w:p>
    <w:p w14:paraId="1C57FBD0" w14:textId="77777777" w:rsidR="007B15CA" w:rsidRPr="00A61FCF" w:rsidRDefault="007B15CA" w:rsidP="00750862">
      <w:pPr>
        <w:spacing w:line="240" w:lineRule="auto"/>
        <w:rPr>
          <w:rFonts w:ascii="Arial" w:hAnsi="Arial" w:cs="Arial"/>
          <w:color w:val="000000"/>
          <w:sz w:val="24"/>
          <w:szCs w:val="24"/>
        </w:rPr>
      </w:pPr>
    </w:p>
    <w:sectPr w:rsidR="007B15CA" w:rsidRPr="00A61FCF" w:rsidSect="000F70BD">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6A68E" w14:textId="77777777" w:rsidR="003028CF" w:rsidRDefault="003028CF">
      <w:pPr>
        <w:spacing w:after="0" w:line="240" w:lineRule="auto"/>
      </w:pPr>
      <w:r>
        <w:separator/>
      </w:r>
    </w:p>
  </w:endnote>
  <w:endnote w:type="continuationSeparator" w:id="0">
    <w:p w14:paraId="4689B020" w14:textId="77777777" w:rsidR="003028CF" w:rsidRDefault="00302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83674" w14:textId="77777777" w:rsidR="003028CF" w:rsidRDefault="003028CF">
      <w:pPr>
        <w:spacing w:after="0" w:line="240" w:lineRule="auto"/>
      </w:pPr>
      <w:r>
        <w:rPr>
          <w:color w:val="000000"/>
        </w:rPr>
        <w:separator/>
      </w:r>
    </w:p>
  </w:footnote>
  <w:footnote w:type="continuationSeparator" w:id="0">
    <w:p w14:paraId="1ED4CEC7" w14:textId="77777777" w:rsidR="003028CF" w:rsidRDefault="003028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03854"/>
    <w:multiLevelType w:val="hybridMultilevel"/>
    <w:tmpl w:val="FF32CE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9024049"/>
    <w:multiLevelType w:val="hybridMultilevel"/>
    <w:tmpl w:val="CB726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457D2B"/>
    <w:multiLevelType w:val="hybridMultilevel"/>
    <w:tmpl w:val="403A4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5F7033"/>
    <w:multiLevelType w:val="hybridMultilevel"/>
    <w:tmpl w:val="24820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585417">
    <w:abstractNumId w:val="1"/>
  </w:num>
  <w:num w:numId="2" w16cid:durableId="1136680244">
    <w:abstractNumId w:val="3"/>
  </w:num>
  <w:num w:numId="3" w16cid:durableId="1187911616">
    <w:abstractNumId w:val="2"/>
  </w:num>
  <w:num w:numId="4" w16cid:durableId="1645088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31F2"/>
    <w:rsid w:val="000110FD"/>
    <w:rsid w:val="000C6E53"/>
    <w:rsid w:val="000E31F2"/>
    <w:rsid w:val="000F70BD"/>
    <w:rsid w:val="00120053"/>
    <w:rsid w:val="00120D78"/>
    <w:rsid w:val="001220CF"/>
    <w:rsid w:val="00122F0F"/>
    <w:rsid w:val="00126B3C"/>
    <w:rsid w:val="00134835"/>
    <w:rsid w:val="001650C6"/>
    <w:rsid w:val="001651C3"/>
    <w:rsid w:val="001657F2"/>
    <w:rsid w:val="001830E6"/>
    <w:rsid w:val="001950E4"/>
    <w:rsid w:val="001A7387"/>
    <w:rsid w:val="001F2EB2"/>
    <w:rsid w:val="001F2F98"/>
    <w:rsid w:val="00204D87"/>
    <w:rsid w:val="00246A39"/>
    <w:rsid w:val="00262CC3"/>
    <w:rsid w:val="002679FD"/>
    <w:rsid w:val="002A5952"/>
    <w:rsid w:val="002E771A"/>
    <w:rsid w:val="00300746"/>
    <w:rsid w:val="003028CF"/>
    <w:rsid w:val="00314D22"/>
    <w:rsid w:val="003316A6"/>
    <w:rsid w:val="0036306E"/>
    <w:rsid w:val="003743F0"/>
    <w:rsid w:val="003A0052"/>
    <w:rsid w:val="003E08FD"/>
    <w:rsid w:val="00411516"/>
    <w:rsid w:val="00411748"/>
    <w:rsid w:val="004346F9"/>
    <w:rsid w:val="004741AC"/>
    <w:rsid w:val="00491DF3"/>
    <w:rsid w:val="005516A9"/>
    <w:rsid w:val="0055521F"/>
    <w:rsid w:val="00567716"/>
    <w:rsid w:val="005A09E5"/>
    <w:rsid w:val="005D599A"/>
    <w:rsid w:val="00605124"/>
    <w:rsid w:val="00624E88"/>
    <w:rsid w:val="00642AC9"/>
    <w:rsid w:val="006C321D"/>
    <w:rsid w:val="006E4BA6"/>
    <w:rsid w:val="006F26CB"/>
    <w:rsid w:val="00705620"/>
    <w:rsid w:val="00713D80"/>
    <w:rsid w:val="00750862"/>
    <w:rsid w:val="00757F5E"/>
    <w:rsid w:val="00765581"/>
    <w:rsid w:val="00767166"/>
    <w:rsid w:val="0078325E"/>
    <w:rsid w:val="007B15CA"/>
    <w:rsid w:val="007B5E3B"/>
    <w:rsid w:val="007E4A60"/>
    <w:rsid w:val="00834536"/>
    <w:rsid w:val="00836D12"/>
    <w:rsid w:val="008449F5"/>
    <w:rsid w:val="00871850"/>
    <w:rsid w:val="00877335"/>
    <w:rsid w:val="008A0AE6"/>
    <w:rsid w:val="008A2364"/>
    <w:rsid w:val="008A48CB"/>
    <w:rsid w:val="008F294B"/>
    <w:rsid w:val="00900DD5"/>
    <w:rsid w:val="009011B1"/>
    <w:rsid w:val="0092156C"/>
    <w:rsid w:val="009340B7"/>
    <w:rsid w:val="00942067"/>
    <w:rsid w:val="00943B44"/>
    <w:rsid w:val="009456CF"/>
    <w:rsid w:val="0095785D"/>
    <w:rsid w:val="009579FD"/>
    <w:rsid w:val="009B67D3"/>
    <w:rsid w:val="009D1FC7"/>
    <w:rsid w:val="009F37EC"/>
    <w:rsid w:val="00A25019"/>
    <w:rsid w:val="00A3114D"/>
    <w:rsid w:val="00A57ED2"/>
    <w:rsid w:val="00A61FCF"/>
    <w:rsid w:val="00A81F94"/>
    <w:rsid w:val="00A940EE"/>
    <w:rsid w:val="00AD4CBD"/>
    <w:rsid w:val="00AD532B"/>
    <w:rsid w:val="00AE4B17"/>
    <w:rsid w:val="00B053E2"/>
    <w:rsid w:val="00B21F24"/>
    <w:rsid w:val="00B27244"/>
    <w:rsid w:val="00BC60BD"/>
    <w:rsid w:val="00BF732B"/>
    <w:rsid w:val="00C15D84"/>
    <w:rsid w:val="00C243FC"/>
    <w:rsid w:val="00C36D02"/>
    <w:rsid w:val="00C52E9B"/>
    <w:rsid w:val="00C63434"/>
    <w:rsid w:val="00C654A7"/>
    <w:rsid w:val="00C87A74"/>
    <w:rsid w:val="00CA12FE"/>
    <w:rsid w:val="00CB3D15"/>
    <w:rsid w:val="00CC194A"/>
    <w:rsid w:val="00CC1ABA"/>
    <w:rsid w:val="00CF33B2"/>
    <w:rsid w:val="00D027F4"/>
    <w:rsid w:val="00D419BF"/>
    <w:rsid w:val="00D54125"/>
    <w:rsid w:val="00D666EE"/>
    <w:rsid w:val="00D920F5"/>
    <w:rsid w:val="00DC1F83"/>
    <w:rsid w:val="00DC308A"/>
    <w:rsid w:val="00DC3A64"/>
    <w:rsid w:val="00DF66F0"/>
    <w:rsid w:val="00E11B33"/>
    <w:rsid w:val="00E4127D"/>
    <w:rsid w:val="00E53B0C"/>
    <w:rsid w:val="00E648FF"/>
    <w:rsid w:val="00E75C2D"/>
    <w:rsid w:val="00E86EE3"/>
    <w:rsid w:val="00EC068F"/>
    <w:rsid w:val="00EF1A4C"/>
    <w:rsid w:val="00EF4EB8"/>
    <w:rsid w:val="00EF5FC6"/>
    <w:rsid w:val="00F15ADB"/>
    <w:rsid w:val="00F23524"/>
    <w:rsid w:val="00F304AC"/>
    <w:rsid w:val="00F422B4"/>
    <w:rsid w:val="00F871B8"/>
    <w:rsid w:val="00FA5A72"/>
    <w:rsid w:val="00FB0428"/>
    <w:rsid w:val="00FB1507"/>
    <w:rsid w:val="00FC22E2"/>
    <w:rsid w:val="00FE0035"/>
    <w:rsid w:val="00FE0E89"/>
    <w:rsid w:val="00FE6159"/>
    <w:rsid w:val="00FF1986"/>
    <w:rsid w:val="00FF54E8"/>
    <w:rsid w:val="00FF6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E2B18"/>
  <w15:docId w15:val="{D37B5CF6-CB69-4D56-99BD-DC6ED189A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customStyle="1" w:styleId="hoverbg-blue-100">
    <w:name w:val="hover:bg-blue-100"/>
    <w:basedOn w:val="DefaultParagraphFont"/>
  </w:style>
  <w:style w:type="paragraph" w:styleId="NormalWeb">
    <w:name w:val="Normal (Web)"/>
    <w:basedOn w:val="Normal"/>
    <w:uiPriority w:val="99"/>
    <w:semiHidden/>
    <w:unhideWhenUsed/>
    <w:rsid w:val="006C321D"/>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 w:type="character" w:styleId="Emphasis">
    <w:name w:val="Emphasis"/>
    <w:basedOn w:val="DefaultParagraphFont"/>
    <w:uiPriority w:val="20"/>
    <w:qFormat/>
    <w:rsid w:val="006C321D"/>
    <w:rPr>
      <w:i/>
      <w:iCs/>
    </w:rPr>
  </w:style>
  <w:style w:type="character" w:customStyle="1" w:styleId="text-black">
    <w:name w:val="text-black"/>
    <w:basedOn w:val="DefaultParagraphFont"/>
    <w:rsid w:val="00765581"/>
  </w:style>
  <w:style w:type="paragraph" w:styleId="NoSpacing">
    <w:name w:val="No Spacing"/>
    <w:link w:val="NoSpacingChar"/>
    <w:uiPriority w:val="1"/>
    <w:qFormat/>
    <w:rsid w:val="00134835"/>
    <w:pPr>
      <w:autoSpaceDN/>
      <w:spacing w:after="0" w:line="240" w:lineRule="auto"/>
    </w:pPr>
    <w:rPr>
      <w:rFonts w:asciiTheme="minorHAnsi" w:eastAsiaTheme="minorHAnsi" w:hAnsiTheme="minorHAnsi" w:cstheme="minorBidi"/>
      <w:color w:val="0E2841" w:themeColor="text2"/>
      <w:kern w:val="0"/>
      <w:sz w:val="20"/>
      <w:szCs w:val="20"/>
      <w:lang w:val="en-US"/>
    </w:rPr>
  </w:style>
  <w:style w:type="character" w:customStyle="1" w:styleId="NoSpacingChar">
    <w:name w:val="No Spacing Char"/>
    <w:basedOn w:val="DefaultParagraphFont"/>
    <w:link w:val="NoSpacing"/>
    <w:uiPriority w:val="1"/>
    <w:rsid w:val="000F70BD"/>
    <w:rPr>
      <w:rFonts w:asciiTheme="minorHAnsi" w:eastAsiaTheme="minorHAnsi" w:hAnsiTheme="minorHAnsi" w:cstheme="minorBidi"/>
      <w:color w:val="0E2841" w:themeColor="text2"/>
      <w:kern w:val="0"/>
      <w:sz w:val="20"/>
      <w:szCs w:val="20"/>
      <w:lang w:val="en-US"/>
    </w:rPr>
  </w:style>
  <w:style w:type="character" w:styleId="Hyperlink">
    <w:name w:val="Hyperlink"/>
    <w:basedOn w:val="DefaultParagraphFont"/>
    <w:uiPriority w:val="99"/>
    <w:unhideWhenUsed/>
    <w:rsid w:val="008A48CB"/>
    <w:rPr>
      <w:color w:val="467886" w:themeColor="hyperlink"/>
      <w:u w:val="single"/>
    </w:rPr>
  </w:style>
  <w:style w:type="character" w:styleId="UnresolvedMention">
    <w:name w:val="Unresolved Mention"/>
    <w:basedOn w:val="DefaultParagraphFont"/>
    <w:uiPriority w:val="99"/>
    <w:semiHidden/>
    <w:unhideWhenUsed/>
    <w:rsid w:val="008A48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5T09:12:41.256"/>
    </inkml:context>
    <inkml:brush xml:id="br0">
      <inkml:brushProperty name="width" value="0.1" units="cm"/>
      <inkml:brushProperty name="height" value="0.1" units="cm"/>
      <inkml:brushProperty name="color" value="#004F8B"/>
    </inkml:brush>
  </inkml:definitions>
  <inkml:trace contextRef="#ctx0" brushRef="#br0">0 1 8192,'0'0'0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5T09:12:35.367"/>
    </inkml:context>
    <inkml:brush xml:id="br0">
      <inkml:brushProperty name="width" value="0.1" units="cm"/>
      <inkml:brushProperty name="height" value="0.1" units="cm"/>
      <inkml:brushProperty name="color" value="#004F8B"/>
    </inkml:brush>
  </inkml:definitions>
  <inkml:trace contextRef="#ctx0" brushRef="#br0">79 46 8192,'-7'-4'2971,"-6"-1"-2971,-1-3 5848,-19-8 3355,22 11-9203,11 1 0,10 2 0,7 1 0,3 1 0,3 0 0,1 1 0,-1-1 0,1 0 0,-13 0 0,-10 1 0,-6-1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65A27-A29B-42A0-A19D-F3684407F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2286</TotalTime>
  <Pages>1</Pages>
  <Words>5598</Words>
  <Characters>31913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STAKEHOLDERS ENGAGEMENT</vt:lpstr>
    </vt:vector>
  </TitlesOfParts>
  <Company/>
  <LinksUpToDate>false</LinksUpToDate>
  <CharactersWithSpaces>37437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STAKEHOLDERS ENGAGEMENT</dc:title>
  <dc:subject/>
  <dc:creator>Ionel Stefanita (2408392)</dc:creator>
  <dc:description/>
  <cp:lastModifiedBy>Ionel Stefanita (2408392)</cp:lastModifiedBy>
  <cp:revision>73</cp:revision>
  <dcterms:created xsi:type="dcterms:W3CDTF">2025-10-03T19:44:00Z</dcterms:created>
  <dcterms:modified xsi:type="dcterms:W3CDTF">2025-11-15T12:51:00Z</dcterms:modified>
</cp:coreProperties>
</file>