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D2B6C" w14:textId="77777777" w:rsidR="00C6356C" w:rsidRDefault="00C6356C" w:rsidP="00C6356C">
      <w:pPr>
        <w:spacing w:before="212"/>
        <w:jc w:val="center"/>
        <w:rPr>
          <w:rFonts w:ascii="Arial"/>
          <w:b/>
          <w:sz w:val="56"/>
        </w:rPr>
      </w:pPr>
      <w:r>
        <w:rPr>
          <w:rFonts w:ascii="Arial"/>
          <w:b/>
          <w:noProof/>
          <w:sz w:val="56"/>
        </w:rPr>
        <w:drawing>
          <wp:inline distT="0" distB="0" distL="0" distR="0" wp14:anchorId="629AA95E" wp14:editId="0CA6231B">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C37AE84" w14:textId="77777777" w:rsidR="00C6356C" w:rsidRPr="0066224E" w:rsidRDefault="00C6356C" w:rsidP="00C6356C">
      <w:pPr>
        <w:spacing w:before="212"/>
        <w:jc w:val="center"/>
        <w:rPr>
          <w:rFonts w:ascii="Arial"/>
          <w:b/>
          <w:sz w:val="36"/>
          <w:szCs w:val="36"/>
        </w:rPr>
      </w:pPr>
    </w:p>
    <w:p w14:paraId="2F2EE774" w14:textId="77777777" w:rsidR="00C6356C" w:rsidRDefault="00C6356C" w:rsidP="00C6356C">
      <w:pPr>
        <w:spacing w:before="212"/>
        <w:rPr>
          <w:rFonts w:ascii="Arial"/>
          <w:b/>
          <w:sz w:val="56"/>
        </w:rPr>
      </w:pPr>
    </w:p>
    <w:p w14:paraId="35721D64" w14:textId="5B861BD3" w:rsidR="00C6356C" w:rsidRDefault="00C6356C" w:rsidP="00C6356C">
      <w:pPr>
        <w:spacing w:before="212"/>
        <w:rPr>
          <w:rFonts w:ascii="Arial"/>
          <w:b/>
          <w:sz w:val="48"/>
          <w:szCs w:val="48"/>
        </w:rPr>
      </w:pPr>
      <w:r w:rsidRPr="00DD5969">
        <w:rPr>
          <w:rFonts w:ascii="Arial"/>
          <w:b/>
          <w:sz w:val="48"/>
          <w:szCs w:val="48"/>
        </w:rPr>
        <w:t>MODULE CODE:</w:t>
      </w:r>
      <w:r>
        <w:rPr>
          <w:rFonts w:ascii="Arial"/>
          <w:b/>
          <w:sz w:val="48"/>
          <w:szCs w:val="48"/>
        </w:rPr>
        <w:t xml:space="preserve"> </w:t>
      </w:r>
      <w:r w:rsidRPr="00C6356C">
        <w:rPr>
          <w:rFonts w:ascii="Arial"/>
          <w:b/>
          <w:sz w:val="48"/>
          <w:szCs w:val="48"/>
        </w:rPr>
        <w:t>ECDE7015</w:t>
      </w:r>
    </w:p>
    <w:p w14:paraId="75DE4D68" w14:textId="77777777" w:rsidR="00C6356C" w:rsidRDefault="00C6356C" w:rsidP="00C6356C">
      <w:pPr>
        <w:spacing w:before="212"/>
        <w:rPr>
          <w:rFonts w:ascii="Arial"/>
          <w:b/>
          <w:sz w:val="48"/>
          <w:szCs w:val="48"/>
        </w:rPr>
      </w:pPr>
    </w:p>
    <w:p w14:paraId="6C4C84F1" w14:textId="3D97AA9D" w:rsidR="00C6356C" w:rsidRPr="00DD5969" w:rsidRDefault="00C6356C" w:rsidP="00C6356C">
      <w:pPr>
        <w:spacing w:before="212"/>
        <w:rPr>
          <w:rFonts w:ascii="Arial"/>
          <w:b/>
          <w:sz w:val="48"/>
          <w:szCs w:val="48"/>
        </w:rPr>
      </w:pPr>
      <w:r>
        <w:rPr>
          <w:rFonts w:ascii="Arial"/>
          <w:b/>
          <w:sz w:val="48"/>
          <w:szCs w:val="48"/>
        </w:rPr>
        <w:t>ASSESSMENT COMPONENT: Journal Article</w:t>
      </w:r>
    </w:p>
    <w:p w14:paraId="4E94FC9F" w14:textId="77777777" w:rsidR="00C6356C" w:rsidRDefault="00C6356C" w:rsidP="00C6356C">
      <w:pPr>
        <w:spacing w:before="7"/>
        <w:jc w:val="center"/>
        <w:rPr>
          <w:rFonts w:ascii="Arial"/>
          <w:b/>
          <w:sz w:val="44"/>
        </w:rPr>
      </w:pPr>
    </w:p>
    <w:p w14:paraId="44AC4F54" w14:textId="2D4A84FF" w:rsidR="00C6356C" w:rsidRPr="00DD5969" w:rsidRDefault="00C6356C" w:rsidP="00C6356C">
      <w:pPr>
        <w:spacing w:before="3"/>
        <w:rPr>
          <w:rFonts w:ascii="Arial"/>
          <w:b/>
          <w:sz w:val="48"/>
          <w:szCs w:val="48"/>
        </w:rPr>
      </w:pPr>
      <w:r w:rsidRPr="00DD5969">
        <w:rPr>
          <w:rFonts w:ascii="Arial"/>
          <w:b/>
          <w:sz w:val="48"/>
          <w:szCs w:val="48"/>
        </w:rPr>
        <w:t>STUDENT NAME:</w:t>
      </w:r>
      <w:r>
        <w:rPr>
          <w:rFonts w:ascii="Arial"/>
          <w:b/>
          <w:sz w:val="48"/>
          <w:szCs w:val="48"/>
        </w:rPr>
        <w:t xml:space="preserve"> Cai Pughsley</w:t>
      </w:r>
      <w:r>
        <w:rPr>
          <w:rFonts w:ascii="Arial"/>
          <w:b/>
          <w:sz w:val="48"/>
          <w:szCs w:val="48"/>
        </w:rPr>
        <w:tab/>
      </w:r>
      <w:r>
        <w:rPr>
          <w:rFonts w:ascii="Arial"/>
          <w:b/>
          <w:sz w:val="48"/>
          <w:szCs w:val="48"/>
        </w:rPr>
        <w:tab/>
      </w:r>
    </w:p>
    <w:p w14:paraId="216C351D" w14:textId="77777777" w:rsidR="00C6356C" w:rsidRPr="00DD5969" w:rsidRDefault="00C6356C" w:rsidP="00C6356C">
      <w:pPr>
        <w:spacing w:before="3"/>
        <w:rPr>
          <w:rFonts w:ascii="Arial"/>
          <w:b/>
          <w:sz w:val="48"/>
          <w:szCs w:val="48"/>
        </w:rPr>
      </w:pPr>
    </w:p>
    <w:p w14:paraId="4F3E6D14" w14:textId="23EFE82D" w:rsidR="00C6356C" w:rsidRPr="00DD5969" w:rsidRDefault="00C6356C" w:rsidP="00C6356C">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1706864</w:t>
      </w:r>
    </w:p>
    <w:p w14:paraId="28EB8669" w14:textId="77777777" w:rsidR="00C6356C" w:rsidRDefault="00C6356C" w:rsidP="00C6356C">
      <w:pPr>
        <w:rPr>
          <w:rFonts w:ascii="Arial"/>
          <w:b/>
          <w:sz w:val="47"/>
        </w:rPr>
      </w:pPr>
    </w:p>
    <w:p w14:paraId="6E90446E" w14:textId="77777777" w:rsidR="00C6356C" w:rsidRPr="00192D3C" w:rsidRDefault="00C6356C" w:rsidP="00C6356C">
      <w:pPr>
        <w:ind w:left="100"/>
        <w:jc w:val="center"/>
        <w:rPr>
          <w:rFonts w:ascii="Arial"/>
          <w:b/>
          <w:sz w:val="47"/>
        </w:rPr>
      </w:pPr>
    </w:p>
    <w:p w14:paraId="2F9E2B72" w14:textId="77777777" w:rsidR="00C6356C" w:rsidRDefault="00C6356C" w:rsidP="00C6356C">
      <w:pPr>
        <w:ind w:left="100"/>
        <w:rPr>
          <w:rFonts w:ascii="Arial"/>
          <w:b/>
          <w:sz w:val="47"/>
        </w:rPr>
      </w:pPr>
    </w:p>
    <w:p w14:paraId="209950BE" w14:textId="77777777" w:rsidR="00C6356C" w:rsidRPr="00192D3C" w:rsidRDefault="00C6356C" w:rsidP="00C6356C">
      <w:pPr>
        <w:rPr>
          <w:rFonts w:ascii="Arial"/>
          <w:b/>
          <w:sz w:val="47"/>
        </w:rPr>
      </w:pPr>
      <w:r w:rsidRPr="00192D3C">
        <w:rPr>
          <w:rFonts w:ascii="Arial"/>
          <w:b/>
          <w:sz w:val="47"/>
        </w:rPr>
        <w:t>Doctorate in Education (EdD)</w:t>
      </w:r>
    </w:p>
    <w:p w14:paraId="0E8586BE" w14:textId="77777777" w:rsidR="00C6356C" w:rsidRPr="00E243A8" w:rsidRDefault="00C6356C" w:rsidP="00C6356C">
      <w:pPr>
        <w:rPr>
          <w:b/>
          <w:bCs/>
          <w:sz w:val="32"/>
          <w:szCs w:val="32"/>
          <w:u w:val="single"/>
        </w:rPr>
      </w:pPr>
      <w:r w:rsidRPr="00E243A8">
        <w:rPr>
          <w:b/>
          <w:bCs/>
          <w:sz w:val="32"/>
          <w:szCs w:val="32"/>
          <w:u w:val="single"/>
        </w:rPr>
        <w:lastRenderedPageBreak/>
        <w:t>AI Acknowledgement</w:t>
      </w:r>
    </w:p>
    <w:p w14:paraId="338EECC8" w14:textId="77777777" w:rsidR="00C6356C" w:rsidRDefault="00C6356C" w:rsidP="00C6356C"/>
    <w:p w14:paraId="0D1E929F" w14:textId="77777777" w:rsidR="00C6356C" w:rsidRDefault="00C6356C" w:rsidP="00C6356C">
      <w:r w:rsidRPr="00E243A8">
        <w:t xml:space="preserve">I confirm that I have not used any AI tools in the research and creation of this assignment. </w:t>
      </w:r>
    </w:p>
    <w:p w14:paraId="68EB88B2" w14:textId="77777777" w:rsidR="00C6356C" w:rsidRDefault="00C6356C" w:rsidP="00C6356C">
      <w:r w:rsidRPr="00E243A8">
        <w:t xml:space="preserve">I confirm that I have not presented any AI generated materials as my own work. </w:t>
      </w:r>
    </w:p>
    <w:p w14:paraId="7A5C6606" w14:textId="006E771F" w:rsidR="00C6356C" w:rsidRDefault="00C6356C" w:rsidP="00C6356C">
      <w:r w:rsidRPr="00E243A8">
        <w:t xml:space="preserve">I confirm </w:t>
      </w:r>
      <w:r>
        <w:t xml:space="preserve">that </w:t>
      </w:r>
      <w:r w:rsidRPr="00E243A8">
        <w:t>I have copies of my drafts, notes, and other resources I used, which I may be asked to provide in evidence.</w:t>
      </w:r>
    </w:p>
    <w:p w14:paraId="1F9BE4A9" w14:textId="77777777" w:rsidR="006B2DC8" w:rsidRDefault="006B2DC8" w:rsidP="00C6356C"/>
    <w:p w14:paraId="23C735BA" w14:textId="77777777" w:rsidR="006B2DC8" w:rsidRDefault="006B2DC8" w:rsidP="00C6356C"/>
    <w:p w14:paraId="34A03117" w14:textId="77777777" w:rsidR="006B2DC8" w:rsidRDefault="006B2DC8" w:rsidP="00C6356C"/>
    <w:p w14:paraId="7FBFCA65" w14:textId="77777777" w:rsidR="006B2DC8" w:rsidRDefault="006B2DC8" w:rsidP="00C6356C"/>
    <w:p w14:paraId="3AE95C66" w14:textId="77777777" w:rsidR="006B2DC8" w:rsidRDefault="006B2DC8" w:rsidP="00C6356C"/>
    <w:p w14:paraId="4D095659" w14:textId="77777777" w:rsidR="006B2DC8" w:rsidRDefault="006B2DC8" w:rsidP="00C6356C"/>
    <w:p w14:paraId="644C7FD7" w14:textId="77777777" w:rsidR="006B2DC8" w:rsidRDefault="006B2DC8" w:rsidP="00C6356C"/>
    <w:p w14:paraId="2924D457" w14:textId="77777777" w:rsidR="006B2DC8" w:rsidRDefault="006B2DC8" w:rsidP="00C6356C"/>
    <w:p w14:paraId="75F08EB8" w14:textId="77777777" w:rsidR="006B2DC8" w:rsidRDefault="006B2DC8" w:rsidP="00C6356C"/>
    <w:p w14:paraId="2472F62D" w14:textId="77777777" w:rsidR="006B2DC8" w:rsidRDefault="006B2DC8" w:rsidP="00C6356C"/>
    <w:p w14:paraId="5E592700" w14:textId="77777777" w:rsidR="006B2DC8" w:rsidRDefault="006B2DC8" w:rsidP="00C6356C"/>
    <w:p w14:paraId="5881BF20" w14:textId="77777777" w:rsidR="006B2DC8" w:rsidRDefault="006B2DC8" w:rsidP="00C6356C"/>
    <w:p w14:paraId="5AF28BDB" w14:textId="77777777" w:rsidR="006B2DC8" w:rsidRDefault="006B2DC8" w:rsidP="00C6356C"/>
    <w:p w14:paraId="6F6E44DF" w14:textId="77777777" w:rsidR="006B2DC8" w:rsidRDefault="006B2DC8" w:rsidP="00C6356C"/>
    <w:p w14:paraId="7F3402F7" w14:textId="77777777" w:rsidR="006B2DC8" w:rsidRDefault="006B2DC8" w:rsidP="00C6356C"/>
    <w:p w14:paraId="2ADB5A0F" w14:textId="77777777" w:rsidR="006B2DC8" w:rsidRDefault="006B2DC8" w:rsidP="00C6356C"/>
    <w:p w14:paraId="665DFC72" w14:textId="77777777" w:rsidR="006B2DC8" w:rsidRDefault="006B2DC8" w:rsidP="00C6356C"/>
    <w:p w14:paraId="3296E11D" w14:textId="77777777" w:rsidR="006B2DC8" w:rsidRDefault="006B2DC8" w:rsidP="00C6356C"/>
    <w:p w14:paraId="7A5F9BC6" w14:textId="77777777" w:rsidR="006B2DC8" w:rsidRDefault="006B2DC8" w:rsidP="00C6356C"/>
    <w:p w14:paraId="1FD36AEE" w14:textId="77777777" w:rsidR="006B2DC8" w:rsidRDefault="006B2DC8" w:rsidP="00C6356C"/>
    <w:p w14:paraId="536BD95D" w14:textId="77777777" w:rsidR="006B2DC8" w:rsidRDefault="006B2DC8" w:rsidP="00C6356C"/>
    <w:p w14:paraId="4B85EBE8" w14:textId="77777777" w:rsidR="000064CA" w:rsidRDefault="000064CA" w:rsidP="000064CA">
      <w:pPr>
        <w:spacing w:line="360" w:lineRule="auto"/>
        <w:rPr>
          <w:rFonts w:ascii="Times New Roman" w:hAnsi="Times New Roman" w:cs="Times New Roman"/>
          <w:b/>
          <w:bCs/>
          <w:u w:val="single"/>
        </w:rPr>
      </w:pPr>
    </w:p>
    <w:p w14:paraId="08933E0E" w14:textId="77777777" w:rsidR="00D61F08" w:rsidRDefault="00D61F08" w:rsidP="000064CA">
      <w:pPr>
        <w:spacing w:line="360" w:lineRule="auto"/>
        <w:rPr>
          <w:rFonts w:ascii="Times New Roman" w:hAnsi="Times New Roman" w:cs="Times New Roman"/>
          <w:b/>
          <w:bCs/>
          <w:u w:val="single"/>
        </w:rPr>
      </w:pPr>
    </w:p>
    <w:p w14:paraId="57DEF877" w14:textId="1B222933" w:rsidR="006B2DC8" w:rsidRPr="000064CA" w:rsidRDefault="000064CA" w:rsidP="000064CA">
      <w:pPr>
        <w:spacing w:line="360" w:lineRule="auto"/>
        <w:rPr>
          <w:rFonts w:ascii="Times New Roman" w:hAnsi="Times New Roman" w:cs="Times New Roman"/>
          <w:b/>
          <w:bCs/>
          <w:u w:val="single"/>
        </w:rPr>
      </w:pPr>
      <w:r>
        <w:rPr>
          <w:rFonts w:ascii="Times New Roman" w:hAnsi="Times New Roman" w:cs="Times New Roman"/>
          <w:b/>
          <w:bCs/>
          <w:u w:val="single"/>
        </w:rPr>
        <w:t>Ta</w:t>
      </w:r>
      <w:r w:rsidR="006B2DC8" w:rsidRPr="000064CA">
        <w:rPr>
          <w:rFonts w:ascii="Times New Roman" w:hAnsi="Times New Roman" w:cs="Times New Roman"/>
          <w:b/>
          <w:bCs/>
          <w:u w:val="single"/>
        </w:rPr>
        <w:t>ble of Contents</w:t>
      </w:r>
    </w:p>
    <w:p w14:paraId="466E4038" w14:textId="7D4D26BC" w:rsidR="002D2E8C" w:rsidRPr="000064CA" w:rsidRDefault="002D2E8C" w:rsidP="000064CA">
      <w:pPr>
        <w:spacing w:line="360" w:lineRule="auto"/>
        <w:rPr>
          <w:rFonts w:ascii="Times New Roman" w:hAnsi="Times New Roman" w:cs="Times New Roman"/>
        </w:rPr>
      </w:pPr>
    </w:p>
    <w:p w14:paraId="570598AB" w14:textId="2F9A1778" w:rsidR="003010D5" w:rsidRPr="000064CA" w:rsidRDefault="003010D5" w:rsidP="000064CA">
      <w:pPr>
        <w:spacing w:line="360" w:lineRule="auto"/>
        <w:rPr>
          <w:rFonts w:ascii="Times New Roman" w:hAnsi="Times New Roman" w:cs="Times New Roman"/>
        </w:rPr>
      </w:pPr>
      <w:r w:rsidRPr="000064CA">
        <w:rPr>
          <w:rFonts w:ascii="Times New Roman" w:hAnsi="Times New Roman" w:cs="Times New Roman"/>
          <w:b/>
          <w:bCs/>
        </w:rPr>
        <w:t>Abstract</w:t>
      </w:r>
      <w:r w:rsidRPr="000064CA">
        <w:rPr>
          <w:rFonts w:ascii="Times New Roman" w:hAnsi="Times New Roman" w:cs="Times New Roman"/>
        </w:rPr>
        <w:t>……………………………………</w:t>
      </w:r>
      <w:r w:rsidRPr="0074636A">
        <w:rPr>
          <w:rFonts w:ascii="Times New Roman" w:hAnsi="Times New Roman" w:cs="Times New Roman"/>
          <w:b/>
        </w:rPr>
        <w:t>4</w:t>
      </w:r>
    </w:p>
    <w:p w14:paraId="0A9689BA" w14:textId="2DCA408B" w:rsidR="00C6356C" w:rsidRPr="000064CA" w:rsidRDefault="003010D5" w:rsidP="000064CA">
      <w:pPr>
        <w:spacing w:line="360" w:lineRule="auto"/>
        <w:rPr>
          <w:rFonts w:ascii="Times New Roman" w:hAnsi="Times New Roman" w:cs="Times New Roman"/>
        </w:rPr>
      </w:pPr>
      <w:r w:rsidRPr="000064CA">
        <w:rPr>
          <w:rFonts w:ascii="Times New Roman" w:hAnsi="Times New Roman" w:cs="Times New Roman"/>
          <w:b/>
          <w:bCs/>
        </w:rPr>
        <w:t>Introduction</w:t>
      </w:r>
      <w:r w:rsidR="000064CA" w:rsidRPr="000064CA">
        <w:rPr>
          <w:rFonts w:ascii="Times New Roman" w:hAnsi="Times New Roman" w:cs="Times New Roman"/>
        </w:rPr>
        <w:t>……………………………………</w:t>
      </w:r>
      <w:r w:rsidR="00DC61B2" w:rsidRPr="00DE0394">
        <w:rPr>
          <w:rFonts w:ascii="Times New Roman" w:hAnsi="Times New Roman" w:cs="Times New Roman"/>
          <w:b/>
        </w:rPr>
        <w:t>4</w:t>
      </w:r>
    </w:p>
    <w:p w14:paraId="5A7B3E70" w14:textId="76AFBF08" w:rsidR="00DC61B2" w:rsidRPr="000064CA" w:rsidRDefault="00DC61B2" w:rsidP="000064CA">
      <w:pPr>
        <w:spacing w:line="360" w:lineRule="auto"/>
        <w:rPr>
          <w:rStyle w:val="s1"/>
          <w:rFonts w:ascii="Times New Roman" w:hAnsi="Times New Roman" w:cs="Times New Roman"/>
          <w:b/>
          <w:bCs/>
        </w:rPr>
      </w:pPr>
      <w:r w:rsidRPr="000064CA">
        <w:rPr>
          <w:rStyle w:val="s1"/>
          <w:rFonts w:ascii="Times New Roman" w:hAnsi="Times New Roman" w:cs="Times New Roman"/>
          <w:b/>
          <w:bCs/>
        </w:rPr>
        <w:t>Conceptualising Poverty &amp; Educational Inequality</w:t>
      </w:r>
      <w:r w:rsidR="000064CA" w:rsidRPr="000064CA">
        <w:rPr>
          <w:rFonts w:ascii="Times New Roman" w:hAnsi="Times New Roman" w:cs="Times New Roman"/>
        </w:rPr>
        <w:t>……………………………………</w:t>
      </w:r>
      <w:r w:rsidR="00C2215F" w:rsidRPr="000064CA">
        <w:rPr>
          <w:rStyle w:val="s1"/>
          <w:rFonts w:ascii="Times New Roman" w:hAnsi="Times New Roman" w:cs="Times New Roman"/>
          <w:b/>
          <w:bCs/>
        </w:rPr>
        <w:t>5</w:t>
      </w:r>
    </w:p>
    <w:p w14:paraId="36D0214B" w14:textId="58AE2D75" w:rsidR="00C6356C" w:rsidRPr="000064CA" w:rsidRDefault="00C2215F" w:rsidP="000064CA">
      <w:pPr>
        <w:spacing w:line="360" w:lineRule="auto"/>
        <w:rPr>
          <w:rStyle w:val="s1"/>
          <w:rFonts w:ascii="Times New Roman" w:hAnsi="Times New Roman" w:cs="Times New Roman"/>
          <w:b/>
          <w:bCs/>
        </w:rPr>
      </w:pPr>
      <w:r w:rsidRPr="000064CA">
        <w:rPr>
          <w:rStyle w:val="s1"/>
          <w:rFonts w:ascii="Times New Roman" w:hAnsi="Times New Roman" w:cs="Times New Roman"/>
          <w:b/>
          <w:bCs/>
        </w:rPr>
        <w:t>The Impact of Poverty on Educational Outcomes</w:t>
      </w:r>
      <w:r w:rsidR="000064CA" w:rsidRPr="000064CA">
        <w:rPr>
          <w:rFonts w:ascii="Times New Roman" w:hAnsi="Times New Roman" w:cs="Times New Roman"/>
        </w:rPr>
        <w:t>……………………………………</w:t>
      </w:r>
      <w:r w:rsidR="000064CA" w:rsidRPr="00DE0394">
        <w:rPr>
          <w:rFonts w:ascii="Times New Roman" w:hAnsi="Times New Roman" w:cs="Times New Roman"/>
          <w:b/>
        </w:rPr>
        <w:t>7</w:t>
      </w:r>
    </w:p>
    <w:p w14:paraId="4FC83874" w14:textId="3EDDA921" w:rsidR="00C6356C" w:rsidRPr="000064CA" w:rsidRDefault="000064CA" w:rsidP="000064CA">
      <w:pPr>
        <w:spacing w:line="360" w:lineRule="auto"/>
        <w:rPr>
          <w:rStyle w:val="s1"/>
          <w:rFonts w:ascii="Times New Roman" w:hAnsi="Times New Roman" w:cs="Times New Roman"/>
          <w:b/>
          <w:bCs/>
        </w:rPr>
      </w:pPr>
      <w:r w:rsidRPr="000064CA">
        <w:rPr>
          <w:rStyle w:val="s1"/>
          <w:rFonts w:ascii="Times New Roman" w:hAnsi="Times New Roman" w:cs="Times New Roman"/>
          <w:b/>
          <w:bCs/>
        </w:rPr>
        <w:t>Poverty as a Current Affair in Education</w:t>
      </w:r>
      <w:r w:rsidRPr="000064CA">
        <w:rPr>
          <w:rFonts w:ascii="Times New Roman" w:hAnsi="Times New Roman" w:cs="Times New Roman"/>
        </w:rPr>
        <w:t>……………………………………</w:t>
      </w:r>
      <w:r w:rsidRPr="00DE0394">
        <w:rPr>
          <w:rFonts w:ascii="Times New Roman" w:hAnsi="Times New Roman" w:cs="Times New Roman"/>
          <w:b/>
        </w:rPr>
        <w:t>9</w:t>
      </w:r>
    </w:p>
    <w:p w14:paraId="49CF1F85" w14:textId="007CB30E" w:rsidR="000064CA" w:rsidRPr="000064CA" w:rsidRDefault="000064CA" w:rsidP="000064CA">
      <w:pPr>
        <w:spacing w:line="360" w:lineRule="auto"/>
        <w:rPr>
          <w:rFonts w:ascii="Times New Roman" w:eastAsia="Times New Roman" w:hAnsi="Times New Roman" w:cs="Times New Roman"/>
          <w:b/>
          <w:bCs/>
        </w:rPr>
      </w:pPr>
      <w:r w:rsidRPr="000064CA">
        <w:rPr>
          <w:rFonts w:ascii="Times New Roman" w:eastAsia="Times New Roman" w:hAnsi="Times New Roman" w:cs="Times New Roman"/>
          <w:b/>
          <w:bCs/>
        </w:rPr>
        <w:t>Policy Responses and Interventions</w:t>
      </w:r>
      <w:r w:rsidRPr="000064CA">
        <w:rPr>
          <w:rFonts w:ascii="Times New Roman" w:hAnsi="Times New Roman" w:cs="Times New Roman"/>
        </w:rPr>
        <w:t>……………………………………</w:t>
      </w:r>
      <w:r w:rsidRPr="00DE0394">
        <w:rPr>
          <w:rFonts w:ascii="Times New Roman" w:hAnsi="Times New Roman" w:cs="Times New Roman"/>
          <w:b/>
        </w:rPr>
        <w:t>12</w:t>
      </w:r>
    </w:p>
    <w:p w14:paraId="2FB27366" w14:textId="1F7B5CC4" w:rsidR="00C6356C" w:rsidRPr="000064CA" w:rsidRDefault="000064CA" w:rsidP="000064CA">
      <w:pPr>
        <w:spacing w:line="360" w:lineRule="auto"/>
        <w:rPr>
          <w:rFonts w:ascii="Times New Roman" w:eastAsia="Times New Roman" w:hAnsi="Times New Roman" w:cs="Times New Roman"/>
          <w:b/>
          <w:bCs/>
          <w:kern w:val="0"/>
        </w:rPr>
      </w:pPr>
      <w:r w:rsidRPr="000064CA">
        <w:rPr>
          <w:rFonts w:ascii="Times New Roman" w:eastAsia="Times New Roman" w:hAnsi="Times New Roman" w:cs="Times New Roman"/>
          <w:b/>
          <w:bCs/>
          <w:kern w:val="0"/>
        </w:rPr>
        <w:t>Critical Perspectives and Ongoing Challenges</w:t>
      </w:r>
      <w:r w:rsidRPr="000064CA">
        <w:rPr>
          <w:rFonts w:ascii="Times New Roman" w:hAnsi="Times New Roman" w:cs="Times New Roman"/>
        </w:rPr>
        <w:t>……………………………………</w:t>
      </w:r>
      <w:r w:rsidRPr="00DE0394">
        <w:rPr>
          <w:rFonts w:ascii="Times New Roman" w:hAnsi="Times New Roman" w:cs="Times New Roman"/>
          <w:b/>
        </w:rPr>
        <w:t>14</w:t>
      </w:r>
    </w:p>
    <w:p w14:paraId="1AEBBFC7" w14:textId="292470E4" w:rsidR="000064CA" w:rsidRPr="000064CA" w:rsidRDefault="000064CA" w:rsidP="000064CA">
      <w:pPr>
        <w:spacing w:line="360" w:lineRule="auto"/>
        <w:rPr>
          <w:rFonts w:ascii="Times New Roman" w:eastAsia="Times New Roman" w:hAnsi="Times New Roman" w:cs="Times New Roman"/>
          <w:b/>
          <w:bCs/>
          <w:kern w:val="0"/>
        </w:rPr>
      </w:pPr>
      <w:r w:rsidRPr="000064CA">
        <w:rPr>
          <w:rFonts w:ascii="Times New Roman" w:eastAsia="Times New Roman" w:hAnsi="Times New Roman" w:cs="Times New Roman"/>
          <w:b/>
          <w:bCs/>
          <w:kern w:val="0"/>
        </w:rPr>
        <w:t>Implications for Practice, Policy, and Research</w:t>
      </w:r>
      <w:r w:rsidRPr="000064CA">
        <w:rPr>
          <w:rFonts w:ascii="Times New Roman" w:hAnsi="Times New Roman" w:cs="Times New Roman"/>
        </w:rPr>
        <w:t>……………………………………</w:t>
      </w:r>
      <w:r w:rsidRPr="00DE0394">
        <w:rPr>
          <w:rFonts w:ascii="Times New Roman" w:hAnsi="Times New Roman" w:cs="Times New Roman"/>
          <w:b/>
        </w:rPr>
        <w:t>15</w:t>
      </w:r>
    </w:p>
    <w:p w14:paraId="7D25C275" w14:textId="36A69DC1" w:rsidR="000064CA" w:rsidRDefault="000064CA" w:rsidP="000064CA">
      <w:pPr>
        <w:spacing w:line="360" w:lineRule="auto"/>
        <w:rPr>
          <w:rFonts w:ascii="Times New Roman" w:hAnsi="Times New Roman" w:cs="Times New Roman"/>
        </w:rPr>
      </w:pPr>
      <w:r w:rsidRPr="000064CA">
        <w:rPr>
          <w:rFonts w:ascii="Times New Roman" w:hAnsi="Times New Roman" w:cs="Times New Roman"/>
          <w:b/>
          <w:bCs/>
        </w:rPr>
        <w:t>Conclusion</w:t>
      </w:r>
      <w:r w:rsidRPr="000064CA">
        <w:rPr>
          <w:rFonts w:ascii="Times New Roman" w:hAnsi="Times New Roman" w:cs="Times New Roman"/>
        </w:rPr>
        <w:t>……………………………………</w:t>
      </w:r>
      <w:r w:rsidRPr="00DE0394">
        <w:rPr>
          <w:rFonts w:ascii="Times New Roman" w:hAnsi="Times New Roman" w:cs="Times New Roman"/>
          <w:b/>
        </w:rPr>
        <w:t>16</w:t>
      </w:r>
    </w:p>
    <w:p w14:paraId="357DA4C8" w14:textId="5FA9A788" w:rsidR="00FC37F3" w:rsidRPr="000064CA" w:rsidRDefault="00FC37F3" w:rsidP="000064CA">
      <w:pPr>
        <w:spacing w:line="360" w:lineRule="auto"/>
        <w:rPr>
          <w:rFonts w:ascii="Times New Roman" w:hAnsi="Times New Roman" w:cs="Times New Roman"/>
          <w:b/>
          <w:bCs/>
        </w:rPr>
      </w:pPr>
      <w:r w:rsidRPr="00FC37F3">
        <w:rPr>
          <w:rFonts w:ascii="Times New Roman" w:hAnsi="Times New Roman" w:cs="Times New Roman"/>
          <w:b/>
          <w:bCs/>
        </w:rPr>
        <w:t>References</w:t>
      </w:r>
      <w:r w:rsidRPr="000064CA">
        <w:rPr>
          <w:rFonts w:ascii="Times New Roman" w:hAnsi="Times New Roman" w:cs="Times New Roman"/>
        </w:rPr>
        <w:t>……………………………………</w:t>
      </w:r>
      <w:r w:rsidR="002A1AF7" w:rsidRPr="00DE0394">
        <w:rPr>
          <w:rFonts w:ascii="Times New Roman" w:hAnsi="Times New Roman" w:cs="Times New Roman"/>
          <w:b/>
        </w:rPr>
        <w:t>18</w:t>
      </w:r>
    </w:p>
    <w:p w14:paraId="20292B5B" w14:textId="77777777" w:rsidR="00C6356C" w:rsidRDefault="00C6356C" w:rsidP="00C6356C"/>
    <w:p w14:paraId="1BA71F79" w14:textId="77777777" w:rsidR="00C6356C" w:rsidRDefault="00C6356C" w:rsidP="00C6356C"/>
    <w:p w14:paraId="420EEBBD" w14:textId="77777777" w:rsidR="00C6356C" w:rsidRDefault="00C6356C" w:rsidP="00C6356C"/>
    <w:p w14:paraId="4A850E2C" w14:textId="77777777" w:rsidR="00C6356C" w:rsidRDefault="00C6356C" w:rsidP="00C6356C"/>
    <w:p w14:paraId="06659D95" w14:textId="77777777" w:rsidR="00C6356C" w:rsidRDefault="00C6356C" w:rsidP="00C6356C"/>
    <w:p w14:paraId="5936C95B" w14:textId="77777777" w:rsidR="00C6356C" w:rsidRDefault="00C6356C" w:rsidP="00C6356C"/>
    <w:p w14:paraId="5A9BC3D3" w14:textId="77777777" w:rsidR="00C6356C" w:rsidRDefault="00C6356C" w:rsidP="00C6356C"/>
    <w:p w14:paraId="36BBCB07" w14:textId="77777777" w:rsidR="00C6356C" w:rsidRDefault="00C6356C" w:rsidP="00C6356C"/>
    <w:p w14:paraId="13D9A40D" w14:textId="77777777" w:rsidR="00C6356C" w:rsidRDefault="00C6356C" w:rsidP="00C6356C"/>
    <w:p w14:paraId="3CFD7CD2" w14:textId="77777777" w:rsidR="00C6356C" w:rsidRDefault="00C6356C" w:rsidP="00C6356C"/>
    <w:p w14:paraId="173DC871" w14:textId="77777777" w:rsidR="00C6356C" w:rsidRDefault="00C6356C" w:rsidP="00C6356C"/>
    <w:p w14:paraId="724B49FC" w14:textId="77777777" w:rsidR="00C6356C" w:rsidRDefault="00C6356C" w:rsidP="00C6356C"/>
    <w:p w14:paraId="61D8B459" w14:textId="3F5482FF" w:rsidR="00C6356C" w:rsidRPr="00ED462E" w:rsidRDefault="00C6356C" w:rsidP="000B03DB">
      <w:pPr>
        <w:spacing w:line="360" w:lineRule="auto"/>
        <w:rPr>
          <w:rStyle w:val="s1"/>
          <w:rFonts w:ascii="Times New Roman" w:eastAsia="Times New Roman" w:hAnsi="Times New Roman" w:cs="Times New Roman"/>
          <w:b/>
          <w:bCs/>
          <w:kern w:val="36"/>
          <w:u w:val="single"/>
          <w14:ligatures w14:val="none"/>
        </w:rPr>
      </w:pPr>
      <w:r w:rsidRPr="00ED462E">
        <w:rPr>
          <w:rFonts w:ascii="Times New Roman" w:eastAsia="Times New Roman" w:hAnsi="Times New Roman" w:cs="Times New Roman"/>
          <w:b/>
          <w:bCs/>
          <w:u w:val="single"/>
        </w:rPr>
        <w:lastRenderedPageBreak/>
        <w:t>Poverty and Educational Inequality in Contemporary Education Systems: Structural Challenges, Policy Responses, and Future Directions.</w:t>
      </w:r>
    </w:p>
    <w:p w14:paraId="3F5CBDB3" w14:textId="45C2EBB1" w:rsidR="00C6356C" w:rsidRPr="00ED462E" w:rsidRDefault="00C6356C"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b/>
          <w:bCs/>
          <w:u w:val="single"/>
        </w:rPr>
        <w:t>Abstract</w:t>
      </w:r>
    </w:p>
    <w:p w14:paraId="68EA7056" w14:textId="73F38E58" w:rsidR="00F33280" w:rsidRPr="00ED462E" w:rsidRDefault="00F33280" w:rsidP="000B03DB">
      <w:pPr>
        <w:spacing w:line="360" w:lineRule="auto"/>
        <w:rPr>
          <w:rFonts w:ascii="Times New Roman" w:hAnsi="Times New Roman" w:cs="Times New Roman"/>
        </w:rPr>
      </w:pPr>
      <w:r w:rsidRPr="00ED462E">
        <w:rPr>
          <w:rStyle w:val="s1"/>
          <w:rFonts w:ascii="Times New Roman" w:hAnsi="Times New Roman" w:cs="Times New Roman"/>
        </w:rPr>
        <w:t xml:space="preserve">Poverty remains one of the most significant determinants of educational inequality across the world, shaping students’ experiences both inside and beyond the classroom. Despite decades of educational reform aimed at promoting equity and inclusion, learners from socioeconomically disadvantaged backgrounds continue to experience lower academic attainment, reduced access to material and digital resources, and limited opportunities for progression beyond compulsory education. These persistent disparities suggest that educational inequality is not merely the result of individual effort or school </w:t>
      </w:r>
      <w:r w:rsidR="00FD7649" w:rsidRPr="00ED462E">
        <w:rPr>
          <w:rStyle w:val="s1"/>
          <w:rFonts w:ascii="Times New Roman" w:hAnsi="Times New Roman" w:cs="Times New Roman"/>
        </w:rPr>
        <w:t>quality but</w:t>
      </w:r>
      <w:r w:rsidRPr="00ED462E">
        <w:rPr>
          <w:rStyle w:val="s1"/>
          <w:rFonts w:ascii="Times New Roman" w:hAnsi="Times New Roman" w:cs="Times New Roman"/>
        </w:rPr>
        <w:t xml:space="preserve"> is deeply embedded within wider social and economic structures.</w:t>
      </w:r>
    </w:p>
    <w:p w14:paraId="4A6377B5" w14:textId="6B0A8520" w:rsidR="00F33280" w:rsidRPr="00ED462E" w:rsidRDefault="00F33280" w:rsidP="000B03DB">
      <w:pPr>
        <w:spacing w:line="360" w:lineRule="auto"/>
        <w:rPr>
          <w:rFonts w:ascii="Times New Roman" w:hAnsi="Times New Roman" w:cs="Times New Roman"/>
        </w:rPr>
      </w:pPr>
      <w:r w:rsidRPr="00ED462E">
        <w:rPr>
          <w:rStyle w:val="s1"/>
          <w:rFonts w:ascii="Times New Roman" w:hAnsi="Times New Roman" w:cs="Times New Roman"/>
        </w:rPr>
        <w:t>This article critically examines poverty as a contemporary issue in education by exploring how structural inequalities influence educational systems, the mechanisms through which poverty constrains learning and participation, and the extent to which current policy responses address these challenges. Drawing on recent international research and policy developments, it argues that while targeted interventions</w:t>
      </w:r>
      <w:r w:rsidR="00CB05A5" w:rsidRPr="00ED462E">
        <w:rPr>
          <w:rStyle w:val="s1"/>
          <w:rFonts w:ascii="Times New Roman" w:hAnsi="Times New Roman" w:cs="Times New Roman"/>
        </w:rPr>
        <w:t xml:space="preserve"> </w:t>
      </w:r>
      <w:r w:rsidRPr="00ED462E">
        <w:rPr>
          <w:rStyle w:val="s1"/>
          <w:rFonts w:ascii="Times New Roman" w:hAnsi="Times New Roman" w:cs="Times New Roman"/>
        </w:rPr>
        <w:t>such as school-based support programmes</w:t>
      </w:r>
      <w:r w:rsidR="00CB05A5" w:rsidRPr="00ED462E">
        <w:rPr>
          <w:rStyle w:val="s1"/>
          <w:rFonts w:ascii="Times New Roman" w:hAnsi="Times New Roman" w:cs="Times New Roman"/>
        </w:rPr>
        <w:t xml:space="preserve"> </w:t>
      </w:r>
      <w:r w:rsidRPr="00ED462E">
        <w:rPr>
          <w:rStyle w:val="s1"/>
          <w:rFonts w:ascii="Times New Roman" w:hAnsi="Times New Roman" w:cs="Times New Roman"/>
        </w:rPr>
        <w:t>can alleviate some immediate effects of poverty, they are insufficient in isolation. Sustainable and meaningful change requires systemic reform that addresses the broader social, economic, and political conditions in which education operates. The article concludes by considering implications for educators, policymakers, and researchers, and calls for a renewed and sustained commitment to social justice in education.</w:t>
      </w:r>
    </w:p>
    <w:p w14:paraId="30102BAB" w14:textId="77777777" w:rsidR="00D177BE" w:rsidRPr="00ED462E" w:rsidRDefault="00F56EF8" w:rsidP="00D177BE">
      <w:pPr>
        <w:spacing w:line="360" w:lineRule="auto"/>
        <w:rPr>
          <w:rFonts w:ascii="Times New Roman" w:hAnsi="Times New Roman" w:cs="Times New Roman"/>
          <w:kern w:val="0"/>
        </w:rPr>
      </w:pPr>
      <w:r w:rsidRPr="00ED462E">
        <w:rPr>
          <w:rFonts w:ascii="Times New Roman" w:hAnsi="Times New Roman" w:cs="Times New Roman"/>
          <w:b/>
          <w:bCs/>
          <w:kern w:val="0"/>
          <w:u w:val="single"/>
        </w:rPr>
        <w:t>Keywords</w:t>
      </w:r>
      <w:r w:rsidRPr="00ED462E">
        <w:rPr>
          <w:rFonts w:ascii="Times New Roman" w:hAnsi="Times New Roman" w:cs="Times New Roman"/>
          <w:kern w:val="0"/>
        </w:rPr>
        <w:t>: poverty, educational inequality, social justice, policy, current affairs in educatio</w:t>
      </w:r>
      <w:r w:rsidR="003934F9" w:rsidRPr="00ED462E">
        <w:rPr>
          <w:rFonts w:ascii="Times New Roman" w:hAnsi="Times New Roman" w:cs="Times New Roman"/>
          <w:kern w:val="0"/>
        </w:rPr>
        <w:t>n</w:t>
      </w:r>
      <w:r w:rsidR="000B03DB" w:rsidRPr="00ED462E">
        <w:rPr>
          <w:rFonts w:ascii="Times New Roman" w:hAnsi="Times New Roman" w:cs="Times New Roman"/>
          <w:kern w:val="0"/>
        </w:rPr>
        <w:t>.</w:t>
      </w:r>
    </w:p>
    <w:p w14:paraId="008358AF" w14:textId="18C38FE8" w:rsidR="005C51A6" w:rsidRPr="00ED462E" w:rsidRDefault="00DD1291" w:rsidP="00DD1291">
      <w:pPr>
        <w:pStyle w:val="ListParagraph"/>
        <w:numPr>
          <w:ilvl w:val="0"/>
          <w:numId w:val="13"/>
        </w:numPr>
        <w:spacing w:line="360" w:lineRule="auto"/>
        <w:rPr>
          <w:rFonts w:ascii="Times New Roman" w:hAnsi="Times New Roman" w:cs="Times New Roman"/>
          <w:kern w:val="0"/>
        </w:rPr>
      </w:pPr>
      <w:r w:rsidRPr="00ED462E">
        <w:rPr>
          <w:rFonts w:ascii="Times New Roman" w:hAnsi="Times New Roman" w:cs="Times New Roman"/>
          <w:b/>
          <w:bCs/>
          <w:kern w:val="0"/>
        </w:rPr>
        <w:t xml:space="preserve"> </w:t>
      </w:r>
      <w:r w:rsidR="0017432E" w:rsidRPr="00ED462E">
        <w:rPr>
          <w:rFonts w:ascii="Times New Roman" w:hAnsi="Times New Roman" w:cs="Times New Roman"/>
          <w:b/>
          <w:bCs/>
          <w:kern w:val="0"/>
          <w:u w:val="single"/>
        </w:rPr>
        <w:t>Introduction</w:t>
      </w:r>
    </w:p>
    <w:p w14:paraId="3378AC94" w14:textId="77777777" w:rsidR="003F7BB9" w:rsidRPr="00ED462E" w:rsidRDefault="003F7BB9" w:rsidP="000B03DB">
      <w:pPr>
        <w:spacing w:line="360" w:lineRule="auto"/>
        <w:rPr>
          <w:rFonts w:ascii="Times New Roman" w:hAnsi="Times New Roman" w:cs="Times New Roman"/>
        </w:rPr>
      </w:pPr>
      <w:r w:rsidRPr="00ED462E">
        <w:rPr>
          <w:rStyle w:val="s1"/>
          <w:rFonts w:ascii="Times New Roman" w:hAnsi="Times New Roman" w:cs="Times New Roman"/>
        </w:rPr>
        <w:t>Education is widely regarded as a key mechanism for social mobility and economic development. Governments across the world promote schooling as a pathway out of poverty, emphasising its role in equipping individuals with skills, knowledge, and credentials necessary for participation in the labour market (Brown, Lauder, &amp; Cheung, 2020; OECD, 2021). However, the relationship between education and poverty is complex and often paradoxical. While education has the potential to reduce poverty, poverty itself remains one of the most powerful barriers to educational success (Rizvi, 2022; Thomson, 2023).</w:t>
      </w:r>
    </w:p>
    <w:p w14:paraId="7CC57872" w14:textId="77777777" w:rsidR="003F7BB9" w:rsidRPr="00ED462E" w:rsidRDefault="003F7BB9" w:rsidP="000B03DB">
      <w:pPr>
        <w:spacing w:line="360" w:lineRule="auto"/>
        <w:rPr>
          <w:rFonts w:ascii="Times New Roman" w:hAnsi="Times New Roman" w:cs="Times New Roman"/>
        </w:rPr>
      </w:pPr>
      <w:r w:rsidRPr="00ED462E">
        <w:rPr>
          <w:rStyle w:val="s1"/>
          <w:rFonts w:ascii="Times New Roman" w:hAnsi="Times New Roman" w:cs="Times New Roman"/>
        </w:rPr>
        <w:lastRenderedPageBreak/>
        <w:t>In recent years, the issue of poverty in education has gained renewed attention in academic research and policy debates. Rising living costs, the long-term effects of austerity measures, and the socioeconomic consequences of the COVID-19 pandemic have exacerbated existing inequalities (UNESCO, 2022; Kim &amp; Asbury, 2023). Empirical studies demonstrate that students from low-income households experienced disproportionate learning loss during school closures, alongside increased mental health challenges and reduced access to educational resources (Engzell, Frey, &amp; Verhagen, 2021; Maldonado &amp; De Witte, 2022). In many countries, schools are increasingly expected to address not only academic learning but also issues such as food insecurity, mental health, and housing instability among students (Sirin &amp; Rogers-Sirin, 2021; Francis et al., 2024). These developments raise important questions about the role of education systems in responding to poverty and the extent to which schools can compensate for wider social inequalities.</w:t>
      </w:r>
    </w:p>
    <w:p w14:paraId="11329C6F" w14:textId="3A775B87" w:rsidR="003F7BB9" w:rsidRPr="00ED462E" w:rsidRDefault="003F7BB9" w:rsidP="000B03DB">
      <w:pPr>
        <w:spacing w:line="360" w:lineRule="auto"/>
        <w:rPr>
          <w:rStyle w:val="s1"/>
          <w:rFonts w:ascii="Times New Roman" w:hAnsi="Times New Roman" w:cs="Times New Roman"/>
        </w:rPr>
      </w:pPr>
      <w:r w:rsidRPr="00ED462E">
        <w:rPr>
          <w:rStyle w:val="s1"/>
          <w:rFonts w:ascii="Times New Roman" w:hAnsi="Times New Roman" w:cs="Times New Roman"/>
        </w:rPr>
        <w:t>This article examines poverty as a current affair in education, focusing on how socioeconomic disadvantage shapes educational experiences and outcomes. It begins by outlining theoretical perspectives on poverty and education, including sociological and critical policy frameworks that highlight structural inequality and social reproduction (Bourdieu, 1986; Reay, 2018; Tikly, 2019). It then analyses the mechanisms through which poverty affects learning, such as material deprivation, reduced cultural capital, chronic stress, and school segregation (Cooper &amp; Stewart, 2021; Duncan, Magnuson, &amp; Votruba-Drzal, 2020). The paper subsequently reviews contemporary policy responses and interventions, including targeted funding, early childhood education, and whole-school approaches to disadvantage, before critically evaluating their effectiveness (Gorard, 2020; Sims &amp; Fletcher, 2023). Finally, the article discusses future directions for research and policy, arguing for a more holistic and justice-oriented approach to educational reform that addresses both in-school practices and broader socioeconomic conditions shaping educational inequality (Unterhalter et al., 2022; Thomson, 2023).</w:t>
      </w:r>
    </w:p>
    <w:p w14:paraId="383856A0" w14:textId="6635262E" w:rsidR="003622B8" w:rsidRPr="00ED462E" w:rsidRDefault="00D177BE"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b/>
          <w:bCs/>
        </w:rPr>
        <w:t xml:space="preserve">        </w:t>
      </w:r>
      <w:r w:rsidRPr="00ED462E">
        <w:rPr>
          <w:rStyle w:val="s1"/>
          <w:rFonts w:ascii="Times New Roman" w:hAnsi="Times New Roman" w:cs="Times New Roman"/>
          <w:b/>
          <w:bCs/>
          <w:u w:val="single"/>
        </w:rPr>
        <w:t>2.</w:t>
      </w:r>
      <w:r w:rsidRPr="00ED462E">
        <w:rPr>
          <w:rStyle w:val="s1"/>
          <w:rFonts w:ascii="Times New Roman" w:hAnsi="Times New Roman" w:cs="Times New Roman"/>
          <w:b/>
          <w:bCs/>
        </w:rPr>
        <w:t xml:space="preserve">      </w:t>
      </w:r>
      <w:r w:rsidR="00E319C8" w:rsidRPr="00ED462E">
        <w:rPr>
          <w:rStyle w:val="s1"/>
          <w:rFonts w:ascii="Times New Roman" w:hAnsi="Times New Roman" w:cs="Times New Roman"/>
          <w:b/>
          <w:bCs/>
          <w:u w:val="single"/>
        </w:rPr>
        <w:t>Conceptualising</w:t>
      </w:r>
      <w:r w:rsidR="00C30271" w:rsidRPr="00ED462E">
        <w:rPr>
          <w:rStyle w:val="s1"/>
          <w:rFonts w:ascii="Times New Roman" w:hAnsi="Times New Roman" w:cs="Times New Roman"/>
          <w:b/>
          <w:bCs/>
          <w:u w:val="single"/>
        </w:rPr>
        <w:t xml:space="preserve"> Poverty &amp; </w:t>
      </w:r>
      <w:r w:rsidR="00D46CD5" w:rsidRPr="00ED462E">
        <w:rPr>
          <w:rStyle w:val="s1"/>
          <w:rFonts w:ascii="Times New Roman" w:hAnsi="Times New Roman" w:cs="Times New Roman"/>
          <w:b/>
          <w:bCs/>
          <w:u w:val="single"/>
        </w:rPr>
        <w:t>E</w:t>
      </w:r>
      <w:r w:rsidR="00C30271" w:rsidRPr="00ED462E">
        <w:rPr>
          <w:rStyle w:val="s1"/>
          <w:rFonts w:ascii="Times New Roman" w:hAnsi="Times New Roman" w:cs="Times New Roman"/>
          <w:b/>
          <w:bCs/>
          <w:u w:val="single"/>
        </w:rPr>
        <w:t xml:space="preserve">ducational </w:t>
      </w:r>
      <w:r w:rsidR="00D46CD5" w:rsidRPr="00ED462E">
        <w:rPr>
          <w:rStyle w:val="s1"/>
          <w:rFonts w:ascii="Times New Roman" w:hAnsi="Times New Roman" w:cs="Times New Roman"/>
          <w:b/>
          <w:bCs/>
          <w:u w:val="single"/>
        </w:rPr>
        <w:t>I</w:t>
      </w:r>
      <w:r w:rsidR="00C30271" w:rsidRPr="00ED462E">
        <w:rPr>
          <w:rStyle w:val="s1"/>
          <w:rFonts w:ascii="Times New Roman" w:hAnsi="Times New Roman" w:cs="Times New Roman"/>
          <w:b/>
          <w:bCs/>
          <w:u w:val="single"/>
        </w:rPr>
        <w:t>nequality</w:t>
      </w:r>
    </w:p>
    <w:p w14:paraId="605AE0B1" w14:textId="2C4AE749" w:rsidR="005C1E7B" w:rsidRPr="00ED462E" w:rsidRDefault="00D75415"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b/>
          <w:bCs/>
        </w:rPr>
        <w:t xml:space="preserve">      </w:t>
      </w:r>
      <w:r w:rsidR="00D177BE" w:rsidRPr="00ED462E">
        <w:rPr>
          <w:rStyle w:val="s1"/>
          <w:rFonts w:ascii="Times New Roman" w:hAnsi="Times New Roman" w:cs="Times New Roman"/>
          <w:b/>
          <w:bCs/>
        </w:rPr>
        <w:t xml:space="preserve">  </w:t>
      </w:r>
      <w:r w:rsidR="003E240A" w:rsidRPr="00ED462E">
        <w:rPr>
          <w:rStyle w:val="s1"/>
          <w:rFonts w:ascii="Times New Roman" w:hAnsi="Times New Roman" w:cs="Times New Roman"/>
          <w:b/>
          <w:bCs/>
          <w:u w:val="single"/>
        </w:rPr>
        <w:t>2.1</w:t>
      </w:r>
      <w:r w:rsidR="00A137B8" w:rsidRPr="00ED462E">
        <w:rPr>
          <w:rStyle w:val="s1"/>
          <w:rFonts w:ascii="Times New Roman" w:hAnsi="Times New Roman" w:cs="Times New Roman"/>
        </w:rPr>
        <w:t xml:space="preserve">  </w:t>
      </w:r>
      <w:r w:rsidR="00A137B8" w:rsidRPr="00ED462E">
        <w:rPr>
          <w:rStyle w:val="s1"/>
          <w:rFonts w:ascii="Times New Roman" w:hAnsi="Times New Roman" w:cs="Times New Roman"/>
          <w:b/>
          <w:bCs/>
        </w:rPr>
        <w:t xml:space="preserve"> </w:t>
      </w:r>
      <w:r w:rsidR="00D177BE" w:rsidRPr="00ED462E">
        <w:rPr>
          <w:rStyle w:val="s1"/>
          <w:rFonts w:ascii="Times New Roman" w:hAnsi="Times New Roman" w:cs="Times New Roman"/>
          <w:b/>
          <w:bCs/>
        </w:rPr>
        <w:t xml:space="preserve"> </w:t>
      </w:r>
      <w:r w:rsidR="003E240A" w:rsidRPr="00ED462E">
        <w:rPr>
          <w:rStyle w:val="s1"/>
          <w:rFonts w:ascii="Times New Roman" w:hAnsi="Times New Roman" w:cs="Times New Roman"/>
          <w:b/>
          <w:bCs/>
          <w:u w:val="single"/>
        </w:rPr>
        <w:t>Defining poverty</w:t>
      </w:r>
    </w:p>
    <w:p w14:paraId="01A350F3" w14:textId="6E37739B" w:rsidR="005C1E7B" w:rsidRPr="00ED462E" w:rsidRDefault="005C1E7B" w:rsidP="000B03DB">
      <w:pPr>
        <w:spacing w:line="360" w:lineRule="auto"/>
        <w:rPr>
          <w:rFonts w:ascii="Times New Roman" w:hAnsi="Times New Roman" w:cs="Times New Roman"/>
        </w:rPr>
      </w:pPr>
      <w:r w:rsidRPr="00ED462E">
        <w:rPr>
          <w:rStyle w:val="s1"/>
          <w:rFonts w:ascii="Times New Roman" w:hAnsi="Times New Roman" w:cs="Times New Roman"/>
        </w:rPr>
        <w:t xml:space="preserve">Poverty is a multidimensional concept that extends beyond income deprivation and cannot be fully understood through economic measures alone. While absolute poverty refers to the lack of basic necessities such as adequate food, secure housing, and access to healthcare, relative poverty focuses on individuals’ inability to participate fully in the social, cultural, and </w:t>
      </w:r>
      <w:r w:rsidRPr="00ED462E">
        <w:rPr>
          <w:rStyle w:val="s1"/>
          <w:rFonts w:ascii="Times New Roman" w:hAnsi="Times New Roman" w:cs="Times New Roman"/>
        </w:rPr>
        <w:lastRenderedPageBreak/>
        <w:t>economic life of the society in which they live (Townsend, 1979). In contemporary educational contexts, relative poverty is particularly significant, as schooling is shaped by social norms, expectations, and resources that reflect dominant socioeconomic groups. Students experiencing relative poverty may lack access to educational materials, digital technologies, extracurricular activities, and social networks that are increasingly central to educational success and social mobility.</w:t>
      </w:r>
    </w:p>
    <w:p w14:paraId="1A5A0FE4" w14:textId="6B8EA42A" w:rsidR="005C1E7B" w:rsidRPr="00ED462E" w:rsidRDefault="005C1E7B" w:rsidP="000B03DB">
      <w:pPr>
        <w:spacing w:line="360" w:lineRule="auto"/>
        <w:rPr>
          <w:rFonts w:ascii="Times New Roman" w:hAnsi="Times New Roman" w:cs="Times New Roman"/>
        </w:rPr>
      </w:pPr>
      <w:r w:rsidRPr="00ED462E">
        <w:rPr>
          <w:rStyle w:val="s1"/>
          <w:rFonts w:ascii="Times New Roman" w:hAnsi="Times New Roman" w:cs="Times New Roman"/>
        </w:rPr>
        <w:t>Importantly, recent research emphasises the need to conceptualise poverty as a structural rather than individual condition (Raffo et al</w:t>
      </w:r>
      <w:r w:rsidR="00AE1265" w:rsidRPr="00ED462E">
        <w:rPr>
          <w:rStyle w:val="s1"/>
          <w:rFonts w:ascii="Times New Roman" w:hAnsi="Times New Roman" w:cs="Times New Roman"/>
        </w:rPr>
        <w:t>.,</w:t>
      </w:r>
      <w:r w:rsidRPr="00ED462E">
        <w:rPr>
          <w:rStyle w:val="s1"/>
          <w:rFonts w:ascii="Times New Roman" w:hAnsi="Times New Roman" w:cs="Times New Roman"/>
        </w:rPr>
        <w:t xml:space="preserve"> 2009). From this perspective, poverty is produced and sustained through wider economic structures, labour market inequalities, and policy decisions related to welfare, taxation, and public spending. Such an approach challenges deficit-based narratives that locate educational underachievement within individuals or families, framing disadvantaged students as lacking motivation, aspiration, or cultural value. Instead, structural interpretations highlight how unequal access to power and resources shapes educational opportunities and outcomes.</w:t>
      </w:r>
    </w:p>
    <w:p w14:paraId="4CCA4BF7" w14:textId="5FA45D64" w:rsidR="00DA40F4" w:rsidRPr="00ED462E" w:rsidRDefault="005C1E7B" w:rsidP="000B03DB">
      <w:pPr>
        <w:spacing w:line="360" w:lineRule="auto"/>
        <w:rPr>
          <w:rStyle w:val="s1"/>
          <w:rFonts w:ascii="Times New Roman" w:hAnsi="Times New Roman" w:cs="Times New Roman"/>
        </w:rPr>
      </w:pPr>
      <w:r w:rsidRPr="00ED462E">
        <w:rPr>
          <w:rStyle w:val="s1"/>
          <w:rFonts w:ascii="Times New Roman" w:hAnsi="Times New Roman" w:cs="Times New Roman"/>
        </w:rPr>
        <w:t>Understanding poverty in this way has significant implications for education policy and practice. It encourages educators and policymakers to move beyond simplistic explanations of disadvantage and to recognise the role of systemic inequality in shaping educational experiences. By foregrounding the structural nature of poverty, this perspective supports more equitable and socially just approaches to addressing educational inequality.</w:t>
      </w:r>
    </w:p>
    <w:p w14:paraId="50A1A751" w14:textId="78C0382E" w:rsidR="003622B8" w:rsidRPr="00ED462E" w:rsidRDefault="0073673C"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rPr>
        <w:t xml:space="preserve">      </w:t>
      </w:r>
      <w:r w:rsidR="00D177BE" w:rsidRPr="00ED462E">
        <w:rPr>
          <w:rStyle w:val="s1"/>
          <w:rFonts w:ascii="Times New Roman" w:hAnsi="Times New Roman" w:cs="Times New Roman"/>
        </w:rPr>
        <w:t xml:space="preserve">  </w:t>
      </w:r>
      <w:r w:rsidRPr="00ED462E">
        <w:rPr>
          <w:rStyle w:val="s1"/>
          <w:rFonts w:ascii="Times New Roman" w:hAnsi="Times New Roman" w:cs="Times New Roman"/>
          <w:b/>
          <w:bCs/>
          <w:u w:val="single"/>
        </w:rPr>
        <w:t>2.2</w:t>
      </w:r>
      <w:r w:rsidRPr="00ED462E">
        <w:rPr>
          <w:rStyle w:val="s1"/>
          <w:rFonts w:ascii="Times New Roman" w:hAnsi="Times New Roman" w:cs="Times New Roman"/>
        </w:rPr>
        <w:t xml:space="preserve">   </w:t>
      </w:r>
      <w:r w:rsidR="00B87B84" w:rsidRPr="00ED462E">
        <w:rPr>
          <w:rStyle w:val="s1"/>
          <w:rFonts w:ascii="Times New Roman" w:hAnsi="Times New Roman" w:cs="Times New Roman"/>
          <w:b/>
          <w:bCs/>
          <w:u w:val="single"/>
        </w:rPr>
        <w:t>Educational Inequality and Social Reproduction</w:t>
      </w:r>
    </w:p>
    <w:p w14:paraId="43EC610C" w14:textId="4BF2E47E" w:rsidR="00622D98" w:rsidRPr="00ED462E" w:rsidRDefault="00622D98" w:rsidP="000B03DB">
      <w:pPr>
        <w:spacing w:line="360" w:lineRule="auto"/>
        <w:rPr>
          <w:rStyle w:val="s1"/>
          <w:rFonts w:ascii="Times New Roman" w:hAnsi="Times New Roman" w:cs="Times New Roman"/>
        </w:rPr>
      </w:pPr>
      <w:r w:rsidRPr="00ED462E">
        <w:rPr>
          <w:rStyle w:val="s1"/>
          <w:rFonts w:ascii="Times New Roman" w:hAnsi="Times New Roman" w:cs="Times New Roman"/>
        </w:rPr>
        <w:t>One of the most significant ways in which poverty affects educational outcomes is through material deprivation. Learners from low-income households are disproportionately exposed to inadequate housing, food insecurity, and restricted access to essential learning resources such as books, digital devices, and stable internet connectivity (OECD, 2023). While these disadvantages are often discussed descriptively, their cumulative effect on educational engagement and attainment is frequently underestimated. Material deprivation not only limits students’ immediate capacity to participate in learning but also reinforces longer-term structural inequalities by constraining opportunities for skill development and academic progression.</w:t>
      </w:r>
    </w:p>
    <w:p w14:paraId="7263CE3F" w14:textId="1C68C33C" w:rsidR="00335319" w:rsidRPr="00ED462E" w:rsidRDefault="00335319" w:rsidP="000B03DB">
      <w:pPr>
        <w:spacing w:line="360" w:lineRule="auto"/>
        <w:rPr>
          <w:rFonts w:ascii="Times New Roman" w:hAnsi="Times New Roman" w:cs="Times New Roman"/>
        </w:rPr>
      </w:pPr>
      <w:r w:rsidRPr="00ED462E">
        <w:rPr>
          <w:rFonts w:ascii="Times New Roman" w:hAnsi="Times New Roman" w:cs="Times New Roman"/>
        </w:rPr>
        <w:t xml:space="preserve">Evidence indicates that food insecurity is closely linked to reduced concentration, higher levels of absenteeism, and poorer academic performance (Gordon et al. 2019), highlighting that educational disadvantage is not solely shaped by school-based factors but is deeply </w:t>
      </w:r>
      <w:r w:rsidRPr="00ED462E">
        <w:rPr>
          <w:rFonts w:ascii="Times New Roman" w:hAnsi="Times New Roman" w:cs="Times New Roman"/>
        </w:rPr>
        <w:lastRenderedPageBreak/>
        <w:t>embedded within wider socio-economic conditions. As a result, interventions focused exclusively on classroom practices may have limited impact if broader material needs remain unmet, challenging assumptions within education systems that achievement is primarily a function of individual effort or ability. Similarly, the digital divide has emerged as a critical issue in contemporary education, particularly during periods of remote and blended learning, as students without reliable access to technology or internet connectivity are systematically disadvantaged in their ability to engage with online platforms and complete digital assignments. This compounds existing attainment gaps and risks normalising unequal access to education within increasingly digitised systems, suggesting that without targeted policy responses, technological innovation may inadvertently exacerbate rather than reduce social inequalities.</w:t>
      </w:r>
    </w:p>
    <w:p w14:paraId="01E5864C" w14:textId="32947F79" w:rsidR="00EF2121" w:rsidRPr="00ED462E" w:rsidRDefault="000B03DB"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b/>
          <w:bCs/>
        </w:rPr>
        <w:t xml:space="preserve">      </w:t>
      </w:r>
      <w:r w:rsidRPr="00ED462E">
        <w:rPr>
          <w:rStyle w:val="s1"/>
          <w:rFonts w:ascii="Times New Roman" w:hAnsi="Times New Roman" w:cs="Times New Roman"/>
          <w:b/>
          <w:bCs/>
          <w:u w:val="single"/>
        </w:rPr>
        <w:t>3.</w:t>
      </w:r>
      <w:r w:rsidRPr="00ED462E">
        <w:rPr>
          <w:rStyle w:val="s1"/>
          <w:rFonts w:ascii="Times New Roman" w:hAnsi="Times New Roman" w:cs="Times New Roman"/>
          <w:b/>
          <w:bCs/>
        </w:rPr>
        <w:t xml:space="preserve">     </w:t>
      </w:r>
      <w:r w:rsidR="00E63ADB" w:rsidRPr="00ED462E">
        <w:rPr>
          <w:rStyle w:val="s1"/>
          <w:rFonts w:ascii="Times New Roman" w:hAnsi="Times New Roman" w:cs="Times New Roman"/>
          <w:b/>
          <w:bCs/>
          <w:u w:val="single"/>
        </w:rPr>
        <w:t>The Impact of Poverty on Educational Outcomes</w:t>
      </w:r>
    </w:p>
    <w:p w14:paraId="0CF576E3" w14:textId="05EB0F37" w:rsidR="00354617" w:rsidRPr="00ED462E" w:rsidRDefault="004B28ED"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rPr>
        <w:t xml:space="preserve">      </w:t>
      </w:r>
      <w:r w:rsidR="00EF2121" w:rsidRPr="00ED462E">
        <w:rPr>
          <w:rStyle w:val="s1"/>
          <w:rFonts w:ascii="Times New Roman" w:hAnsi="Times New Roman" w:cs="Times New Roman"/>
          <w:b/>
          <w:bCs/>
          <w:u w:val="single"/>
        </w:rPr>
        <w:t>3.1</w:t>
      </w:r>
      <w:r w:rsidR="00EF2121" w:rsidRPr="00ED462E">
        <w:rPr>
          <w:rStyle w:val="s1"/>
          <w:rFonts w:ascii="Times New Roman" w:hAnsi="Times New Roman" w:cs="Times New Roman"/>
        </w:rPr>
        <w:t xml:space="preserve"> </w:t>
      </w:r>
      <w:r w:rsidR="00017EC2" w:rsidRPr="00ED462E">
        <w:rPr>
          <w:rStyle w:val="s1"/>
          <w:rFonts w:ascii="Times New Roman" w:hAnsi="Times New Roman" w:cs="Times New Roman"/>
        </w:rPr>
        <w:t xml:space="preserve">  </w:t>
      </w:r>
      <w:r w:rsidR="00511776" w:rsidRPr="00ED462E">
        <w:rPr>
          <w:rStyle w:val="s1"/>
          <w:rFonts w:ascii="Times New Roman" w:hAnsi="Times New Roman" w:cs="Times New Roman"/>
        </w:rPr>
        <w:t xml:space="preserve"> </w:t>
      </w:r>
      <w:r w:rsidR="000B03DB" w:rsidRPr="00ED462E">
        <w:rPr>
          <w:rStyle w:val="s1"/>
          <w:rFonts w:ascii="Times New Roman" w:hAnsi="Times New Roman" w:cs="Times New Roman"/>
        </w:rPr>
        <w:t xml:space="preserve"> </w:t>
      </w:r>
      <w:r w:rsidR="00EF2121" w:rsidRPr="00ED462E">
        <w:rPr>
          <w:rStyle w:val="s1"/>
          <w:rFonts w:ascii="Times New Roman" w:hAnsi="Times New Roman" w:cs="Times New Roman"/>
          <w:b/>
          <w:bCs/>
          <w:u w:val="single"/>
        </w:rPr>
        <w:t>Material Deprivation and Learning</w:t>
      </w:r>
    </w:p>
    <w:p w14:paraId="4CB951CE" w14:textId="02BD709B" w:rsidR="0012012D" w:rsidRPr="00ED462E" w:rsidRDefault="004734B2" w:rsidP="000B03DB">
      <w:pPr>
        <w:spacing w:line="360" w:lineRule="auto"/>
        <w:rPr>
          <w:rFonts w:ascii="Times New Roman" w:hAnsi="Times New Roman" w:cs="Times New Roman"/>
        </w:rPr>
      </w:pPr>
      <w:r w:rsidRPr="00ED462E">
        <w:rPr>
          <w:rStyle w:val="s1"/>
          <w:rFonts w:ascii="Times New Roman" w:hAnsi="Times New Roman" w:cs="Times New Roman"/>
        </w:rPr>
        <w:t>Another important way</w:t>
      </w:r>
      <w:r w:rsidR="0012012D" w:rsidRPr="00ED462E">
        <w:rPr>
          <w:rStyle w:val="s1"/>
          <w:rFonts w:ascii="Times New Roman" w:hAnsi="Times New Roman" w:cs="Times New Roman"/>
        </w:rPr>
        <w:t xml:space="preserve"> in which poverty affects educational outcomes is through material deprivation. Learners from low-income households are disproportionately exposed to inadequate housing, food insecurity, and restricted access to essential learning resources such as books, digital devices, and stable internet connectivity (OECD, 2023). While these disadvantages are often discussed descriptively, their cumulative effect on educational engagement and attainment is frequently underestimated. Material deprivation not only limits students’ immediate capacity to participate in learning but also reinforces longer-term structural inequalities by constraining opportunities for skill development and academic progression.</w:t>
      </w:r>
    </w:p>
    <w:p w14:paraId="315C5C25" w14:textId="2C1D601E" w:rsidR="00E43E9D" w:rsidRPr="00ED462E" w:rsidRDefault="00E43E9D" w:rsidP="000B03DB">
      <w:pPr>
        <w:spacing w:line="360" w:lineRule="auto"/>
        <w:rPr>
          <w:rStyle w:val="s1"/>
          <w:rFonts w:ascii="Times New Roman" w:hAnsi="Times New Roman" w:cs="Times New Roman"/>
        </w:rPr>
      </w:pPr>
      <w:r w:rsidRPr="00E43E9D">
        <w:rPr>
          <w:rFonts w:ascii="Times New Roman" w:hAnsi="Times New Roman" w:cs="Times New Roman"/>
          <w:lang w:val="en-US"/>
        </w:rPr>
        <w:t xml:space="preserve">Evidence indicates that food insecurity is closely linked to reduced concentration, higher levels of absenteeism, and poorer academic performance (Gordon et al., 2019), highlighting that educational disadvantage is not solely shaped by school-based factors but is deeply embedded within wider socio-economic conditions. As a result, interventions focused exclusively on classroom practices may have limited impact if broader material needs remain unmet, challenging assumptions within education systems that achievement is primarily a function of individual effort or ability. Similarly, the digital divide has emerged as a critical issue in contemporary education, particularly during periods of remote and blended learning, as students without reliable access to technology or internet connectivity are systematically disadvantaged in their ability to engage with online platforms and complete digital </w:t>
      </w:r>
      <w:r w:rsidRPr="00E43E9D">
        <w:rPr>
          <w:rFonts w:ascii="Times New Roman" w:hAnsi="Times New Roman" w:cs="Times New Roman"/>
          <w:lang w:val="en-US"/>
        </w:rPr>
        <w:lastRenderedPageBreak/>
        <w:t>assignments. This compounds existing attainment gaps and risks normali</w:t>
      </w:r>
      <w:r w:rsidR="00F17C2C" w:rsidRPr="00ED462E">
        <w:rPr>
          <w:rFonts w:ascii="Times New Roman" w:hAnsi="Times New Roman" w:cs="Times New Roman"/>
          <w:lang w:val="en-US"/>
        </w:rPr>
        <w:t>z</w:t>
      </w:r>
      <w:r w:rsidRPr="00E43E9D">
        <w:rPr>
          <w:rFonts w:ascii="Times New Roman" w:hAnsi="Times New Roman" w:cs="Times New Roman"/>
          <w:lang w:val="en-US"/>
        </w:rPr>
        <w:t>ing unequal access to education within increasingly digiti</w:t>
      </w:r>
      <w:r w:rsidR="00F17C2C" w:rsidRPr="00ED462E">
        <w:rPr>
          <w:rFonts w:ascii="Times New Roman" w:hAnsi="Times New Roman" w:cs="Times New Roman"/>
          <w:lang w:val="en-US"/>
        </w:rPr>
        <w:t>z</w:t>
      </w:r>
      <w:r w:rsidRPr="00E43E9D">
        <w:rPr>
          <w:rFonts w:ascii="Times New Roman" w:hAnsi="Times New Roman" w:cs="Times New Roman"/>
          <w:lang w:val="en-US"/>
        </w:rPr>
        <w:t>ed systems, suggesting that without targeted policy responses, technological innovation may inadvertently exacerbate rather than reduce social inequalities.</w:t>
      </w:r>
    </w:p>
    <w:p w14:paraId="726C9A8A" w14:textId="1F94FA8B" w:rsidR="002E319C" w:rsidRPr="00ED462E" w:rsidRDefault="00E742B9"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b/>
          <w:bCs/>
        </w:rPr>
        <w:t xml:space="preserve">        </w:t>
      </w:r>
      <w:r w:rsidR="00A63584" w:rsidRPr="00ED462E">
        <w:rPr>
          <w:rStyle w:val="s1"/>
          <w:rFonts w:ascii="Times New Roman" w:hAnsi="Times New Roman" w:cs="Times New Roman"/>
          <w:b/>
          <w:bCs/>
        </w:rPr>
        <w:t xml:space="preserve"> </w:t>
      </w:r>
      <w:r w:rsidRPr="00ED462E">
        <w:rPr>
          <w:rStyle w:val="s1"/>
          <w:rFonts w:ascii="Times New Roman" w:hAnsi="Times New Roman" w:cs="Times New Roman"/>
          <w:b/>
          <w:bCs/>
          <w:u w:val="single"/>
        </w:rPr>
        <w:t>3.2</w:t>
      </w:r>
      <w:r w:rsidRPr="00ED462E">
        <w:rPr>
          <w:rStyle w:val="s1"/>
          <w:rFonts w:ascii="Times New Roman" w:hAnsi="Times New Roman" w:cs="Times New Roman"/>
          <w:b/>
          <w:bCs/>
        </w:rPr>
        <w:t xml:space="preserve">    </w:t>
      </w:r>
      <w:r w:rsidRPr="00ED462E">
        <w:rPr>
          <w:rStyle w:val="s1"/>
          <w:rFonts w:ascii="Times New Roman" w:hAnsi="Times New Roman" w:cs="Times New Roman"/>
          <w:b/>
          <w:bCs/>
          <w:u w:val="single"/>
        </w:rPr>
        <w:t>Health</w:t>
      </w:r>
      <w:r w:rsidR="002E319C" w:rsidRPr="00ED462E">
        <w:rPr>
          <w:rStyle w:val="s1"/>
          <w:rFonts w:ascii="Times New Roman" w:hAnsi="Times New Roman" w:cs="Times New Roman"/>
          <w:b/>
          <w:bCs/>
          <w:u w:val="single"/>
        </w:rPr>
        <w:t xml:space="preserve">, </w:t>
      </w:r>
      <w:r w:rsidR="006166A5" w:rsidRPr="00ED462E">
        <w:rPr>
          <w:rStyle w:val="s1"/>
          <w:rFonts w:ascii="Times New Roman" w:hAnsi="Times New Roman" w:cs="Times New Roman"/>
          <w:b/>
          <w:bCs/>
          <w:u w:val="single"/>
        </w:rPr>
        <w:t>Wellbeing and Cognitive Development</w:t>
      </w:r>
    </w:p>
    <w:p w14:paraId="39E460D7" w14:textId="41111335" w:rsidR="00CD2B2B" w:rsidRPr="00ED462E" w:rsidRDefault="00CD2B2B" w:rsidP="000B03DB">
      <w:pPr>
        <w:spacing w:line="360" w:lineRule="auto"/>
        <w:rPr>
          <w:rFonts w:ascii="Times New Roman" w:hAnsi="Times New Roman" w:cs="Times New Roman"/>
        </w:rPr>
      </w:pPr>
      <w:r w:rsidRPr="00ED462E">
        <w:rPr>
          <w:rStyle w:val="s1"/>
          <w:rFonts w:ascii="Times New Roman" w:hAnsi="Times New Roman" w:cs="Times New Roman"/>
        </w:rPr>
        <w:t>Poverty is closely linked to physical and mental health outcomes, which in turn influence educational attainment. Children living in poverty are more likely to experience chronic stress, anxiety, and exposure to adverse childhood experiences (Evans and Kim, 2013). Neuroscientific research suggests that prolonged exposure to stress can affect cognitive development, particularly in areas related to memory, attention, and</w:t>
      </w:r>
      <w:r w:rsidR="00BB6566" w:rsidRPr="00ED462E">
        <w:rPr>
          <w:rStyle w:val="s1"/>
          <w:rFonts w:ascii="Times New Roman" w:hAnsi="Times New Roman" w:cs="Times New Roman"/>
        </w:rPr>
        <w:t xml:space="preserve"> emotional regulation</w:t>
      </w:r>
      <w:r w:rsidRPr="00ED462E">
        <w:rPr>
          <w:rStyle w:val="s1"/>
          <w:rFonts w:ascii="Times New Roman" w:hAnsi="Times New Roman" w:cs="Times New Roman"/>
        </w:rPr>
        <w:t>.</w:t>
      </w:r>
    </w:p>
    <w:p w14:paraId="5AEC5B15" w14:textId="36906D4B" w:rsidR="00CD2B2B" w:rsidRPr="00ED462E" w:rsidRDefault="00CD2B2B" w:rsidP="000B03DB">
      <w:pPr>
        <w:spacing w:line="360" w:lineRule="auto"/>
        <w:rPr>
          <w:rStyle w:val="s1"/>
          <w:rFonts w:ascii="Times New Roman" w:hAnsi="Times New Roman" w:cs="Times New Roman"/>
        </w:rPr>
      </w:pPr>
      <w:r w:rsidRPr="00ED462E">
        <w:rPr>
          <w:rStyle w:val="s1"/>
          <w:rFonts w:ascii="Times New Roman" w:hAnsi="Times New Roman" w:cs="Times New Roman"/>
        </w:rPr>
        <w:t xml:space="preserve">Mental health concerns among </w:t>
      </w:r>
      <w:r w:rsidR="00BB6566" w:rsidRPr="00ED462E">
        <w:rPr>
          <w:rStyle w:val="s1"/>
          <w:rFonts w:ascii="Times New Roman" w:hAnsi="Times New Roman" w:cs="Times New Roman"/>
        </w:rPr>
        <w:t>children</w:t>
      </w:r>
      <w:r w:rsidRPr="00ED462E">
        <w:rPr>
          <w:rStyle w:val="s1"/>
          <w:rFonts w:ascii="Times New Roman" w:hAnsi="Times New Roman" w:cs="Times New Roman"/>
        </w:rPr>
        <w:t xml:space="preserve"> have become a prominent issue in current educational discourse. Schools in disadvantaged areas often report higher levels of behavioural difficulties and emotional distress, placing additional demands on teachers and support staff. Without adequate resources, schools may struggle to meet these complex needs, further disadvantaging students living in poverty.</w:t>
      </w:r>
    </w:p>
    <w:p w14:paraId="17D15435" w14:textId="3EE45043" w:rsidR="008127FA" w:rsidRPr="00ED462E" w:rsidRDefault="00A55AA6"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b/>
          <w:bCs/>
        </w:rPr>
        <w:t xml:space="preserve">   </w:t>
      </w:r>
      <w:r w:rsidR="007F1030" w:rsidRPr="00ED462E">
        <w:rPr>
          <w:rStyle w:val="s1"/>
          <w:rFonts w:ascii="Times New Roman" w:hAnsi="Times New Roman" w:cs="Times New Roman"/>
          <w:b/>
          <w:bCs/>
        </w:rPr>
        <w:t xml:space="preserve"> </w:t>
      </w:r>
      <w:r w:rsidR="00D177BE" w:rsidRPr="00ED462E">
        <w:rPr>
          <w:rStyle w:val="s1"/>
          <w:rFonts w:ascii="Times New Roman" w:hAnsi="Times New Roman" w:cs="Times New Roman"/>
          <w:b/>
          <w:bCs/>
        </w:rPr>
        <w:t xml:space="preserve">    </w:t>
      </w:r>
      <w:r w:rsidRPr="00ED462E">
        <w:rPr>
          <w:rStyle w:val="s1"/>
          <w:rFonts w:ascii="Times New Roman" w:hAnsi="Times New Roman" w:cs="Times New Roman"/>
          <w:b/>
          <w:bCs/>
          <w:u w:val="single"/>
        </w:rPr>
        <w:t>3.3</w:t>
      </w:r>
      <w:r w:rsidRPr="00ED462E">
        <w:rPr>
          <w:rStyle w:val="s1"/>
          <w:rFonts w:ascii="Times New Roman" w:hAnsi="Times New Roman" w:cs="Times New Roman"/>
          <w:b/>
          <w:bCs/>
        </w:rPr>
        <w:t xml:space="preserve">     </w:t>
      </w:r>
      <w:r w:rsidR="008127FA" w:rsidRPr="00ED462E">
        <w:rPr>
          <w:rStyle w:val="s1"/>
          <w:rFonts w:ascii="Times New Roman" w:hAnsi="Times New Roman" w:cs="Times New Roman"/>
          <w:b/>
          <w:bCs/>
          <w:u w:val="single"/>
        </w:rPr>
        <w:t xml:space="preserve">Family, Community and School </w:t>
      </w:r>
      <w:r w:rsidR="00F00217" w:rsidRPr="00ED462E">
        <w:rPr>
          <w:rStyle w:val="s1"/>
          <w:rFonts w:ascii="Times New Roman" w:hAnsi="Times New Roman" w:cs="Times New Roman"/>
          <w:b/>
          <w:bCs/>
          <w:u w:val="single"/>
        </w:rPr>
        <w:t>Contexts</w:t>
      </w:r>
    </w:p>
    <w:p w14:paraId="2A673A6D" w14:textId="77777777" w:rsidR="00E13B6D" w:rsidRPr="00ED462E" w:rsidRDefault="009D560E" w:rsidP="000B03DB">
      <w:pPr>
        <w:spacing w:line="360" w:lineRule="auto"/>
        <w:rPr>
          <w:rFonts w:ascii="Times New Roman" w:hAnsi="Times New Roman" w:cs="Times New Roman"/>
        </w:rPr>
      </w:pPr>
      <w:r w:rsidRPr="00ED462E">
        <w:rPr>
          <w:rStyle w:val="s1"/>
          <w:rFonts w:ascii="Times New Roman" w:hAnsi="Times New Roman" w:cs="Times New Roman"/>
        </w:rPr>
        <w:t>Poverty influences educational outcomes through the interconnected contexts of family, community, and school, with these domains interacting in ways that often compound disadvantage. Rather than operating as isolated factors, these contexts form a network of structural conditions that shape children’s educational experiences and opportunities.</w:t>
      </w:r>
    </w:p>
    <w:p w14:paraId="4F18239A" w14:textId="55393945" w:rsidR="009D560E" w:rsidRPr="00ED462E" w:rsidRDefault="009D560E" w:rsidP="000B03DB">
      <w:pPr>
        <w:spacing w:line="360" w:lineRule="auto"/>
        <w:rPr>
          <w:rFonts w:ascii="Times New Roman" w:hAnsi="Times New Roman" w:cs="Times New Roman"/>
        </w:rPr>
      </w:pPr>
      <w:r w:rsidRPr="00ED462E">
        <w:rPr>
          <w:rStyle w:val="s1"/>
          <w:rFonts w:ascii="Times New Roman" w:hAnsi="Times New Roman" w:cs="Times New Roman"/>
        </w:rPr>
        <w:t>Within families, socioeconomic disadvantage can limit the capacity for educational support, not due to a lack of aspiration but because of material and temporal constraints. Parents in low-income households are more likely to experience insecure employment, long working hours, or unemployment, alongside financial stress that can affect family wellbeing (Cooper and Stewart, 2021). Such pressures may reduce opportunities for engagement with school-based activities and learning at home. Importantly, research challenges deficit-based interpretations of parental involvement, highlighting that many low-income families place high value on education but encounter systemic barriers to participation that reflect middle-class norms embedded within schools (Crozier and Davies, 2007).</w:t>
      </w:r>
    </w:p>
    <w:p w14:paraId="538FB771" w14:textId="0F56E576" w:rsidR="009D560E" w:rsidRPr="00ED462E" w:rsidRDefault="009D560E" w:rsidP="000B03DB">
      <w:pPr>
        <w:spacing w:line="360" w:lineRule="auto"/>
        <w:rPr>
          <w:rFonts w:ascii="Times New Roman" w:hAnsi="Times New Roman" w:cs="Times New Roman"/>
        </w:rPr>
      </w:pPr>
      <w:r w:rsidRPr="00ED462E">
        <w:rPr>
          <w:rStyle w:val="s1"/>
          <w:rFonts w:ascii="Times New Roman" w:hAnsi="Times New Roman" w:cs="Times New Roman"/>
        </w:rPr>
        <w:t xml:space="preserve">Community contexts further mediate the relationship between poverty and education. Children growing up in economically disadvantaged neighbourhoods often face limited </w:t>
      </w:r>
      <w:r w:rsidRPr="00ED462E">
        <w:rPr>
          <w:rStyle w:val="s1"/>
          <w:rFonts w:ascii="Times New Roman" w:hAnsi="Times New Roman" w:cs="Times New Roman"/>
        </w:rPr>
        <w:lastRenderedPageBreak/>
        <w:t>access to community resources such as libraries, youth services, and safe recreational spaces (Raffo et al., 2009). These environments may also be characterised by higher levels of housing instability, crime, and environmental stress, which can affect children’s emotional security and engagement with learning. Schools in such communities frequently assume expanded roles, acting as sites of social and welfare support in addition to their educational functions.</w:t>
      </w:r>
    </w:p>
    <w:p w14:paraId="53CDB95B" w14:textId="77777777" w:rsidR="00E13B6D" w:rsidRPr="00ED462E" w:rsidRDefault="009D560E" w:rsidP="000B03DB">
      <w:pPr>
        <w:spacing w:line="360" w:lineRule="auto"/>
        <w:rPr>
          <w:rStyle w:val="s1"/>
          <w:rFonts w:ascii="Times New Roman" w:hAnsi="Times New Roman" w:cs="Times New Roman"/>
        </w:rPr>
      </w:pPr>
      <w:r w:rsidRPr="00ED462E">
        <w:rPr>
          <w:rStyle w:val="s1"/>
          <w:rFonts w:ascii="Times New Roman" w:hAnsi="Times New Roman" w:cs="Times New Roman"/>
        </w:rPr>
        <w:t>At the school level, poverty is closely associated with inequalities in institutional resources and capacity. Schools serving disadvantaged populations are more likely to experience funding constraints, larger class sizes, and reduced access to specialist support services (OECD, 2023). Challenges related to teacher recruitment and retention are also more prevalent, with higher staff turnover potentially disrupting continuity and stability (Allen and Sims, 2018). Furthermore, accountability frameworks based on standardised assessment often disadvantage schools serving low-income communities, as educational outcomes are strongly correlated with students’ socioeconomic circumstances.</w:t>
      </w:r>
    </w:p>
    <w:p w14:paraId="6A4F4FB5" w14:textId="681CB7E6" w:rsidR="0042585E" w:rsidRPr="00ED462E" w:rsidRDefault="009D560E" w:rsidP="000B03DB">
      <w:pPr>
        <w:spacing w:line="360" w:lineRule="auto"/>
        <w:rPr>
          <w:rStyle w:val="s1"/>
          <w:rFonts w:ascii="Times New Roman" w:hAnsi="Times New Roman" w:cs="Times New Roman"/>
        </w:rPr>
      </w:pPr>
      <w:r w:rsidRPr="00ED462E">
        <w:rPr>
          <w:rStyle w:val="s1"/>
          <w:rFonts w:ascii="Times New Roman" w:hAnsi="Times New Roman" w:cs="Times New Roman"/>
        </w:rPr>
        <w:t>Taken together, the interaction of family, community, and school contexts illustrates how poverty-related disadvantage is reproduced across educational systems. While schools and educators can mitigate some effects of poverty, these interconnected challenges highlight the limitations of school-based interventions alone and underscore the need for coordinated, systemic responses across social and educational policy domains.</w:t>
      </w:r>
    </w:p>
    <w:p w14:paraId="64534B85" w14:textId="34F2F67D" w:rsidR="00115F2F" w:rsidRPr="00ED462E" w:rsidRDefault="006E79BA"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b/>
          <w:bCs/>
        </w:rPr>
        <w:t xml:space="preserve">     </w:t>
      </w:r>
      <w:r w:rsidRPr="00ED462E">
        <w:rPr>
          <w:rStyle w:val="s1"/>
          <w:rFonts w:ascii="Times New Roman" w:hAnsi="Times New Roman" w:cs="Times New Roman"/>
          <w:b/>
          <w:bCs/>
          <w:u w:val="single"/>
        </w:rPr>
        <w:t>4.0</w:t>
      </w:r>
      <w:r w:rsidRPr="00ED462E">
        <w:rPr>
          <w:rStyle w:val="s1"/>
          <w:rFonts w:ascii="Times New Roman" w:hAnsi="Times New Roman" w:cs="Times New Roman"/>
          <w:b/>
          <w:bCs/>
        </w:rPr>
        <w:t xml:space="preserve">    </w:t>
      </w:r>
      <w:r w:rsidR="00115F2F" w:rsidRPr="00ED462E">
        <w:rPr>
          <w:rStyle w:val="s1"/>
          <w:rFonts w:ascii="Times New Roman" w:hAnsi="Times New Roman" w:cs="Times New Roman"/>
          <w:b/>
          <w:bCs/>
          <w:u w:val="single"/>
        </w:rPr>
        <w:t xml:space="preserve">Poverty as a Current Affair </w:t>
      </w:r>
      <w:r w:rsidR="00411A6C" w:rsidRPr="00ED462E">
        <w:rPr>
          <w:rStyle w:val="s1"/>
          <w:rFonts w:ascii="Times New Roman" w:hAnsi="Times New Roman" w:cs="Times New Roman"/>
          <w:b/>
          <w:bCs/>
          <w:u w:val="single"/>
        </w:rPr>
        <w:t>in Education</w:t>
      </w:r>
    </w:p>
    <w:p w14:paraId="4E30A6EE" w14:textId="511F32F6" w:rsidR="00411A6C" w:rsidRPr="00ED462E" w:rsidRDefault="006E79BA"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b/>
          <w:bCs/>
        </w:rPr>
        <w:t xml:space="preserve">     </w:t>
      </w:r>
      <w:r w:rsidR="002D0585" w:rsidRPr="00ED462E">
        <w:rPr>
          <w:rStyle w:val="s1"/>
          <w:rFonts w:ascii="Times New Roman" w:hAnsi="Times New Roman" w:cs="Times New Roman"/>
          <w:b/>
          <w:bCs/>
          <w:u w:val="single"/>
        </w:rPr>
        <w:t>4.1</w:t>
      </w:r>
      <w:r w:rsidR="002D0585" w:rsidRPr="00ED462E">
        <w:rPr>
          <w:rStyle w:val="s1"/>
          <w:rFonts w:ascii="Times New Roman" w:hAnsi="Times New Roman" w:cs="Times New Roman"/>
          <w:b/>
          <w:bCs/>
        </w:rPr>
        <w:t xml:space="preserve"> </w:t>
      </w:r>
      <w:r w:rsidR="00045C57" w:rsidRPr="00ED462E">
        <w:rPr>
          <w:rStyle w:val="s1"/>
          <w:rFonts w:ascii="Times New Roman" w:hAnsi="Times New Roman" w:cs="Times New Roman"/>
        </w:rPr>
        <w:t xml:space="preserve"> </w:t>
      </w:r>
      <w:r w:rsidR="00FE4890" w:rsidRPr="00ED462E">
        <w:rPr>
          <w:rStyle w:val="s1"/>
          <w:rFonts w:ascii="Times New Roman" w:hAnsi="Times New Roman" w:cs="Times New Roman"/>
        </w:rPr>
        <w:t xml:space="preserve"> </w:t>
      </w:r>
      <w:r w:rsidRPr="00ED462E">
        <w:rPr>
          <w:rStyle w:val="s1"/>
          <w:rFonts w:ascii="Times New Roman" w:hAnsi="Times New Roman" w:cs="Times New Roman"/>
        </w:rPr>
        <w:t xml:space="preserve"> </w:t>
      </w:r>
      <w:r w:rsidR="002D0585" w:rsidRPr="00ED462E">
        <w:rPr>
          <w:rStyle w:val="s1"/>
          <w:rFonts w:ascii="Times New Roman" w:hAnsi="Times New Roman" w:cs="Times New Roman"/>
          <w:b/>
          <w:bCs/>
          <w:u w:val="single"/>
        </w:rPr>
        <w:t>The</w:t>
      </w:r>
      <w:r w:rsidR="002B6482" w:rsidRPr="00ED462E">
        <w:rPr>
          <w:rStyle w:val="s1"/>
          <w:rFonts w:ascii="Times New Roman" w:hAnsi="Times New Roman" w:cs="Times New Roman"/>
          <w:b/>
          <w:bCs/>
          <w:u w:val="single"/>
        </w:rPr>
        <w:t xml:space="preserve"> Legacy of Austerity</w:t>
      </w:r>
    </w:p>
    <w:p w14:paraId="62187F3C" w14:textId="5E9085FF" w:rsidR="00943423" w:rsidRPr="00ED462E" w:rsidRDefault="00943423" w:rsidP="000B03DB">
      <w:pPr>
        <w:spacing w:line="360" w:lineRule="auto"/>
        <w:rPr>
          <w:rFonts w:ascii="Times New Roman" w:hAnsi="Times New Roman" w:cs="Times New Roman"/>
        </w:rPr>
      </w:pPr>
      <w:r w:rsidRPr="00ED462E">
        <w:rPr>
          <w:rStyle w:val="s1"/>
          <w:rFonts w:ascii="Times New Roman" w:hAnsi="Times New Roman" w:cs="Times New Roman"/>
        </w:rPr>
        <w:t>The legacy of austerity has played a significant role in shaping contemporary educational inequality and has intensified the relationship between poverty and educational outcomes. Following the global financial crisis of 2008, many governments implemented austerity measures aimed at reducing public spending and controlling national deficits. While these policies were framed as necessary for economic recovery, their long-term consequences for education systems</w:t>
      </w:r>
      <w:r w:rsidR="009E27B8" w:rsidRPr="00ED462E">
        <w:rPr>
          <w:rStyle w:val="s1"/>
          <w:rFonts w:ascii="Times New Roman" w:hAnsi="Times New Roman" w:cs="Times New Roman"/>
        </w:rPr>
        <w:t>,</w:t>
      </w:r>
      <w:r w:rsidR="0002450C" w:rsidRPr="00ED462E">
        <w:rPr>
          <w:rStyle w:val="s1"/>
          <w:rFonts w:ascii="Times New Roman" w:hAnsi="Times New Roman" w:cs="Times New Roman"/>
        </w:rPr>
        <w:t xml:space="preserve"> </w:t>
      </w:r>
      <w:r w:rsidRPr="00ED462E">
        <w:rPr>
          <w:rStyle w:val="s1"/>
          <w:rFonts w:ascii="Times New Roman" w:hAnsi="Times New Roman" w:cs="Times New Roman"/>
        </w:rPr>
        <w:t>particularly those serving socioeconomically disadvantaged communities</w:t>
      </w:r>
      <w:r w:rsidR="00A9535F" w:rsidRPr="00ED462E">
        <w:rPr>
          <w:rStyle w:val="s1"/>
          <w:rFonts w:ascii="Times New Roman" w:hAnsi="Times New Roman" w:cs="Times New Roman"/>
        </w:rPr>
        <w:t xml:space="preserve">, </w:t>
      </w:r>
      <w:r w:rsidRPr="00ED462E">
        <w:rPr>
          <w:rStyle w:val="s1"/>
          <w:rFonts w:ascii="Times New Roman" w:hAnsi="Times New Roman" w:cs="Times New Roman"/>
        </w:rPr>
        <w:t>have been profound and enduring.</w:t>
      </w:r>
    </w:p>
    <w:p w14:paraId="10D9B8E4" w14:textId="0C6FCC98" w:rsidR="00943423" w:rsidRPr="00ED462E" w:rsidRDefault="00943423" w:rsidP="000B03DB">
      <w:pPr>
        <w:spacing w:line="360" w:lineRule="auto"/>
        <w:rPr>
          <w:rFonts w:ascii="Times New Roman" w:hAnsi="Times New Roman" w:cs="Times New Roman"/>
        </w:rPr>
      </w:pPr>
      <w:r w:rsidRPr="00ED462E">
        <w:rPr>
          <w:rStyle w:val="s1"/>
          <w:rFonts w:ascii="Times New Roman" w:hAnsi="Times New Roman" w:cs="Times New Roman"/>
        </w:rPr>
        <w:t xml:space="preserve">Austerity measures have disproportionately affected public services that support children and families, including education, social care, and welfare provision. In many contexts, reductions in local authority funding have led to cuts in school budgets, support services, and </w:t>
      </w:r>
      <w:r w:rsidRPr="00ED462E">
        <w:rPr>
          <w:rStyle w:val="s1"/>
          <w:rFonts w:ascii="Times New Roman" w:hAnsi="Times New Roman" w:cs="Times New Roman"/>
        </w:rPr>
        <w:lastRenderedPageBreak/>
        <w:t>community-based programmes that are critical for mitigating the effects of poverty (Sims-Schouten, Thompson and Stittrich-Lyons, 2021). Schools serving low-income populations have often experienced the greatest impact, as they are more reliant on public funding and less able to supplement resources through parental contributions or private partnerships. Consequently, austerity has exacerbated existing inequalities between schools in affluent and disadvantaged areas.</w:t>
      </w:r>
    </w:p>
    <w:p w14:paraId="0B96C884" w14:textId="0C9B57D1" w:rsidR="00943423" w:rsidRPr="00ED462E" w:rsidRDefault="00943423" w:rsidP="000B03DB">
      <w:pPr>
        <w:spacing w:line="360" w:lineRule="auto"/>
        <w:rPr>
          <w:rFonts w:ascii="Times New Roman" w:hAnsi="Times New Roman" w:cs="Times New Roman"/>
        </w:rPr>
      </w:pPr>
      <w:r w:rsidRPr="00ED462E">
        <w:rPr>
          <w:rStyle w:val="s1"/>
          <w:rFonts w:ascii="Times New Roman" w:hAnsi="Times New Roman" w:cs="Times New Roman"/>
        </w:rPr>
        <w:t>Within schools, the effects of austerity have manifested in larger class sizes, reduced access to specialist staff such as counsellors and special educational needs coordinators, and limited professional development opportunities for teachers. These constraints have placed additional pressure on educators, who are increasingly expected to respond to students’ academic, emotional, and material needs within a context of declining resources. As schools take on expanded welfare roles</w:t>
      </w:r>
      <w:r w:rsidR="00FE067E" w:rsidRPr="00ED462E">
        <w:rPr>
          <w:rStyle w:val="s1"/>
          <w:rFonts w:ascii="Times New Roman" w:hAnsi="Times New Roman" w:cs="Times New Roman"/>
        </w:rPr>
        <w:t xml:space="preserve">, </w:t>
      </w:r>
      <w:r w:rsidRPr="00ED462E">
        <w:rPr>
          <w:rStyle w:val="s1"/>
          <w:rFonts w:ascii="Times New Roman" w:hAnsi="Times New Roman" w:cs="Times New Roman"/>
        </w:rPr>
        <w:t>such as providing food assistance or mental health support</w:t>
      </w:r>
      <w:r w:rsidR="00FE067E" w:rsidRPr="00ED462E">
        <w:rPr>
          <w:rStyle w:val="s1"/>
          <w:rFonts w:ascii="Times New Roman" w:hAnsi="Times New Roman" w:cs="Times New Roman"/>
        </w:rPr>
        <w:t xml:space="preserve">, </w:t>
      </w:r>
      <w:r w:rsidRPr="00ED462E">
        <w:rPr>
          <w:rStyle w:val="s1"/>
          <w:rFonts w:ascii="Times New Roman" w:hAnsi="Times New Roman" w:cs="Times New Roman"/>
        </w:rPr>
        <w:t>the mismatch between expectations and capacity has become more pronounced.</w:t>
      </w:r>
    </w:p>
    <w:p w14:paraId="6AC9C98B" w14:textId="77777777" w:rsidR="00943423" w:rsidRPr="00ED462E" w:rsidRDefault="00943423" w:rsidP="000B03DB">
      <w:pPr>
        <w:spacing w:line="360" w:lineRule="auto"/>
        <w:rPr>
          <w:rFonts w:ascii="Times New Roman" w:hAnsi="Times New Roman" w:cs="Times New Roman"/>
        </w:rPr>
      </w:pPr>
      <w:r w:rsidRPr="00ED462E">
        <w:rPr>
          <w:rStyle w:val="s1"/>
          <w:rFonts w:ascii="Times New Roman" w:hAnsi="Times New Roman" w:cs="Times New Roman"/>
        </w:rPr>
        <w:t>Beyond the school environment, austerity has contributed to rising child poverty rates by reducing access to welfare benefits, housing support, and family services. These broader socioeconomic pressures directly influence students’ readiness to learn, attendance, and engagement with education. Research suggests that austerity-driven increases in family hardship are closely linked to poorer educational outcomes, reinforcing cycles of disadvantage across generations (Cooper and Stewart, 2021).</w:t>
      </w:r>
    </w:p>
    <w:p w14:paraId="4524F51E" w14:textId="77777777" w:rsidR="00943423" w:rsidRPr="00ED462E" w:rsidRDefault="00943423" w:rsidP="000B03DB">
      <w:pPr>
        <w:spacing w:line="360" w:lineRule="auto"/>
        <w:rPr>
          <w:rFonts w:ascii="Times New Roman" w:hAnsi="Times New Roman" w:cs="Times New Roman"/>
        </w:rPr>
      </w:pPr>
      <w:r w:rsidRPr="00ED462E">
        <w:rPr>
          <w:rStyle w:val="s1"/>
          <w:rFonts w:ascii="Times New Roman" w:hAnsi="Times New Roman" w:cs="Times New Roman"/>
        </w:rPr>
        <w:t>Critically, the legacy of austerity has also shaped education policy discourse, often emphasising efficiency, accountability, and performance metrics over equity and social justice. High-stakes accountability frameworks introduced during periods of fiscal constraint have tended to penalise schools serving disadvantaged communities, rather than addressing the structural conditions that limit student achievement. In this way, austerity has not only reduced material resources but has also constrained the policy imagination, narrowing the range of acceptable solutions to educational inequality.</w:t>
      </w:r>
    </w:p>
    <w:p w14:paraId="114A003C" w14:textId="38088802" w:rsidR="008615FB" w:rsidRPr="00ED462E" w:rsidRDefault="00943423" w:rsidP="000B03DB">
      <w:pPr>
        <w:spacing w:line="360" w:lineRule="auto"/>
        <w:rPr>
          <w:rStyle w:val="s1"/>
          <w:rFonts w:ascii="Times New Roman" w:hAnsi="Times New Roman" w:cs="Times New Roman"/>
        </w:rPr>
      </w:pPr>
      <w:r w:rsidRPr="00ED462E">
        <w:rPr>
          <w:rStyle w:val="s1"/>
          <w:rFonts w:ascii="Times New Roman" w:hAnsi="Times New Roman" w:cs="Times New Roman"/>
        </w:rPr>
        <w:t>Overall, the enduring impact of austerity highlights the limitations of education systems operating under sustained fiscal pressure. Addressing poverty-related educational inequality requires renewed public investment and a reorientation of policy priorities towards equity, inclusion, and social support, rather than continued reliance on austerity-driven approaches.</w:t>
      </w:r>
    </w:p>
    <w:p w14:paraId="1FAFB53D" w14:textId="7DF0B9A9" w:rsidR="0022360E" w:rsidRPr="00ED462E" w:rsidRDefault="00A63584" w:rsidP="000B03DB">
      <w:pPr>
        <w:spacing w:line="360" w:lineRule="auto"/>
        <w:rPr>
          <w:rStyle w:val="s1"/>
          <w:rFonts w:ascii="Times New Roman" w:hAnsi="Times New Roman" w:cs="Times New Roman"/>
          <w:b/>
          <w:bCs/>
          <w:u w:val="single"/>
        </w:rPr>
      </w:pPr>
      <w:r w:rsidRPr="00ED462E">
        <w:rPr>
          <w:rStyle w:val="s1"/>
          <w:rFonts w:ascii="Times New Roman" w:hAnsi="Times New Roman" w:cs="Times New Roman"/>
          <w:b/>
          <w:bCs/>
        </w:rPr>
        <w:t xml:space="preserve">        </w:t>
      </w:r>
      <w:r w:rsidRPr="00ED462E">
        <w:rPr>
          <w:rStyle w:val="s1"/>
          <w:rFonts w:ascii="Times New Roman" w:hAnsi="Times New Roman" w:cs="Times New Roman"/>
          <w:b/>
          <w:bCs/>
          <w:u w:val="single"/>
        </w:rPr>
        <w:t>4.2</w:t>
      </w:r>
      <w:r w:rsidRPr="00ED462E">
        <w:rPr>
          <w:rStyle w:val="s1"/>
          <w:rFonts w:ascii="Times New Roman" w:hAnsi="Times New Roman" w:cs="Times New Roman"/>
          <w:b/>
          <w:bCs/>
        </w:rPr>
        <w:t xml:space="preserve">  </w:t>
      </w:r>
      <w:r w:rsidR="00FE4890" w:rsidRPr="00ED462E">
        <w:rPr>
          <w:rStyle w:val="s1"/>
          <w:rFonts w:ascii="Times New Roman" w:hAnsi="Times New Roman" w:cs="Times New Roman"/>
          <w:b/>
          <w:bCs/>
        </w:rPr>
        <w:t xml:space="preserve"> </w:t>
      </w:r>
      <w:r w:rsidRPr="00ED462E">
        <w:rPr>
          <w:rStyle w:val="s1"/>
          <w:rFonts w:ascii="Times New Roman" w:hAnsi="Times New Roman" w:cs="Times New Roman"/>
          <w:b/>
          <w:bCs/>
        </w:rPr>
        <w:t xml:space="preserve"> </w:t>
      </w:r>
      <w:r w:rsidR="0022360E" w:rsidRPr="00ED462E">
        <w:rPr>
          <w:rStyle w:val="s1"/>
          <w:rFonts w:ascii="Times New Roman" w:hAnsi="Times New Roman" w:cs="Times New Roman"/>
          <w:b/>
          <w:bCs/>
          <w:u w:val="single"/>
        </w:rPr>
        <w:t>The Covid-19 Pandemic and Educational Inequality</w:t>
      </w:r>
    </w:p>
    <w:p w14:paraId="2F1D627A" w14:textId="0BC078C4" w:rsidR="00515E41" w:rsidRPr="00ED462E" w:rsidRDefault="00515E41" w:rsidP="000B03DB">
      <w:pPr>
        <w:spacing w:line="360" w:lineRule="auto"/>
        <w:rPr>
          <w:rFonts w:ascii="Times New Roman" w:hAnsi="Times New Roman" w:cs="Times New Roman"/>
        </w:rPr>
      </w:pPr>
      <w:r w:rsidRPr="00ED462E">
        <w:rPr>
          <w:rStyle w:val="s1"/>
          <w:rFonts w:ascii="Times New Roman" w:hAnsi="Times New Roman" w:cs="Times New Roman"/>
        </w:rPr>
        <w:lastRenderedPageBreak/>
        <w:t>The COVID-19 pandemic represents a critical contemporary moment in the relationship between poverty and education, acting as both an amplifier and exposer of longstanding structural inequalities. While the pandemic affected education systems globally, its educational consequences were profoundly uneven, with students from socioeconomically disadvantaged backgrounds experiencing disproportionately negative impacts. School closures, lockdown measures, and the rapid transition to remote learning fundamentally altered educational provision, revealing deep disparities in access to resources, learning environments, and institutional support.</w:t>
      </w:r>
    </w:p>
    <w:p w14:paraId="1557AEAD" w14:textId="77777777" w:rsidR="00515E41" w:rsidRPr="00ED462E" w:rsidRDefault="00515E41" w:rsidP="000B03DB">
      <w:pPr>
        <w:spacing w:line="360" w:lineRule="auto"/>
        <w:rPr>
          <w:rFonts w:ascii="Times New Roman" w:hAnsi="Times New Roman" w:cs="Times New Roman"/>
        </w:rPr>
      </w:pPr>
      <w:r w:rsidRPr="00ED462E">
        <w:rPr>
          <w:rStyle w:val="s1"/>
          <w:rFonts w:ascii="Times New Roman" w:hAnsi="Times New Roman" w:cs="Times New Roman"/>
        </w:rPr>
        <w:t>One of the most visible manifestations of inequality during the pandemic was the digital divide. Students living in poverty were significantly less likely to have access to reliable internet connections, appropriate digital devices, or quiet and safe spaces for learning at home (OECD, 2021). In households experiencing overcrowding or housing insecurity, remote learning posed substantial challenges, often resulting in reduced engagement and participation. As a result, learning loss was not evenly distributed; evidence suggests that students from disadvantaged backgrounds fell further behind their more affluent peers, widening existing attainment gaps (Education Endowment Foundation, 2022).</w:t>
      </w:r>
    </w:p>
    <w:p w14:paraId="03B619C0" w14:textId="77777777" w:rsidR="00515E41" w:rsidRPr="00ED462E" w:rsidRDefault="00515E41" w:rsidP="000B03DB">
      <w:pPr>
        <w:spacing w:line="360" w:lineRule="auto"/>
        <w:rPr>
          <w:rFonts w:ascii="Times New Roman" w:hAnsi="Times New Roman" w:cs="Times New Roman"/>
        </w:rPr>
      </w:pPr>
      <w:r w:rsidRPr="00ED462E">
        <w:rPr>
          <w:rStyle w:val="s1"/>
          <w:rFonts w:ascii="Times New Roman" w:hAnsi="Times New Roman" w:cs="Times New Roman"/>
        </w:rPr>
        <w:t>Beyond academic learning, the pandemic intensified the material and emotional effects of poverty on children and young people. Many students lost access to essential school-based supports, including free school meals, pastoral care, and mental health services. For families already experiencing economic precarity, job losses and income reductions exacerbated food insecurity and financial stress, increasing the risk of adverse childhood experiences. These conditions had significant implications for students’ wellbeing, motivation, and capacity to engage with learning, both during and after periods of school closure.</w:t>
      </w:r>
    </w:p>
    <w:p w14:paraId="2231FCC1" w14:textId="77777777" w:rsidR="00515E41" w:rsidRPr="00ED462E" w:rsidRDefault="00515E41" w:rsidP="000B03DB">
      <w:pPr>
        <w:spacing w:line="360" w:lineRule="auto"/>
        <w:rPr>
          <w:rFonts w:ascii="Times New Roman" w:hAnsi="Times New Roman" w:cs="Times New Roman"/>
        </w:rPr>
      </w:pPr>
      <w:r w:rsidRPr="00ED462E">
        <w:rPr>
          <w:rStyle w:val="s1"/>
          <w:rFonts w:ascii="Times New Roman" w:hAnsi="Times New Roman" w:cs="Times New Roman"/>
        </w:rPr>
        <w:t>In response, schools in disadvantaged communities increasingly assumed expanded welfare roles, distributing food parcels, loaning digital devices, and providing emotional support to students and families. While these actions demonstrated the adaptability and commitment of educators, they also highlighted the limitations of relying on schools to compensate for broader social and economic inequalities. The pandemic underscored the extent to which education systems are embedded within wider welfare infrastructures and the risks associated with underinvestment in social protection.</w:t>
      </w:r>
    </w:p>
    <w:p w14:paraId="5C781349" w14:textId="6FD10404" w:rsidR="0018791F" w:rsidRPr="00ED462E" w:rsidRDefault="00515E41" w:rsidP="000B03DB">
      <w:pPr>
        <w:spacing w:line="360" w:lineRule="auto"/>
        <w:rPr>
          <w:rStyle w:val="s1"/>
          <w:rFonts w:ascii="Times New Roman" w:hAnsi="Times New Roman" w:cs="Times New Roman"/>
        </w:rPr>
      </w:pPr>
      <w:r w:rsidRPr="00ED462E">
        <w:rPr>
          <w:rStyle w:val="s1"/>
          <w:rFonts w:ascii="Times New Roman" w:hAnsi="Times New Roman" w:cs="Times New Roman"/>
        </w:rPr>
        <w:t xml:space="preserve">Overall, the COVID-19 pandemic reinforced poverty as a pressing and enduring issue in education, illustrating that educational inequality cannot be effectively addressed without </w:t>
      </w:r>
      <w:r w:rsidRPr="00ED462E">
        <w:rPr>
          <w:rStyle w:val="s1"/>
          <w:rFonts w:ascii="Times New Roman" w:hAnsi="Times New Roman" w:cs="Times New Roman"/>
        </w:rPr>
        <w:lastRenderedPageBreak/>
        <w:t>confronting the structural conditions that shape students’ lives beyond the classroom. The crisis has prompted renewed calls for integrated policy approaches that align education with health, housing, and social welfare systems to support equitable educational recovery and resilience.</w:t>
      </w:r>
      <w:r w:rsidR="0008599E" w:rsidRPr="00ED462E">
        <w:rPr>
          <w:rStyle w:val="s1"/>
          <w:rFonts w:ascii="Times New Roman" w:hAnsi="Times New Roman" w:cs="Times New Roman"/>
        </w:rPr>
        <w:t xml:space="preserve"> </w:t>
      </w:r>
    </w:p>
    <w:p w14:paraId="1FD93DEA" w14:textId="78100BCA" w:rsidR="001B272A" w:rsidRPr="00ED462E" w:rsidRDefault="006E79BA" w:rsidP="000B03DB">
      <w:pPr>
        <w:spacing w:line="360" w:lineRule="auto"/>
        <w:rPr>
          <w:rFonts w:ascii="Times New Roman" w:eastAsia="Times New Roman" w:hAnsi="Times New Roman" w:cs="Times New Roman"/>
        </w:rPr>
      </w:pPr>
      <w:r w:rsidRPr="00ED462E">
        <w:rPr>
          <w:rFonts w:ascii="Times New Roman" w:eastAsia="Times New Roman" w:hAnsi="Times New Roman" w:cs="Times New Roman"/>
        </w:rPr>
        <w:t xml:space="preserve">     </w:t>
      </w:r>
      <w:r w:rsidRPr="00ED462E">
        <w:rPr>
          <w:rFonts w:ascii="Times New Roman" w:eastAsia="Times New Roman" w:hAnsi="Times New Roman" w:cs="Times New Roman"/>
          <w:b/>
          <w:bCs/>
          <w:u w:val="single"/>
        </w:rPr>
        <w:t>5.0</w:t>
      </w:r>
      <w:r w:rsidRPr="00ED462E">
        <w:rPr>
          <w:rFonts w:ascii="Times New Roman" w:eastAsia="Times New Roman" w:hAnsi="Times New Roman" w:cs="Times New Roman"/>
        </w:rPr>
        <w:t xml:space="preserve">    </w:t>
      </w:r>
      <w:r w:rsidR="00446E5E" w:rsidRPr="00ED462E">
        <w:rPr>
          <w:rFonts w:ascii="Times New Roman" w:eastAsia="Times New Roman" w:hAnsi="Times New Roman" w:cs="Times New Roman"/>
          <w:b/>
          <w:bCs/>
          <w:u w:val="single"/>
        </w:rPr>
        <w:t>Policy Responses and Interventions</w:t>
      </w:r>
    </w:p>
    <w:p w14:paraId="7D3C60F4" w14:textId="27D38131" w:rsidR="00C2142D" w:rsidRPr="00ED462E" w:rsidRDefault="002A149C" w:rsidP="000B03DB">
      <w:pPr>
        <w:spacing w:line="360" w:lineRule="auto"/>
        <w:rPr>
          <w:rFonts w:ascii="Times New Roman" w:eastAsia="Times New Roman" w:hAnsi="Times New Roman" w:cs="Times New Roman"/>
          <w:kern w:val="0"/>
        </w:rPr>
      </w:pPr>
      <w:r w:rsidRPr="00ED462E">
        <w:rPr>
          <w:rFonts w:ascii="Times New Roman" w:eastAsia="Times New Roman" w:hAnsi="Times New Roman" w:cs="Times New Roman"/>
          <w:kern w:val="0"/>
        </w:rPr>
        <w:t xml:space="preserve">     </w:t>
      </w:r>
      <w:r w:rsidR="000D46DF" w:rsidRPr="00ED462E">
        <w:rPr>
          <w:rFonts w:ascii="Times New Roman" w:eastAsia="Times New Roman" w:hAnsi="Times New Roman" w:cs="Times New Roman"/>
          <w:b/>
          <w:bCs/>
          <w:kern w:val="0"/>
          <w:u w:val="single"/>
        </w:rPr>
        <w:t>5.1</w:t>
      </w:r>
      <w:r w:rsidR="000D46DF" w:rsidRPr="00ED462E">
        <w:rPr>
          <w:rFonts w:ascii="Times New Roman" w:eastAsia="Times New Roman" w:hAnsi="Times New Roman" w:cs="Times New Roman"/>
          <w:kern w:val="0"/>
        </w:rPr>
        <w:t xml:space="preserve">   </w:t>
      </w:r>
      <w:r w:rsidR="006E79BA" w:rsidRPr="00ED462E">
        <w:rPr>
          <w:rFonts w:ascii="Times New Roman" w:eastAsia="Times New Roman" w:hAnsi="Times New Roman" w:cs="Times New Roman"/>
          <w:kern w:val="0"/>
        </w:rPr>
        <w:t xml:space="preserve"> </w:t>
      </w:r>
      <w:r w:rsidR="00C2142D" w:rsidRPr="00ED462E">
        <w:rPr>
          <w:rFonts w:ascii="Times New Roman" w:eastAsia="Times New Roman" w:hAnsi="Times New Roman" w:cs="Times New Roman"/>
          <w:b/>
          <w:bCs/>
          <w:kern w:val="0"/>
          <w:u w:val="single"/>
        </w:rPr>
        <w:t>Funding and Compensatory Education</w:t>
      </w:r>
    </w:p>
    <w:p w14:paraId="7D1188AB" w14:textId="2CE48BDC" w:rsidR="009C3280" w:rsidRPr="00ED462E" w:rsidRDefault="009C3280" w:rsidP="000B03DB">
      <w:pPr>
        <w:spacing w:line="360" w:lineRule="auto"/>
        <w:rPr>
          <w:rFonts w:ascii="Times New Roman" w:hAnsi="Times New Roman" w:cs="Times New Roman"/>
        </w:rPr>
      </w:pPr>
      <w:r w:rsidRPr="00ED462E">
        <w:rPr>
          <w:rStyle w:val="s1"/>
          <w:rFonts w:ascii="Times New Roman" w:hAnsi="Times New Roman" w:cs="Times New Roman"/>
        </w:rPr>
        <w:t>In response to the multifaceted nature of poverty, some education systems have adopted whole-school and community-based approaches that extend beyond traditional academic models. These approaches recognise that educational attainment is shaped by a range of social, emotional, and material factors and therefore require coordinated responses across multiple sectors (Dyson et al., 2012).</w:t>
      </w:r>
    </w:p>
    <w:p w14:paraId="4C755348" w14:textId="2C254569" w:rsidR="009C3280" w:rsidRPr="00ED462E" w:rsidRDefault="009C3280" w:rsidP="000B03DB">
      <w:pPr>
        <w:spacing w:line="360" w:lineRule="auto"/>
        <w:rPr>
          <w:rFonts w:ascii="Times New Roman" w:hAnsi="Times New Roman" w:cs="Times New Roman"/>
        </w:rPr>
      </w:pPr>
      <w:r w:rsidRPr="00ED462E">
        <w:rPr>
          <w:rStyle w:val="s1"/>
          <w:rFonts w:ascii="Times New Roman" w:hAnsi="Times New Roman" w:cs="Times New Roman"/>
        </w:rPr>
        <w:t>Whole-school approaches often integrate academic support with pastoral care, mental health provision, and family engagement initiatives. Community-based models may position schools as hubs for service delivery, offering access to health services, counselling, and adult education alongside formal schooling. Research suggests that such models can improve attendance, wellbeing, and student engagement, particularly in high-poverty contexts.</w:t>
      </w:r>
    </w:p>
    <w:p w14:paraId="0B82663B" w14:textId="1A857A98" w:rsidR="009C3280" w:rsidRPr="00ED462E" w:rsidRDefault="009C3280" w:rsidP="000B03DB">
      <w:pPr>
        <w:spacing w:line="360" w:lineRule="auto"/>
        <w:rPr>
          <w:rFonts w:ascii="Times New Roman" w:hAnsi="Times New Roman" w:cs="Times New Roman"/>
        </w:rPr>
      </w:pPr>
      <w:r w:rsidRPr="00ED462E">
        <w:rPr>
          <w:rStyle w:val="s1"/>
          <w:rFonts w:ascii="Times New Roman" w:hAnsi="Times New Roman" w:cs="Times New Roman"/>
        </w:rPr>
        <w:t xml:space="preserve">However, these approaches are </w:t>
      </w:r>
      <w:r w:rsidR="00C5305A" w:rsidRPr="00ED462E">
        <w:rPr>
          <w:rStyle w:val="s1"/>
          <w:rFonts w:ascii="Times New Roman" w:hAnsi="Times New Roman" w:cs="Times New Roman"/>
        </w:rPr>
        <w:t>resource intensive</w:t>
      </w:r>
      <w:r w:rsidRPr="00ED462E">
        <w:rPr>
          <w:rStyle w:val="s1"/>
          <w:rFonts w:ascii="Times New Roman" w:hAnsi="Times New Roman" w:cs="Times New Roman"/>
        </w:rPr>
        <w:t>. Effective implementation depends on sustained funding, strong leadership, and collaboration across education, health, and social services. Without these conditions, schools may struggle to maintain holistic initiatives over time.</w:t>
      </w:r>
    </w:p>
    <w:p w14:paraId="2BD49A9D" w14:textId="7F22A3C0" w:rsidR="00C2142D" w:rsidRPr="00ED462E" w:rsidRDefault="009C3280" w:rsidP="000B03DB">
      <w:pPr>
        <w:spacing w:line="360" w:lineRule="auto"/>
        <w:rPr>
          <w:rFonts w:ascii="Times New Roman" w:hAnsi="Times New Roman" w:cs="Times New Roman"/>
        </w:rPr>
      </w:pPr>
      <w:r w:rsidRPr="00ED462E">
        <w:rPr>
          <w:rStyle w:val="s1"/>
          <w:rFonts w:ascii="Times New Roman" w:hAnsi="Times New Roman" w:cs="Times New Roman"/>
        </w:rPr>
        <w:t>There is also a risk that responsibility for addressing poverty is disproportionately shifted onto schools and educators. When whole-school and community-based approaches are introduced without parallel investment in social welfare systems, they can place unrealistic expectations on schools to resolve deeply rooted structural inequalities. This highlights the importance of embedding holistic educational approaches within broader, long-term policy frameworks that address poverty at its source.</w:t>
      </w:r>
    </w:p>
    <w:p w14:paraId="25E06E66" w14:textId="6E76F453" w:rsidR="004F1C30" w:rsidRPr="00ED462E" w:rsidRDefault="00A63584" w:rsidP="000B03DB">
      <w:pPr>
        <w:spacing w:line="360" w:lineRule="auto"/>
        <w:rPr>
          <w:rFonts w:ascii="Times New Roman" w:eastAsia="Times New Roman" w:hAnsi="Times New Roman" w:cs="Times New Roman"/>
          <w:kern w:val="0"/>
        </w:rPr>
      </w:pPr>
      <w:r w:rsidRPr="00ED462E">
        <w:rPr>
          <w:rFonts w:ascii="Times New Roman" w:eastAsia="Times New Roman" w:hAnsi="Times New Roman" w:cs="Times New Roman"/>
          <w:b/>
          <w:bCs/>
          <w:kern w:val="0"/>
        </w:rPr>
        <w:t xml:space="preserve">         </w:t>
      </w:r>
      <w:r w:rsidRPr="00ED462E">
        <w:rPr>
          <w:rFonts w:ascii="Times New Roman" w:eastAsia="Times New Roman" w:hAnsi="Times New Roman" w:cs="Times New Roman"/>
          <w:b/>
          <w:bCs/>
          <w:kern w:val="0"/>
          <w:u w:val="single"/>
        </w:rPr>
        <w:t>5.2</w:t>
      </w:r>
      <w:r w:rsidR="00F22A6D" w:rsidRPr="00ED462E">
        <w:rPr>
          <w:rFonts w:ascii="Times New Roman" w:eastAsia="Times New Roman" w:hAnsi="Times New Roman" w:cs="Times New Roman"/>
          <w:kern w:val="0"/>
        </w:rPr>
        <w:t xml:space="preserve"> </w:t>
      </w:r>
      <w:r w:rsidRPr="00ED462E">
        <w:rPr>
          <w:rFonts w:ascii="Times New Roman" w:eastAsia="Times New Roman" w:hAnsi="Times New Roman" w:cs="Times New Roman"/>
          <w:kern w:val="0"/>
        </w:rPr>
        <w:t xml:space="preserve">   </w:t>
      </w:r>
      <w:r w:rsidR="00DE2885" w:rsidRPr="00ED462E">
        <w:rPr>
          <w:rFonts w:ascii="Times New Roman" w:eastAsia="Times New Roman" w:hAnsi="Times New Roman" w:cs="Times New Roman"/>
          <w:kern w:val="0"/>
        </w:rPr>
        <w:t xml:space="preserve"> </w:t>
      </w:r>
      <w:r w:rsidR="00C2142D" w:rsidRPr="00ED462E">
        <w:rPr>
          <w:rFonts w:ascii="Times New Roman" w:eastAsia="Times New Roman" w:hAnsi="Times New Roman" w:cs="Times New Roman"/>
          <w:b/>
          <w:bCs/>
          <w:kern w:val="0"/>
          <w:u w:val="single"/>
        </w:rPr>
        <w:t>Early Childhood Education and Intervention</w:t>
      </w:r>
    </w:p>
    <w:p w14:paraId="04C0E0C0" w14:textId="25681AFF" w:rsidR="004F1C30" w:rsidRPr="00ED462E" w:rsidRDefault="004F1C30" w:rsidP="000B03DB">
      <w:pPr>
        <w:spacing w:line="360" w:lineRule="auto"/>
        <w:rPr>
          <w:rFonts w:ascii="Times New Roman" w:eastAsia="Times New Roman" w:hAnsi="Times New Roman" w:cs="Times New Roman"/>
          <w:kern w:val="0"/>
        </w:rPr>
      </w:pPr>
      <w:r w:rsidRPr="00ED462E">
        <w:rPr>
          <w:rStyle w:val="s1"/>
          <w:rFonts w:ascii="Times New Roman" w:hAnsi="Times New Roman" w:cs="Times New Roman"/>
        </w:rPr>
        <w:t xml:space="preserve">In response to the multifaceted nature of poverty, some education systems have adopted whole-school and community-based approaches that extend beyond traditional academic models. These approaches recognise that educational attainment is shaped by a range of </w:t>
      </w:r>
      <w:r w:rsidRPr="00ED462E">
        <w:rPr>
          <w:rStyle w:val="s1"/>
          <w:rFonts w:ascii="Times New Roman" w:hAnsi="Times New Roman" w:cs="Times New Roman"/>
        </w:rPr>
        <w:lastRenderedPageBreak/>
        <w:t>social, emotional, and material factors and therefore require coordinated responses across multiple sectors (Dyson et al., 2012).</w:t>
      </w:r>
    </w:p>
    <w:p w14:paraId="629BAFDA" w14:textId="77777777" w:rsidR="004F1C30" w:rsidRPr="00ED462E" w:rsidRDefault="004F1C30" w:rsidP="000B03DB">
      <w:pPr>
        <w:spacing w:line="360" w:lineRule="auto"/>
        <w:rPr>
          <w:rFonts w:ascii="Times New Roman" w:hAnsi="Times New Roman" w:cs="Times New Roman"/>
        </w:rPr>
      </w:pPr>
      <w:r w:rsidRPr="00ED462E">
        <w:rPr>
          <w:rStyle w:val="s1"/>
          <w:rFonts w:ascii="Times New Roman" w:hAnsi="Times New Roman" w:cs="Times New Roman"/>
        </w:rPr>
        <w:t>Whole-school approaches often integrate academic support with pastoral care, mental health provision, and family engagement initiatives. Community-based models may position schools as hubs for service delivery, offering access to health services, counselling, and adult education alongside formal schooling. Research suggests that such models can improve attendance, wellbeing, and student engagement, particularly in high-poverty contexts.</w:t>
      </w:r>
    </w:p>
    <w:p w14:paraId="2C48C5F9" w14:textId="58C51918" w:rsidR="004F1C30" w:rsidRPr="00ED462E" w:rsidRDefault="004F1C30" w:rsidP="000B03DB">
      <w:pPr>
        <w:spacing w:line="360" w:lineRule="auto"/>
        <w:rPr>
          <w:rFonts w:ascii="Times New Roman" w:hAnsi="Times New Roman" w:cs="Times New Roman"/>
        </w:rPr>
      </w:pPr>
      <w:r w:rsidRPr="00ED462E">
        <w:rPr>
          <w:rStyle w:val="s1"/>
          <w:rFonts w:ascii="Times New Roman" w:hAnsi="Times New Roman" w:cs="Times New Roman"/>
        </w:rPr>
        <w:t xml:space="preserve">However, these approaches are </w:t>
      </w:r>
      <w:r w:rsidR="00861609" w:rsidRPr="00ED462E">
        <w:rPr>
          <w:rStyle w:val="s1"/>
          <w:rFonts w:ascii="Times New Roman" w:hAnsi="Times New Roman" w:cs="Times New Roman"/>
        </w:rPr>
        <w:t>resource intensive</w:t>
      </w:r>
      <w:r w:rsidRPr="00ED462E">
        <w:rPr>
          <w:rStyle w:val="s1"/>
          <w:rFonts w:ascii="Times New Roman" w:hAnsi="Times New Roman" w:cs="Times New Roman"/>
        </w:rPr>
        <w:t>. Effective implementation depends on sustained funding, strong leadership, and collaboration across education, health, and social services. Without these conditions, schools may struggle to maintain holistic initiatives over time.</w:t>
      </w:r>
    </w:p>
    <w:p w14:paraId="01CB3552" w14:textId="56CE41F8" w:rsidR="000A7048" w:rsidRPr="00ED462E" w:rsidRDefault="004F1C30" w:rsidP="000B03DB">
      <w:pPr>
        <w:spacing w:line="360" w:lineRule="auto"/>
        <w:rPr>
          <w:rFonts w:ascii="Times New Roman" w:hAnsi="Times New Roman" w:cs="Times New Roman"/>
        </w:rPr>
      </w:pPr>
      <w:r w:rsidRPr="00ED462E">
        <w:rPr>
          <w:rStyle w:val="s1"/>
          <w:rFonts w:ascii="Times New Roman" w:hAnsi="Times New Roman" w:cs="Times New Roman"/>
        </w:rPr>
        <w:t>There is also a risk that responsibility for addressing poverty is disproportionately shifted onto schools and educators. When whole-school and community-based approaches are introduced without parallel investment in social welfare systems, they can place unrealistic expectations on schools to resolve deeply rooted structural inequalities. This highlights the importance of embedding holistic educational approaches within broader, long-term policy frameworks that address poverty at its source.</w:t>
      </w:r>
    </w:p>
    <w:p w14:paraId="14F1C29F" w14:textId="4085F78F" w:rsidR="00C2142D" w:rsidRPr="00ED462E" w:rsidRDefault="006D3539" w:rsidP="000B03DB">
      <w:pPr>
        <w:spacing w:line="360" w:lineRule="auto"/>
        <w:rPr>
          <w:rFonts w:ascii="Times New Roman" w:eastAsia="Times New Roman" w:hAnsi="Times New Roman" w:cs="Times New Roman"/>
          <w:kern w:val="0"/>
        </w:rPr>
      </w:pPr>
      <w:r w:rsidRPr="00ED462E">
        <w:rPr>
          <w:rFonts w:ascii="Times New Roman" w:eastAsia="Times New Roman" w:hAnsi="Times New Roman" w:cs="Times New Roman"/>
          <w:kern w:val="0"/>
        </w:rPr>
        <w:t xml:space="preserve">        </w:t>
      </w:r>
      <w:r w:rsidR="00C2142D" w:rsidRPr="00ED462E">
        <w:rPr>
          <w:rFonts w:ascii="Times New Roman" w:eastAsia="Times New Roman" w:hAnsi="Times New Roman" w:cs="Times New Roman"/>
          <w:b/>
          <w:bCs/>
          <w:kern w:val="0"/>
          <w:u w:val="single"/>
        </w:rPr>
        <w:t>5.3</w:t>
      </w:r>
      <w:r w:rsidR="00C2142D" w:rsidRPr="00ED462E">
        <w:rPr>
          <w:rFonts w:ascii="Times New Roman" w:eastAsia="Times New Roman" w:hAnsi="Times New Roman" w:cs="Times New Roman"/>
          <w:kern w:val="0"/>
        </w:rPr>
        <w:t xml:space="preserve"> </w:t>
      </w:r>
      <w:r w:rsidR="0087599B" w:rsidRPr="00ED462E">
        <w:rPr>
          <w:rFonts w:ascii="Times New Roman" w:eastAsia="Times New Roman" w:hAnsi="Times New Roman" w:cs="Times New Roman"/>
          <w:kern w:val="0"/>
        </w:rPr>
        <w:t xml:space="preserve"> </w:t>
      </w:r>
      <w:r w:rsidR="0017563D" w:rsidRPr="00ED462E">
        <w:rPr>
          <w:rFonts w:ascii="Times New Roman" w:eastAsia="Times New Roman" w:hAnsi="Times New Roman" w:cs="Times New Roman"/>
          <w:kern w:val="0"/>
        </w:rPr>
        <w:t xml:space="preserve"> </w:t>
      </w:r>
      <w:r w:rsidR="00F22A6D" w:rsidRPr="00ED462E">
        <w:rPr>
          <w:rFonts w:ascii="Times New Roman" w:eastAsia="Times New Roman" w:hAnsi="Times New Roman" w:cs="Times New Roman"/>
          <w:kern w:val="0"/>
        </w:rPr>
        <w:t xml:space="preserve"> </w:t>
      </w:r>
      <w:r w:rsidR="00DE2885" w:rsidRPr="00ED462E">
        <w:rPr>
          <w:rFonts w:ascii="Times New Roman" w:eastAsia="Times New Roman" w:hAnsi="Times New Roman" w:cs="Times New Roman"/>
          <w:kern w:val="0"/>
        </w:rPr>
        <w:t xml:space="preserve"> </w:t>
      </w:r>
      <w:r w:rsidR="00C2142D" w:rsidRPr="00ED462E">
        <w:rPr>
          <w:rFonts w:ascii="Times New Roman" w:eastAsia="Times New Roman" w:hAnsi="Times New Roman" w:cs="Times New Roman"/>
          <w:b/>
          <w:bCs/>
          <w:kern w:val="0"/>
          <w:u w:val="single"/>
        </w:rPr>
        <w:t>Whole-School and Community-Based Approaches</w:t>
      </w:r>
    </w:p>
    <w:p w14:paraId="074602E0" w14:textId="1923C547" w:rsidR="00174CDD" w:rsidRPr="00ED462E" w:rsidRDefault="00174CDD" w:rsidP="000B03DB">
      <w:pPr>
        <w:spacing w:line="360" w:lineRule="auto"/>
        <w:rPr>
          <w:rFonts w:ascii="Times New Roman" w:hAnsi="Times New Roman" w:cs="Times New Roman"/>
        </w:rPr>
      </w:pPr>
      <w:r w:rsidRPr="00ED462E">
        <w:rPr>
          <w:rStyle w:val="s1"/>
          <w:rFonts w:ascii="Times New Roman" w:hAnsi="Times New Roman" w:cs="Times New Roman"/>
        </w:rPr>
        <w:t>In response to the complex and deeply embedded nature of poverty, education systems have increasingly turned towards whole-school and community-based approaches. These models aim to address both academic and non-academic barriers to learning by fostering collaboration between schools, families, health services, and community organisations (OECD, 2020). Such approaches are grounded in the recognition that educational disadvantage is shaped by a range of social, economic, and health-related factors, and therefore requires coordinated, multi-agency responses rather than isolated school-level interventions.</w:t>
      </w:r>
    </w:p>
    <w:p w14:paraId="3E8E0B76" w14:textId="0C53FF0D" w:rsidR="00174CDD" w:rsidRPr="00ED462E" w:rsidRDefault="00174CDD" w:rsidP="000B03DB">
      <w:pPr>
        <w:spacing w:line="360" w:lineRule="auto"/>
        <w:rPr>
          <w:rFonts w:ascii="Times New Roman" w:hAnsi="Times New Roman" w:cs="Times New Roman"/>
        </w:rPr>
      </w:pPr>
      <w:r w:rsidRPr="00ED462E">
        <w:rPr>
          <w:rStyle w:val="s1"/>
          <w:rFonts w:ascii="Times New Roman" w:hAnsi="Times New Roman" w:cs="Times New Roman"/>
        </w:rPr>
        <w:t xml:space="preserve">Despite their theoretical appeal, the practical implementation of holistic models presents significant challenges. Effective collaboration depends on sustained funding, strong leadership, and coherent policy alignment across sectors, all of which are often lacking in practice. Short-term funding cycles and fragmented governance structures can limit the long-term impact of these initiatives, reducing them to reactive measures rather than mechanisms </w:t>
      </w:r>
      <w:r w:rsidRPr="00ED462E">
        <w:rPr>
          <w:rStyle w:val="s1"/>
          <w:rFonts w:ascii="Times New Roman" w:hAnsi="Times New Roman" w:cs="Times New Roman"/>
        </w:rPr>
        <w:lastRenderedPageBreak/>
        <w:t>for systemic change (UNICEF, 2021). Consequently, while whole-school approaches may improve access to support services, their capacity to disrupt the structural drivers of poverty remains limited.</w:t>
      </w:r>
    </w:p>
    <w:p w14:paraId="69D924C4" w14:textId="0D6C496D" w:rsidR="00174CDD" w:rsidRPr="00ED462E" w:rsidRDefault="00174CDD" w:rsidP="000B03DB">
      <w:pPr>
        <w:spacing w:line="360" w:lineRule="auto"/>
        <w:rPr>
          <w:rFonts w:ascii="Times New Roman" w:hAnsi="Times New Roman" w:cs="Times New Roman"/>
        </w:rPr>
      </w:pPr>
      <w:r w:rsidRPr="00ED462E">
        <w:rPr>
          <w:rStyle w:val="s1"/>
          <w:rFonts w:ascii="Times New Roman" w:hAnsi="Times New Roman" w:cs="Times New Roman"/>
        </w:rPr>
        <w:t>A further concern is that such models may unintentionally reposition schools and educators as primary agents responsible for mitigating the effects of poverty. As Ball (2018) argues, this can obscure the role of wider state and economic structures in producing inequality, while placing additional demands on educational institutions that are already under pressure. Without sustained and coordinated policy commitment to addressing poverty at a structural level, community-based approaches risk reinforcing the expectation that schools compensate for social disadvantage rather than challenging its root causes.</w:t>
      </w:r>
    </w:p>
    <w:p w14:paraId="1FEB47E8" w14:textId="51F50AA7" w:rsidR="009B7B28" w:rsidRPr="00ED462E" w:rsidRDefault="0057243E" w:rsidP="000B03DB">
      <w:pPr>
        <w:spacing w:line="360" w:lineRule="auto"/>
        <w:rPr>
          <w:rFonts w:ascii="Times New Roman" w:eastAsia="Times New Roman" w:hAnsi="Times New Roman" w:cs="Times New Roman"/>
          <w:kern w:val="0"/>
        </w:rPr>
      </w:pPr>
      <w:r w:rsidRPr="00ED462E">
        <w:rPr>
          <w:rFonts w:ascii="Times New Roman" w:eastAsia="Times New Roman" w:hAnsi="Times New Roman" w:cs="Times New Roman"/>
          <w:kern w:val="0"/>
        </w:rPr>
        <w:t xml:space="preserve">       </w:t>
      </w:r>
      <w:r w:rsidR="009B7B28" w:rsidRPr="00ED462E">
        <w:rPr>
          <w:rFonts w:ascii="Times New Roman" w:eastAsia="Times New Roman" w:hAnsi="Times New Roman" w:cs="Times New Roman"/>
          <w:b/>
          <w:bCs/>
          <w:kern w:val="0"/>
          <w:u w:val="single"/>
        </w:rPr>
        <w:t>6.</w:t>
      </w:r>
      <w:r w:rsidR="009B7B28" w:rsidRPr="00ED462E">
        <w:rPr>
          <w:rFonts w:ascii="Times New Roman" w:eastAsia="Times New Roman" w:hAnsi="Times New Roman" w:cs="Times New Roman"/>
          <w:kern w:val="0"/>
        </w:rPr>
        <w:t xml:space="preserve"> </w:t>
      </w:r>
      <w:r w:rsidR="002F5DCD" w:rsidRPr="00ED462E">
        <w:rPr>
          <w:rFonts w:ascii="Times New Roman" w:eastAsia="Times New Roman" w:hAnsi="Times New Roman" w:cs="Times New Roman"/>
          <w:kern w:val="0"/>
        </w:rPr>
        <w:t xml:space="preserve">  </w:t>
      </w:r>
      <w:r w:rsidR="00DE2885" w:rsidRPr="00ED462E">
        <w:rPr>
          <w:rFonts w:ascii="Times New Roman" w:eastAsia="Times New Roman" w:hAnsi="Times New Roman" w:cs="Times New Roman"/>
          <w:kern w:val="0"/>
        </w:rPr>
        <w:t xml:space="preserve">  </w:t>
      </w:r>
      <w:r w:rsidR="009B7B28" w:rsidRPr="00ED462E">
        <w:rPr>
          <w:rFonts w:ascii="Times New Roman" w:eastAsia="Times New Roman" w:hAnsi="Times New Roman" w:cs="Times New Roman"/>
          <w:b/>
          <w:bCs/>
          <w:kern w:val="0"/>
          <w:u w:val="single"/>
        </w:rPr>
        <w:t>Critical Perspectives and Ongoing Challenges</w:t>
      </w:r>
    </w:p>
    <w:p w14:paraId="4D635B1F" w14:textId="0C7C1E19" w:rsidR="00995119" w:rsidRPr="00ED462E" w:rsidRDefault="00995119" w:rsidP="000B03DB">
      <w:pPr>
        <w:spacing w:line="360" w:lineRule="auto"/>
        <w:rPr>
          <w:rFonts w:ascii="Times New Roman" w:hAnsi="Times New Roman" w:cs="Times New Roman"/>
        </w:rPr>
      </w:pPr>
      <w:r w:rsidRPr="00ED462E">
        <w:rPr>
          <w:rStyle w:val="s1"/>
          <w:rFonts w:ascii="Times New Roman" w:hAnsi="Times New Roman" w:cs="Times New Roman"/>
        </w:rPr>
        <w:t>Despite a growing body of research, policy initiatives, and targeted interventions, poverty-related educational inequality remains deeply entrenched across many education systems. This persistence highlights the limitations of existing approaches and points to the need for more critical engagement with the assumptions that underpin educational policy and practice.</w:t>
      </w:r>
    </w:p>
    <w:p w14:paraId="0C4363F0" w14:textId="5F8500CA" w:rsidR="00995119" w:rsidRPr="00ED462E" w:rsidRDefault="00995119" w:rsidP="000B03DB">
      <w:pPr>
        <w:spacing w:line="360" w:lineRule="auto"/>
        <w:rPr>
          <w:rFonts w:ascii="Times New Roman" w:hAnsi="Times New Roman" w:cs="Times New Roman"/>
        </w:rPr>
      </w:pPr>
      <w:r w:rsidRPr="00ED462E">
        <w:rPr>
          <w:rStyle w:val="s1"/>
          <w:rFonts w:ascii="Times New Roman" w:hAnsi="Times New Roman" w:cs="Times New Roman"/>
        </w:rPr>
        <w:t>One of the most significant ongoing challenges is the prevalence of deficit discourses that frame students from low-income backgrounds as lacking ability, motivation, or aspiration. Such narratives often shift attention away from structural inequalities and locate responsibility for educational underachievement within individuals or families. Research suggests that deficit thinking can shape teacher expectations, classroom interactions, and institutional practices in ways that disadvantage students living in poverty (Gorski, 2018). When educators internalise assumptions that socioeconomic disadvantage equates to lower potential, students may experience reduced academic challenge, limited access to advanced learning opportunities, and diminished encouragement, contributing to self-fulfilling prophecies that reinforce existing inequalities.</w:t>
      </w:r>
    </w:p>
    <w:p w14:paraId="7526705F" w14:textId="43BF6C5C" w:rsidR="00995119" w:rsidRPr="00ED462E" w:rsidRDefault="00995119" w:rsidP="000B03DB">
      <w:pPr>
        <w:spacing w:line="360" w:lineRule="auto"/>
        <w:rPr>
          <w:rFonts w:ascii="Times New Roman" w:hAnsi="Times New Roman" w:cs="Times New Roman"/>
        </w:rPr>
      </w:pPr>
      <w:r w:rsidRPr="00ED462E">
        <w:rPr>
          <w:rStyle w:val="s1"/>
          <w:rFonts w:ascii="Times New Roman" w:hAnsi="Times New Roman" w:cs="Times New Roman"/>
        </w:rPr>
        <w:t xml:space="preserve">These deficit perspectives are frequently reinforced by broader policy environments that prioritise standardisation, competition, and measurable outcomes. High-stakes accountability frameworks, including standardised testing and performance-based evaluations, often fail to account for the social and economic contexts in which learning takes place. As educational attainment is closely correlated with socioeconomic background, schools serving high proportions of disadvantaged students are more likely to be labelled as underperforming. This </w:t>
      </w:r>
      <w:r w:rsidRPr="00ED462E">
        <w:rPr>
          <w:rStyle w:val="s1"/>
          <w:rFonts w:ascii="Times New Roman" w:hAnsi="Times New Roman" w:cs="Times New Roman"/>
        </w:rPr>
        <w:lastRenderedPageBreak/>
        <w:t>can trigger cycles of surveillance, intervention, and restructuring that place additional pressure on schools already operating under challenging conditions.</w:t>
      </w:r>
    </w:p>
    <w:p w14:paraId="6ADE79B5" w14:textId="034A96BA" w:rsidR="00995119" w:rsidRPr="00ED462E" w:rsidRDefault="00995119" w:rsidP="000B03DB">
      <w:pPr>
        <w:spacing w:line="360" w:lineRule="auto"/>
        <w:rPr>
          <w:rFonts w:ascii="Times New Roman" w:hAnsi="Times New Roman" w:cs="Times New Roman"/>
        </w:rPr>
      </w:pPr>
      <w:r w:rsidRPr="00ED462E">
        <w:rPr>
          <w:rStyle w:val="s1"/>
          <w:rFonts w:ascii="Times New Roman" w:hAnsi="Times New Roman" w:cs="Times New Roman"/>
        </w:rPr>
        <w:t>Moreover, such accountability regimes can narrow the curriculum and encourage teaching practices focused on test performance rather than holistic learning. In high-poverty contexts, this may limit students’ access to creative, critical, and culturally relevant educational experiences, further entrenching inequality. Critics argue that equity-oriented evaluation frameworks should incorporate broader indicators of educational quality, including student wellbeing, inclusion, and community engagement.</w:t>
      </w:r>
    </w:p>
    <w:p w14:paraId="49D7AA99" w14:textId="14CC70EF" w:rsidR="009B7B28" w:rsidRPr="00ED462E" w:rsidRDefault="00995119" w:rsidP="000B03DB">
      <w:pPr>
        <w:spacing w:line="360" w:lineRule="auto"/>
        <w:rPr>
          <w:rFonts w:ascii="Times New Roman" w:hAnsi="Times New Roman" w:cs="Times New Roman"/>
        </w:rPr>
      </w:pPr>
      <w:r w:rsidRPr="00ED462E">
        <w:rPr>
          <w:rStyle w:val="s1"/>
          <w:rFonts w:ascii="Times New Roman" w:hAnsi="Times New Roman" w:cs="Times New Roman"/>
        </w:rPr>
        <w:t>Addressing these ongoing challenges requires a shift away from deficit-based and punitive models towards more context-sensitive and justice-oriented approaches. This includes rethinking how educational success is defined and measured, as well as challenging narratives that obscure the structural roots of poverty. Without such critical reorientation, efforts to reduce educational inequality risk reproducing the very disparities they seek to address.</w:t>
      </w:r>
    </w:p>
    <w:p w14:paraId="694ADB8B" w14:textId="40A68248" w:rsidR="004B1F77" w:rsidRPr="00ED462E" w:rsidRDefault="00E01039" w:rsidP="000B03DB">
      <w:pPr>
        <w:spacing w:line="360" w:lineRule="auto"/>
        <w:rPr>
          <w:rFonts w:ascii="Times New Roman" w:eastAsia="Times New Roman" w:hAnsi="Times New Roman" w:cs="Times New Roman"/>
          <w:kern w:val="0"/>
        </w:rPr>
      </w:pPr>
      <w:r w:rsidRPr="00ED462E">
        <w:rPr>
          <w:rFonts w:ascii="Times New Roman" w:eastAsia="Times New Roman" w:hAnsi="Times New Roman" w:cs="Times New Roman"/>
          <w:kern w:val="0"/>
        </w:rPr>
        <w:t xml:space="preserve">    </w:t>
      </w:r>
      <w:r w:rsidR="0057243E" w:rsidRPr="00ED462E">
        <w:rPr>
          <w:rFonts w:ascii="Times New Roman" w:eastAsia="Times New Roman" w:hAnsi="Times New Roman" w:cs="Times New Roman"/>
          <w:kern w:val="0"/>
        </w:rPr>
        <w:t xml:space="preserve"> </w:t>
      </w:r>
      <w:r w:rsidR="004B1F77" w:rsidRPr="00ED462E">
        <w:rPr>
          <w:rFonts w:ascii="Times New Roman" w:eastAsia="Times New Roman" w:hAnsi="Times New Roman" w:cs="Times New Roman"/>
          <w:b/>
          <w:bCs/>
          <w:kern w:val="0"/>
          <w:u w:val="single"/>
        </w:rPr>
        <w:t>7.</w:t>
      </w:r>
      <w:r w:rsidR="004B1F77" w:rsidRPr="00ED462E">
        <w:rPr>
          <w:rFonts w:ascii="Times New Roman" w:eastAsia="Times New Roman" w:hAnsi="Times New Roman" w:cs="Times New Roman"/>
          <w:kern w:val="0"/>
        </w:rPr>
        <w:t xml:space="preserve"> </w:t>
      </w:r>
      <w:r w:rsidRPr="00ED462E">
        <w:rPr>
          <w:rFonts w:ascii="Times New Roman" w:eastAsia="Times New Roman" w:hAnsi="Times New Roman" w:cs="Times New Roman"/>
          <w:kern w:val="0"/>
        </w:rPr>
        <w:t xml:space="preserve">  </w:t>
      </w:r>
      <w:r w:rsidR="00DE2885" w:rsidRPr="00ED462E">
        <w:rPr>
          <w:rFonts w:ascii="Times New Roman" w:eastAsia="Times New Roman" w:hAnsi="Times New Roman" w:cs="Times New Roman"/>
          <w:kern w:val="0"/>
        </w:rPr>
        <w:t xml:space="preserve"> </w:t>
      </w:r>
      <w:r w:rsidR="004B1F77" w:rsidRPr="00ED462E">
        <w:rPr>
          <w:rFonts w:ascii="Times New Roman" w:eastAsia="Times New Roman" w:hAnsi="Times New Roman" w:cs="Times New Roman"/>
          <w:b/>
          <w:bCs/>
          <w:kern w:val="0"/>
          <w:u w:val="single"/>
        </w:rPr>
        <w:t>Implications for Practice, Policy, and Research</w:t>
      </w:r>
    </w:p>
    <w:p w14:paraId="31C6992B" w14:textId="77777777" w:rsidR="00125C84" w:rsidRPr="00ED462E" w:rsidRDefault="003D7DE6" w:rsidP="000B03DB">
      <w:pPr>
        <w:spacing w:line="360" w:lineRule="auto"/>
        <w:rPr>
          <w:rFonts w:ascii="Times New Roman" w:hAnsi="Times New Roman" w:cs="Times New Roman"/>
        </w:rPr>
      </w:pPr>
      <w:r w:rsidRPr="00ED462E">
        <w:rPr>
          <w:rStyle w:val="s1"/>
          <w:rFonts w:ascii="Times New Roman" w:hAnsi="Times New Roman" w:cs="Times New Roman"/>
        </w:rPr>
        <w:t>Addressing poverty in education demands attention not only to what happens in classrooms, but also to the bro</w:t>
      </w:r>
      <w:r w:rsidR="001A59E3" w:rsidRPr="00ED462E">
        <w:rPr>
          <w:rStyle w:val="s1"/>
          <w:rFonts w:ascii="Times New Roman" w:hAnsi="Times New Roman" w:cs="Times New Roman"/>
        </w:rPr>
        <w:t>a</w:t>
      </w:r>
      <w:r w:rsidRPr="00ED462E">
        <w:rPr>
          <w:rStyle w:val="s1"/>
          <w:rFonts w:ascii="Times New Roman" w:hAnsi="Times New Roman" w:cs="Times New Roman"/>
        </w:rPr>
        <w:t xml:space="preserve">der systems that shape educational </w:t>
      </w:r>
      <w:r w:rsidR="00174CDD" w:rsidRPr="00ED462E">
        <w:rPr>
          <w:rStyle w:val="s1"/>
          <w:rFonts w:ascii="Times New Roman" w:hAnsi="Times New Roman" w:cs="Times New Roman"/>
        </w:rPr>
        <w:t xml:space="preserve">opportunity. </w:t>
      </w:r>
    </w:p>
    <w:p w14:paraId="3DD7A67C" w14:textId="089E08DC" w:rsidR="003D7DE6" w:rsidRPr="00ED462E" w:rsidRDefault="003D7DE6" w:rsidP="000B03DB">
      <w:pPr>
        <w:spacing w:line="360" w:lineRule="auto"/>
        <w:rPr>
          <w:rFonts w:ascii="Times New Roman" w:hAnsi="Times New Roman" w:cs="Times New Roman"/>
        </w:rPr>
      </w:pPr>
      <w:r w:rsidRPr="00ED462E">
        <w:rPr>
          <w:rStyle w:val="s1"/>
          <w:rFonts w:ascii="Times New Roman" w:hAnsi="Times New Roman" w:cs="Times New Roman"/>
        </w:rPr>
        <w:t>For educators, this means developing a critical understanding of how socioeconomic disadvantage influences students’ learning experiences, engagement, and wellbeing. Professional development that foregrounds social justice, trauma-informed practice, and inclusive pedagogy can support teachers in responding effectively to the diverse needs of students living in poverty. Such approaches emphasise high expectations alongside relational practice, recognising that behaviour, attendance, and attainment are often shaped by material hardship rather than lack of ability or motivation. However, while educators can make meaningful differences through reflective and inclusive practice, their capacity to do so is constrained when responsibility for addressing poverty is located primarily at the level of individual teachers or schools. Without sufficient resources, access to specialist support, and policy environments that value equity alongside accountability, school-based efforts risk becoming unsustainable.</w:t>
      </w:r>
    </w:p>
    <w:p w14:paraId="3BCA9949" w14:textId="17C9F1F2" w:rsidR="003D7DE6" w:rsidRPr="00ED462E" w:rsidRDefault="003D7DE6" w:rsidP="000B03DB">
      <w:pPr>
        <w:spacing w:line="360" w:lineRule="auto"/>
        <w:rPr>
          <w:rFonts w:ascii="Times New Roman" w:hAnsi="Times New Roman" w:cs="Times New Roman"/>
        </w:rPr>
      </w:pPr>
      <w:r w:rsidRPr="00ED462E">
        <w:rPr>
          <w:rStyle w:val="s1"/>
          <w:rFonts w:ascii="Times New Roman" w:hAnsi="Times New Roman" w:cs="Times New Roman"/>
        </w:rPr>
        <w:t xml:space="preserve">From a policy perspective, this article reinforces the need to move beyond education-focused solutions to poverty. Policymakers must acknowledge that education alone cannot eradicate </w:t>
      </w:r>
      <w:r w:rsidRPr="00ED462E">
        <w:rPr>
          <w:rStyle w:val="s1"/>
          <w:rFonts w:ascii="Times New Roman" w:hAnsi="Times New Roman" w:cs="Times New Roman"/>
        </w:rPr>
        <w:lastRenderedPageBreak/>
        <w:t>socioeconomic inequality and that schools cannot compensate indefinitely for gaps in social welfare provision. Integrated policy approaches that address income inequality, housing security, healthcare access, and labour market conditions are essential for creating the foundations upon which educational equity can be built. Education policy should therefore be aligned with wider social and economic strategies, ensuring that schools are supported through adequate funding, stable infrastructure, and coherent cross-sector collaboration.</w:t>
      </w:r>
    </w:p>
    <w:p w14:paraId="2FA2EE8B" w14:textId="19BA3683" w:rsidR="00924BAB" w:rsidRPr="00ED462E" w:rsidRDefault="003D7DE6" w:rsidP="000B03DB">
      <w:pPr>
        <w:spacing w:line="360" w:lineRule="auto"/>
        <w:rPr>
          <w:rFonts w:ascii="Times New Roman" w:hAnsi="Times New Roman" w:cs="Times New Roman"/>
        </w:rPr>
      </w:pPr>
      <w:r w:rsidRPr="00ED462E">
        <w:rPr>
          <w:rStyle w:val="s1"/>
          <w:rFonts w:ascii="Times New Roman" w:hAnsi="Times New Roman" w:cs="Times New Roman"/>
        </w:rPr>
        <w:t>For researchers, there is a continuing need for longitudinal, interdisciplinary, and participatory research that examines how poverty-informed educational policies and practices shape outcomes over time. Greater attention to the lived experiences of students, families, and educators in high-poverty contexts can contribute to more nuanced and socially just understandings of educational inequality.</w:t>
      </w:r>
    </w:p>
    <w:p w14:paraId="15C42177" w14:textId="1267A4BC" w:rsidR="002D16C9" w:rsidRPr="00ED462E" w:rsidRDefault="00115C0F" w:rsidP="000B03DB">
      <w:pPr>
        <w:spacing w:line="360" w:lineRule="auto"/>
        <w:rPr>
          <w:rFonts w:ascii="Times New Roman" w:eastAsia="Times New Roman" w:hAnsi="Times New Roman" w:cs="Times New Roman"/>
          <w:color w:val="D86DCB" w:themeColor="accent5" w:themeTint="99"/>
          <w:kern w:val="0"/>
        </w:rPr>
      </w:pPr>
      <w:r w:rsidRPr="00ED462E">
        <w:rPr>
          <w:rFonts w:ascii="Times New Roman" w:eastAsia="Times New Roman" w:hAnsi="Times New Roman" w:cs="Times New Roman"/>
          <w:b/>
          <w:bCs/>
          <w:kern w:val="0"/>
        </w:rPr>
        <w:t xml:space="preserve">     </w:t>
      </w:r>
      <w:r w:rsidRPr="00ED462E">
        <w:rPr>
          <w:rFonts w:ascii="Times New Roman" w:eastAsia="Times New Roman" w:hAnsi="Times New Roman" w:cs="Times New Roman"/>
          <w:b/>
          <w:bCs/>
          <w:kern w:val="0"/>
          <w:u w:val="single"/>
        </w:rPr>
        <w:t>8.</w:t>
      </w:r>
      <w:r w:rsidRPr="00ED462E">
        <w:rPr>
          <w:rFonts w:ascii="Times New Roman" w:eastAsia="Times New Roman" w:hAnsi="Times New Roman" w:cs="Times New Roman"/>
          <w:kern w:val="0"/>
        </w:rPr>
        <w:t xml:space="preserve"> </w:t>
      </w:r>
      <w:r w:rsidR="00E24403" w:rsidRPr="00ED462E">
        <w:rPr>
          <w:rFonts w:ascii="Times New Roman" w:eastAsia="Times New Roman" w:hAnsi="Times New Roman" w:cs="Times New Roman"/>
          <w:kern w:val="0"/>
        </w:rPr>
        <w:t xml:space="preserve">  </w:t>
      </w:r>
      <w:r w:rsidRPr="00ED462E">
        <w:rPr>
          <w:rFonts w:ascii="Times New Roman" w:eastAsia="Times New Roman" w:hAnsi="Times New Roman" w:cs="Times New Roman"/>
          <w:b/>
          <w:bCs/>
          <w:kern w:val="0"/>
          <w:u w:val="single"/>
        </w:rPr>
        <w:t>Conclusion</w:t>
      </w:r>
    </w:p>
    <w:p w14:paraId="6E66A573" w14:textId="77777777" w:rsidR="00661FCA" w:rsidRPr="00661FCA" w:rsidRDefault="00661FCA" w:rsidP="00661FCA">
      <w:pPr>
        <w:pStyle w:val="p2"/>
        <w:spacing w:line="360" w:lineRule="auto"/>
        <w:rPr>
          <w:rFonts w:eastAsia="Times New Roman"/>
          <w:lang w:val="en-US"/>
        </w:rPr>
      </w:pPr>
      <w:r w:rsidRPr="00661FCA">
        <w:rPr>
          <w:rFonts w:eastAsia="Times New Roman"/>
          <w:lang w:val="en-US"/>
        </w:rPr>
        <w:t>Poverty remains a defining and persistent issue in contemporary education, shaping students’ experiences, opportunities, and outcomes in profound and enduring ways (OECD, 2018; Reay, 2017). Educational inequality cannot be understood or addressed in isolation from the wider social, economic, and political contexts in which education systems are embedded (Bourdieu, 1986). Although education is frequently positioned as a key mechanism for social mobility, evidence consistently demonstrates that poverty continues to structure access to resources, influence learning conditions, and shape educational trajectories across the life course (Gordon et al., 2019; UNICEF, 2021). Drawing on theoretical perspectives and contemporary research, this article has shown that poverty operates as a multidimensional and structural phenomenon rather than an individual deficit, affecting educational outcomes through material deprivation, health and wellbeing, and the intersecting influences of family, community, and school contexts (Sen, 1999; Marmot et al., 2020). Recent social and economic developments, particularly the legacies of austerity and the impact of the COVID-19 pandemic, have further intensified these inequalities and exposed the limitations of education systems operating under sustained fiscal and policy pressures (IFS, 2020; OECD, 2021).</w:t>
      </w:r>
    </w:p>
    <w:p w14:paraId="72E60C02" w14:textId="77777777" w:rsidR="00661FCA" w:rsidRPr="00661FCA" w:rsidRDefault="00661FCA" w:rsidP="00661FCA">
      <w:pPr>
        <w:pStyle w:val="p2"/>
        <w:spacing w:line="360" w:lineRule="auto"/>
        <w:rPr>
          <w:rFonts w:eastAsia="Times New Roman"/>
          <w:lang w:val="en-US"/>
        </w:rPr>
      </w:pPr>
      <w:r w:rsidRPr="00661FCA">
        <w:rPr>
          <w:rFonts w:eastAsia="Times New Roman"/>
          <w:lang w:val="en-US"/>
        </w:rPr>
        <w:t xml:space="preserve">Analysis of policy responses suggests that while targeted funding, early childhood education, and whole-school or community-based approaches can mitigate some of the effects of poverty, their impact is limited when they function as compensatory measures disconnected </w:t>
      </w:r>
      <w:r w:rsidRPr="00661FCA">
        <w:rPr>
          <w:rFonts w:eastAsia="Times New Roman"/>
          <w:lang w:val="en-US"/>
        </w:rPr>
        <w:lastRenderedPageBreak/>
        <w:t>from broader structural reform (Ball, 2018). Without addressing underlying issues such as income inequality, housing insecurity, and labour market precarity, education policies risk placing disproportionate responsibility on schools and educators to resolve deeply rooted social problems (Dorling, 2015). This article therefore argues for a shift towards more systemic and justice-oriented approaches to educational reform, requiring sustained public investment, integrated social and educational policy frameworks, and a commitment to equity that extends beyond narrow measures of attainment (OECD, 2018). In an era marked by ongoing economic uncertainty and global disruption, continued scholarly engagement with the relationship between poverty and education is essential if education is to function as a force for social transformation rather than social reproduction (Bourdieu, 1986).</w:t>
      </w:r>
    </w:p>
    <w:p w14:paraId="16CC00A5" w14:textId="77777777" w:rsidR="00290BC8" w:rsidRDefault="00290BC8" w:rsidP="009851E5">
      <w:pPr>
        <w:pStyle w:val="p2"/>
        <w:rPr>
          <w:rFonts w:ascii="Cavolini" w:eastAsia="Times New Roman" w:hAnsi="Cavolini" w:cs="Cavolini"/>
          <w:b/>
          <w:bCs/>
          <w:sz w:val="18"/>
          <w:szCs w:val="18"/>
          <w:u w:val="single"/>
        </w:rPr>
      </w:pPr>
    </w:p>
    <w:p w14:paraId="52B2D0A7" w14:textId="77777777" w:rsidR="00855A93" w:rsidRDefault="00855A93" w:rsidP="009851E5">
      <w:pPr>
        <w:pStyle w:val="p2"/>
        <w:rPr>
          <w:rFonts w:ascii="Cavolini" w:eastAsia="Times New Roman" w:hAnsi="Cavolini" w:cs="Cavolini"/>
          <w:b/>
          <w:bCs/>
          <w:sz w:val="18"/>
          <w:szCs w:val="18"/>
          <w:u w:val="single"/>
        </w:rPr>
      </w:pPr>
    </w:p>
    <w:p w14:paraId="403A5F92" w14:textId="77777777" w:rsidR="007A0D36" w:rsidRDefault="007A0D36" w:rsidP="009851E5">
      <w:pPr>
        <w:pStyle w:val="p2"/>
        <w:rPr>
          <w:rFonts w:ascii="Cavolini" w:eastAsia="Times New Roman" w:hAnsi="Cavolini" w:cs="Cavolini"/>
          <w:b/>
          <w:bCs/>
          <w:sz w:val="18"/>
          <w:szCs w:val="18"/>
          <w:u w:val="single"/>
        </w:rPr>
      </w:pPr>
    </w:p>
    <w:p w14:paraId="06E3C0F4" w14:textId="77777777" w:rsidR="007A0D36" w:rsidRDefault="007A0D36" w:rsidP="009851E5">
      <w:pPr>
        <w:pStyle w:val="p2"/>
        <w:rPr>
          <w:rFonts w:ascii="Cavolini" w:eastAsia="Times New Roman" w:hAnsi="Cavolini" w:cs="Cavolini"/>
          <w:b/>
          <w:bCs/>
          <w:sz w:val="18"/>
          <w:szCs w:val="18"/>
          <w:u w:val="single"/>
        </w:rPr>
      </w:pPr>
    </w:p>
    <w:p w14:paraId="0BA46A4B" w14:textId="77777777" w:rsidR="00290BC8" w:rsidRDefault="00290BC8" w:rsidP="009851E5">
      <w:pPr>
        <w:pStyle w:val="p2"/>
        <w:rPr>
          <w:rFonts w:ascii="Cavolini" w:eastAsia="Times New Roman" w:hAnsi="Cavolini" w:cs="Cavolini"/>
          <w:b/>
          <w:bCs/>
          <w:sz w:val="18"/>
          <w:szCs w:val="18"/>
          <w:u w:val="single"/>
        </w:rPr>
      </w:pPr>
    </w:p>
    <w:p w14:paraId="0DE54E8B" w14:textId="77777777" w:rsidR="0039270E" w:rsidRDefault="0039270E" w:rsidP="009851E5">
      <w:pPr>
        <w:pStyle w:val="p2"/>
        <w:rPr>
          <w:rFonts w:ascii="Cavolini" w:eastAsia="Times New Roman" w:hAnsi="Cavolini" w:cs="Cavolini"/>
          <w:b/>
          <w:bCs/>
          <w:sz w:val="18"/>
          <w:szCs w:val="18"/>
          <w:u w:val="single"/>
        </w:rPr>
      </w:pPr>
    </w:p>
    <w:p w14:paraId="6F0C8AF0" w14:textId="77777777" w:rsidR="00A63584" w:rsidRDefault="00A63584" w:rsidP="009851E5">
      <w:pPr>
        <w:pStyle w:val="p2"/>
        <w:rPr>
          <w:rFonts w:ascii="Cavolini" w:eastAsia="Times New Roman" w:hAnsi="Cavolini" w:cs="Cavolini"/>
          <w:b/>
          <w:bCs/>
          <w:sz w:val="18"/>
          <w:szCs w:val="18"/>
          <w:u w:val="single"/>
        </w:rPr>
      </w:pPr>
    </w:p>
    <w:p w14:paraId="2783B783" w14:textId="77777777" w:rsidR="00A63584" w:rsidRDefault="00A63584" w:rsidP="009851E5">
      <w:pPr>
        <w:pStyle w:val="p2"/>
        <w:rPr>
          <w:rFonts w:ascii="Cavolini" w:eastAsia="Times New Roman" w:hAnsi="Cavolini" w:cs="Cavolini"/>
          <w:b/>
          <w:bCs/>
          <w:sz w:val="18"/>
          <w:szCs w:val="18"/>
          <w:u w:val="single"/>
        </w:rPr>
      </w:pPr>
    </w:p>
    <w:p w14:paraId="10C3C469" w14:textId="77777777" w:rsidR="00A63584" w:rsidRDefault="00A63584" w:rsidP="009851E5">
      <w:pPr>
        <w:pStyle w:val="p2"/>
        <w:rPr>
          <w:rFonts w:ascii="Cavolini" w:eastAsia="Times New Roman" w:hAnsi="Cavolini" w:cs="Cavolini"/>
          <w:b/>
          <w:bCs/>
          <w:sz w:val="18"/>
          <w:szCs w:val="18"/>
          <w:u w:val="single"/>
        </w:rPr>
      </w:pPr>
    </w:p>
    <w:p w14:paraId="1B3389BD" w14:textId="77777777" w:rsidR="00A63584" w:rsidRDefault="00A63584" w:rsidP="009851E5">
      <w:pPr>
        <w:pStyle w:val="p2"/>
        <w:rPr>
          <w:rFonts w:ascii="Cavolini" w:eastAsia="Times New Roman" w:hAnsi="Cavolini" w:cs="Cavolini"/>
          <w:b/>
          <w:bCs/>
          <w:sz w:val="18"/>
          <w:szCs w:val="18"/>
          <w:u w:val="single"/>
        </w:rPr>
      </w:pPr>
    </w:p>
    <w:p w14:paraId="74A6D3CA" w14:textId="77777777" w:rsidR="00661FCA" w:rsidRDefault="00661FCA" w:rsidP="009851E5">
      <w:pPr>
        <w:pStyle w:val="p2"/>
        <w:rPr>
          <w:rFonts w:ascii="Cavolini" w:eastAsia="Times New Roman" w:hAnsi="Cavolini" w:cs="Cavolini"/>
          <w:b/>
          <w:bCs/>
          <w:sz w:val="18"/>
          <w:szCs w:val="18"/>
          <w:u w:val="single"/>
        </w:rPr>
      </w:pPr>
    </w:p>
    <w:p w14:paraId="10F0A9DE" w14:textId="77777777" w:rsidR="00661FCA" w:rsidRDefault="00661FCA" w:rsidP="009851E5">
      <w:pPr>
        <w:pStyle w:val="p2"/>
        <w:rPr>
          <w:rFonts w:ascii="Cavolini" w:eastAsia="Times New Roman" w:hAnsi="Cavolini" w:cs="Cavolini"/>
          <w:b/>
          <w:bCs/>
          <w:sz w:val="18"/>
          <w:szCs w:val="18"/>
          <w:u w:val="single"/>
        </w:rPr>
      </w:pPr>
    </w:p>
    <w:p w14:paraId="5EE0FFB3" w14:textId="77777777" w:rsidR="00661FCA" w:rsidRDefault="00661FCA" w:rsidP="009851E5">
      <w:pPr>
        <w:pStyle w:val="p2"/>
        <w:rPr>
          <w:rFonts w:ascii="Cavolini" w:eastAsia="Times New Roman" w:hAnsi="Cavolini" w:cs="Cavolini"/>
          <w:b/>
          <w:bCs/>
          <w:sz w:val="18"/>
          <w:szCs w:val="18"/>
          <w:u w:val="single"/>
        </w:rPr>
      </w:pPr>
    </w:p>
    <w:p w14:paraId="3AFBE770" w14:textId="77777777" w:rsidR="00661FCA" w:rsidRDefault="00661FCA" w:rsidP="009851E5">
      <w:pPr>
        <w:pStyle w:val="p2"/>
        <w:rPr>
          <w:rFonts w:ascii="Cavolini" w:eastAsia="Times New Roman" w:hAnsi="Cavolini" w:cs="Cavolini"/>
          <w:b/>
          <w:bCs/>
          <w:sz w:val="18"/>
          <w:szCs w:val="18"/>
          <w:u w:val="single"/>
        </w:rPr>
      </w:pPr>
    </w:p>
    <w:p w14:paraId="7C5E500F" w14:textId="77777777" w:rsidR="00661FCA" w:rsidRDefault="00661FCA" w:rsidP="009851E5">
      <w:pPr>
        <w:pStyle w:val="p2"/>
        <w:rPr>
          <w:rFonts w:ascii="Cavolini" w:eastAsia="Times New Roman" w:hAnsi="Cavolini" w:cs="Cavolini"/>
          <w:b/>
          <w:bCs/>
          <w:sz w:val="18"/>
          <w:szCs w:val="18"/>
          <w:u w:val="single"/>
        </w:rPr>
      </w:pPr>
    </w:p>
    <w:p w14:paraId="27C526D5" w14:textId="77777777" w:rsidR="00661FCA" w:rsidRDefault="00661FCA" w:rsidP="009851E5">
      <w:pPr>
        <w:pStyle w:val="p2"/>
        <w:rPr>
          <w:rFonts w:ascii="Cavolini" w:eastAsia="Times New Roman" w:hAnsi="Cavolini" w:cs="Cavolini"/>
          <w:b/>
          <w:bCs/>
          <w:sz w:val="18"/>
          <w:szCs w:val="18"/>
          <w:u w:val="single"/>
        </w:rPr>
      </w:pPr>
    </w:p>
    <w:p w14:paraId="0EC6161C" w14:textId="77777777" w:rsidR="0029169F" w:rsidRDefault="0029169F" w:rsidP="009851E5">
      <w:pPr>
        <w:pStyle w:val="p2"/>
        <w:rPr>
          <w:rFonts w:eastAsia="Times New Roman"/>
          <w:b/>
          <w:bCs/>
          <w:sz w:val="28"/>
          <w:szCs w:val="28"/>
          <w:u w:val="single"/>
        </w:rPr>
      </w:pPr>
    </w:p>
    <w:p w14:paraId="53196B3B" w14:textId="77777777" w:rsidR="00612F75" w:rsidRDefault="00612F75" w:rsidP="009851E5">
      <w:pPr>
        <w:pStyle w:val="p2"/>
        <w:rPr>
          <w:rFonts w:eastAsia="Times New Roman"/>
          <w:b/>
          <w:bCs/>
          <w:sz w:val="28"/>
          <w:szCs w:val="28"/>
          <w:u w:val="single"/>
        </w:rPr>
      </w:pPr>
    </w:p>
    <w:p w14:paraId="65D6D77F" w14:textId="1266DA01" w:rsidR="00AA5933" w:rsidRPr="007350BE" w:rsidRDefault="00AA5933" w:rsidP="009851E5">
      <w:pPr>
        <w:pStyle w:val="p2"/>
        <w:rPr>
          <w:rFonts w:eastAsia="Times New Roman"/>
          <w:b/>
          <w:bCs/>
          <w:sz w:val="28"/>
          <w:szCs w:val="28"/>
          <w:u w:val="single"/>
        </w:rPr>
      </w:pPr>
      <w:r w:rsidRPr="007350BE">
        <w:rPr>
          <w:rFonts w:eastAsia="Times New Roman"/>
          <w:b/>
          <w:bCs/>
          <w:sz w:val="28"/>
          <w:szCs w:val="28"/>
          <w:u w:val="single"/>
        </w:rPr>
        <w:lastRenderedPageBreak/>
        <w:t>References</w:t>
      </w:r>
    </w:p>
    <w:p w14:paraId="42EE01DB" w14:textId="767E46D0" w:rsidR="00904245" w:rsidRPr="00904245" w:rsidRDefault="00904245" w:rsidP="00904245">
      <w:pPr>
        <w:pStyle w:val="p1"/>
        <w:rPr>
          <w:lang w:val="en-US"/>
        </w:rPr>
      </w:pPr>
      <w:r>
        <w:rPr>
          <w:lang w:val="en-US"/>
        </w:rPr>
        <w:t>A</w:t>
      </w:r>
      <w:r w:rsidRPr="00904245">
        <w:rPr>
          <w:lang w:val="en-US"/>
        </w:rPr>
        <w:t>ll, S.J. (2018) The education debate. 3rd edn. Bristol: Policy Press.</w:t>
      </w:r>
    </w:p>
    <w:p w14:paraId="3FC9FC2F" w14:textId="77777777" w:rsidR="00904245" w:rsidRPr="00DE2885" w:rsidRDefault="00904245" w:rsidP="00046A27">
      <w:pPr>
        <w:pStyle w:val="p1"/>
      </w:pPr>
      <w:r w:rsidRPr="00DE2885">
        <w:rPr>
          <w:rStyle w:val="s1"/>
        </w:rPr>
        <w:t xml:space="preserve">Allen, R. and Sims, S. (2018) </w:t>
      </w:r>
      <w:r w:rsidRPr="00DE2885">
        <w:rPr>
          <w:rStyle w:val="s2"/>
        </w:rPr>
        <w:t>How do schools allocate resources?</w:t>
      </w:r>
      <w:r w:rsidRPr="00DE2885">
        <w:rPr>
          <w:rStyle w:val="s1"/>
        </w:rPr>
        <w:t xml:space="preserve"> London: Education Policy Institute.</w:t>
      </w:r>
    </w:p>
    <w:p w14:paraId="42DC77CF" w14:textId="77777777" w:rsidR="00904245" w:rsidRPr="00DE2885" w:rsidRDefault="00904245">
      <w:pPr>
        <w:pStyle w:val="p1"/>
      </w:pPr>
      <w:r w:rsidRPr="00DE2885">
        <w:rPr>
          <w:rStyle w:val="s1"/>
        </w:rPr>
        <w:t xml:space="preserve">Ball, S.J. (2018) </w:t>
      </w:r>
      <w:r w:rsidRPr="00DE2885">
        <w:rPr>
          <w:rStyle w:val="s2"/>
        </w:rPr>
        <w:t>The Education Debate</w:t>
      </w:r>
      <w:r w:rsidRPr="00DE2885">
        <w:rPr>
          <w:rStyle w:val="s1"/>
        </w:rPr>
        <w:t>. 3rd edn. Bristol: Policy Press.</w:t>
      </w:r>
    </w:p>
    <w:p w14:paraId="1EED06C9" w14:textId="77777777" w:rsidR="00904245" w:rsidRPr="00DE2885" w:rsidRDefault="00904245" w:rsidP="00046A27">
      <w:pPr>
        <w:pStyle w:val="p1"/>
      </w:pPr>
      <w:r w:rsidRPr="00DE2885">
        <w:rPr>
          <w:rStyle w:val="s1"/>
        </w:rPr>
        <w:t xml:space="preserve">Bourdieu, P. (1986) ‘The forms of capital’, in Richardson, J. (ed.) </w:t>
      </w:r>
      <w:r w:rsidRPr="00DE2885">
        <w:rPr>
          <w:rStyle w:val="s2"/>
        </w:rPr>
        <w:t>Handbook of theory and research for the sociology of education</w:t>
      </w:r>
      <w:r w:rsidRPr="00DE2885">
        <w:rPr>
          <w:rStyle w:val="s1"/>
        </w:rPr>
        <w:t>.</w:t>
      </w:r>
      <w:r>
        <w:rPr>
          <w:rStyle w:val="s1"/>
        </w:rPr>
        <w:t xml:space="preserve"> Available at: </w:t>
      </w:r>
      <w:hyperlink r:id="rId8" w:anchor="v=onepage&amp;q&amp;f=false" w:history="1">
        <w:r w:rsidRPr="008B681B">
          <w:rPr>
            <w:rStyle w:val="Hyperlink"/>
          </w:rPr>
          <w:t>Cultural Theory: An Anthology - Google Books</w:t>
        </w:r>
      </w:hyperlink>
      <w:r>
        <w:rPr>
          <w:rStyle w:val="s1"/>
        </w:rPr>
        <w:t>. Last accessed: 1</w:t>
      </w:r>
      <w:r w:rsidRPr="00DE2885">
        <w:rPr>
          <w:rStyle w:val="s1"/>
          <w:vertAlign w:val="superscript"/>
        </w:rPr>
        <w:t>st</w:t>
      </w:r>
      <w:r>
        <w:rPr>
          <w:rStyle w:val="s1"/>
        </w:rPr>
        <w:t xml:space="preserve"> December 2025. </w:t>
      </w:r>
    </w:p>
    <w:p w14:paraId="14FD12D4" w14:textId="77777777" w:rsidR="00904245" w:rsidRPr="00DE2885" w:rsidRDefault="00904245" w:rsidP="00046A27">
      <w:pPr>
        <w:pStyle w:val="p1"/>
      </w:pPr>
      <w:r w:rsidRPr="00DE2885">
        <w:rPr>
          <w:rStyle w:val="s1"/>
        </w:rPr>
        <w:t xml:space="preserve">Bowles, S. and Gintis, H. (1976) </w:t>
      </w:r>
      <w:r w:rsidRPr="00DE2885">
        <w:rPr>
          <w:rStyle w:val="s2"/>
        </w:rPr>
        <w:t>Schooling in capitalist America: Educational reform and the contradictions of economic life</w:t>
      </w:r>
      <w:r w:rsidRPr="00DE2885">
        <w:rPr>
          <w:rStyle w:val="s1"/>
        </w:rPr>
        <w:t>. New York: Basic Books.</w:t>
      </w:r>
    </w:p>
    <w:p w14:paraId="4BC809AF" w14:textId="1A4FCA55" w:rsidR="00904245" w:rsidRPr="00DE2885" w:rsidRDefault="00904245" w:rsidP="00196CD3">
      <w:pPr>
        <w:pStyle w:val="p1"/>
      </w:pPr>
      <w:r w:rsidRPr="00DE2885">
        <w:rPr>
          <w:rStyle w:val="s1"/>
        </w:rPr>
        <w:t xml:space="preserve">Brown, P. Lauder, H. and Cheung, S.Y. (2020) </w:t>
      </w:r>
      <w:r w:rsidRPr="00DE2885">
        <w:rPr>
          <w:rStyle w:val="s2"/>
        </w:rPr>
        <w:t>The Death of Human Capital? Its Failed Promise and How to Renew It</w:t>
      </w:r>
      <w:r w:rsidRPr="00DE2885">
        <w:rPr>
          <w:rStyle w:val="s1"/>
        </w:rPr>
        <w:t>. Oxford: Oxford University Press.</w:t>
      </w:r>
    </w:p>
    <w:p w14:paraId="54286107" w14:textId="77777777" w:rsidR="00904245" w:rsidRDefault="00904245" w:rsidP="00046A27">
      <w:pPr>
        <w:pStyle w:val="p1"/>
      </w:pPr>
      <w:r w:rsidRPr="008B681B">
        <w:t xml:space="preserve">Cooper, K. and Stewart, K. </w:t>
      </w:r>
      <w:r>
        <w:t>(</w:t>
      </w:r>
      <w:r w:rsidRPr="008B681B">
        <w:t>2013</w:t>
      </w:r>
      <w:r>
        <w:t>)</w:t>
      </w:r>
      <w:r w:rsidRPr="008B681B">
        <w:t xml:space="preserve"> Does money affect children’s outcomes?</w:t>
      </w:r>
    </w:p>
    <w:p w14:paraId="2C1F3D4F" w14:textId="77777777" w:rsidR="00904245" w:rsidRPr="00DE2885" w:rsidRDefault="00904245" w:rsidP="00046A27">
      <w:pPr>
        <w:pStyle w:val="p1"/>
      </w:pPr>
      <w:r w:rsidRPr="00DE2885">
        <w:rPr>
          <w:rStyle w:val="s1"/>
        </w:rPr>
        <w:t xml:space="preserve">Cooper, K. and Stewart, K. (2021) ‘Does household income affect children’s outcomes? A systematic review of the evidence’, </w:t>
      </w:r>
      <w:r w:rsidRPr="00DE2885">
        <w:rPr>
          <w:rStyle w:val="s2"/>
        </w:rPr>
        <w:t>Child Indicators Research</w:t>
      </w:r>
      <w:r w:rsidRPr="00DE2885">
        <w:rPr>
          <w:rStyle w:val="s1"/>
        </w:rPr>
        <w:t>.</w:t>
      </w:r>
    </w:p>
    <w:p w14:paraId="457FCB87" w14:textId="77777777" w:rsidR="00904245" w:rsidRPr="00DE2885" w:rsidRDefault="00904245" w:rsidP="00046A27">
      <w:pPr>
        <w:pStyle w:val="p1"/>
      </w:pPr>
      <w:r w:rsidRPr="00DE2885">
        <w:rPr>
          <w:rStyle w:val="s1"/>
        </w:rPr>
        <w:t>Crozier, G. and Davies, J. (2007) ‘Hard to reach parents or hard to reach schools? A discussion of home</w:t>
      </w:r>
      <w:r>
        <w:rPr>
          <w:rStyle w:val="s1"/>
        </w:rPr>
        <w:t>-</w:t>
      </w:r>
      <w:r w:rsidRPr="00DE2885">
        <w:rPr>
          <w:rStyle w:val="s1"/>
        </w:rPr>
        <w:t xml:space="preserve">school relations, with particular reference to Bangladeshi and Pakistani parents’, </w:t>
      </w:r>
      <w:r w:rsidRPr="00DE2885">
        <w:rPr>
          <w:rStyle w:val="s2"/>
        </w:rPr>
        <w:t>British Educational Research Journal.</w:t>
      </w:r>
    </w:p>
    <w:p w14:paraId="52AFCCFD" w14:textId="77777777" w:rsidR="00904245" w:rsidRPr="00904245" w:rsidRDefault="00904245" w:rsidP="00904245">
      <w:pPr>
        <w:pStyle w:val="p1"/>
        <w:rPr>
          <w:lang w:val="en-US"/>
        </w:rPr>
      </w:pPr>
      <w:r w:rsidRPr="00904245">
        <w:rPr>
          <w:lang w:val="en-US"/>
        </w:rPr>
        <w:t>Dorling, D. (2015) Injustice: Why social inequality persists. Bristol: Policy Press.</w:t>
      </w:r>
    </w:p>
    <w:p w14:paraId="3D57E2AC" w14:textId="3668584E" w:rsidR="00904245" w:rsidRPr="008B681B" w:rsidRDefault="00904245" w:rsidP="00046A27">
      <w:pPr>
        <w:pStyle w:val="p1"/>
      </w:pPr>
      <w:r w:rsidRPr="008B681B">
        <w:t xml:space="preserve">Duncan, G.J. Magnuson, K. and Votruba-Drzal, E. </w:t>
      </w:r>
      <w:r>
        <w:t>(</w:t>
      </w:r>
      <w:r w:rsidRPr="008B681B">
        <w:t>2017</w:t>
      </w:r>
      <w:r>
        <w:t>)</w:t>
      </w:r>
      <w:r w:rsidRPr="008B681B">
        <w:t>. Moving beyond correlations in assessing the consequences of poverty. Annual review of psychology.</w:t>
      </w:r>
    </w:p>
    <w:p w14:paraId="6F9FB560" w14:textId="77777777" w:rsidR="00904245" w:rsidRPr="00DE2885" w:rsidRDefault="00904245" w:rsidP="00046A27">
      <w:pPr>
        <w:pStyle w:val="p1"/>
      </w:pPr>
      <w:r w:rsidRPr="00DE2885">
        <w:rPr>
          <w:rStyle w:val="s1"/>
        </w:rPr>
        <w:t xml:space="preserve">Dyson, A. Kerr, K. and Raffo, C. (2012) </w:t>
      </w:r>
      <w:r w:rsidRPr="00DE2885">
        <w:rPr>
          <w:rStyle w:val="s2"/>
        </w:rPr>
        <w:t>Education and disadvantage</w:t>
      </w:r>
      <w:r w:rsidRPr="00DE2885">
        <w:rPr>
          <w:rStyle w:val="s1"/>
        </w:rPr>
        <w:t>. York: Joseph Rowntree Foundation.</w:t>
      </w:r>
    </w:p>
    <w:p w14:paraId="5CFE1C5C" w14:textId="77777777" w:rsidR="00904245" w:rsidRPr="00DE2885" w:rsidRDefault="00904245" w:rsidP="00046A27">
      <w:pPr>
        <w:pStyle w:val="p1"/>
      </w:pPr>
      <w:r w:rsidRPr="00DE2885">
        <w:rPr>
          <w:rStyle w:val="s1"/>
        </w:rPr>
        <w:t>Education Endowment Foundation (EEF)</w:t>
      </w:r>
      <w:r>
        <w:rPr>
          <w:rStyle w:val="s1"/>
        </w:rPr>
        <w:t>.</w:t>
      </w:r>
      <w:r w:rsidRPr="00DE2885">
        <w:rPr>
          <w:rStyle w:val="s1"/>
        </w:rPr>
        <w:t xml:space="preserve"> (2021) </w:t>
      </w:r>
      <w:r w:rsidRPr="00DE2885">
        <w:rPr>
          <w:rStyle w:val="s2"/>
        </w:rPr>
        <w:t>Using the pupil premium: Guidance for school leaders</w:t>
      </w:r>
      <w:r w:rsidRPr="00DE2885">
        <w:rPr>
          <w:rStyle w:val="s1"/>
        </w:rPr>
        <w:t>. London: Education Endowment Foundation.</w:t>
      </w:r>
    </w:p>
    <w:p w14:paraId="1B92D243" w14:textId="77777777" w:rsidR="00904245" w:rsidRPr="00DE2885" w:rsidRDefault="00904245" w:rsidP="00046A27">
      <w:pPr>
        <w:pStyle w:val="p1"/>
      </w:pPr>
      <w:r w:rsidRPr="00DE2885">
        <w:rPr>
          <w:rStyle w:val="s1"/>
        </w:rPr>
        <w:t>Education Endowment Foundation (EEF)</w:t>
      </w:r>
      <w:r>
        <w:rPr>
          <w:rStyle w:val="s1"/>
        </w:rPr>
        <w:t>.</w:t>
      </w:r>
      <w:r w:rsidRPr="00DE2885">
        <w:rPr>
          <w:rStyle w:val="s1"/>
        </w:rPr>
        <w:t xml:space="preserve"> (2022) </w:t>
      </w:r>
      <w:r w:rsidRPr="00DE2885">
        <w:rPr>
          <w:rStyle w:val="s2"/>
        </w:rPr>
        <w:t>The impact of COVID-19 on learning</w:t>
      </w:r>
      <w:r w:rsidRPr="00DE2885">
        <w:rPr>
          <w:rStyle w:val="s1"/>
        </w:rPr>
        <w:t>. London: Education Endowment Foundation.</w:t>
      </w:r>
    </w:p>
    <w:p w14:paraId="6A9909D6" w14:textId="77777777" w:rsidR="00904245" w:rsidRPr="00B51661" w:rsidRDefault="00904245" w:rsidP="00046A27">
      <w:pPr>
        <w:pStyle w:val="p1"/>
      </w:pPr>
      <w:r w:rsidRPr="00B51661">
        <w:t>Engzell, P</w:t>
      </w:r>
      <w:r>
        <w:t>.</w:t>
      </w:r>
      <w:r w:rsidRPr="00B51661">
        <w:t xml:space="preserve"> Frey, A. and Verhagen, M.D. </w:t>
      </w:r>
      <w:r>
        <w:t>(</w:t>
      </w:r>
      <w:r w:rsidRPr="00B51661">
        <w:t>2021</w:t>
      </w:r>
      <w:r>
        <w:t>)</w:t>
      </w:r>
      <w:r w:rsidRPr="00B51661">
        <w:t>. Learning loss due to school closures during the COVID-19 pandemic. Proceedings of the national academy of sciences.</w:t>
      </w:r>
    </w:p>
    <w:p w14:paraId="0C1B4B1C" w14:textId="77777777" w:rsidR="00904245" w:rsidRPr="00DE2885" w:rsidRDefault="00904245" w:rsidP="00046A27">
      <w:pPr>
        <w:pStyle w:val="p1"/>
      </w:pPr>
      <w:r w:rsidRPr="00DE2885">
        <w:rPr>
          <w:rStyle w:val="s1"/>
        </w:rPr>
        <w:t xml:space="preserve">Evans, G.W. and Kim, P. (2013) ‘Childhood poverty, chronic stress, self-regulation, and coping’, </w:t>
      </w:r>
      <w:r w:rsidRPr="00DE2885">
        <w:rPr>
          <w:rStyle w:val="s2"/>
        </w:rPr>
        <w:t>Child Development Perspectives</w:t>
      </w:r>
      <w:r w:rsidRPr="00DE2885">
        <w:rPr>
          <w:rStyle w:val="s1"/>
        </w:rPr>
        <w:t>.</w:t>
      </w:r>
    </w:p>
    <w:p w14:paraId="0E1D2806" w14:textId="225DEA2A" w:rsidR="00904245" w:rsidRPr="00730994" w:rsidRDefault="00904245" w:rsidP="00196CD3">
      <w:pPr>
        <w:pStyle w:val="p1"/>
      </w:pPr>
      <w:r w:rsidRPr="00730994">
        <w:rPr>
          <w:rStyle w:val="s1"/>
        </w:rPr>
        <w:lastRenderedPageBreak/>
        <w:t xml:space="preserve">Francis, B. Mills, M. Lupton, R. and Thomson, P. (2024) ‘Schools, poverty and social justice: Rethinking the boundaries of educational responsibility’, </w:t>
      </w:r>
      <w:r w:rsidRPr="00730994">
        <w:rPr>
          <w:rStyle w:val="s2"/>
        </w:rPr>
        <w:t>British Journal of Sociology of Education</w:t>
      </w:r>
      <w:r w:rsidRPr="00730994">
        <w:rPr>
          <w:rStyle w:val="s1"/>
        </w:rPr>
        <w:t>.</w:t>
      </w:r>
    </w:p>
    <w:p w14:paraId="0F952029" w14:textId="77777777" w:rsidR="00904245" w:rsidRPr="00DE2885" w:rsidRDefault="00904245" w:rsidP="00196CD3">
      <w:pPr>
        <w:pStyle w:val="p1"/>
      </w:pPr>
      <w:r w:rsidRPr="00DE2885">
        <w:rPr>
          <w:rStyle w:val="s1"/>
        </w:rPr>
        <w:t xml:space="preserve">Gorard, S. (2020) </w:t>
      </w:r>
      <w:r w:rsidRPr="00DE2885">
        <w:rPr>
          <w:rStyle w:val="s2"/>
        </w:rPr>
        <w:t>Education and Social Justice</w:t>
      </w:r>
      <w:r w:rsidRPr="00DE2885">
        <w:rPr>
          <w:rStyle w:val="s1"/>
        </w:rPr>
        <w:t>. 2nd edn. London: Bloomsbury Academic.</w:t>
      </w:r>
    </w:p>
    <w:p w14:paraId="729CBBF7" w14:textId="4E7AA9F1" w:rsidR="00904245" w:rsidRPr="00904245" w:rsidRDefault="00904245" w:rsidP="00904245">
      <w:pPr>
        <w:pStyle w:val="p1"/>
        <w:rPr>
          <w:lang w:val="en-US"/>
        </w:rPr>
      </w:pPr>
      <w:r w:rsidRPr="00904245">
        <w:rPr>
          <w:lang w:val="en-US"/>
        </w:rPr>
        <w:t>Gordon, D. Mack, J. Lansley, S.</w:t>
      </w:r>
      <w:r w:rsidR="00BB5362">
        <w:rPr>
          <w:lang w:val="en-US"/>
        </w:rPr>
        <w:t xml:space="preserve"> </w:t>
      </w:r>
      <w:r w:rsidRPr="00904245">
        <w:rPr>
          <w:lang w:val="en-US"/>
        </w:rPr>
        <w:t>Main, G. Nandy, S. and Patsios, D. (2019) Poverty and social exclusion in the UK. Bristol: Policy Press.</w:t>
      </w:r>
    </w:p>
    <w:p w14:paraId="01E3DFD5" w14:textId="77777777" w:rsidR="00904245" w:rsidRPr="00DE2885" w:rsidRDefault="00904245" w:rsidP="0070370D">
      <w:pPr>
        <w:pStyle w:val="p1"/>
      </w:pPr>
      <w:r w:rsidRPr="00DE2885">
        <w:rPr>
          <w:rStyle w:val="s1"/>
        </w:rPr>
        <w:t xml:space="preserve">Gordon, R. Carr, M.M. Lenardson, J.D. and McLaughlin, C.G. (2019) ‘Food insecurity, health, and academic performance among college students’, </w:t>
      </w:r>
      <w:r w:rsidRPr="00DE2885">
        <w:rPr>
          <w:rStyle w:val="s2"/>
        </w:rPr>
        <w:t>Journal of American College Health</w:t>
      </w:r>
      <w:r w:rsidRPr="00DE2885">
        <w:rPr>
          <w:rStyle w:val="s1"/>
        </w:rPr>
        <w:t>.</w:t>
      </w:r>
    </w:p>
    <w:p w14:paraId="1E0E8D7A" w14:textId="77777777" w:rsidR="00904245" w:rsidRPr="00DE2885" w:rsidRDefault="00904245" w:rsidP="00046A27">
      <w:pPr>
        <w:pStyle w:val="p1"/>
      </w:pPr>
      <w:r w:rsidRPr="00DE2885">
        <w:rPr>
          <w:rStyle w:val="s1"/>
        </w:rPr>
        <w:t xml:space="preserve">Gorski, P. (2018) </w:t>
      </w:r>
      <w:r w:rsidRPr="00DE2885">
        <w:rPr>
          <w:rStyle w:val="s2"/>
        </w:rPr>
        <w:t>Reaching and teaching students in poverty: Strategies for erasing the opportunity gap</w:t>
      </w:r>
      <w:r w:rsidRPr="00DE2885">
        <w:rPr>
          <w:rStyle w:val="s1"/>
        </w:rPr>
        <w:t>. New York: Teachers College Press.</w:t>
      </w:r>
    </w:p>
    <w:p w14:paraId="2F564369" w14:textId="77777777" w:rsidR="00904245" w:rsidRPr="00DE2885" w:rsidRDefault="00904245" w:rsidP="00046A27">
      <w:pPr>
        <w:pStyle w:val="p1"/>
      </w:pPr>
      <w:r w:rsidRPr="00DE2885">
        <w:rPr>
          <w:rStyle w:val="s1"/>
        </w:rPr>
        <w:t xml:space="preserve">Heckman, J.J. (2011) ‘The economics of inequality: The value of early childhood education’, </w:t>
      </w:r>
      <w:r w:rsidRPr="00DE2885">
        <w:rPr>
          <w:rStyle w:val="s2"/>
        </w:rPr>
        <w:t>Daedalus</w:t>
      </w:r>
      <w:r w:rsidRPr="00DE2885">
        <w:rPr>
          <w:rStyle w:val="s1"/>
        </w:rPr>
        <w:t>.</w:t>
      </w:r>
    </w:p>
    <w:p w14:paraId="1B64E591" w14:textId="77777777" w:rsidR="00904245" w:rsidRPr="00904245" w:rsidRDefault="00904245" w:rsidP="00904245">
      <w:pPr>
        <w:pStyle w:val="p1"/>
        <w:rPr>
          <w:lang w:val="en-US"/>
        </w:rPr>
      </w:pPr>
      <w:r w:rsidRPr="00904245">
        <w:rPr>
          <w:lang w:val="en-US"/>
        </w:rPr>
        <w:t>Institute for Fiscal Studies (IFS) (2020) Education spending in England. London: IFS.</w:t>
      </w:r>
    </w:p>
    <w:p w14:paraId="08C7BE07" w14:textId="7CAEC4E2" w:rsidR="00904245" w:rsidRPr="00B51661" w:rsidRDefault="00904245" w:rsidP="00196CD3">
      <w:pPr>
        <w:pStyle w:val="p1"/>
      </w:pPr>
      <w:r w:rsidRPr="00B51661">
        <w:t xml:space="preserve">Kim, L.E. and Asbury, K. </w:t>
      </w:r>
      <w:r w:rsidR="00956EA2">
        <w:t>(</w:t>
      </w:r>
      <w:r w:rsidRPr="00B51661">
        <w:t>2020</w:t>
      </w:r>
      <w:r w:rsidR="00956EA2">
        <w:t>)</w:t>
      </w:r>
      <w:r w:rsidRPr="00B51661">
        <w:t>. ‘Like a rug had been pulled from under you’: The impact of COVID‐19 on teachers in England during the first six weeks of the UK lockdown. British journal of educational psychology.</w:t>
      </w:r>
    </w:p>
    <w:p w14:paraId="71D1B78E" w14:textId="77777777" w:rsidR="00904245" w:rsidRPr="00B51661" w:rsidRDefault="00904245">
      <w:pPr>
        <w:pStyle w:val="p1"/>
      </w:pPr>
      <w:r w:rsidRPr="00B51661">
        <w:t>Maldonado, J.E. and De Witte, K.</w:t>
      </w:r>
      <w:r>
        <w:t xml:space="preserve"> (</w:t>
      </w:r>
      <w:r w:rsidRPr="00B51661">
        <w:t>2022</w:t>
      </w:r>
      <w:r>
        <w:t>)</w:t>
      </w:r>
      <w:r w:rsidRPr="00B51661">
        <w:t>. The effect of school closures on standardised student test outcomes. British Educational Research Journal</w:t>
      </w:r>
      <w:r>
        <w:t>.</w:t>
      </w:r>
    </w:p>
    <w:p w14:paraId="157BB873" w14:textId="6B2141A3" w:rsidR="00904245" w:rsidRPr="00904245" w:rsidRDefault="00904245" w:rsidP="00904245">
      <w:pPr>
        <w:pStyle w:val="p1"/>
        <w:rPr>
          <w:lang w:val="en-US"/>
        </w:rPr>
      </w:pPr>
      <w:r w:rsidRPr="00904245">
        <w:rPr>
          <w:lang w:val="en-US"/>
        </w:rPr>
        <w:t>Marmot, M. Allen, J. Goldblatt, P. Herd, E. and Morrison, J. (2020) Health equity in England: The Marmot Review 10 years on. London: Institute of Health Equity.</w:t>
      </w:r>
    </w:p>
    <w:p w14:paraId="465FE2FA" w14:textId="77777777" w:rsidR="00904245" w:rsidRPr="00904245" w:rsidRDefault="00904245" w:rsidP="00904245">
      <w:pPr>
        <w:pStyle w:val="p1"/>
        <w:rPr>
          <w:lang w:val="en-US"/>
        </w:rPr>
      </w:pPr>
      <w:r w:rsidRPr="00904245">
        <w:rPr>
          <w:lang w:val="en-US"/>
        </w:rPr>
        <w:t>OECD (2018) Equity in education: Breaking down barriers to social mobility. Paris: OECD Publishing.</w:t>
      </w:r>
    </w:p>
    <w:p w14:paraId="67936A6F" w14:textId="77777777" w:rsidR="00904245" w:rsidRPr="00DE2885" w:rsidRDefault="00904245">
      <w:pPr>
        <w:pStyle w:val="p1"/>
      </w:pPr>
      <w:r w:rsidRPr="00DE2885">
        <w:rPr>
          <w:rStyle w:val="s1"/>
        </w:rPr>
        <w:t xml:space="preserve">OECD (2020) </w:t>
      </w:r>
      <w:r w:rsidRPr="00DE2885">
        <w:rPr>
          <w:rStyle w:val="s2"/>
        </w:rPr>
        <w:t>Schooling Disrupted, Schooling Rethought: How the COVID-19 Pandemic Is Changing Education</w:t>
      </w:r>
      <w:r w:rsidRPr="00DE2885">
        <w:rPr>
          <w:rStyle w:val="s1"/>
        </w:rPr>
        <w:t>. Paris: OECD Publishing.</w:t>
      </w:r>
    </w:p>
    <w:p w14:paraId="1D670775" w14:textId="77777777" w:rsidR="00904245" w:rsidRPr="00DE2885" w:rsidRDefault="00904245" w:rsidP="00196CD3">
      <w:pPr>
        <w:pStyle w:val="p1"/>
      </w:pPr>
      <w:r w:rsidRPr="00DE2885">
        <w:rPr>
          <w:rStyle w:val="s1"/>
        </w:rPr>
        <w:t xml:space="preserve">OECD (2021) </w:t>
      </w:r>
      <w:r w:rsidRPr="00DE2885">
        <w:rPr>
          <w:rStyle w:val="s2"/>
        </w:rPr>
        <w:t>Education at a Glance 2021: OECD Indicators</w:t>
      </w:r>
      <w:r w:rsidRPr="00DE2885">
        <w:rPr>
          <w:rStyle w:val="s1"/>
        </w:rPr>
        <w:t>. Paris: OECD Publishing.</w:t>
      </w:r>
      <w:r>
        <w:rPr>
          <w:rStyle w:val="s1"/>
        </w:rPr>
        <w:t xml:space="preserve"> Available at: </w:t>
      </w:r>
      <w:hyperlink r:id="rId9" w:history="1">
        <w:r w:rsidRPr="00B51661">
          <w:rPr>
            <w:rStyle w:val="Hyperlink"/>
          </w:rPr>
          <w:t>Education at a Glance 2021 | OECD</w:t>
        </w:r>
      </w:hyperlink>
      <w:r>
        <w:t xml:space="preserve">. </w:t>
      </w:r>
      <w:r>
        <w:rPr>
          <w:rStyle w:val="s1"/>
        </w:rPr>
        <w:t>Last accessed: 6</w:t>
      </w:r>
      <w:r w:rsidRPr="00B51661">
        <w:rPr>
          <w:rStyle w:val="s1"/>
          <w:vertAlign w:val="superscript"/>
        </w:rPr>
        <w:t>th</w:t>
      </w:r>
      <w:r>
        <w:rPr>
          <w:rStyle w:val="s1"/>
        </w:rPr>
        <w:t xml:space="preserve"> December 2025. </w:t>
      </w:r>
    </w:p>
    <w:p w14:paraId="1495D2E5" w14:textId="77777777" w:rsidR="00904245" w:rsidRPr="00DE2885" w:rsidRDefault="00904245" w:rsidP="00046A27">
      <w:pPr>
        <w:pStyle w:val="p1"/>
      </w:pPr>
      <w:r w:rsidRPr="00DE2885">
        <w:rPr>
          <w:rStyle w:val="s1"/>
        </w:rPr>
        <w:t xml:space="preserve">OECD (2021) </w:t>
      </w:r>
      <w:r w:rsidRPr="00DE2885">
        <w:rPr>
          <w:rStyle w:val="s2"/>
        </w:rPr>
        <w:t>The state of global education: 18 months into the pandemic</w:t>
      </w:r>
      <w:r w:rsidRPr="00DE2885">
        <w:rPr>
          <w:rStyle w:val="s1"/>
        </w:rPr>
        <w:t>. Paris: OECD Publishing.</w:t>
      </w:r>
      <w:r>
        <w:rPr>
          <w:rStyle w:val="s1"/>
        </w:rPr>
        <w:t xml:space="preserve"> Available at: </w:t>
      </w:r>
      <w:hyperlink r:id="rId10" w:history="1">
        <w:r w:rsidRPr="0048078A">
          <w:rPr>
            <w:rStyle w:val="Hyperlink"/>
          </w:rPr>
          <w:t>The State of Global Education (EN)</w:t>
        </w:r>
      </w:hyperlink>
      <w:r>
        <w:t xml:space="preserve">. </w:t>
      </w:r>
      <w:r>
        <w:rPr>
          <w:rStyle w:val="s1"/>
        </w:rPr>
        <w:t>Last accessed: 7</w:t>
      </w:r>
      <w:r w:rsidRPr="0048078A">
        <w:rPr>
          <w:rStyle w:val="s1"/>
          <w:vertAlign w:val="superscript"/>
        </w:rPr>
        <w:t>th</w:t>
      </w:r>
      <w:r>
        <w:rPr>
          <w:rStyle w:val="s1"/>
        </w:rPr>
        <w:t xml:space="preserve"> December 2025</w:t>
      </w:r>
    </w:p>
    <w:p w14:paraId="52C8684B" w14:textId="77777777" w:rsidR="00904245" w:rsidRPr="00904245" w:rsidRDefault="00904245" w:rsidP="00904245">
      <w:pPr>
        <w:pStyle w:val="p1"/>
        <w:rPr>
          <w:lang w:val="en-US"/>
        </w:rPr>
      </w:pPr>
      <w:r w:rsidRPr="00904245">
        <w:rPr>
          <w:lang w:val="en-US"/>
        </w:rPr>
        <w:t>OECD (2021) The state of school education: One year into the COVID pandemic. Paris: OECD Publishing.</w:t>
      </w:r>
    </w:p>
    <w:p w14:paraId="6D55DB90" w14:textId="77777777" w:rsidR="00904245" w:rsidRPr="00DE2885" w:rsidRDefault="00904245" w:rsidP="00046A27">
      <w:pPr>
        <w:pStyle w:val="p1"/>
      </w:pPr>
      <w:r w:rsidRPr="00DE2885">
        <w:rPr>
          <w:rStyle w:val="s1"/>
        </w:rPr>
        <w:t xml:space="preserve">OECD (2023) </w:t>
      </w:r>
      <w:r w:rsidRPr="00DE2885">
        <w:rPr>
          <w:rStyle w:val="s2"/>
        </w:rPr>
        <w:t>Education at a glance 2023: OECD indicators</w:t>
      </w:r>
      <w:r w:rsidRPr="00DE2885">
        <w:rPr>
          <w:rStyle w:val="s1"/>
        </w:rPr>
        <w:t>. Paris: OECD Publishing.</w:t>
      </w:r>
      <w:r>
        <w:rPr>
          <w:rStyle w:val="s1"/>
        </w:rPr>
        <w:t xml:space="preserve"> Availabe at: </w:t>
      </w:r>
      <w:hyperlink r:id="rId11" w:history="1">
        <w:r w:rsidRPr="0048078A">
          <w:rPr>
            <w:rStyle w:val="Hyperlink"/>
          </w:rPr>
          <w:t>Education at a Glance 2023 | OECD</w:t>
        </w:r>
      </w:hyperlink>
      <w:r>
        <w:t xml:space="preserve">. </w:t>
      </w:r>
      <w:r>
        <w:rPr>
          <w:rStyle w:val="s1"/>
        </w:rPr>
        <w:t xml:space="preserve"> Last accessed: 6</w:t>
      </w:r>
      <w:r w:rsidRPr="0048078A">
        <w:rPr>
          <w:rStyle w:val="s1"/>
          <w:vertAlign w:val="superscript"/>
        </w:rPr>
        <w:t>th</w:t>
      </w:r>
      <w:r>
        <w:rPr>
          <w:rStyle w:val="s1"/>
        </w:rPr>
        <w:t xml:space="preserve"> December 2025. </w:t>
      </w:r>
    </w:p>
    <w:p w14:paraId="11D506BF" w14:textId="3D62092A" w:rsidR="00904245" w:rsidRPr="00DE2885" w:rsidRDefault="00904245" w:rsidP="00046A27">
      <w:pPr>
        <w:pStyle w:val="p1"/>
      </w:pPr>
      <w:r w:rsidRPr="00DE2885">
        <w:rPr>
          <w:rStyle w:val="s1"/>
        </w:rPr>
        <w:lastRenderedPageBreak/>
        <w:t xml:space="preserve">Raffo, C. Dyson, A. Gunter, H. Hall, D. Jones, L. and Kalambouka, A. (2009) </w:t>
      </w:r>
      <w:r w:rsidRPr="00DE2885">
        <w:rPr>
          <w:rStyle w:val="s2"/>
        </w:rPr>
        <w:t>Education and poverty: Mapping the terrain</w:t>
      </w:r>
      <w:r w:rsidRPr="00DE2885">
        <w:rPr>
          <w:rStyle w:val="s1"/>
        </w:rPr>
        <w:t>. London: Routledge.</w:t>
      </w:r>
    </w:p>
    <w:p w14:paraId="3470825D" w14:textId="77777777" w:rsidR="00904245" w:rsidRPr="00DE2885" w:rsidRDefault="00904245" w:rsidP="00046A27">
      <w:pPr>
        <w:pStyle w:val="p1"/>
      </w:pPr>
      <w:r w:rsidRPr="00DE2885">
        <w:rPr>
          <w:rStyle w:val="s1"/>
        </w:rPr>
        <w:t xml:space="preserve">Reardon, S.F. (2011) ‘The widening academic achievement gap between the rich and the poor’, </w:t>
      </w:r>
      <w:r w:rsidRPr="00DE2885">
        <w:rPr>
          <w:rStyle w:val="s2"/>
        </w:rPr>
        <w:t>Educational Leadership</w:t>
      </w:r>
      <w:r w:rsidRPr="00DE2885">
        <w:rPr>
          <w:rStyle w:val="s1"/>
        </w:rPr>
        <w:t>.</w:t>
      </w:r>
    </w:p>
    <w:p w14:paraId="5B45ED5E" w14:textId="77777777" w:rsidR="00904245" w:rsidRPr="00904245" w:rsidRDefault="00904245" w:rsidP="00904245">
      <w:pPr>
        <w:pStyle w:val="p1"/>
        <w:rPr>
          <w:lang w:val="en-US"/>
        </w:rPr>
      </w:pPr>
      <w:r w:rsidRPr="00904245">
        <w:rPr>
          <w:lang w:val="en-US"/>
        </w:rPr>
        <w:t>Reay, D. (2017) Miseducation: Inequality, education and the working classes. Bristol: Policy Press.</w:t>
      </w:r>
    </w:p>
    <w:p w14:paraId="1529ABFA" w14:textId="77777777" w:rsidR="00904245" w:rsidRPr="004B4159" w:rsidRDefault="00904245" w:rsidP="005035F2">
      <w:pPr>
        <w:pStyle w:val="p1"/>
      </w:pPr>
      <w:r w:rsidRPr="004B4159">
        <w:rPr>
          <w:rStyle w:val="s1"/>
        </w:rPr>
        <w:t xml:space="preserve">Rizvi, F. (2022) ‘Globalisation, inequality and education’, </w:t>
      </w:r>
      <w:r w:rsidRPr="004B4159">
        <w:rPr>
          <w:rStyle w:val="s2"/>
        </w:rPr>
        <w:t>Educational Philosophy and Theory</w:t>
      </w:r>
      <w:r w:rsidRPr="004B4159">
        <w:rPr>
          <w:rStyle w:val="s1"/>
        </w:rPr>
        <w:t xml:space="preserve">. </w:t>
      </w:r>
    </w:p>
    <w:p w14:paraId="7AB74180" w14:textId="77777777" w:rsidR="00904245" w:rsidRPr="00904245" w:rsidRDefault="00904245" w:rsidP="00904245">
      <w:pPr>
        <w:pStyle w:val="p1"/>
        <w:rPr>
          <w:lang w:val="en-US"/>
        </w:rPr>
      </w:pPr>
      <w:r w:rsidRPr="00904245">
        <w:rPr>
          <w:lang w:val="en-US"/>
        </w:rPr>
        <w:t>Sen, A. (1999) Development as freedom. Oxford: Oxford University Press.</w:t>
      </w:r>
    </w:p>
    <w:p w14:paraId="6358C7BB" w14:textId="6023FEF6" w:rsidR="00904245" w:rsidRPr="004B4159" w:rsidRDefault="00904245" w:rsidP="005035F2">
      <w:pPr>
        <w:pStyle w:val="p1"/>
      </w:pPr>
      <w:r w:rsidRPr="004B4159">
        <w:rPr>
          <w:rStyle w:val="s1"/>
        </w:rPr>
        <w:t xml:space="preserve">Sims, M. and Fletcher, R. (2023) ‘Reframing early childhood education as a poverty reduction strategy’, </w:t>
      </w:r>
      <w:r w:rsidRPr="004B4159">
        <w:rPr>
          <w:rStyle w:val="s2"/>
        </w:rPr>
        <w:t>Journal of Education Policy</w:t>
      </w:r>
      <w:r w:rsidRPr="004B4159">
        <w:rPr>
          <w:rStyle w:val="s1"/>
        </w:rPr>
        <w:t xml:space="preserve">. </w:t>
      </w:r>
    </w:p>
    <w:p w14:paraId="5FF33111" w14:textId="77777777" w:rsidR="00904245" w:rsidRPr="00DE2885" w:rsidRDefault="00904245" w:rsidP="00046A27">
      <w:pPr>
        <w:pStyle w:val="p1"/>
      </w:pPr>
      <w:r w:rsidRPr="00DE2885">
        <w:rPr>
          <w:rStyle w:val="s1"/>
        </w:rPr>
        <w:t xml:space="preserve">Sims-Schouten, W. Thompson, C. and Stittrich-Lyons, H. (2021) ‘Austerity and education: Neoliberalism, resilience, and resistance’, </w:t>
      </w:r>
      <w:r w:rsidRPr="00DE2885">
        <w:rPr>
          <w:rStyle w:val="s2"/>
        </w:rPr>
        <w:t>British Journal of Educational Studies</w:t>
      </w:r>
      <w:r w:rsidRPr="00DE2885">
        <w:rPr>
          <w:rStyle w:val="s1"/>
        </w:rPr>
        <w:t>.</w:t>
      </w:r>
    </w:p>
    <w:p w14:paraId="0FAE34BE" w14:textId="77777777" w:rsidR="00904245" w:rsidRPr="004B4159" w:rsidRDefault="00904245" w:rsidP="005035F2">
      <w:pPr>
        <w:pStyle w:val="p1"/>
      </w:pPr>
      <w:r w:rsidRPr="004B4159">
        <w:rPr>
          <w:rStyle w:val="s1"/>
        </w:rPr>
        <w:t xml:space="preserve">Sirin, S.R. and Rogers-Sirin, L. (2021) ‘The educational and mental health impacts of COVID-19 on children from low-income families’, </w:t>
      </w:r>
      <w:r w:rsidRPr="004B4159">
        <w:rPr>
          <w:rStyle w:val="s2"/>
        </w:rPr>
        <w:t>Child Development Perspectives</w:t>
      </w:r>
      <w:r w:rsidRPr="004B4159">
        <w:rPr>
          <w:rStyle w:val="s1"/>
        </w:rPr>
        <w:t xml:space="preserve">. </w:t>
      </w:r>
    </w:p>
    <w:p w14:paraId="292A0F27" w14:textId="77777777" w:rsidR="00904245" w:rsidRPr="0070575C" w:rsidRDefault="00904245" w:rsidP="005035F2">
      <w:pPr>
        <w:pStyle w:val="p1"/>
      </w:pPr>
      <w:r w:rsidRPr="0070575C">
        <w:rPr>
          <w:rStyle w:val="s1"/>
        </w:rPr>
        <w:t xml:space="preserve">Thomson, P. (2023) ‘Poverty, schooling and the limits of aspiration’, </w:t>
      </w:r>
      <w:r w:rsidRPr="0070575C">
        <w:rPr>
          <w:rStyle w:val="s2"/>
        </w:rPr>
        <w:t>Educational Review</w:t>
      </w:r>
      <w:r w:rsidRPr="0070575C">
        <w:rPr>
          <w:rStyle w:val="s1"/>
        </w:rPr>
        <w:t xml:space="preserve">. </w:t>
      </w:r>
    </w:p>
    <w:p w14:paraId="4D941280" w14:textId="77777777" w:rsidR="00904245" w:rsidRPr="00DE2885" w:rsidRDefault="00904245">
      <w:pPr>
        <w:pStyle w:val="p1"/>
      </w:pPr>
      <w:r w:rsidRPr="00DE2885">
        <w:rPr>
          <w:rStyle w:val="s1"/>
        </w:rPr>
        <w:t>Tikly, L. (2019) ‘Education for sustainable development in the postcolonial world: Towards a transformative agenda</w:t>
      </w:r>
      <w:r>
        <w:rPr>
          <w:rStyle w:val="s1"/>
        </w:rPr>
        <w:t xml:space="preserve"> for Africa</w:t>
      </w:r>
      <w:r w:rsidRPr="00DE2885">
        <w:rPr>
          <w:rStyle w:val="s1"/>
        </w:rPr>
        <w:t xml:space="preserve">’, </w:t>
      </w:r>
      <w:r>
        <w:rPr>
          <w:rStyle w:val="s2"/>
        </w:rPr>
        <w:t xml:space="preserve">Routledge. </w:t>
      </w:r>
      <w:r w:rsidRPr="00DE2885">
        <w:rPr>
          <w:rStyle w:val="s1"/>
        </w:rPr>
        <w:t xml:space="preserve"> </w:t>
      </w:r>
    </w:p>
    <w:p w14:paraId="44968F58" w14:textId="77777777" w:rsidR="00904245" w:rsidRPr="00DE2885" w:rsidRDefault="00904245" w:rsidP="00046A27">
      <w:pPr>
        <w:pStyle w:val="p1"/>
      </w:pPr>
      <w:r w:rsidRPr="00DE2885">
        <w:rPr>
          <w:rStyle w:val="s1"/>
        </w:rPr>
        <w:t xml:space="preserve">Townsend, P. (1979) </w:t>
      </w:r>
      <w:r w:rsidRPr="00DE2885">
        <w:rPr>
          <w:rStyle w:val="s2"/>
        </w:rPr>
        <w:t>Poverty in the United Kingdom</w:t>
      </w:r>
      <w:r w:rsidRPr="00DE2885">
        <w:rPr>
          <w:rStyle w:val="s1"/>
        </w:rPr>
        <w:t>. Harmondsworth: Penguin.</w:t>
      </w:r>
    </w:p>
    <w:p w14:paraId="5F05EA73" w14:textId="77777777" w:rsidR="00904245" w:rsidRPr="00DE2885" w:rsidRDefault="00904245" w:rsidP="00FE0616">
      <w:pPr>
        <w:pStyle w:val="p1"/>
        <w:rPr>
          <w:rStyle w:val="s1"/>
        </w:rPr>
      </w:pPr>
      <w:r w:rsidRPr="00DE2885">
        <w:rPr>
          <w:rStyle w:val="s1"/>
        </w:rPr>
        <w:t xml:space="preserve">UNESCO (2022) </w:t>
      </w:r>
      <w:r w:rsidRPr="00DE2885">
        <w:rPr>
          <w:rStyle w:val="s2"/>
        </w:rPr>
        <w:t>Global education monitoring report 2022: Education and inequality</w:t>
      </w:r>
      <w:r w:rsidRPr="00DE2885">
        <w:rPr>
          <w:rStyle w:val="s1"/>
        </w:rPr>
        <w:t>. Paris: UNESCO.</w:t>
      </w:r>
      <w:r>
        <w:rPr>
          <w:rStyle w:val="s1"/>
        </w:rPr>
        <w:t xml:space="preserve"> Available at: </w:t>
      </w:r>
      <w:hyperlink r:id="rId12" w:history="1">
        <w:r w:rsidRPr="00C626F6">
          <w:rPr>
            <w:rStyle w:val="Hyperlink"/>
          </w:rPr>
          <w:t>Global education monitoring report 2022: gender report, deepening the debate on those still left behind - UNESCO Digital Library</w:t>
        </w:r>
      </w:hyperlink>
      <w:r>
        <w:t xml:space="preserve">. Last accessed: 19th December 2025. </w:t>
      </w:r>
    </w:p>
    <w:p w14:paraId="0100228F" w14:textId="77777777" w:rsidR="00904245" w:rsidRPr="00DE2885" w:rsidRDefault="00904245" w:rsidP="005035F2">
      <w:pPr>
        <w:pStyle w:val="p1"/>
      </w:pPr>
      <w:r w:rsidRPr="00DE2885">
        <w:rPr>
          <w:rStyle w:val="s1"/>
        </w:rPr>
        <w:t xml:space="preserve">UNESCO (2022) </w:t>
      </w:r>
      <w:r w:rsidRPr="00DE2885">
        <w:rPr>
          <w:rStyle w:val="s2"/>
        </w:rPr>
        <w:t>Reimagining Our Futures Together: A New Social Contract for Education</w:t>
      </w:r>
      <w:r w:rsidRPr="00DE2885">
        <w:rPr>
          <w:rStyle w:val="s1"/>
        </w:rPr>
        <w:t>. Paris: UNESCO.</w:t>
      </w:r>
      <w:r>
        <w:rPr>
          <w:rStyle w:val="s1"/>
        </w:rPr>
        <w:t xml:space="preserve"> Available at: </w:t>
      </w:r>
      <w:hyperlink r:id="rId13" w:history="1">
        <w:r w:rsidRPr="00C626F6">
          <w:rPr>
            <w:rStyle w:val="Hyperlink"/>
          </w:rPr>
          <w:t>Reimagining our futures together: a new social contract for education - UNESCO Digital Library</w:t>
        </w:r>
      </w:hyperlink>
      <w:r>
        <w:t>. Last accessed: 19</w:t>
      </w:r>
      <w:r w:rsidRPr="00C626F6">
        <w:rPr>
          <w:vertAlign w:val="superscript"/>
        </w:rPr>
        <w:t>th</w:t>
      </w:r>
      <w:r>
        <w:t xml:space="preserve"> December 2025. </w:t>
      </w:r>
    </w:p>
    <w:p w14:paraId="7D3A872F" w14:textId="77777777" w:rsidR="00904245" w:rsidRPr="00904245" w:rsidRDefault="00904245" w:rsidP="00904245">
      <w:pPr>
        <w:pStyle w:val="p1"/>
        <w:rPr>
          <w:lang w:val="en-US"/>
        </w:rPr>
      </w:pPr>
      <w:r w:rsidRPr="00904245">
        <w:rPr>
          <w:lang w:val="en-US"/>
        </w:rPr>
        <w:t>UNICEF (2021) Education and inequality. New York: UNICEF.</w:t>
      </w:r>
    </w:p>
    <w:p w14:paraId="496121F7" w14:textId="5FF91D6C" w:rsidR="00904245" w:rsidRPr="00904245" w:rsidRDefault="00904245">
      <w:pPr>
        <w:pStyle w:val="p1"/>
      </w:pPr>
      <w:r w:rsidRPr="00DE2885">
        <w:rPr>
          <w:rStyle w:val="s1"/>
        </w:rPr>
        <w:t xml:space="preserve">UNICEF (2021) </w:t>
      </w:r>
      <w:r w:rsidRPr="00DE2885">
        <w:rPr>
          <w:rStyle w:val="s2"/>
        </w:rPr>
        <w:t>Reimagining Education: A Pathway to Transforming Education Systems</w:t>
      </w:r>
      <w:r w:rsidRPr="00DE2885">
        <w:rPr>
          <w:rStyle w:val="s1"/>
        </w:rPr>
        <w:t>. New York: UNICEF.</w:t>
      </w:r>
      <w:r w:rsidR="007350BE">
        <w:rPr>
          <w:rStyle w:val="s1"/>
        </w:rPr>
        <w:t xml:space="preserve"> </w:t>
      </w:r>
      <w:r>
        <w:rPr>
          <w:rStyle w:val="s1"/>
        </w:rPr>
        <w:t xml:space="preserve">Available at: </w:t>
      </w:r>
      <w:hyperlink r:id="rId14" w:history="1">
        <w:r w:rsidRPr="00D177BE">
          <w:rPr>
            <w:rStyle w:val="Hyperlink"/>
          </w:rPr>
          <w:t>Reimagine education | UNICEF Digital Education</w:t>
        </w:r>
      </w:hyperlink>
      <w:r>
        <w:t xml:space="preserve">. Last </w:t>
      </w:r>
      <w:r w:rsidRPr="00904245">
        <w:t>accessed: 13</w:t>
      </w:r>
      <w:r w:rsidRPr="00904245">
        <w:rPr>
          <w:vertAlign w:val="superscript"/>
        </w:rPr>
        <w:t>th</w:t>
      </w:r>
      <w:r w:rsidRPr="00904245">
        <w:t xml:space="preserve"> December 2025. </w:t>
      </w:r>
    </w:p>
    <w:p w14:paraId="2358323E" w14:textId="68A3D8BC" w:rsidR="0070370D" w:rsidRPr="00904245" w:rsidRDefault="00904245" w:rsidP="00FE0616">
      <w:pPr>
        <w:pStyle w:val="p1"/>
      </w:pPr>
      <w:r w:rsidRPr="00904245">
        <w:rPr>
          <w:rStyle w:val="s1"/>
        </w:rPr>
        <w:t xml:space="preserve">Unterhalter, E. Howell, C. North, A. and Jones, S. (2022) ‘Education, poverty and social justice in a time of crisis’, </w:t>
      </w:r>
      <w:r w:rsidRPr="00904245">
        <w:rPr>
          <w:rStyle w:val="s2"/>
        </w:rPr>
        <w:t>Globalisation, Societies and Education</w:t>
      </w:r>
      <w:r w:rsidRPr="00904245">
        <w:rPr>
          <w:rStyle w:val="s1"/>
        </w:rPr>
        <w:t xml:space="preserve">. </w:t>
      </w:r>
    </w:p>
    <w:sectPr w:rsidR="0070370D" w:rsidRPr="0090424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3C1C4" w14:textId="77777777" w:rsidR="00DF11BB" w:rsidRDefault="00DF11BB" w:rsidP="00925724">
      <w:pPr>
        <w:spacing w:after="0" w:line="240" w:lineRule="auto"/>
      </w:pPr>
      <w:r>
        <w:separator/>
      </w:r>
    </w:p>
  </w:endnote>
  <w:endnote w:type="continuationSeparator" w:id="0">
    <w:p w14:paraId="4D3D4F12" w14:textId="77777777" w:rsidR="00DF11BB" w:rsidRDefault="00DF11BB" w:rsidP="00925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volini">
    <w:charset w:val="00"/>
    <w:family w:val="script"/>
    <w:pitch w:val="variable"/>
    <w:sig w:usb0="A11526FF" w:usb1="8000000A" w:usb2="0001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1004165"/>
      <w:docPartObj>
        <w:docPartGallery w:val="Page Numbers (Bottom of Page)"/>
        <w:docPartUnique/>
      </w:docPartObj>
    </w:sdtPr>
    <w:sdtEndPr/>
    <w:sdtContent>
      <w:p w14:paraId="66F4688F" w14:textId="50BFC622" w:rsidR="002D2E8C" w:rsidRDefault="002D2E8C">
        <w:pPr>
          <w:pStyle w:val="Footer"/>
          <w:jc w:val="right"/>
        </w:pPr>
        <w:r>
          <w:fldChar w:fldCharType="begin"/>
        </w:r>
        <w:r>
          <w:instrText>PAGE   \* MERGEFORMAT</w:instrText>
        </w:r>
        <w:r>
          <w:fldChar w:fldCharType="separate"/>
        </w:r>
        <w:r>
          <w:t>2</w:t>
        </w:r>
        <w:r>
          <w:fldChar w:fldCharType="end"/>
        </w:r>
      </w:p>
    </w:sdtContent>
  </w:sdt>
  <w:p w14:paraId="2F20BF29" w14:textId="77777777" w:rsidR="002D2E8C" w:rsidRDefault="002D2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7CB0A" w14:textId="77777777" w:rsidR="00DF11BB" w:rsidRDefault="00DF11BB" w:rsidP="00925724">
      <w:pPr>
        <w:spacing w:after="0" w:line="240" w:lineRule="auto"/>
      </w:pPr>
      <w:r>
        <w:separator/>
      </w:r>
    </w:p>
  </w:footnote>
  <w:footnote w:type="continuationSeparator" w:id="0">
    <w:p w14:paraId="7362230A" w14:textId="77777777" w:rsidR="00DF11BB" w:rsidRDefault="00DF11BB" w:rsidP="00925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7F646" w14:textId="31D01225" w:rsidR="00925724" w:rsidRPr="008A1809" w:rsidRDefault="00925724">
    <w:pPr>
      <w:pStyle w:val="Header"/>
      <w:rPr>
        <w:rFonts w:ascii="Times New Roman" w:hAnsi="Times New Roman" w:cs="Times New Roman"/>
        <w:sz w:val="16"/>
        <w:szCs w:val="16"/>
      </w:rPr>
    </w:pPr>
    <w:r w:rsidRPr="008A1809">
      <w:rPr>
        <w:rFonts w:ascii="Times New Roman" w:hAnsi="Times New Roman" w:cs="Times New Roman"/>
        <w:b/>
        <w:bCs/>
        <w:sz w:val="16"/>
        <w:szCs w:val="16"/>
        <w:u w:val="single"/>
      </w:rPr>
      <w:t>Journal Article</w:t>
    </w:r>
    <w:r w:rsidR="00F33280" w:rsidRPr="008A1809">
      <w:rPr>
        <w:rFonts w:ascii="Times New Roman" w:hAnsi="Times New Roman" w:cs="Times New Roman"/>
        <w:sz w:val="16"/>
        <w:szCs w:val="16"/>
      </w:rPr>
      <w:tab/>
    </w:r>
    <w:r w:rsidR="00F33280" w:rsidRPr="008A1809">
      <w:rPr>
        <w:rFonts w:ascii="Times New Roman" w:hAnsi="Times New Roman" w:cs="Times New Roman"/>
        <w:sz w:val="16"/>
        <w:szCs w:val="16"/>
      </w:rPr>
      <w:tab/>
    </w:r>
    <w:r w:rsidR="00F33280" w:rsidRPr="008A1809">
      <w:rPr>
        <w:rFonts w:ascii="Times New Roman" w:hAnsi="Times New Roman" w:cs="Times New Roman"/>
        <w:b/>
        <w:bCs/>
        <w:sz w:val="16"/>
        <w:szCs w:val="16"/>
        <w:u w:val="single"/>
      </w:rPr>
      <w:t>Word Count</w:t>
    </w:r>
    <w:r w:rsidR="00F33280" w:rsidRPr="008A1809">
      <w:rPr>
        <w:rFonts w:ascii="Times New Roman" w:hAnsi="Times New Roman" w:cs="Times New Roman"/>
        <w:sz w:val="16"/>
        <w:szCs w:val="16"/>
      </w:rPr>
      <w:t xml:space="preserve"> - </w:t>
    </w:r>
    <w:r w:rsidR="00700EBB">
      <w:rPr>
        <w:rFonts w:ascii="Times New Roman" w:hAnsi="Times New Roman" w:cs="Times New Roman"/>
        <w:sz w:val="16"/>
        <w:szCs w:val="16"/>
      </w:rPr>
      <w:t>4395</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6C56"/>
    <w:multiLevelType w:val="hybridMultilevel"/>
    <w:tmpl w:val="70ACE2EA"/>
    <w:lvl w:ilvl="0" w:tplc="5F5EF8FC">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B0208"/>
    <w:multiLevelType w:val="multilevel"/>
    <w:tmpl w:val="FA8C5C3A"/>
    <w:lvl w:ilvl="0">
      <w:start w:val="4"/>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 w15:restartNumberingAfterBreak="0">
    <w:nsid w:val="076A2A6A"/>
    <w:multiLevelType w:val="hybridMultilevel"/>
    <w:tmpl w:val="4DB0EA16"/>
    <w:lvl w:ilvl="0" w:tplc="E56ACA08">
      <w:start w:val="1"/>
      <w:numFmt w:val="decimal"/>
      <w:lvlText w:val="%1."/>
      <w:lvlJc w:val="left"/>
      <w:pPr>
        <w:ind w:left="840" w:hanging="360"/>
      </w:pPr>
      <w:rPr>
        <w:rFonts w:hint="default"/>
        <w:b/>
        <w:bCs w:val="0"/>
        <w:u w:val="singl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 w15:restartNumberingAfterBreak="0">
    <w:nsid w:val="0A355465"/>
    <w:multiLevelType w:val="hybridMultilevel"/>
    <w:tmpl w:val="76761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E8695D"/>
    <w:multiLevelType w:val="multilevel"/>
    <w:tmpl w:val="FFFFFFFF"/>
    <w:lvl w:ilvl="0">
      <w:start w:val="2"/>
      <w:numFmt w:val="decimal"/>
      <w:lvlText w:val="%1"/>
      <w:lvlJc w:val="left"/>
      <w:pPr>
        <w:ind w:left="360" w:hanging="360"/>
      </w:pPr>
      <w:rPr>
        <w:rFonts w:hint="default"/>
        <w:b w:val="0"/>
        <w:u w:val="none"/>
      </w:rPr>
    </w:lvl>
    <w:lvl w:ilvl="1">
      <w:start w:val="2"/>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720" w:hanging="72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5" w15:restartNumberingAfterBreak="0">
    <w:nsid w:val="23151519"/>
    <w:multiLevelType w:val="multilevel"/>
    <w:tmpl w:val="A89CEAAA"/>
    <w:lvl w:ilvl="0">
      <w:start w:val="3"/>
      <w:numFmt w:val="decimal"/>
      <w:lvlText w:val="%1"/>
      <w:lvlJc w:val="left"/>
      <w:pPr>
        <w:ind w:left="360" w:hanging="360"/>
      </w:pPr>
      <w:rPr>
        <w:rFonts w:hint="default"/>
        <w:u w:val="none"/>
      </w:rPr>
    </w:lvl>
    <w:lvl w:ilvl="1">
      <w:start w:val="3"/>
      <w:numFmt w:val="decimal"/>
      <w:lvlText w:val="%1.%2"/>
      <w:lvlJc w:val="left"/>
      <w:pPr>
        <w:ind w:left="920" w:hanging="360"/>
      </w:pPr>
      <w:rPr>
        <w:rFonts w:hint="default"/>
        <w:b/>
        <w:bCs/>
        <w:u w:val="single"/>
      </w:rPr>
    </w:lvl>
    <w:lvl w:ilvl="2">
      <w:start w:val="1"/>
      <w:numFmt w:val="decimal"/>
      <w:lvlText w:val="%1.%2.%3"/>
      <w:lvlJc w:val="left"/>
      <w:pPr>
        <w:ind w:left="1840" w:hanging="720"/>
      </w:pPr>
      <w:rPr>
        <w:rFonts w:hint="default"/>
        <w:u w:val="none"/>
      </w:rPr>
    </w:lvl>
    <w:lvl w:ilvl="3">
      <w:start w:val="1"/>
      <w:numFmt w:val="decimal"/>
      <w:lvlText w:val="%1.%2.%3.%4"/>
      <w:lvlJc w:val="left"/>
      <w:pPr>
        <w:ind w:left="2400" w:hanging="720"/>
      </w:pPr>
      <w:rPr>
        <w:rFonts w:hint="default"/>
        <w:u w:val="none"/>
      </w:rPr>
    </w:lvl>
    <w:lvl w:ilvl="4">
      <w:start w:val="1"/>
      <w:numFmt w:val="decimal"/>
      <w:lvlText w:val="%1.%2.%3.%4.%5"/>
      <w:lvlJc w:val="left"/>
      <w:pPr>
        <w:ind w:left="2960" w:hanging="720"/>
      </w:pPr>
      <w:rPr>
        <w:rFonts w:hint="default"/>
        <w:u w:val="none"/>
      </w:rPr>
    </w:lvl>
    <w:lvl w:ilvl="5">
      <w:start w:val="1"/>
      <w:numFmt w:val="decimal"/>
      <w:lvlText w:val="%1.%2.%3.%4.%5.%6"/>
      <w:lvlJc w:val="left"/>
      <w:pPr>
        <w:ind w:left="3880" w:hanging="1080"/>
      </w:pPr>
      <w:rPr>
        <w:rFonts w:hint="default"/>
        <w:u w:val="none"/>
      </w:rPr>
    </w:lvl>
    <w:lvl w:ilvl="6">
      <w:start w:val="1"/>
      <w:numFmt w:val="decimal"/>
      <w:lvlText w:val="%1.%2.%3.%4.%5.%6.%7"/>
      <w:lvlJc w:val="left"/>
      <w:pPr>
        <w:ind w:left="4440" w:hanging="1080"/>
      </w:pPr>
      <w:rPr>
        <w:rFonts w:hint="default"/>
        <w:u w:val="none"/>
      </w:rPr>
    </w:lvl>
    <w:lvl w:ilvl="7">
      <w:start w:val="1"/>
      <w:numFmt w:val="decimal"/>
      <w:lvlText w:val="%1.%2.%3.%4.%5.%6.%7.%8"/>
      <w:lvlJc w:val="left"/>
      <w:pPr>
        <w:ind w:left="5360" w:hanging="1440"/>
      </w:pPr>
      <w:rPr>
        <w:rFonts w:hint="default"/>
        <w:u w:val="none"/>
      </w:rPr>
    </w:lvl>
    <w:lvl w:ilvl="8">
      <w:start w:val="1"/>
      <w:numFmt w:val="decimal"/>
      <w:lvlText w:val="%1.%2.%3.%4.%5.%6.%7.%8.%9"/>
      <w:lvlJc w:val="left"/>
      <w:pPr>
        <w:ind w:left="5920" w:hanging="1440"/>
      </w:pPr>
      <w:rPr>
        <w:rFonts w:hint="default"/>
        <w:u w:val="none"/>
      </w:rPr>
    </w:lvl>
  </w:abstractNum>
  <w:abstractNum w:abstractNumId="6" w15:restartNumberingAfterBreak="0">
    <w:nsid w:val="31E4355A"/>
    <w:multiLevelType w:val="hybridMultilevel"/>
    <w:tmpl w:val="1BF299A8"/>
    <w:lvl w:ilvl="0" w:tplc="1FEAA2F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8F146D"/>
    <w:multiLevelType w:val="hybridMultilevel"/>
    <w:tmpl w:val="66983292"/>
    <w:lvl w:ilvl="0" w:tplc="73E6B39A">
      <w:start w:val="2"/>
      <w:numFmt w:val="decimal"/>
      <w:lvlText w:val="%1."/>
      <w:lvlJc w:val="left"/>
      <w:pPr>
        <w:ind w:left="720" w:hanging="360"/>
      </w:pPr>
      <w:rPr>
        <w:rFonts w:ascii="Cavolini" w:hAnsi="Cavolini" w:cs="Cavolini" w:hint="default"/>
        <w:b/>
        <w:bCs/>
        <w:i w:val="0"/>
        <w:iCs w:val="0"/>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292818"/>
    <w:multiLevelType w:val="hybridMultilevel"/>
    <w:tmpl w:val="A1664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D82CA2"/>
    <w:multiLevelType w:val="multilevel"/>
    <w:tmpl w:val="F17476CA"/>
    <w:lvl w:ilvl="0">
      <w:start w:val="1"/>
      <w:numFmt w:val="decimal"/>
      <w:lvlText w:val="%1."/>
      <w:lvlJc w:val="left"/>
      <w:pPr>
        <w:ind w:left="720" w:hanging="360"/>
      </w:pPr>
      <w:rPr>
        <w:rFonts w:ascii="Cavolini" w:hAnsi="Cavolini" w:cs="Cavolini" w:hint="default"/>
        <w:b/>
        <w:bCs/>
        <w:i w:val="0"/>
        <w:iCs w:val="0"/>
        <w:sz w:val="18"/>
        <w:szCs w:val="18"/>
        <w:u w:val="single"/>
      </w:rPr>
    </w:lvl>
    <w:lvl w:ilvl="1">
      <w:start w:val="2"/>
      <w:numFmt w:val="decimal"/>
      <w:isLgl/>
      <w:lvlText w:val="%1.%2"/>
      <w:lvlJc w:val="left"/>
      <w:pPr>
        <w:ind w:left="720" w:hanging="360"/>
      </w:pPr>
      <w:rPr>
        <w:rFonts w:hint="default"/>
        <w:b/>
        <w:bCs/>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56605FCA"/>
    <w:multiLevelType w:val="hybridMultilevel"/>
    <w:tmpl w:val="1AEAE13A"/>
    <w:lvl w:ilvl="0" w:tplc="8ABCD63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1378AD"/>
    <w:multiLevelType w:val="hybridMultilevel"/>
    <w:tmpl w:val="7D4AEB6C"/>
    <w:lvl w:ilvl="0" w:tplc="58DC87D6">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213E97"/>
    <w:multiLevelType w:val="hybridMultilevel"/>
    <w:tmpl w:val="EB247AAA"/>
    <w:lvl w:ilvl="0" w:tplc="9A2639BA">
      <w:start w:val="1"/>
      <w:numFmt w:val="decimal"/>
      <w:lvlText w:val="%1."/>
      <w:lvlJc w:val="left"/>
      <w:pPr>
        <w:ind w:left="420" w:hanging="360"/>
      </w:pPr>
      <w:rPr>
        <w:rFonts w:hint="default"/>
        <w:b/>
        <w:u w:val="singl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16cid:durableId="2070493405">
    <w:abstractNumId w:val="9"/>
  </w:num>
  <w:num w:numId="2" w16cid:durableId="1616642158">
    <w:abstractNumId w:val="7"/>
  </w:num>
  <w:num w:numId="3" w16cid:durableId="1736277359">
    <w:abstractNumId w:val="4"/>
  </w:num>
  <w:num w:numId="4" w16cid:durableId="201748654">
    <w:abstractNumId w:val="5"/>
  </w:num>
  <w:num w:numId="5" w16cid:durableId="361789274">
    <w:abstractNumId w:val="1"/>
  </w:num>
  <w:num w:numId="6" w16cid:durableId="162598143">
    <w:abstractNumId w:val="8"/>
  </w:num>
  <w:num w:numId="7" w16cid:durableId="503667695">
    <w:abstractNumId w:val="3"/>
  </w:num>
  <w:num w:numId="8" w16cid:durableId="1557163239">
    <w:abstractNumId w:val="0"/>
  </w:num>
  <w:num w:numId="9" w16cid:durableId="442382596">
    <w:abstractNumId w:val="6"/>
  </w:num>
  <w:num w:numId="10" w16cid:durableId="1155685473">
    <w:abstractNumId w:val="10"/>
  </w:num>
  <w:num w:numId="11" w16cid:durableId="914823063">
    <w:abstractNumId w:val="11"/>
  </w:num>
  <w:num w:numId="12" w16cid:durableId="1763792483">
    <w:abstractNumId w:val="12"/>
  </w:num>
  <w:num w:numId="13" w16cid:durableId="20326845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EF8"/>
    <w:rsid w:val="000064CA"/>
    <w:rsid w:val="00017EC2"/>
    <w:rsid w:val="0002450C"/>
    <w:rsid w:val="00044D5C"/>
    <w:rsid w:val="00045B29"/>
    <w:rsid w:val="00045C57"/>
    <w:rsid w:val="00045C89"/>
    <w:rsid w:val="00046A27"/>
    <w:rsid w:val="00061654"/>
    <w:rsid w:val="0006525F"/>
    <w:rsid w:val="00066EAE"/>
    <w:rsid w:val="00081D1D"/>
    <w:rsid w:val="000854FC"/>
    <w:rsid w:val="0008599E"/>
    <w:rsid w:val="00096848"/>
    <w:rsid w:val="000A7048"/>
    <w:rsid w:val="000B03DB"/>
    <w:rsid w:val="000B4B9B"/>
    <w:rsid w:val="000D054F"/>
    <w:rsid w:val="000D46DF"/>
    <w:rsid w:val="000E155B"/>
    <w:rsid w:val="000F6559"/>
    <w:rsid w:val="001001CA"/>
    <w:rsid w:val="00115C0F"/>
    <w:rsid w:val="00115F2F"/>
    <w:rsid w:val="0012012D"/>
    <w:rsid w:val="0012084D"/>
    <w:rsid w:val="00125C84"/>
    <w:rsid w:val="00141DE8"/>
    <w:rsid w:val="001517A7"/>
    <w:rsid w:val="00162C26"/>
    <w:rsid w:val="0017432E"/>
    <w:rsid w:val="00174CDD"/>
    <w:rsid w:val="0017563D"/>
    <w:rsid w:val="0018791F"/>
    <w:rsid w:val="00196CD3"/>
    <w:rsid w:val="001A4C39"/>
    <w:rsid w:val="001A59E3"/>
    <w:rsid w:val="001B272A"/>
    <w:rsid w:val="001C29F4"/>
    <w:rsid w:val="001D35B5"/>
    <w:rsid w:val="001D4E57"/>
    <w:rsid w:val="001E356F"/>
    <w:rsid w:val="001F0C72"/>
    <w:rsid w:val="001F376E"/>
    <w:rsid w:val="002064AC"/>
    <w:rsid w:val="002107BD"/>
    <w:rsid w:val="002173FD"/>
    <w:rsid w:val="0022360E"/>
    <w:rsid w:val="002753D9"/>
    <w:rsid w:val="00277278"/>
    <w:rsid w:val="00281E71"/>
    <w:rsid w:val="00290BC8"/>
    <w:rsid w:val="0029169F"/>
    <w:rsid w:val="002A149C"/>
    <w:rsid w:val="002A1AF7"/>
    <w:rsid w:val="002B0181"/>
    <w:rsid w:val="002B168A"/>
    <w:rsid w:val="002B6482"/>
    <w:rsid w:val="002C4B54"/>
    <w:rsid w:val="002D0585"/>
    <w:rsid w:val="002D16C9"/>
    <w:rsid w:val="002D23E8"/>
    <w:rsid w:val="002D275E"/>
    <w:rsid w:val="002D2E8C"/>
    <w:rsid w:val="002E319C"/>
    <w:rsid w:val="002F5DCD"/>
    <w:rsid w:val="003010D5"/>
    <w:rsid w:val="003019F7"/>
    <w:rsid w:val="00314323"/>
    <w:rsid w:val="00316B7D"/>
    <w:rsid w:val="00335319"/>
    <w:rsid w:val="00336348"/>
    <w:rsid w:val="003364AB"/>
    <w:rsid w:val="00354617"/>
    <w:rsid w:val="003578D0"/>
    <w:rsid w:val="003622B8"/>
    <w:rsid w:val="0036774A"/>
    <w:rsid w:val="00367A6C"/>
    <w:rsid w:val="003710BD"/>
    <w:rsid w:val="0039270E"/>
    <w:rsid w:val="003934F9"/>
    <w:rsid w:val="003A0E2D"/>
    <w:rsid w:val="003D1B54"/>
    <w:rsid w:val="003D6FE7"/>
    <w:rsid w:val="003D7DE6"/>
    <w:rsid w:val="003E240A"/>
    <w:rsid w:val="003E7AE2"/>
    <w:rsid w:val="003F6AAF"/>
    <w:rsid w:val="003F7BB9"/>
    <w:rsid w:val="00411A6C"/>
    <w:rsid w:val="0042585E"/>
    <w:rsid w:val="004258F4"/>
    <w:rsid w:val="00437BA3"/>
    <w:rsid w:val="0044689F"/>
    <w:rsid w:val="00446E5E"/>
    <w:rsid w:val="0045229D"/>
    <w:rsid w:val="0045269C"/>
    <w:rsid w:val="00457983"/>
    <w:rsid w:val="00457FB5"/>
    <w:rsid w:val="004613AE"/>
    <w:rsid w:val="00463B96"/>
    <w:rsid w:val="00464B75"/>
    <w:rsid w:val="004727AB"/>
    <w:rsid w:val="004734B2"/>
    <w:rsid w:val="0048078A"/>
    <w:rsid w:val="00482ECB"/>
    <w:rsid w:val="00483CAE"/>
    <w:rsid w:val="004B1F77"/>
    <w:rsid w:val="004B28ED"/>
    <w:rsid w:val="004B4159"/>
    <w:rsid w:val="004D4D9B"/>
    <w:rsid w:val="004F1C30"/>
    <w:rsid w:val="005035F2"/>
    <w:rsid w:val="00510B06"/>
    <w:rsid w:val="00511776"/>
    <w:rsid w:val="00515E41"/>
    <w:rsid w:val="00525321"/>
    <w:rsid w:val="00536B53"/>
    <w:rsid w:val="0053777A"/>
    <w:rsid w:val="00546D54"/>
    <w:rsid w:val="005505B9"/>
    <w:rsid w:val="005577AA"/>
    <w:rsid w:val="0056620B"/>
    <w:rsid w:val="0057243E"/>
    <w:rsid w:val="005864C8"/>
    <w:rsid w:val="005B01E3"/>
    <w:rsid w:val="005C1E7B"/>
    <w:rsid w:val="005C2D1F"/>
    <w:rsid w:val="005C51A6"/>
    <w:rsid w:val="005D3543"/>
    <w:rsid w:val="005E5145"/>
    <w:rsid w:val="005E6D62"/>
    <w:rsid w:val="00601D21"/>
    <w:rsid w:val="00605918"/>
    <w:rsid w:val="00612F75"/>
    <w:rsid w:val="006145AB"/>
    <w:rsid w:val="006166A5"/>
    <w:rsid w:val="00622D98"/>
    <w:rsid w:val="00661FCA"/>
    <w:rsid w:val="0067145B"/>
    <w:rsid w:val="006A0839"/>
    <w:rsid w:val="006B2DC8"/>
    <w:rsid w:val="006C311F"/>
    <w:rsid w:val="006D3539"/>
    <w:rsid w:val="006D5F30"/>
    <w:rsid w:val="006E79BA"/>
    <w:rsid w:val="00700EBB"/>
    <w:rsid w:val="0070370D"/>
    <w:rsid w:val="0070575C"/>
    <w:rsid w:val="00707DDE"/>
    <w:rsid w:val="00717406"/>
    <w:rsid w:val="007219BC"/>
    <w:rsid w:val="00724FBB"/>
    <w:rsid w:val="00730994"/>
    <w:rsid w:val="007324DC"/>
    <w:rsid w:val="007350BE"/>
    <w:rsid w:val="0073673C"/>
    <w:rsid w:val="00742764"/>
    <w:rsid w:val="0074636A"/>
    <w:rsid w:val="007518DF"/>
    <w:rsid w:val="00782B3D"/>
    <w:rsid w:val="00786078"/>
    <w:rsid w:val="00786CDA"/>
    <w:rsid w:val="00793DFF"/>
    <w:rsid w:val="007A0D36"/>
    <w:rsid w:val="007A16E9"/>
    <w:rsid w:val="007B4895"/>
    <w:rsid w:val="007C6020"/>
    <w:rsid w:val="007E4925"/>
    <w:rsid w:val="007F1030"/>
    <w:rsid w:val="0080332F"/>
    <w:rsid w:val="008127FA"/>
    <w:rsid w:val="00814E12"/>
    <w:rsid w:val="0083292F"/>
    <w:rsid w:val="00852060"/>
    <w:rsid w:val="00854187"/>
    <w:rsid w:val="00855A93"/>
    <w:rsid w:val="008615FB"/>
    <w:rsid w:val="00861609"/>
    <w:rsid w:val="008740FE"/>
    <w:rsid w:val="0087599B"/>
    <w:rsid w:val="0087695E"/>
    <w:rsid w:val="0088645C"/>
    <w:rsid w:val="008A1809"/>
    <w:rsid w:val="008B681B"/>
    <w:rsid w:val="008D1B31"/>
    <w:rsid w:val="008F008F"/>
    <w:rsid w:val="00904245"/>
    <w:rsid w:val="00907E8B"/>
    <w:rsid w:val="0091370C"/>
    <w:rsid w:val="0092456E"/>
    <w:rsid w:val="00924BAB"/>
    <w:rsid w:val="00925724"/>
    <w:rsid w:val="00933C67"/>
    <w:rsid w:val="00943423"/>
    <w:rsid w:val="00956EA2"/>
    <w:rsid w:val="0096539E"/>
    <w:rsid w:val="0098493C"/>
    <w:rsid w:val="009851E5"/>
    <w:rsid w:val="00995119"/>
    <w:rsid w:val="00996792"/>
    <w:rsid w:val="009A2C04"/>
    <w:rsid w:val="009B7B28"/>
    <w:rsid w:val="009C3280"/>
    <w:rsid w:val="009C4FF5"/>
    <w:rsid w:val="009C6205"/>
    <w:rsid w:val="009D560E"/>
    <w:rsid w:val="009D6EE0"/>
    <w:rsid w:val="009E27B8"/>
    <w:rsid w:val="009E43C8"/>
    <w:rsid w:val="009F1919"/>
    <w:rsid w:val="009F6133"/>
    <w:rsid w:val="00A137B8"/>
    <w:rsid w:val="00A3489D"/>
    <w:rsid w:val="00A52659"/>
    <w:rsid w:val="00A55AA6"/>
    <w:rsid w:val="00A627C2"/>
    <w:rsid w:val="00A63584"/>
    <w:rsid w:val="00A7354D"/>
    <w:rsid w:val="00A80536"/>
    <w:rsid w:val="00A9535F"/>
    <w:rsid w:val="00AA29B2"/>
    <w:rsid w:val="00AA5933"/>
    <w:rsid w:val="00AB2F5F"/>
    <w:rsid w:val="00AC19C7"/>
    <w:rsid w:val="00AE1265"/>
    <w:rsid w:val="00AF5E95"/>
    <w:rsid w:val="00AF5F94"/>
    <w:rsid w:val="00B01760"/>
    <w:rsid w:val="00B21274"/>
    <w:rsid w:val="00B22437"/>
    <w:rsid w:val="00B51661"/>
    <w:rsid w:val="00B52D59"/>
    <w:rsid w:val="00B6002E"/>
    <w:rsid w:val="00B73981"/>
    <w:rsid w:val="00B87B84"/>
    <w:rsid w:val="00B911BD"/>
    <w:rsid w:val="00B96D61"/>
    <w:rsid w:val="00BB5362"/>
    <w:rsid w:val="00BB6566"/>
    <w:rsid w:val="00BD1702"/>
    <w:rsid w:val="00BF2AB9"/>
    <w:rsid w:val="00C10059"/>
    <w:rsid w:val="00C2142D"/>
    <w:rsid w:val="00C2215F"/>
    <w:rsid w:val="00C30271"/>
    <w:rsid w:val="00C35641"/>
    <w:rsid w:val="00C43543"/>
    <w:rsid w:val="00C5122F"/>
    <w:rsid w:val="00C5305A"/>
    <w:rsid w:val="00C536FD"/>
    <w:rsid w:val="00C60D21"/>
    <w:rsid w:val="00C626F6"/>
    <w:rsid w:val="00C6356C"/>
    <w:rsid w:val="00C70B4F"/>
    <w:rsid w:val="00C733A5"/>
    <w:rsid w:val="00C81305"/>
    <w:rsid w:val="00C87F6C"/>
    <w:rsid w:val="00CA10F9"/>
    <w:rsid w:val="00CA2DE7"/>
    <w:rsid w:val="00CB05A5"/>
    <w:rsid w:val="00CC2082"/>
    <w:rsid w:val="00CC26E3"/>
    <w:rsid w:val="00CD2B2B"/>
    <w:rsid w:val="00CE1098"/>
    <w:rsid w:val="00D039E3"/>
    <w:rsid w:val="00D177BE"/>
    <w:rsid w:val="00D321B8"/>
    <w:rsid w:val="00D3319A"/>
    <w:rsid w:val="00D46CD5"/>
    <w:rsid w:val="00D61F08"/>
    <w:rsid w:val="00D74CF6"/>
    <w:rsid w:val="00D75415"/>
    <w:rsid w:val="00DA40F4"/>
    <w:rsid w:val="00DC23CF"/>
    <w:rsid w:val="00DC61B2"/>
    <w:rsid w:val="00DD1291"/>
    <w:rsid w:val="00DE0394"/>
    <w:rsid w:val="00DE2885"/>
    <w:rsid w:val="00DF11BB"/>
    <w:rsid w:val="00E01039"/>
    <w:rsid w:val="00E04BA2"/>
    <w:rsid w:val="00E1015D"/>
    <w:rsid w:val="00E13B6D"/>
    <w:rsid w:val="00E16AB3"/>
    <w:rsid w:val="00E177B7"/>
    <w:rsid w:val="00E24403"/>
    <w:rsid w:val="00E319C8"/>
    <w:rsid w:val="00E32DB5"/>
    <w:rsid w:val="00E43E9D"/>
    <w:rsid w:val="00E63ADB"/>
    <w:rsid w:val="00E677A7"/>
    <w:rsid w:val="00E742B9"/>
    <w:rsid w:val="00E74A36"/>
    <w:rsid w:val="00E8195B"/>
    <w:rsid w:val="00E93AF5"/>
    <w:rsid w:val="00EA474E"/>
    <w:rsid w:val="00ED462E"/>
    <w:rsid w:val="00EF0974"/>
    <w:rsid w:val="00EF2121"/>
    <w:rsid w:val="00F00217"/>
    <w:rsid w:val="00F01E19"/>
    <w:rsid w:val="00F17C2C"/>
    <w:rsid w:val="00F22A6D"/>
    <w:rsid w:val="00F33280"/>
    <w:rsid w:val="00F439C2"/>
    <w:rsid w:val="00F46C03"/>
    <w:rsid w:val="00F56EF8"/>
    <w:rsid w:val="00F64159"/>
    <w:rsid w:val="00F92BA7"/>
    <w:rsid w:val="00FB3F6D"/>
    <w:rsid w:val="00FB595E"/>
    <w:rsid w:val="00FB59E0"/>
    <w:rsid w:val="00FC37F3"/>
    <w:rsid w:val="00FD7649"/>
    <w:rsid w:val="00FE0616"/>
    <w:rsid w:val="00FE067E"/>
    <w:rsid w:val="00FE1983"/>
    <w:rsid w:val="00FE4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5D9B2"/>
  <w15:chartTrackingRefBased/>
  <w15:docId w15:val="{E7BFEE7A-D0D3-3249-AD97-3EC4B5A6A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E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6E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E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E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E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E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E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E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E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E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E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E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E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E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E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E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E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EF8"/>
    <w:rPr>
      <w:rFonts w:eastAsiaTheme="majorEastAsia" w:cstheme="majorBidi"/>
      <w:color w:val="272727" w:themeColor="text1" w:themeTint="D8"/>
    </w:rPr>
  </w:style>
  <w:style w:type="paragraph" w:styleId="Title">
    <w:name w:val="Title"/>
    <w:basedOn w:val="Normal"/>
    <w:next w:val="Normal"/>
    <w:link w:val="TitleChar"/>
    <w:uiPriority w:val="10"/>
    <w:qFormat/>
    <w:rsid w:val="00F5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E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E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E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EF8"/>
    <w:pPr>
      <w:spacing w:before="160"/>
      <w:jc w:val="center"/>
    </w:pPr>
    <w:rPr>
      <w:i/>
      <w:iCs/>
      <w:color w:val="404040" w:themeColor="text1" w:themeTint="BF"/>
    </w:rPr>
  </w:style>
  <w:style w:type="character" w:customStyle="1" w:styleId="QuoteChar">
    <w:name w:val="Quote Char"/>
    <w:basedOn w:val="DefaultParagraphFont"/>
    <w:link w:val="Quote"/>
    <w:uiPriority w:val="29"/>
    <w:rsid w:val="00F56EF8"/>
    <w:rPr>
      <w:i/>
      <w:iCs/>
      <w:color w:val="404040" w:themeColor="text1" w:themeTint="BF"/>
    </w:rPr>
  </w:style>
  <w:style w:type="paragraph" w:styleId="ListParagraph">
    <w:name w:val="List Paragraph"/>
    <w:basedOn w:val="Normal"/>
    <w:uiPriority w:val="34"/>
    <w:qFormat/>
    <w:rsid w:val="00F56EF8"/>
    <w:pPr>
      <w:ind w:left="720"/>
      <w:contextualSpacing/>
    </w:pPr>
  </w:style>
  <w:style w:type="character" w:styleId="IntenseEmphasis">
    <w:name w:val="Intense Emphasis"/>
    <w:basedOn w:val="DefaultParagraphFont"/>
    <w:uiPriority w:val="21"/>
    <w:qFormat/>
    <w:rsid w:val="00F56EF8"/>
    <w:rPr>
      <w:i/>
      <w:iCs/>
      <w:color w:val="0F4761" w:themeColor="accent1" w:themeShade="BF"/>
    </w:rPr>
  </w:style>
  <w:style w:type="paragraph" w:styleId="IntenseQuote">
    <w:name w:val="Intense Quote"/>
    <w:basedOn w:val="Normal"/>
    <w:next w:val="Normal"/>
    <w:link w:val="IntenseQuoteChar"/>
    <w:uiPriority w:val="30"/>
    <w:qFormat/>
    <w:rsid w:val="00F5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EF8"/>
    <w:rPr>
      <w:i/>
      <w:iCs/>
      <w:color w:val="0F4761" w:themeColor="accent1" w:themeShade="BF"/>
    </w:rPr>
  </w:style>
  <w:style w:type="character" w:styleId="IntenseReference">
    <w:name w:val="Intense Reference"/>
    <w:basedOn w:val="DefaultParagraphFont"/>
    <w:uiPriority w:val="32"/>
    <w:qFormat/>
    <w:rsid w:val="00F56EF8"/>
    <w:rPr>
      <w:b/>
      <w:bCs/>
      <w:smallCaps/>
      <w:color w:val="0F4761" w:themeColor="accent1" w:themeShade="BF"/>
      <w:spacing w:val="5"/>
    </w:rPr>
  </w:style>
  <w:style w:type="character" w:customStyle="1" w:styleId="s1">
    <w:name w:val="s1"/>
    <w:basedOn w:val="DefaultParagraphFont"/>
    <w:rsid w:val="00F56EF8"/>
  </w:style>
  <w:style w:type="paragraph" w:customStyle="1" w:styleId="p2">
    <w:name w:val="p2"/>
    <w:basedOn w:val="Normal"/>
    <w:rsid w:val="00F56EF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F56EF8"/>
  </w:style>
  <w:style w:type="paragraph" w:customStyle="1" w:styleId="p3">
    <w:name w:val="p3"/>
    <w:basedOn w:val="Normal"/>
    <w:rsid w:val="00F56EF8"/>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F56EF8"/>
  </w:style>
  <w:style w:type="paragraph" w:styleId="Header">
    <w:name w:val="header"/>
    <w:basedOn w:val="Normal"/>
    <w:link w:val="HeaderChar"/>
    <w:uiPriority w:val="99"/>
    <w:unhideWhenUsed/>
    <w:rsid w:val="00925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724"/>
  </w:style>
  <w:style w:type="paragraph" w:styleId="Footer">
    <w:name w:val="footer"/>
    <w:basedOn w:val="Normal"/>
    <w:link w:val="FooterChar"/>
    <w:uiPriority w:val="99"/>
    <w:unhideWhenUsed/>
    <w:rsid w:val="00925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724"/>
  </w:style>
  <w:style w:type="paragraph" w:customStyle="1" w:styleId="p1">
    <w:name w:val="p1"/>
    <w:basedOn w:val="Normal"/>
    <w:rsid w:val="00141DE8"/>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70370D"/>
    <w:rPr>
      <w:color w:val="467886" w:themeColor="hyperlink"/>
      <w:u w:val="single"/>
    </w:rPr>
  </w:style>
  <w:style w:type="character" w:styleId="UnresolvedMention">
    <w:name w:val="Unresolved Mention"/>
    <w:basedOn w:val="DefaultParagraphFont"/>
    <w:uiPriority w:val="99"/>
    <w:semiHidden/>
    <w:unhideWhenUsed/>
    <w:rsid w:val="0070370D"/>
    <w:rPr>
      <w:color w:val="605E5C"/>
      <w:shd w:val="clear" w:color="auto" w:fill="E1DFDD"/>
    </w:rPr>
  </w:style>
  <w:style w:type="character" w:styleId="FollowedHyperlink">
    <w:name w:val="FollowedHyperlink"/>
    <w:basedOn w:val="DefaultParagraphFont"/>
    <w:uiPriority w:val="99"/>
    <w:semiHidden/>
    <w:unhideWhenUsed/>
    <w:rsid w:val="005B01E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O5uGEAAAQBAJ&amp;oi=fnd&amp;pg=PA81&amp;dq=Bourdieu,+P.+(1986)+%E2%80%98The+forms+of+capital%E2%80%99,+in+Richardson,+J.+(ed.)+Handbook+of+theory+and+research+for+the+sociology+of+education.+&amp;ots=64CwD2zYNq&amp;sig=IzOw-s5kiDpOL3_5E7NC38CWhXQ&amp;redir_esc=y" TargetMode="External"/><Relationship Id="rId13" Type="http://schemas.openxmlformats.org/officeDocument/2006/relationships/hyperlink" Target="https://unesdoc.unesco.org/ark:/48223/pf0000379707.locale=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nesdoc.unesco.org/ark:/48223/pf000038132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ecd.org/en/publications/2023/09/education-at-a-glance-2023_581c9602.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oecd.org/content/dam/oecd/en/publications/reports/2021/09/the-state-of-global-education_f3f08b36/1a23bb23-en.pdf"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oecd.org/en/publications/2021/09/education-at-a-glance-2021_dd45f55e.html" TargetMode="External"/><Relationship Id="rId14" Type="http://schemas.openxmlformats.org/officeDocument/2006/relationships/hyperlink" Target="https://www.unicef.org/digitaleducation/reimagin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20</Pages>
  <Words>6382</Words>
  <Characters>36379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Pughsley (Awel Y Mor Primary School)</dc:creator>
  <cp:keywords/>
  <dc:description/>
  <cp:lastModifiedBy>C Pughsley (Awel Y Mor Primary School)</cp:lastModifiedBy>
  <cp:revision>67</cp:revision>
  <dcterms:created xsi:type="dcterms:W3CDTF">2026-01-18T11:58:00Z</dcterms:created>
  <dcterms:modified xsi:type="dcterms:W3CDTF">2026-01-18T16:36:00Z</dcterms:modified>
</cp:coreProperties>
</file>