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4ACDA" w14:textId="6ED04E49" w:rsidR="00511335" w:rsidRDefault="00511335" w:rsidP="00511335">
      <w:pPr>
        <w:spacing w:after="80" w:line="360" w:lineRule="auto"/>
        <w:jc w:val="center"/>
        <w:rPr>
          <w:b/>
          <w:bCs/>
          <w:color w:val="1F3864"/>
          <w:sz w:val="24"/>
          <w:szCs w:val="24"/>
        </w:rPr>
      </w:pPr>
      <w:r>
        <w:rPr>
          <w:noProof/>
        </w:rPr>
        <w:drawing>
          <wp:inline distT="0" distB="0" distL="0" distR="0" wp14:anchorId="48583D48" wp14:editId="7C33C93F">
            <wp:extent cx="1816670" cy="600075"/>
            <wp:effectExtent l="0" t="0" r="0" b="0"/>
            <wp:docPr id="796182951"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0CB8C3FA" w14:textId="77777777" w:rsidR="00511335" w:rsidRPr="00511335" w:rsidRDefault="00511335" w:rsidP="00511335">
      <w:pPr>
        <w:spacing w:after="80" w:line="360" w:lineRule="auto"/>
        <w:jc w:val="center"/>
        <w:rPr>
          <w:b/>
          <w:bCs/>
          <w:sz w:val="28"/>
          <w:szCs w:val="28"/>
        </w:rPr>
      </w:pPr>
      <w:r w:rsidRPr="00511335">
        <w:rPr>
          <w:b/>
          <w:bCs/>
          <w:sz w:val="28"/>
          <w:szCs w:val="28"/>
        </w:rPr>
        <w:t>Designing a Human Capital Architecture for Strategic Renewal</w:t>
      </w:r>
    </w:p>
    <w:p w14:paraId="77C2F187" w14:textId="53197550" w:rsidR="00511335" w:rsidRPr="00511335" w:rsidRDefault="00511335" w:rsidP="00511335">
      <w:pPr>
        <w:spacing w:after="80" w:line="360" w:lineRule="auto"/>
        <w:jc w:val="center"/>
        <w:rPr>
          <w:b/>
          <w:bCs/>
          <w:sz w:val="28"/>
          <w:szCs w:val="28"/>
        </w:rPr>
      </w:pPr>
      <w:r w:rsidRPr="00511335">
        <w:rPr>
          <w:b/>
          <w:bCs/>
          <w:i/>
          <w:iCs/>
          <w:sz w:val="28"/>
          <w:szCs w:val="28"/>
        </w:rPr>
        <w:t>Helios Urban Mobility (HUM) - Strategic Human Capital Advisory Report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752"/>
        <w:gridCol w:w="2753"/>
        <w:gridCol w:w="1896"/>
        <w:gridCol w:w="1895"/>
      </w:tblGrid>
      <w:tr w:rsidR="00D74550" w:rsidRPr="00511335" w14:paraId="17D01E32" w14:textId="77777777" w:rsidTr="00511335">
        <w:trPr>
          <w:trHeight w:val="791"/>
        </w:trPr>
        <w:tc>
          <w:tcPr>
            <w:tcW w:w="1056" w:type="pct"/>
          </w:tcPr>
          <w:p w14:paraId="220E5583" w14:textId="77777777" w:rsidR="00D74550" w:rsidRPr="00511335" w:rsidRDefault="00D74550" w:rsidP="00D74550">
            <w:pPr>
              <w:widowControl w:val="0"/>
              <w:autoSpaceDE w:val="0"/>
              <w:autoSpaceDN w:val="0"/>
              <w:spacing w:before="259"/>
              <w:ind w:left="107"/>
              <w:rPr>
                <w:rFonts w:ascii="Arial" w:eastAsia="Arial MT" w:hAnsi="Arial MT" w:cs="Arial MT"/>
                <w:b/>
                <w:sz w:val="24"/>
                <w:szCs w:val="22"/>
              </w:rPr>
            </w:pPr>
            <w:r w:rsidRPr="00511335">
              <w:rPr>
                <w:rFonts w:ascii="Arial" w:eastAsia="Arial MT" w:hAnsi="Arial MT" w:cs="Arial MT"/>
                <w:b/>
                <w:sz w:val="24"/>
                <w:szCs w:val="22"/>
              </w:rPr>
              <w:t>Student</w:t>
            </w:r>
            <w:r w:rsidRPr="00511335">
              <w:rPr>
                <w:rFonts w:ascii="Arial" w:eastAsia="Arial MT" w:hAnsi="Arial MT" w:cs="Arial MT"/>
                <w:b/>
                <w:spacing w:val="-3"/>
                <w:sz w:val="24"/>
                <w:szCs w:val="22"/>
              </w:rPr>
              <w:t xml:space="preserve"> </w:t>
            </w:r>
            <w:r w:rsidRPr="00511335">
              <w:rPr>
                <w:rFonts w:ascii="Arial" w:eastAsia="Arial MT" w:hAnsi="Arial MT" w:cs="Arial MT"/>
                <w:b/>
                <w:spacing w:val="-2"/>
                <w:sz w:val="24"/>
                <w:szCs w:val="22"/>
              </w:rPr>
              <w:t>name:</w:t>
            </w:r>
          </w:p>
        </w:tc>
        <w:tc>
          <w:tcPr>
            <w:tcW w:w="1659" w:type="pct"/>
          </w:tcPr>
          <w:p w14:paraId="1AF35829" w14:textId="548559D7" w:rsidR="00D74550" w:rsidRPr="00511335" w:rsidRDefault="00D74550" w:rsidP="00D74550">
            <w:pPr>
              <w:widowControl w:val="0"/>
              <w:autoSpaceDE w:val="0"/>
              <w:autoSpaceDN w:val="0"/>
              <w:rPr>
                <w:rFonts w:eastAsia="Arial MT" w:hAnsi="Arial MT" w:cs="Arial MT"/>
                <w:sz w:val="22"/>
                <w:szCs w:val="22"/>
              </w:rPr>
            </w:pPr>
            <w:r w:rsidRPr="00511335">
              <w:rPr>
                <w:rFonts w:ascii="Arial" w:eastAsia="Arial MT" w:hAnsi="Arial MT" w:cs="Arial MT"/>
                <w:b/>
                <w:spacing w:val="-17"/>
                <w:sz w:val="24"/>
                <w:szCs w:val="22"/>
              </w:rPr>
              <w:t xml:space="preserve"> </w:t>
            </w:r>
            <w:r>
              <w:rPr>
                <w:rFonts w:ascii="Arial" w:eastAsia="Arial MT" w:hAnsi="Arial MT" w:cs="Arial MT"/>
                <w:b/>
                <w:spacing w:val="-17"/>
                <w:sz w:val="24"/>
                <w:szCs w:val="22"/>
              </w:rPr>
              <w:t>Harshil Ghanshyambhai Beladiya</w:t>
            </w:r>
          </w:p>
        </w:tc>
        <w:tc>
          <w:tcPr>
            <w:tcW w:w="1143" w:type="pct"/>
            <w:shd w:val="clear" w:color="auto" w:fill="D9D9D9"/>
          </w:tcPr>
          <w:p w14:paraId="0489E102" w14:textId="77777777" w:rsidR="00D74550" w:rsidRPr="00511335" w:rsidRDefault="00D74550" w:rsidP="00D74550">
            <w:pPr>
              <w:widowControl w:val="0"/>
              <w:autoSpaceDE w:val="0"/>
              <w:autoSpaceDN w:val="0"/>
              <w:spacing w:before="120"/>
              <w:ind w:left="107" w:right="205"/>
              <w:rPr>
                <w:rFonts w:ascii="Arial" w:eastAsia="Arial MT" w:hAnsi="Arial MT" w:cs="Arial MT"/>
                <w:b/>
                <w:sz w:val="24"/>
                <w:szCs w:val="22"/>
              </w:rPr>
            </w:pPr>
            <w:r w:rsidRPr="00511335">
              <w:rPr>
                <w:rFonts w:ascii="Arial" w:eastAsia="Arial MT" w:hAnsi="Arial MT" w:cs="Arial MT"/>
                <w:b/>
                <w:sz w:val="24"/>
                <w:szCs w:val="22"/>
              </w:rPr>
              <w:t>Student</w:t>
            </w:r>
            <w:r w:rsidRPr="00511335">
              <w:rPr>
                <w:rFonts w:ascii="Arial" w:eastAsia="Arial MT" w:hAnsi="Arial MT" w:cs="Arial MT"/>
                <w:b/>
                <w:spacing w:val="-17"/>
                <w:sz w:val="24"/>
                <w:szCs w:val="22"/>
              </w:rPr>
              <w:t xml:space="preserve"> </w:t>
            </w:r>
            <w:r w:rsidRPr="00511335">
              <w:rPr>
                <w:rFonts w:ascii="Arial" w:eastAsia="Arial MT" w:hAnsi="Arial MT" w:cs="Arial MT"/>
                <w:b/>
                <w:sz w:val="24"/>
                <w:szCs w:val="22"/>
              </w:rPr>
              <w:t xml:space="preserve">ID </w:t>
            </w:r>
            <w:r w:rsidRPr="00511335">
              <w:rPr>
                <w:rFonts w:ascii="Arial" w:eastAsia="Arial MT" w:hAnsi="Arial MT" w:cs="Arial MT"/>
                <w:b/>
                <w:spacing w:val="-2"/>
                <w:sz w:val="24"/>
                <w:szCs w:val="22"/>
              </w:rPr>
              <w:t>number:</w:t>
            </w:r>
          </w:p>
        </w:tc>
        <w:tc>
          <w:tcPr>
            <w:tcW w:w="1142" w:type="pct"/>
          </w:tcPr>
          <w:p w14:paraId="3751DAA6" w14:textId="77777777" w:rsidR="00D74550" w:rsidRPr="00511335" w:rsidRDefault="00D74550" w:rsidP="00D74550">
            <w:pPr>
              <w:widowControl w:val="0"/>
              <w:autoSpaceDE w:val="0"/>
              <w:autoSpaceDN w:val="0"/>
              <w:rPr>
                <w:rFonts w:ascii="Arial" w:eastAsia="Arial MT" w:hAnsi="Arial MT" w:cs="Arial MT"/>
                <w:b/>
                <w:sz w:val="24"/>
                <w:szCs w:val="22"/>
              </w:rPr>
            </w:pPr>
          </w:p>
          <w:p w14:paraId="3889C179" w14:textId="1824C82A" w:rsidR="00D74550" w:rsidRPr="00511335" w:rsidRDefault="00D74550" w:rsidP="00D74550">
            <w:pPr>
              <w:widowControl w:val="0"/>
              <w:autoSpaceDE w:val="0"/>
              <w:autoSpaceDN w:val="0"/>
              <w:rPr>
                <w:rFonts w:eastAsia="Arial MT" w:hAnsi="Arial MT" w:cs="Arial MT"/>
                <w:sz w:val="22"/>
                <w:szCs w:val="22"/>
              </w:rPr>
            </w:pPr>
            <w:r>
              <w:rPr>
                <w:rFonts w:ascii="Arial" w:eastAsia="Arial MT" w:hAnsi="Arial MT" w:cs="Arial MT"/>
                <w:b/>
                <w:spacing w:val="-5"/>
                <w:sz w:val="24"/>
                <w:szCs w:val="22"/>
              </w:rPr>
              <w:t>2543506</w:t>
            </w:r>
          </w:p>
        </w:tc>
      </w:tr>
      <w:tr w:rsidR="00D74550" w:rsidRPr="00511335" w14:paraId="4E37A62F" w14:textId="77777777" w:rsidTr="00511335">
        <w:trPr>
          <w:trHeight w:val="518"/>
        </w:trPr>
        <w:tc>
          <w:tcPr>
            <w:tcW w:w="1056" w:type="pct"/>
          </w:tcPr>
          <w:p w14:paraId="26231279" w14:textId="77777777" w:rsidR="00D74550" w:rsidRPr="00511335" w:rsidRDefault="00D74550" w:rsidP="00D74550">
            <w:pPr>
              <w:widowControl w:val="0"/>
              <w:autoSpaceDE w:val="0"/>
              <w:autoSpaceDN w:val="0"/>
              <w:spacing w:before="122"/>
              <w:ind w:left="107"/>
              <w:rPr>
                <w:rFonts w:ascii="Arial" w:eastAsia="Arial MT" w:hAnsi="Arial MT" w:cs="Arial MT"/>
                <w:b/>
                <w:sz w:val="24"/>
                <w:szCs w:val="22"/>
              </w:rPr>
            </w:pPr>
            <w:proofErr w:type="spellStart"/>
            <w:r w:rsidRPr="00511335">
              <w:rPr>
                <w:rFonts w:ascii="Arial" w:eastAsia="Arial MT" w:hAnsi="Arial MT" w:cs="Arial MT"/>
                <w:b/>
                <w:spacing w:val="-2"/>
                <w:sz w:val="24"/>
                <w:szCs w:val="22"/>
              </w:rPr>
              <w:t>Programme</w:t>
            </w:r>
            <w:proofErr w:type="spellEnd"/>
            <w:r w:rsidRPr="00511335">
              <w:rPr>
                <w:rFonts w:ascii="Arial" w:eastAsia="Arial MT" w:hAnsi="Arial MT" w:cs="Arial MT"/>
                <w:b/>
                <w:spacing w:val="-2"/>
                <w:sz w:val="24"/>
                <w:szCs w:val="22"/>
              </w:rPr>
              <w:t>:</w:t>
            </w:r>
          </w:p>
        </w:tc>
        <w:tc>
          <w:tcPr>
            <w:tcW w:w="3944" w:type="pct"/>
            <w:gridSpan w:val="3"/>
          </w:tcPr>
          <w:p w14:paraId="2A88692D" w14:textId="77777777" w:rsidR="00D74550" w:rsidRPr="00511335" w:rsidRDefault="00D74550" w:rsidP="00D74550">
            <w:pPr>
              <w:widowControl w:val="0"/>
              <w:autoSpaceDE w:val="0"/>
              <w:autoSpaceDN w:val="0"/>
              <w:spacing w:before="122"/>
              <w:ind w:left="105"/>
              <w:rPr>
                <w:rFonts w:ascii="Arial" w:eastAsia="Arial MT" w:hAnsi="Arial MT" w:cs="Arial MT"/>
                <w:b/>
                <w:sz w:val="24"/>
                <w:szCs w:val="22"/>
              </w:rPr>
            </w:pPr>
            <w:r w:rsidRPr="00511335">
              <w:rPr>
                <w:rFonts w:ascii="Arial" w:eastAsia="Arial MT" w:hAnsi="Arial MT" w:cs="Arial MT"/>
                <w:b/>
                <w:sz w:val="24"/>
                <w:szCs w:val="22"/>
              </w:rPr>
              <w:t>Master</w:t>
            </w:r>
            <w:r w:rsidRPr="00511335">
              <w:rPr>
                <w:rFonts w:ascii="Arial" w:eastAsia="Arial MT" w:hAnsi="Arial MT" w:cs="Arial MT"/>
                <w:b/>
                <w:spacing w:val="-4"/>
                <w:sz w:val="24"/>
                <w:szCs w:val="22"/>
              </w:rPr>
              <w:t xml:space="preserve"> </w:t>
            </w:r>
            <w:r w:rsidRPr="00511335">
              <w:rPr>
                <w:rFonts w:ascii="Arial" w:eastAsia="Arial MT" w:hAnsi="Arial MT" w:cs="Arial MT"/>
                <w:b/>
                <w:sz w:val="24"/>
                <w:szCs w:val="22"/>
              </w:rPr>
              <w:t>of</w:t>
            </w:r>
            <w:r w:rsidRPr="00511335">
              <w:rPr>
                <w:rFonts w:ascii="Arial" w:eastAsia="Arial MT" w:hAnsi="Arial MT" w:cs="Arial MT"/>
                <w:b/>
                <w:spacing w:val="-3"/>
                <w:sz w:val="24"/>
                <w:szCs w:val="22"/>
              </w:rPr>
              <w:t xml:space="preserve"> </w:t>
            </w:r>
            <w:r w:rsidRPr="00511335">
              <w:rPr>
                <w:rFonts w:ascii="Arial" w:eastAsia="Arial MT" w:hAnsi="Arial MT" w:cs="Arial MT"/>
                <w:b/>
                <w:sz w:val="24"/>
                <w:szCs w:val="22"/>
              </w:rPr>
              <w:t>Business</w:t>
            </w:r>
            <w:r w:rsidRPr="00511335">
              <w:rPr>
                <w:rFonts w:ascii="Arial" w:eastAsia="Arial MT" w:hAnsi="Arial MT" w:cs="Arial MT"/>
                <w:b/>
                <w:spacing w:val="-3"/>
                <w:sz w:val="24"/>
                <w:szCs w:val="22"/>
              </w:rPr>
              <w:t xml:space="preserve"> </w:t>
            </w:r>
            <w:r w:rsidRPr="00511335">
              <w:rPr>
                <w:rFonts w:ascii="Arial" w:eastAsia="Arial MT" w:hAnsi="Arial MT" w:cs="Arial MT"/>
                <w:b/>
                <w:spacing w:val="-2"/>
                <w:sz w:val="24"/>
                <w:szCs w:val="22"/>
              </w:rPr>
              <w:t>Administration</w:t>
            </w:r>
          </w:p>
        </w:tc>
      </w:tr>
      <w:tr w:rsidR="00D74550" w:rsidRPr="00511335" w14:paraId="231D3F4A" w14:textId="77777777" w:rsidTr="00511335">
        <w:trPr>
          <w:trHeight w:val="516"/>
        </w:trPr>
        <w:tc>
          <w:tcPr>
            <w:tcW w:w="1056" w:type="pct"/>
          </w:tcPr>
          <w:p w14:paraId="47EF33D0" w14:textId="77777777" w:rsidR="00D74550" w:rsidRPr="00511335" w:rsidRDefault="00D74550" w:rsidP="00D74550">
            <w:pPr>
              <w:widowControl w:val="0"/>
              <w:autoSpaceDE w:val="0"/>
              <w:autoSpaceDN w:val="0"/>
              <w:spacing w:before="121"/>
              <w:ind w:left="107"/>
              <w:rPr>
                <w:rFonts w:ascii="Arial" w:eastAsia="Arial MT" w:hAnsi="Arial MT" w:cs="Arial MT"/>
                <w:b/>
                <w:sz w:val="24"/>
                <w:szCs w:val="22"/>
              </w:rPr>
            </w:pPr>
            <w:r w:rsidRPr="00511335">
              <w:rPr>
                <w:rFonts w:ascii="Arial" w:eastAsia="Arial MT" w:hAnsi="Arial MT" w:cs="Arial MT"/>
                <w:b/>
                <w:spacing w:val="-2"/>
                <w:sz w:val="24"/>
                <w:szCs w:val="22"/>
              </w:rPr>
              <w:t>Module:</w:t>
            </w:r>
          </w:p>
        </w:tc>
        <w:tc>
          <w:tcPr>
            <w:tcW w:w="3944" w:type="pct"/>
            <w:gridSpan w:val="3"/>
          </w:tcPr>
          <w:p w14:paraId="3EA38B21" w14:textId="77777777" w:rsidR="00D74550" w:rsidRPr="00511335" w:rsidRDefault="00D74550" w:rsidP="00D74550">
            <w:pPr>
              <w:widowControl w:val="0"/>
              <w:autoSpaceDE w:val="0"/>
              <w:autoSpaceDN w:val="0"/>
              <w:spacing w:before="121"/>
              <w:ind w:left="105"/>
              <w:rPr>
                <w:rFonts w:ascii="Arial" w:eastAsia="Arial MT" w:hAnsi="Arial MT" w:cs="Arial MT"/>
                <w:b/>
                <w:sz w:val="24"/>
                <w:szCs w:val="22"/>
              </w:rPr>
            </w:pPr>
            <w:r w:rsidRPr="00511335">
              <w:rPr>
                <w:rFonts w:ascii="Arial" w:eastAsia="Arial MT" w:hAnsi="Arial MT" w:cs="Arial MT"/>
                <w:b/>
                <w:sz w:val="24"/>
                <w:szCs w:val="22"/>
              </w:rPr>
              <w:t>Human</w:t>
            </w:r>
            <w:r w:rsidRPr="00511335">
              <w:rPr>
                <w:rFonts w:ascii="Arial" w:eastAsia="Arial MT" w:hAnsi="Arial MT" w:cs="Arial MT"/>
                <w:b/>
                <w:spacing w:val="-1"/>
                <w:sz w:val="24"/>
                <w:szCs w:val="22"/>
              </w:rPr>
              <w:t xml:space="preserve"> </w:t>
            </w:r>
            <w:r w:rsidRPr="00511335">
              <w:rPr>
                <w:rFonts w:ascii="Arial" w:eastAsia="Arial MT" w:hAnsi="Arial MT" w:cs="Arial MT"/>
                <w:b/>
                <w:sz w:val="24"/>
                <w:szCs w:val="22"/>
              </w:rPr>
              <w:t xml:space="preserve">Capital </w:t>
            </w:r>
            <w:r w:rsidRPr="00511335">
              <w:rPr>
                <w:rFonts w:ascii="Arial" w:eastAsia="Arial MT" w:hAnsi="Arial MT" w:cs="Arial MT"/>
                <w:b/>
                <w:spacing w:val="-2"/>
                <w:sz w:val="24"/>
                <w:szCs w:val="22"/>
              </w:rPr>
              <w:t>Management</w:t>
            </w:r>
          </w:p>
        </w:tc>
      </w:tr>
      <w:tr w:rsidR="00D74550" w:rsidRPr="00511335" w14:paraId="426B76E3" w14:textId="77777777" w:rsidTr="00511335">
        <w:trPr>
          <w:trHeight w:val="827"/>
        </w:trPr>
        <w:tc>
          <w:tcPr>
            <w:tcW w:w="1056" w:type="pct"/>
          </w:tcPr>
          <w:p w14:paraId="3411CC9B" w14:textId="77777777" w:rsidR="00D74550" w:rsidRPr="00511335" w:rsidRDefault="00D74550" w:rsidP="00D74550">
            <w:pPr>
              <w:widowControl w:val="0"/>
              <w:autoSpaceDE w:val="0"/>
              <w:autoSpaceDN w:val="0"/>
              <w:rPr>
                <w:rFonts w:ascii="Arial" w:eastAsia="Arial MT" w:hAnsi="Arial MT" w:cs="Arial MT"/>
                <w:b/>
                <w:sz w:val="24"/>
                <w:szCs w:val="22"/>
              </w:rPr>
            </w:pPr>
          </w:p>
          <w:p w14:paraId="29E31E2B" w14:textId="77777777" w:rsidR="00D74550" w:rsidRPr="00511335" w:rsidRDefault="00D74550" w:rsidP="00D74550">
            <w:pPr>
              <w:widowControl w:val="0"/>
              <w:autoSpaceDE w:val="0"/>
              <w:autoSpaceDN w:val="0"/>
              <w:ind w:left="107"/>
              <w:rPr>
                <w:rFonts w:ascii="Arial" w:eastAsia="Arial MT" w:hAnsi="Arial MT" w:cs="Arial MT"/>
                <w:b/>
                <w:sz w:val="24"/>
                <w:szCs w:val="22"/>
              </w:rPr>
            </w:pPr>
            <w:r w:rsidRPr="00511335">
              <w:rPr>
                <w:rFonts w:ascii="Arial" w:eastAsia="Arial MT" w:hAnsi="Arial MT" w:cs="Arial MT"/>
                <w:b/>
                <w:sz w:val="24"/>
                <w:szCs w:val="22"/>
              </w:rPr>
              <w:t>Module</w:t>
            </w:r>
            <w:r w:rsidRPr="00511335">
              <w:rPr>
                <w:rFonts w:ascii="Arial" w:eastAsia="Arial MT" w:hAnsi="Arial MT" w:cs="Arial MT"/>
                <w:b/>
                <w:spacing w:val="-5"/>
                <w:sz w:val="24"/>
                <w:szCs w:val="22"/>
              </w:rPr>
              <w:t xml:space="preserve"> </w:t>
            </w:r>
            <w:r w:rsidRPr="00511335">
              <w:rPr>
                <w:rFonts w:ascii="Arial" w:eastAsia="Arial MT" w:hAnsi="Arial MT" w:cs="Arial MT"/>
                <w:b/>
                <w:spacing w:val="-2"/>
                <w:sz w:val="24"/>
                <w:szCs w:val="22"/>
              </w:rPr>
              <w:t>code:</w:t>
            </w:r>
          </w:p>
        </w:tc>
        <w:tc>
          <w:tcPr>
            <w:tcW w:w="1659" w:type="pct"/>
          </w:tcPr>
          <w:p w14:paraId="09091285" w14:textId="77777777" w:rsidR="00D74550" w:rsidRPr="00511335" w:rsidRDefault="00D74550" w:rsidP="00D74550">
            <w:pPr>
              <w:widowControl w:val="0"/>
              <w:autoSpaceDE w:val="0"/>
              <w:autoSpaceDN w:val="0"/>
              <w:rPr>
                <w:rFonts w:ascii="Arial" w:eastAsia="Arial MT" w:hAnsi="Arial MT" w:cs="Arial MT"/>
                <w:b/>
                <w:sz w:val="24"/>
                <w:szCs w:val="22"/>
              </w:rPr>
            </w:pPr>
          </w:p>
          <w:p w14:paraId="3C1822F4" w14:textId="77777777" w:rsidR="00D74550" w:rsidRPr="00511335" w:rsidRDefault="00D74550" w:rsidP="00D74550">
            <w:pPr>
              <w:widowControl w:val="0"/>
              <w:autoSpaceDE w:val="0"/>
              <w:autoSpaceDN w:val="0"/>
              <w:ind w:left="105"/>
              <w:rPr>
                <w:rFonts w:ascii="Arial" w:eastAsia="Arial MT" w:hAnsi="Arial MT" w:cs="Arial MT"/>
                <w:b/>
                <w:sz w:val="24"/>
                <w:szCs w:val="22"/>
              </w:rPr>
            </w:pPr>
            <w:r w:rsidRPr="00511335">
              <w:rPr>
                <w:rFonts w:ascii="Arial" w:eastAsia="Arial MT" w:hAnsi="Arial MT" w:cs="Arial MT"/>
                <w:b/>
                <w:spacing w:val="-2"/>
                <w:sz w:val="24"/>
                <w:szCs w:val="22"/>
              </w:rPr>
              <w:t>LCMB7023</w:t>
            </w:r>
          </w:p>
        </w:tc>
        <w:tc>
          <w:tcPr>
            <w:tcW w:w="1143" w:type="pct"/>
            <w:shd w:val="clear" w:color="auto" w:fill="D9D9D9"/>
          </w:tcPr>
          <w:p w14:paraId="0501ABAF" w14:textId="77777777" w:rsidR="00D74550" w:rsidRPr="00511335" w:rsidRDefault="00D74550" w:rsidP="00D74550">
            <w:pPr>
              <w:widowControl w:val="0"/>
              <w:autoSpaceDE w:val="0"/>
              <w:autoSpaceDN w:val="0"/>
              <w:spacing w:line="270" w:lineRule="atLeast"/>
              <w:ind w:left="107" w:right="205"/>
              <w:rPr>
                <w:rFonts w:ascii="Arial" w:eastAsia="Arial MT" w:hAnsi="Arial MT" w:cs="Arial MT"/>
                <w:b/>
                <w:sz w:val="24"/>
                <w:szCs w:val="22"/>
              </w:rPr>
            </w:pPr>
            <w:r w:rsidRPr="00511335">
              <w:rPr>
                <w:rFonts w:ascii="Arial" w:eastAsia="Arial MT" w:hAnsi="Arial MT" w:cs="Arial MT"/>
                <w:b/>
                <w:sz w:val="24"/>
                <w:szCs w:val="22"/>
              </w:rPr>
              <w:t>Contribution to Overall Module Assessment</w:t>
            </w:r>
            <w:r w:rsidRPr="00511335">
              <w:rPr>
                <w:rFonts w:ascii="Arial" w:eastAsia="Arial MT" w:hAnsi="Arial MT" w:cs="Arial MT"/>
                <w:b/>
                <w:spacing w:val="-17"/>
                <w:sz w:val="24"/>
                <w:szCs w:val="22"/>
              </w:rPr>
              <w:t xml:space="preserve"> </w:t>
            </w:r>
            <w:r w:rsidRPr="00511335">
              <w:rPr>
                <w:rFonts w:ascii="Arial" w:eastAsia="Arial MT" w:hAnsi="Arial MT" w:cs="Arial MT"/>
                <w:b/>
                <w:sz w:val="24"/>
                <w:szCs w:val="22"/>
              </w:rPr>
              <w:t>(%):</w:t>
            </w:r>
          </w:p>
        </w:tc>
        <w:tc>
          <w:tcPr>
            <w:tcW w:w="1142" w:type="pct"/>
          </w:tcPr>
          <w:p w14:paraId="2C23FF2A" w14:textId="77777777" w:rsidR="00D74550" w:rsidRPr="00511335" w:rsidRDefault="00D74550" w:rsidP="00D74550">
            <w:pPr>
              <w:widowControl w:val="0"/>
              <w:autoSpaceDE w:val="0"/>
              <w:autoSpaceDN w:val="0"/>
              <w:rPr>
                <w:rFonts w:ascii="Arial" w:eastAsia="Arial MT" w:hAnsi="Arial MT" w:cs="Arial MT"/>
                <w:b/>
                <w:sz w:val="24"/>
                <w:szCs w:val="22"/>
              </w:rPr>
            </w:pPr>
          </w:p>
          <w:p w14:paraId="7C00B6A3" w14:textId="77777777" w:rsidR="00D74550" w:rsidRPr="00511335" w:rsidRDefault="00D74550" w:rsidP="00D74550">
            <w:pPr>
              <w:widowControl w:val="0"/>
              <w:autoSpaceDE w:val="0"/>
              <w:autoSpaceDN w:val="0"/>
              <w:ind w:left="108"/>
              <w:rPr>
                <w:rFonts w:ascii="Arial" w:eastAsia="Arial MT" w:hAnsi="Arial MT" w:cs="Arial MT"/>
                <w:b/>
                <w:sz w:val="24"/>
                <w:szCs w:val="22"/>
              </w:rPr>
            </w:pPr>
            <w:r w:rsidRPr="00511335">
              <w:rPr>
                <w:rFonts w:ascii="Arial" w:eastAsia="Arial MT" w:hAnsi="Arial MT" w:cs="Arial MT"/>
                <w:b/>
                <w:spacing w:val="-5"/>
                <w:sz w:val="24"/>
                <w:szCs w:val="22"/>
              </w:rPr>
              <w:t>50%</w:t>
            </w:r>
          </w:p>
        </w:tc>
      </w:tr>
      <w:tr w:rsidR="00D74550" w:rsidRPr="00511335" w14:paraId="20119A9C" w14:textId="77777777" w:rsidTr="00511335">
        <w:trPr>
          <w:trHeight w:val="1187"/>
        </w:trPr>
        <w:tc>
          <w:tcPr>
            <w:tcW w:w="1056" w:type="pct"/>
          </w:tcPr>
          <w:p w14:paraId="2FBCBD0E" w14:textId="77777777" w:rsidR="00D74550" w:rsidRPr="00511335" w:rsidRDefault="00D74550" w:rsidP="00D74550">
            <w:pPr>
              <w:widowControl w:val="0"/>
              <w:autoSpaceDE w:val="0"/>
              <w:autoSpaceDN w:val="0"/>
              <w:spacing w:before="179"/>
              <w:rPr>
                <w:rFonts w:ascii="Arial" w:eastAsia="Arial MT" w:hAnsi="Arial MT" w:cs="Arial MT"/>
                <w:b/>
                <w:sz w:val="24"/>
                <w:szCs w:val="22"/>
              </w:rPr>
            </w:pPr>
          </w:p>
          <w:p w14:paraId="76AD8CB6" w14:textId="77777777" w:rsidR="00D74550" w:rsidRPr="00511335" w:rsidRDefault="00D74550" w:rsidP="00D74550">
            <w:pPr>
              <w:widowControl w:val="0"/>
              <w:autoSpaceDE w:val="0"/>
              <w:autoSpaceDN w:val="0"/>
              <w:spacing w:before="1"/>
              <w:ind w:left="107"/>
              <w:rPr>
                <w:rFonts w:ascii="Arial" w:eastAsia="Arial MT" w:hAnsi="Arial MT" w:cs="Arial MT"/>
                <w:b/>
                <w:sz w:val="24"/>
                <w:szCs w:val="22"/>
              </w:rPr>
            </w:pPr>
            <w:r w:rsidRPr="00511335">
              <w:rPr>
                <w:rFonts w:ascii="Arial" w:eastAsia="Arial MT" w:hAnsi="Arial MT" w:cs="Arial MT"/>
                <w:b/>
                <w:spacing w:val="-2"/>
                <w:sz w:val="24"/>
                <w:szCs w:val="22"/>
              </w:rPr>
              <w:t>Lecturer:</w:t>
            </w:r>
          </w:p>
        </w:tc>
        <w:tc>
          <w:tcPr>
            <w:tcW w:w="1659" w:type="pct"/>
          </w:tcPr>
          <w:p w14:paraId="7AFC1F05" w14:textId="0951277B" w:rsidR="00D74550" w:rsidRPr="00511335" w:rsidRDefault="00D74550" w:rsidP="00D74550">
            <w:pPr>
              <w:widowControl w:val="0"/>
              <w:autoSpaceDE w:val="0"/>
              <w:autoSpaceDN w:val="0"/>
              <w:spacing w:before="259" w:line="343" w:lineRule="auto"/>
              <w:ind w:left="105" w:right="335"/>
              <w:rPr>
                <w:rFonts w:ascii="Arial" w:eastAsia="Arial MT" w:hAnsi="Arial MT" w:cs="Arial MT"/>
                <w:b/>
                <w:sz w:val="24"/>
                <w:szCs w:val="22"/>
              </w:rPr>
            </w:pPr>
            <w:r>
              <w:rPr>
                <w:rFonts w:ascii="Arial" w:eastAsia="Arial MT" w:hAnsi="Arial MT" w:cs="Arial MT"/>
                <w:b/>
                <w:sz w:val="24"/>
                <w:szCs w:val="22"/>
              </w:rPr>
              <w:t>Alireza Nazarian</w:t>
            </w:r>
          </w:p>
        </w:tc>
        <w:tc>
          <w:tcPr>
            <w:tcW w:w="1143" w:type="pct"/>
            <w:shd w:val="clear" w:color="auto" w:fill="D9D9D9"/>
          </w:tcPr>
          <w:p w14:paraId="353EFB3A" w14:textId="77777777" w:rsidR="00D74550" w:rsidRPr="00511335" w:rsidRDefault="00D74550" w:rsidP="00D74550">
            <w:pPr>
              <w:widowControl w:val="0"/>
              <w:autoSpaceDE w:val="0"/>
              <w:autoSpaceDN w:val="0"/>
              <w:spacing w:before="179"/>
              <w:rPr>
                <w:rFonts w:ascii="Arial" w:eastAsia="Arial MT" w:hAnsi="Arial MT" w:cs="Arial MT"/>
                <w:b/>
                <w:sz w:val="24"/>
                <w:szCs w:val="22"/>
              </w:rPr>
            </w:pPr>
          </w:p>
          <w:p w14:paraId="4C38B603" w14:textId="77777777" w:rsidR="00D74550" w:rsidRPr="00511335" w:rsidRDefault="00D74550" w:rsidP="00D74550">
            <w:pPr>
              <w:widowControl w:val="0"/>
              <w:autoSpaceDE w:val="0"/>
              <w:autoSpaceDN w:val="0"/>
              <w:spacing w:before="1"/>
              <w:ind w:left="107"/>
              <w:rPr>
                <w:rFonts w:ascii="Arial" w:eastAsia="Arial MT" w:hAnsi="Arial MT" w:cs="Arial MT"/>
                <w:b/>
                <w:sz w:val="24"/>
                <w:szCs w:val="22"/>
              </w:rPr>
            </w:pPr>
            <w:r w:rsidRPr="00511335">
              <w:rPr>
                <w:rFonts w:ascii="Arial" w:eastAsia="Arial MT" w:hAnsi="Arial MT" w:cs="Arial MT"/>
                <w:b/>
                <w:sz w:val="24"/>
                <w:szCs w:val="22"/>
              </w:rPr>
              <w:t>Internal</w:t>
            </w:r>
            <w:r w:rsidRPr="00511335">
              <w:rPr>
                <w:rFonts w:ascii="Arial" w:eastAsia="Arial MT" w:hAnsi="Arial MT" w:cs="Arial MT"/>
                <w:b/>
                <w:spacing w:val="-5"/>
                <w:sz w:val="24"/>
                <w:szCs w:val="22"/>
              </w:rPr>
              <w:t xml:space="preserve"> </w:t>
            </w:r>
            <w:r w:rsidRPr="00511335">
              <w:rPr>
                <w:rFonts w:ascii="Arial" w:eastAsia="Arial MT" w:hAnsi="Arial MT" w:cs="Arial MT"/>
                <w:b/>
                <w:spacing w:val="-2"/>
                <w:sz w:val="24"/>
                <w:szCs w:val="22"/>
              </w:rPr>
              <w:t>Verifier:</w:t>
            </w:r>
          </w:p>
        </w:tc>
        <w:tc>
          <w:tcPr>
            <w:tcW w:w="1142" w:type="pct"/>
          </w:tcPr>
          <w:p w14:paraId="36AB780B" w14:textId="77777777" w:rsidR="00D74550" w:rsidRPr="00511335" w:rsidRDefault="00D74550" w:rsidP="00D74550">
            <w:pPr>
              <w:widowControl w:val="0"/>
              <w:autoSpaceDE w:val="0"/>
              <w:autoSpaceDN w:val="0"/>
              <w:spacing w:before="120"/>
              <w:ind w:left="108" w:right="205"/>
              <w:rPr>
                <w:rFonts w:ascii="Arial" w:eastAsia="Arial MT" w:hAnsi="Arial MT" w:cs="Arial MT"/>
                <w:b/>
                <w:sz w:val="24"/>
                <w:szCs w:val="22"/>
              </w:rPr>
            </w:pPr>
            <w:r w:rsidRPr="00511335">
              <w:rPr>
                <w:rFonts w:ascii="Arial" w:eastAsia="Arial MT" w:hAnsi="Arial MT" w:cs="Arial MT"/>
                <w:b/>
                <w:spacing w:val="-2"/>
                <w:sz w:val="24"/>
                <w:szCs w:val="22"/>
              </w:rPr>
              <w:t>Vasilios Tavlaridis</w:t>
            </w:r>
          </w:p>
          <w:p w14:paraId="6B290780" w14:textId="77777777" w:rsidR="00D74550" w:rsidRPr="00511335" w:rsidRDefault="00D74550" w:rsidP="00D74550">
            <w:pPr>
              <w:widowControl w:val="0"/>
              <w:autoSpaceDE w:val="0"/>
              <w:autoSpaceDN w:val="0"/>
              <w:spacing w:before="120"/>
              <w:ind w:left="108"/>
              <w:rPr>
                <w:rFonts w:ascii="Arial" w:eastAsia="Arial MT" w:hAnsi="Arial MT" w:cs="Arial MT"/>
                <w:b/>
                <w:sz w:val="24"/>
                <w:szCs w:val="22"/>
              </w:rPr>
            </w:pPr>
            <w:r w:rsidRPr="00511335">
              <w:rPr>
                <w:rFonts w:ascii="Arial" w:eastAsia="Arial MT" w:hAnsi="Arial MT" w:cs="Arial MT"/>
                <w:b/>
                <w:sz w:val="24"/>
                <w:szCs w:val="22"/>
              </w:rPr>
              <w:t>Hoang</w:t>
            </w:r>
            <w:r w:rsidRPr="00511335">
              <w:rPr>
                <w:rFonts w:ascii="Arial" w:eastAsia="Arial MT" w:hAnsi="Arial MT" w:cs="Arial MT"/>
                <w:b/>
                <w:spacing w:val="-1"/>
                <w:sz w:val="24"/>
                <w:szCs w:val="22"/>
              </w:rPr>
              <w:t xml:space="preserve"> </w:t>
            </w:r>
            <w:r w:rsidRPr="00511335">
              <w:rPr>
                <w:rFonts w:ascii="Arial" w:eastAsia="Arial MT" w:hAnsi="Arial MT" w:cs="Arial MT"/>
                <w:b/>
                <w:spacing w:val="-2"/>
                <w:sz w:val="24"/>
                <w:szCs w:val="22"/>
              </w:rPr>
              <w:t>Nguyen</w:t>
            </w:r>
          </w:p>
        </w:tc>
      </w:tr>
      <w:tr w:rsidR="00D74550" w:rsidRPr="00511335" w14:paraId="20B69A79" w14:textId="77777777" w:rsidTr="00511335">
        <w:trPr>
          <w:trHeight w:val="791"/>
        </w:trPr>
        <w:tc>
          <w:tcPr>
            <w:tcW w:w="1056" w:type="pct"/>
          </w:tcPr>
          <w:p w14:paraId="5E6515BB" w14:textId="77777777" w:rsidR="00D74550" w:rsidRPr="00511335" w:rsidRDefault="00D74550" w:rsidP="00D74550">
            <w:pPr>
              <w:widowControl w:val="0"/>
              <w:autoSpaceDE w:val="0"/>
              <w:autoSpaceDN w:val="0"/>
              <w:spacing w:before="120"/>
              <w:ind w:left="107" w:right="84"/>
              <w:rPr>
                <w:rFonts w:ascii="Arial" w:eastAsia="Arial MT" w:hAnsi="Arial MT" w:cs="Arial MT"/>
                <w:b/>
                <w:sz w:val="24"/>
                <w:szCs w:val="22"/>
              </w:rPr>
            </w:pPr>
            <w:r w:rsidRPr="00511335">
              <w:rPr>
                <w:rFonts w:ascii="Arial" w:eastAsia="Arial MT" w:hAnsi="Arial MT" w:cs="Arial MT"/>
                <w:b/>
                <w:spacing w:val="-2"/>
                <w:sz w:val="24"/>
                <w:szCs w:val="22"/>
              </w:rPr>
              <w:t>Assignment Title:</w:t>
            </w:r>
          </w:p>
        </w:tc>
        <w:tc>
          <w:tcPr>
            <w:tcW w:w="1659" w:type="pct"/>
          </w:tcPr>
          <w:p w14:paraId="66FF9693" w14:textId="77777777" w:rsidR="00D74550" w:rsidRPr="00511335" w:rsidRDefault="00D74550" w:rsidP="00D74550">
            <w:pPr>
              <w:widowControl w:val="0"/>
              <w:autoSpaceDE w:val="0"/>
              <w:autoSpaceDN w:val="0"/>
              <w:spacing w:before="120"/>
              <w:ind w:left="105"/>
              <w:rPr>
                <w:rFonts w:ascii="Arial" w:eastAsia="Arial MT" w:hAnsi="Arial MT" w:cs="Arial MT"/>
                <w:b/>
                <w:sz w:val="24"/>
                <w:szCs w:val="22"/>
              </w:rPr>
            </w:pPr>
            <w:r w:rsidRPr="00511335">
              <w:rPr>
                <w:rFonts w:ascii="Arial" w:eastAsia="Arial MT" w:hAnsi="Arial MT" w:cs="Arial MT"/>
                <w:b/>
                <w:sz w:val="24"/>
                <w:szCs w:val="22"/>
              </w:rPr>
              <w:t>Assessment</w:t>
            </w:r>
            <w:r w:rsidRPr="00511335">
              <w:rPr>
                <w:rFonts w:ascii="Arial" w:eastAsia="Arial MT" w:hAnsi="Arial MT" w:cs="Arial MT"/>
                <w:b/>
                <w:spacing w:val="-17"/>
                <w:sz w:val="24"/>
                <w:szCs w:val="22"/>
              </w:rPr>
              <w:t xml:space="preserve"> </w:t>
            </w:r>
            <w:r w:rsidRPr="00511335">
              <w:rPr>
                <w:rFonts w:ascii="Arial" w:eastAsia="Arial MT" w:hAnsi="Arial MT" w:cs="Arial MT"/>
                <w:b/>
                <w:sz w:val="24"/>
                <w:szCs w:val="22"/>
              </w:rPr>
              <w:t>component</w:t>
            </w:r>
            <w:r w:rsidRPr="00511335">
              <w:rPr>
                <w:rFonts w:ascii="Arial" w:eastAsia="Arial MT" w:hAnsi="Arial MT" w:cs="Arial MT"/>
                <w:b/>
                <w:spacing w:val="-17"/>
                <w:sz w:val="24"/>
                <w:szCs w:val="22"/>
              </w:rPr>
              <w:t xml:space="preserve"> </w:t>
            </w:r>
            <w:r w:rsidRPr="00511335">
              <w:rPr>
                <w:rFonts w:ascii="Arial" w:eastAsia="Arial MT" w:hAnsi="Arial MT" w:cs="Arial MT"/>
                <w:b/>
                <w:sz w:val="24"/>
                <w:szCs w:val="22"/>
              </w:rPr>
              <w:t>1: Individual report</w:t>
            </w:r>
          </w:p>
        </w:tc>
        <w:tc>
          <w:tcPr>
            <w:tcW w:w="1143" w:type="pct"/>
          </w:tcPr>
          <w:p w14:paraId="764077F7" w14:textId="77777777" w:rsidR="00D74550" w:rsidRPr="00511335" w:rsidRDefault="00D74550" w:rsidP="00D74550">
            <w:pPr>
              <w:widowControl w:val="0"/>
              <w:autoSpaceDE w:val="0"/>
              <w:autoSpaceDN w:val="0"/>
              <w:spacing w:before="120"/>
              <w:ind w:left="107" w:right="205"/>
              <w:rPr>
                <w:rFonts w:ascii="Arial" w:eastAsia="Arial MT" w:hAnsi="Arial MT" w:cs="Arial MT"/>
                <w:b/>
                <w:sz w:val="24"/>
                <w:szCs w:val="22"/>
              </w:rPr>
            </w:pPr>
            <w:r w:rsidRPr="00511335">
              <w:rPr>
                <w:rFonts w:ascii="Arial" w:eastAsia="Arial MT" w:hAnsi="Arial MT" w:cs="Arial MT"/>
                <w:b/>
                <w:sz w:val="24"/>
                <w:szCs w:val="22"/>
              </w:rPr>
              <w:t>Word</w:t>
            </w:r>
            <w:r w:rsidRPr="00511335">
              <w:rPr>
                <w:rFonts w:ascii="Arial" w:eastAsia="Arial MT" w:hAnsi="Arial MT" w:cs="Arial MT"/>
                <w:b/>
                <w:spacing w:val="-17"/>
                <w:sz w:val="24"/>
                <w:szCs w:val="22"/>
              </w:rPr>
              <w:t xml:space="preserve"> </w:t>
            </w:r>
            <w:r w:rsidRPr="00511335">
              <w:rPr>
                <w:rFonts w:ascii="Arial" w:eastAsia="Arial MT" w:hAnsi="Arial MT" w:cs="Arial MT"/>
                <w:b/>
                <w:sz w:val="24"/>
                <w:szCs w:val="22"/>
              </w:rPr>
              <w:t>count</w:t>
            </w:r>
            <w:r w:rsidRPr="00511335">
              <w:rPr>
                <w:rFonts w:ascii="Arial" w:eastAsia="Arial MT" w:hAnsi="Arial MT" w:cs="Arial MT"/>
                <w:b/>
                <w:spacing w:val="-17"/>
                <w:sz w:val="24"/>
                <w:szCs w:val="22"/>
              </w:rPr>
              <w:t xml:space="preserve"> </w:t>
            </w:r>
            <w:r w:rsidRPr="00511335">
              <w:rPr>
                <w:rFonts w:ascii="Arial" w:eastAsia="Arial MT" w:hAnsi="Arial MT" w:cs="Arial MT"/>
                <w:b/>
                <w:sz w:val="24"/>
                <w:szCs w:val="22"/>
              </w:rPr>
              <w:t xml:space="preserve">(or </w:t>
            </w:r>
            <w:r w:rsidRPr="00511335">
              <w:rPr>
                <w:rFonts w:ascii="Arial" w:eastAsia="Arial MT" w:hAnsi="Arial MT" w:cs="Arial MT"/>
                <w:b/>
                <w:spacing w:val="-2"/>
                <w:sz w:val="24"/>
                <w:szCs w:val="22"/>
              </w:rPr>
              <w:t>equivalent):</w:t>
            </w:r>
          </w:p>
        </w:tc>
        <w:tc>
          <w:tcPr>
            <w:tcW w:w="1142" w:type="pct"/>
          </w:tcPr>
          <w:p w14:paraId="22473485" w14:textId="77777777" w:rsidR="00D74550" w:rsidRPr="00511335" w:rsidRDefault="00D74550" w:rsidP="00D74550">
            <w:pPr>
              <w:widowControl w:val="0"/>
              <w:autoSpaceDE w:val="0"/>
              <w:autoSpaceDN w:val="0"/>
              <w:spacing w:before="259"/>
              <w:ind w:left="175"/>
              <w:rPr>
                <w:rFonts w:ascii="Arial" w:eastAsia="Arial MT" w:hAnsi="Arial MT" w:cs="Arial MT"/>
                <w:b/>
                <w:sz w:val="24"/>
                <w:szCs w:val="22"/>
              </w:rPr>
            </w:pPr>
            <w:r w:rsidRPr="00511335">
              <w:rPr>
                <w:rFonts w:ascii="Arial" w:eastAsia="Arial MT" w:hAnsi="Arial MT" w:cs="Arial MT"/>
                <w:b/>
                <w:spacing w:val="-4"/>
                <w:sz w:val="24"/>
                <w:szCs w:val="22"/>
              </w:rPr>
              <w:t>2,500</w:t>
            </w:r>
          </w:p>
        </w:tc>
      </w:tr>
      <w:tr w:rsidR="00D74550" w:rsidRPr="00511335" w14:paraId="1FDFA4BA" w14:textId="77777777" w:rsidTr="00511335">
        <w:trPr>
          <w:trHeight w:val="1343"/>
        </w:trPr>
        <w:tc>
          <w:tcPr>
            <w:tcW w:w="1056" w:type="pct"/>
          </w:tcPr>
          <w:p w14:paraId="1850EABA" w14:textId="77777777" w:rsidR="00D74550" w:rsidRPr="00511335" w:rsidRDefault="00D74550" w:rsidP="00D74550">
            <w:pPr>
              <w:widowControl w:val="0"/>
              <w:autoSpaceDE w:val="0"/>
              <w:autoSpaceDN w:val="0"/>
              <w:spacing w:before="120"/>
              <w:rPr>
                <w:rFonts w:ascii="Arial" w:eastAsia="Arial MT" w:hAnsi="Arial MT" w:cs="Arial MT"/>
                <w:b/>
                <w:sz w:val="24"/>
                <w:szCs w:val="22"/>
              </w:rPr>
            </w:pPr>
          </w:p>
          <w:p w14:paraId="7349A215" w14:textId="75EE2005" w:rsidR="00D74550" w:rsidRPr="00511335" w:rsidRDefault="00D74550" w:rsidP="00D74550">
            <w:pPr>
              <w:widowControl w:val="0"/>
              <w:autoSpaceDE w:val="0"/>
              <w:autoSpaceDN w:val="0"/>
              <w:ind w:left="107"/>
              <w:rPr>
                <w:rFonts w:ascii="Arial" w:eastAsia="Arial MT" w:hAnsi="Arial MT" w:cs="Arial MT"/>
                <w:b/>
                <w:sz w:val="24"/>
                <w:szCs w:val="22"/>
              </w:rPr>
            </w:pPr>
            <w:r w:rsidRPr="00511335">
              <w:rPr>
                <w:rFonts w:ascii="Arial" w:eastAsia="Arial MT" w:hAnsi="Arial MT" w:cs="Arial MT"/>
                <w:b/>
                <w:spacing w:val="-2"/>
                <w:sz w:val="24"/>
                <w:szCs w:val="22"/>
              </w:rPr>
              <w:t xml:space="preserve">Submission </w:t>
            </w:r>
            <w:r w:rsidR="00D64832">
              <w:rPr>
                <w:rFonts w:ascii="Arial" w:eastAsia="Arial MT" w:hAnsi="Arial MT" w:cs="Arial MT"/>
                <w:b/>
                <w:spacing w:val="-2"/>
                <w:sz w:val="24"/>
                <w:szCs w:val="22"/>
              </w:rPr>
              <w:t>Date :</w:t>
            </w:r>
          </w:p>
        </w:tc>
        <w:tc>
          <w:tcPr>
            <w:tcW w:w="1659" w:type="pct"/>
          </w:tcPr>
          <w:p w14:paraId="6ADBE887" w14:textId="4B4F536E" w:rsidR="00D74550" w:rsidRPr="00511335" w:rsidRDefault="00D74550" w:rsidP="00D74550">
            <w:pPr>
              <w:widowControl w:val="0"/>
              <w:autoSpaceDE w:val="0"/>
              <w:autoSpaceDN w:val="0"/>
              <w:spacing w:before="255" w:line="360" w:lineRule="auto"/>
              <w:ind w:left="105"/>
              <w:rPr>
                <w:rFonts w:ascii="Arial" w:eastAsia="Arial MT" w:hAnsi="Arial MT" w:cs="Arial MT"/>
                <w:b/>
                <w:sz w:val="24"/>
                <w:szCs w:val="22"/>
              </w:rPr>
            </w:pPr>
            <w:r w:rsidRPr="00511335">
              <w:rPr>
                <w:rFonts w:ascii="Arial" w:eastAsia="Arial MT" w:hAnsi="Arial MT" w:cs="Arial MT"/>
                <w:b/>
                <w:sz w:val="24"/>
                <w:szCs w:val="22"/>
              </w:rPr>
              <w:t>Friday</w:t>
            </w:r>
            <w:r w:rsidRPr="00511335">
              <w:rPr>
                <w:rFonts w:ascii="Arial" w:eastAsia="Arial MT" w:hAnsi="Arial MT" w:cs="Arial MT"/>
                <w:b/>
                <w:spacing w:val="-7"/>
                <w:sz w:val="24"/>
                <w:szCs w:val="22"/>
              </w:rPr>
              <w:t xml:space="preserve"> </w:t>
            </w:r>
            <w:r w:rsidRPr="00511335">
              <w:rPr>
                <w:rFonts w:ascii="Arial" w:eastAsia="Arial MT" w:hAnsi="Arial MT" w:cs="Arial MT"/>
                <w:b/>
                <w:sz w:val="24"/>
                <w:szCs w:val="22"/>
              </w:rPr>
              <w:t>17</w:t>
            </w:r>
            <w:proofErr w:type="spellStart"/>
            <w:r w:rsidRPr="00511335">
              <w:rPr>
                <w:rFonts w:ascii="Arial" w:eastAsia="Arial MT" w:hAnsi="Arial MT" w:cs="Arial MT"/>
                <w:b/>
                <w:position w:val="8"/>
                <w:sz w:val="16"/>
                <w:szCs w:val="22"/>
              </w:rPr>
              <w:t>th</w:t>
            </w:r>
            <w:proofErr w:type="spellEnd"/>
            <w:r w:rsidRPr="00511335">
              <w:rPr>
                <w:rFonts w:ascii="Arial" w:eastAsia="Arial MT" w:hAnsi="Arial MT" w:cs="Arial MT"/>
                <w:b/>
                <w:spacing w:val="13"/>
                <w:position w:val="8"/>
                <w:sz w:val="16"/>
                <w:szCs w:val="22"/>
              </w:rPr>
              <w:t xml:space="preserve"> </w:t>
            </w:r>
            <w:r w:rsidRPr="00511335">
              <w:rPr>
                <w:rFonts w:ascii="Arial" w:eastAsia="Arial MT" w:hAnsi="Arial MT" w:cs="Arial MT"/>
                <w:b/>
                <w:sz w:val="24"/>
                <w:szCs w:val="22"/>
              </w:rPr>
              <w:t>July</w:t>
            </w:r>
            <w:r w:rsidRPr="00511335">
              <w:rPr>
                <w:rFonts w:ascii="Arial" w:eastAsia="Arial MT" w:hAnsi="Arial MT" w:cs="Arial MT"/>
                <w:b/>
                <w:spacing w:val="-8"/>
                <w:sz w:val="24"/>
                <w:szCs w:val="22"/>
              </w:rPr>
              <w:t xml:space="preserve"> </w:t>
            </w:r>
            <w:r w:rsidRPr="00511335">
              <w:rPr>
                <w:rFonts w:ascii="Arial" w:eastAsia="Arial MT" w:hAnsi="Arial MT" w:cs="Arial MT"/>
                <w:b/>
                <w:sz w:val="24"/>
                <w:szCs w:val="22"/>
              </w:rPr>
              <w:t>2026</w:t>
            </w:r>
            <w:r w:rsidRPr="00511335">
              <w:rPr>
                <w:rFonts w:ascii="Arial" w:eastAsia="Arial MT" w:hAnsi="Arial MT" w:cs="Arial MT"/>
                <w:b/>
                <w:spacing w:val="-8"/>
                <w:sz w:val="24"/>
                <w:szCs w:val="22"/>
              </w:rPr>
              <w:t xml:space="preserve"> </w:t>
            </w:r>
          </w:p>
        </w:tc>
        <w:tc>
          <w:tcPr>
            <w:tcW w:w="1143" w:type="pct"/>
          </w:tcPr>
          <w:p w14:paraId="11746846" w14:textId="77777777" w:rsidR="00D74550" w:rsidRPr="00511335" w:rsidRDefault="00D74550" w:rsidP="00D74550">
            <w:pPr>
              <w:widowControl w:val="0"/>
              <w:autoSpaceDE w:val="0"/>
              <w:autoSpaceDN w:val="0"/>
              <w:spacing w:before="120"/>
              <w:ind w:left="107" w:right="205"/>
              <w:rPr>
                <w:rFonts w:ascii="Arial" w:eastAsia="Arial MT" w:hAnsi="Arial MT" w:cs="Arial MT"/>
                <w:b/>
                <w:sz w:val="24"/>
                <w:szCs w:val="22"/>
              </w:rPr>
            </w:pPr>
            <w:r w:rsidRPr="00511335">
              <w:rPr>
                <w:rFonts w:ascii="Arial" w:eastAsia="Arial MT" w:hAnsi="Arial MT" w:cs="Arial MT"/>
                <w:b/>
                <w:sz w:val="24"/>
                <w:szCs w:val="22"/>
              </w:rPr>
              <w:t xml:space="preserve">Return date of </w:t>
            </w:r>
            <w:r w:rsidRPr="00511335">
              <w:rPr>
                <w:rFonts w:ascii="Arial" w:eastAsia="Arial MT" w:hAnsi="Arial MT" w:cs="Arial MT"/>
                <w:b/>
                <w:spacing w:val="-2"/>
                <w:sz w:val="24"/>
                <w:szCs w:val="22"/>
              </w:rPr>
              <w:t xml:space="preserve">provisional </w:t>
            </w:r>
            <w:r w:rsidRPr="00511335">
              <w:rPr>
                <w:rFonts w:ascii="Arial" w:eastAsia="Arial MT" w:hAnsi="Arial MT" w:cs="Arial MT"/>
                <w:b/>
                <w:sz w:val="24"/>
                <w:szCs w:val="22"/>
              </w:rPr>
              <w:t>marks</w:t>
            </w:r>
            <w:r w:rsidRPr="00511335">
              <w:rPr>
                <w:rFonts w:ascii="Arial" w:eastAsia="Arial MT" w:hAnsi="Arial MT" w:cs="Arial MT"/>
                <w:b/>
                <w:spacing w:val="-17"/>
                <w:sz w:val="24"/>
                <w:szCs w:val="22"/>
              </w:rPr>
              <w:t xml:space="preserve"> </w:t>
            </w:r>
            <w:r w:rsidRPr="00511335">
              <w:rPr>
                <w:rFonts w:ascii="Arial" w:eastAsia="Arial MT" w:hAnsi="Arial MT" w:cs="Arial MT"/>
                <w:b/>
                <w:sz w:val="24"/>
                <w:szCs w:val="22"/>
              </w:rPr>
              <w:t>&amp;</w:t>
            </w:r>
            <w:r w:rsidRPr="00511335">
              <w:rPr>
                <w:rFonts w:ascii="Arial" w:eastAsia="Arial MT" w:hAnsi="Arial MT" w:cs="Arial MT"/>
                <w:b/>
                <w:spacing w:val="-17"/>
                <w:sz w:val="24"/>
                <w:szCs w:val="22"/>
              </w:rPr>
              <w:t xml:space="preserve"> </w:t>
            </w:r>
            <w:r w:rsidRPr="00511335">
              <w:rPr>
                <w:rFonts w:ascii="Arial" w:eastAsia="Arial MT" w:hAnsi="Arial MT" w:cs="Arial MT"/>
                <w:b/>
                <w:sz w:val="24"/>
                <w:szCs w:val="22"/>
              </w:rPr>
              <w:t xml:space="preserve">written </w:t>
            </w:r>
            <w:r w:rsidRPr="00511335">
              <w:rPr>
                <w:rFonts w:ascii="Arial" w:eastAsia="Arial MT" w:hAnsi="Arial MT" w:cs="Arial MT"/>
                <w:b/>
                <w:spacing w:val="-2"/>
                <w:sz w:val="24"/>
                <w:szCs w:val="22"/>
              </w:rPr>
              <w:t>feedback:</w:t>
            </w:r>
          </w:p>
        </w:tc>
        <w:tc>
          <w:tcPr>
            <w:tcW w:w="1142" w:type="pct"/>
          </w:tcPr>
          <w:p w14:paraId="39D10831" w14:textId="77777777" w:rsidR="00D74550" w:rsidRPr="00511335" w:rsidRDefault="00D74550" w:rsidP="00D74550">
            <w:pPr>
              <w:widowControl w:val="0"/>
              <w:autoSpaceDE w:val="0"/>
              <w:autoSpaceDN w:val="0"/>
              <w:spacing w:before="254"/>
              <w:rPr>
                <w:rFonts w:ascii="Arial" w:eastAsia="Arial MT" w:hAnsi="Arial MT" w:cs="Arial MT"/>
                <w:b/>
                <w:sz w:val="24"/>
                <w:szCs w:val="22"/>
              </w:rPr>
            </w:pPr>
          </w:p>
          <w:p w14:paraId="23341393" w14:textId="77777777" w:rsidR="00D74550" w:rsidRPr="00511335" w:rsidRDefault="00D74550" w:rsidP="00D74550">
            <w:pPr>
              <w:widowControl w:val="0"/>
              <w:autoSpaceDE w:val="0"/>
              <w:autoSpaceDN w:val="0"/>
              <w:spacing w:before="1"/>
              <w:ind w:left="108"/>
              <w:rPr>
                <w:rFonts w:ascii="Arial" w:eastAsia="Arial MT" w:hAnsi="Arial MT" w:cs="Arial MT"/>
                <w:b/>
                <w:sz w:val="24"/>
                <w:szCs w:val="22"/>
              </w:rPr>
            </w:pPr>
            <w:r w:rsidRPr="00511335">
              <w:rPr>
                <w:rFonts w:ascii="Arial" w:eastAsia="Arial MT" w:hAnsi="Arial MT" w:cs="Arial MT"/>
                <w:b/>
                <w:sz w:val="24"/>
                <w:szCs w:val="22"/>
              </w:rPr>
              <w:t>14</w:t>
            </w:r>
            <w:proofErr w:type="spellStart"/>
            <w:r w:rsidRPr="00511335">
              <w:rPr>
                <w:rFonts w:ascii="Arial" w:eastAsia="Arial MT" w:hAnsi="Arial MT" w:cs="Arial MT"/>
                <w:b/>
                <w:position w:val="8"/>
                <w:sz w:val="16"/>
                <w:szCs w:val="22"/>
              </w:rPr>
              <w:t>th</w:t>
            </w:r>
            <w:proofErr w:type="spellEnd"/>
            <w:r w:rsidRPr="00511335">
              <w:rPr>
                <w:rFonts w:ascii="Arial" w:eastAsia="Arial MT" w:hAnsi="Arial MT" w:cs="Arial MT"/>
                <w:b/>
                <w:spacing w:val="19"/>
                <w:position w:val="8"/>
                <w:sz w:val="16"/>
                <w:szCs w:val="22"/>
              </w:rPr>
              <w:t xml:space="preserve"> </w:t>
            </w:r>
            <w:r w:rsidRPr="00511335">
              <w:rPr>
                <w:rFonts w:ascii="Arial" w:eastAsia="Arial MT" w:hAnsi="Arial MT" w:cs="Arial MT"/>
                <w:b/>
                <w:sz w:val="24"/>
                <w:szCs w:val="22"/>
              </w:rPr>
              <w:t>August</w:t>
            </w:r>
            <w:r w:rsidRPr="00511335">
              <w:rPr>
                <w:rFonts w:ascii="Arial" w:eastAsia="Arial MT" w:hAnsi="Arial MT" w:cs="Arial MT"/>
                <w:b/>
                <w:spacing w:val="-1"/>
                <w:sz w:val="24"/>
                <w:szCs w:val="22"/>
              </w:rPr>
              <w:t xml:space="preserve"> </w:t>
            </w:r>
            <w:r w:rsidRPr="00511335">
              <w:rPr>
                <w:rFonts w:ascii="Arial" w:eastAsia="Arial MT" w:hAnsi="Arial MT" w:cs="Arial MT"/>
                <w:b/>
                <w:spacing w:val="-4"/>
                <w:sz w:val="24"/>
                <w:szCs w:val="22"/>
              </w:rPr>
              <w:t>2026</w:t>
            </w:r>
          </w:p>
        </w:tc>
      </w:tr>
    </w:tbl>
    <w:p w14:paraId="7C59158D" w14:textId="77777777" w:rsidR="00511335" w:rsidRDefault="00511335" w:rsidP="00511335">
      <w:pPr>
        <w:spacing w:after="80" w:line="360" w:lineRule="auto"/>
        <w:jc w:val="center"/>
        <w:rPr>
          <w:b/>
          <w:bCs/>
          <w:color w:val="1F3864"/>
          <w:sz w:val="24"/>
          <w:szCs w:val="24"/>
        </w:rPr>
      </w:pPr>
    </w:p>
    <w:p w14:paraId="3B726411" w14:textId="77777777" w:rsidR="00511335" w:rsidRDefault="00511335">
      <w:pPr>
        <w:rPr>
          <w:color w:val="2E74B5"/>
          <w:sz w:val="24"/>
          <w:szCs w:val="24"/>
        </w:rPr>
      </w:pPr>
      <w:r>
        <w:rPr>
          <w:sz w:val="24"/>
          <w:szCs w:val="24"/>
        </w:rPr>
        <w:br w:type="page"/>
      </w:r>
    </w:p>
    <w:sdt>
      <w:sdtPr>
        <w:rPr>
          <w:rFonts w:ascii="Times New Roman" w:eastAsia="Times New Roman" w:hAnsi="Times New Roman" w:cs="Times New Roman"/>
          <w:b w:val="0"/>
          <w:color w:val="auto"/>
          <w:sz w:val="20"/>
          <w:szCs w:val="20"/>
        </w:rPr>
        <w:id w:val="-740862337"/>
        <w:docPartObj>
          <w:docPartGallery w:val="Table of Contents"/>
          <w:docPartUnique/>
        </w:docPartObj>
      </w:sdtPr>
      <w:sdtEndPr>
        <w:rPr>
          <w:bCs/>
          <w:noProof/>
        </w:rPr>
      </w:sdtEndPr>
      <w:sdtContent>
        <w:p w14:paraId="2BDE0C78" w14:textId="63343A16" w:rsidR="00511335" w:rsidRPr="00511335" w:rsidRDefault="00511335" w:rsidP="00511335">
          <w:pPr>
            <w:pStyle w:val="TOCHeading"/>
            <w:spacing w:line="360" w:lineRule="auto"/>
            <w:jc w:val="center"/>
            <w:rPr>
              <w:rFonts w:ascii="Times New Roman" w:hAnsi="Times New Roman" w:cs="Times New Roman"/>
              <w:color w:val="auto"/>
              <w:szCs w:val="24"/>
            </w:rPr>
          </w:pPr>
          <w:r w:rsidRPr="00511335">
            <w:rPr>
              <w:rFonts w:ascii="Times New Roman" w:hAnsi="Times New Roman" w:cs="Times New Roman"/>
              <w:color w:val="auto"/>
              <w:szCs w:val="24"/>
            </w:rPr>
            <w:t>Table of Contents</w:t>
          </w:r>
        </w:p>
        <w:p w14:paraId="78F8228B" w14:textId="4A4968C5" w:rsidR="00511335" w:rsidRPr="00511335" w:rsidRDefault="00511335" w:rsidP="00511335">
          <w:pPr>
            <w:pStyle w:val="TOC1"/>
            <w:tabs>
              <w:tab w:val="right" w:leader="dot" w:pos="8296"/>
            </w:tabs>
            <w:spacing w:line="360" w:lineRule="auto"/>
            <w:jc w:val="both"/>
            <w:rPr>
              <w:rFonts w:eastAsiaTheme="minorEastAsia"/>
              <w:noProof/>
              <w:kern w:val="2"/>
              <w:sz w:val="24"/>
              <w:szCs w:val="24"/>
              <w14:ligatures w14:val="standardContextual"/>
            </w:rPr>
          </w:pPr>
          <w:r w:rsidRPr="00511335">
            <w:rPr>
              <w:sz w:val="24"/>
              <w:szCs w:val="24"/>
            </w:rPr>
            <w:fldChar w:fldCharType="begin"/>
          </w:r>
          <w:r w:rsidRPr="00511335">
            <w:rPr>
              <w:sz w:val="24"/>
              <w:szCs w:val="24"/>
            </w:rPr>
            <w:instrText xml:space="preserve"> TOC \o "1-3" \h \z \u </w:instrText>
          </w:r>
          <w:r w:rsidRPr="00511335">
            <w:rPr>
              <w:sz w:val="24"/>
              <w:szCs w:val="24"/>
            </w:rPr>
            <w:fldChar w:fldCharType="separate"/>
          </w:r>
          <w:hyperlink w:anchor="_Toc235178279" w:history="1">
            <w:r w:rsidRPr="00511335">
              <w:rPr>
                <w:rStyle w:val="Hyperlink"/>
                <w:noProof/>
                <w:sz w:val="24"/>
                <w:szCs w:val="24"/>
              </w:rPr>
              <w:t>TASK A: Socialisation, Identity and Business Activism</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_Toc235178279 \h </w:instrText>
            </w:r>
            <w:r w:rsidRPr="00511335">
              <w:rPr>
                <w:noProof/>
                <w:webHidden/>
                <w:sz w:val="24"/>
                <w:szCs w:val="24"/>
              </w:rPr>
            </w:r>
            <w:r w:rsidRPr="00511335">
              <w:rPr>
                <w:noProof/>
                <w:webHidden/>
                <w:sz w:val="24"/>
                <w:szCs w:val="24"/>
              </w:rPr>
              <w:fldChar w:fldCharType="separate"/>
            </w:r>
            <w:r w:rsidRPr="00511335">
              <w:rPr>
                <w:noProof/>
                <w:webHidden/>
                <w:sz w:val="24"/>
                <w:szCs w:val="24"/>
              </w:rPr>
              <w:t>3</w:t>
            </w:r>
            <w:r w:rsidRPr="00511335">
              <w:rPr>
                <w:noProof/>
                <w:webHidden/>
                <w:sz w:val="24"/>
                <w:szCs w:val="24"/>
              </w:rPr>
              <w:fldChar w:fldCharType="end"/>
            </w:r>
          </w:hyperlink>
        </w:p>
        <w:p w14:paraId="62522B8D" w14:textId="41AEF9FE" w:rsidR="00511335" w:rsidRPr="00511335" w:rsidRDefault="00511335" w:rsidP="00511335">
          <w:pPr>
            <w:pStyle w:val="TOC2"/>
            <w:tabs>
              <w:tab w:val="right" w:leader="dot" w:pos="8296"/>
            </w:tabs>
            <w:spacing w:line="360" w:lineRule="auto"/>
            <w:jc w:val="both"/>
            <w:rPr>
              <w:rFonts w:eastAsiaTheme="minorEastAsia"/>
              <w:noProof/>
              <w:kern w:val="2"/>
              <w:sz w:val="24"/>
              <w:szCs w:val="24"/>
              <w14:ligatures w14:val="standardContextual"/>
            </w:rPr>
          </w:pPr>
          <w:hyperlink w:anchor="_Toc235178280" w:history="1">
            <w:r w:rsidRPr="00511335">
              <w:rPr>
                <w:rStyle w:val="Hyperlink"/>
                <w:noProof/>
                <w:sz w:val="24"/>
                <w:szCs w:val="24"/>
              </w:rPr>
              <w:t>A.1 Traditional Onboarding versus Strategic Organisational Socialisation</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_Toc235178280 \h </w:instrText>
            </w:r>
            <w:r w:rsidRPr="00511335">
              <w:rPr>
                <w:noProof/>
                <w:webHidden/>
                <w:sz w:val="24"/>
                <w:szCs w:val="24"/>
              </w:rPr>
            </w:r>
            <w:r w:rsidRPr="00511335">
              <w:rPr>
                <w:noProof/>
                <w:webHidden/>
                <w:sz w:val="24"/>
                <w:szCs w:val="24"/>
              </w:rPr>
              <w:fldChar w:fldCharType="separate"/>
            </w:r>
            <w:r w:rsidRPr="00511335">
              <w:rPr>
                <w:noProof/>
                <w:webHidden/>
                <w:sz w:val="24"/>
                <w:szCs w:val="24"/>
              </w:rPr>
              <w:t>3</w:t>
            </w:r>
            <w:r w:rsidRPr="00511335">
              <w:rPr>
                <w:noProof/>
                <w:webHidden/>
                <w:sz w:val="24"/>
                <w:szCs w:val="24"/>
              </w:rPr>
              <w:fldChar w:fldCharType="end"/>
            </w:r>
          </w:hyperlink>
        </w:p>
        <w:p w14:paraId="055DA036" w14:textId="755B4C73" w:rsidR="00511335" w:rsidRPr="00511335" w:rsidRDefault="00511335" w:rsidP="00511335">
          <w:pPr>
            <w:pStyle w:val="TOC2"/>
            <w:tabs>
              <w:tab w:val="right" w:leader="dot" w:pos="8296"/>
            </w:tabs>
            <w:spacing w:line="360" w:lineRule="auto"/>
            <w:jc w:val="both"/>
            <w:rPr>
              <w:rFonts w:eastAsiaTheme="minorEastAsia"/>
              <w:noProof/>
              <w:kern w:val="2"/>
              <w:sz w:val="24"/>
              <w:szCs w:val="24"/>
              <w14:ligatures w14:val="standardContextual"/>
            </w:rPr>
          </w:pPr>
          <w:hyperlink w:anchor="_Toc235178281" w:history="1">
            <w:r w:rsidRPr="00511335">
              <w:rPr>
                <w:rStyle w:val="Hyperlink"/>
                <w:noProof/>
                <w:sz w:val="24"/>
                <w:szCs w:val="24"/>
              </w:rPr>
              <w:t>A.2 A Structured Socialisation Framework for Helios Urban Mobility</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_Toc235178281 \h </w:instrText>
            </w:r>
            <w:r w:rsidRPr="00511335">
              <w:rPr>
                <w:noProof/>
                <w:webHidden/>
                <w:sz w:val="24"/>
                <w:szCs w:val="24"/>
              </w:rPr>
            </w:r>
            <w:r w:rsidRPr="00511335">
              <w:rPr>
                <w:noProof/>
                <w:webHidden/>
                <w:sz w:val="24"/>
                <w:szCs w:val="24"/>
              </w:rPr>
              <w:fldChar w:fldCharType="separate"/>
            </w:r>
            <w:r w:rsidRPr="00511335">
              <w:rPr>
                <w:noProof/>
                <w:webHidden/>
                <w:sz w:val="24"/>
                <w:szCs w:val="24"/>
              </w:rPr>
              <w:t>3</w:t>
            </w:r>
            <w:r w:rsidRPr="00511335">
              <w:rPr>
                <w:noProof/>
                <w:webHidden/>
                <w:sz w:val="24"/>
                <w:szCs w:val="24"/>
              </w:rPr>
              <w:fldChar w:fldCharType="end"/>
            </w:r>
          </w:hyperlink>
        </w:p>
        <w:p w14:paraId="73D7DEE0" w14:textId="4ED81665" w:rsidR="00511335" w:rsidRPr="00511335" w:rsidRDefault="00511335" w:rsidP="00511335">
          <w:pPr>
            <w:pStyle w:val="TOC2"/>
            <w:tabs>
              <w:tab w:val="right" w:leader="dot" w:pos="8296"/>
            </w:tabs>
            <w:spacing w:line="360" w:lineRule="auto"/>
            <w:jc w:val="both"/>
            <w:rPr>
              <w:rFonts w:eastAsiaTheme="minorEastAsia"/>
              <w:noProof/>
              <w:kern w:val="2"/>
              <w:sz w:val="24"/>
              <w:szCs w:val="24"/>
              <w14:ligatures w14:val="standardContextual"/>
            </w:rPr>
          </w:pPr>
          <w:hyperlink w:anchor="_Toc235178282" w:history="1">
            <w:r w:rsidRPr="00511335">
              <w:rPr>
                <w:rStyle w:val="Hyperlink"/>
                <w:noProof/>
                <w:sz w:val="24"/>
                <w:szCs w:val="24"/>
              </w:rPr>
              <w:t>A.3 Mechanisms for Identification, Ethical Professionalism, and Business Activism</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_Toc235178282 \h </w:instrText>
            </w:r>
            <w:r w:rsidRPr="00511335">
              <w:rPr>
                <w:noProof/>
                <w:webHidden/>
                <w:sz w:val="24"/>
                <w:szCs w:val="24"/>
              </w:rPr>
            </w:r>
            <w:r w:rsidRPr="00511335">
              <w:rPr>
                <w:noProof/>
                <w:webHidden/>
                <w:sz w:val="24"/>
                <w:szCs w:val="24"/>
              </w:rPr>
              <w:fldChar w:fldCharType="separate"/>
            </w:r>
            <w:r w:rsidRPr="00511335">
              <w:rPr>
                <w:noProof/>
                <w:webHidden/>
                <w:sz w:val="24"/>
                <w:szCs w:val="24"/>
              </w:rPr>
              <w:t>5</w:t>
            </w:r>
            <w:r w:rsidRPr="00511335">
              <w:rPr>
                <w:noProof/>
                <w:webHidden/>
                <w:sz w:val="24"/>
                <w:szCs w:val="24"/>
              </w:rPr>
              <w:fldChar w:fldCharType="end"/>
            </w:r>
          </w:hyperlink>
        </w:p>
        <w:p w14:paraId="3B8E3E79" w14:textId="68F75CDF" w:rsidR="00511335" w:rsidRPr="00511335" w:rsidRDefault="00511335" w:rsidP="00511335">
          <w:pPr>
            <w:pStyle w:val="TOC1"/>
            <w:tabs>
              <w:tab w:val="right" w:leader="dot" w:pos="8296"/>
            </w:tabs>
            <w:spacing w:line="360" w:lineRule="auto"/>
            <w:jc w:val="both"/>
            <w:rPr>
              <w:rFonts w:eastAsiaTheme="minorEastAsia"/>
              <w:noProof/>
              <w:kern w:val="2"/>
              <w:sz w:val="24"/>
              <w:szCs w:val="24"/>
              <w14:ligatures w14:val="standardContextual"/>
            </w:rPr>
          </w:pPr>
          <w:hyperlink w:anchor="_Toc235178283" w:history="1">
            <w:r w:rsidRPr="00511335">
              <w:rPr>
                <w:rStyle w:val="Hyperlink"/>
                <w:noProof/>
                <w:sz w:val="24"/>
                <w:szCs w:val="24"/>
              </w:rPr>
              <w:t>TASK B: Job Design Strategy</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_Toc235178283 \h </w:instrText>
            </w:r>
            <w:r w:rsidRPr="00511335">
              <w:rPr>
                <w:noProof/>
                <w:webHidden/>
                <w:sz w:val="24"/>
                <w:szCs w:val="24"/>
              </w:rPr>
            </w:r>
            <w:r w:rsidRPr="00511335">
              <w:rPr>
                <w:noProof/>
                <w:webHidden/>
                <w:sz w:val="24"/>
                <w:szCs w:val="24"/>
              </w:rPr>
              <w:fldChar w:fldCharType="separate"/>
            </w:r>
            <w:r w:rsidRPr="00511335">
              <w:rPr>
                <w:noProof/>
                <w:webHidden/>
                <w:sz w:val="24"/>
                <w:szCs w:val="24"/>
              </w:rPr>
              <w:t>6</w:t>
            </w:r>
            <w:r w:rsidRPr="00511335">
              <w:rPr>
                <w:noProof/>
                <w:webHidden/>
                <w:sz w:val="24"/>
                <w:szCs w:val="24"/>
              </w:rPr>
              <w:fldChar w:fldCharType="end"/>
            </w:r>
          </w:hyperlink>
        </w:p>
        <w:p w14:paraId="5AFF6E9D" w14:textId="270BEF21" w:rsidR="00511335" w:rsidRPr="00511335" w:rsidRDefault="00511335" w:rsidP="00511335">
          <w:pPr>
            <w:pStyle w:val="TOC2"/>
            <w:tabs>
              <w:tab w:val="right" w:leader="dot" w:pos="8296"/>
            </w:tabs>
            <w:spacing w:line="360" w:lineRule="auto"/>
            <w:jc w:val="both"/>
            <w:rPr>
              <w:rFonts w:eastAsiaTheme="minorEastAsia"/>
              <w:noProof/>
              <w:kern w:val="2"/>
              <w:sz w:val="24"/>
              <w:szCs w:val="24"/>
              <w14:ligatures w14:val="standardContextual"/>
            </w:rPr>
          </w:pPr>
          <w:hyperlink w:anchor="_Toc235178284" w:history="1">
            <w:r w:rsidRPr="00511335">
              <w:rPr>
                <w:rStyle w:val="Hyperlink"/>
                <w:noProof/>
                <w:sz w:val="24"/>
                <w:szCs w:val="24"/>
              </w:rPr>
              <w:t>B.1 Innovative Job Design Using the Job Characteristics Model</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_Toc235178284 \h </w:instrText>
            </w:r>
            <w:r w:rsidRPr="00511335">
              <w:rPr>
                <w:noProof/>
                <w:webHidden/>
                <w:sz w:val="24"/>
                <w:szCs w:val="24"/>
              </w:rPr>
            </w:r>
            <w:r w:rsidRPr="00511335">
              <w:rPr>
                <w:noProof/>
                <w:webHidden/>
                <w:sz w:val="24"/>
                <w:szCs w:val="24"/>
              </w:rPr>
              <w:fldChar w:fldCharType="separate"/>
            </w:r>
            <w:r w:rsidRPr="00511335">
              <w:rPr>
                <w:noProof/>
                <w:webHidden/>
                <w:sz w:val="24"/>
                <w:szCs w:val="24"/>
              </w:rPr>
              <w:t>6</w:t>
            </w:r>
            <w:r w:rsidRPr="00511335">
              <w:rPr>
                <w:noProof/>
                <w:webHidden/>
                <w:sz w:val="24"/>
                <w:szCs w:val="24"/>
              </w:rPr>
              <w:fldChar w:fldCharType="end"/>
            </w:r>
          </w:hyperlink>
        </w:p>
        <w:p w14:paraId="144361E4" w14:textId="209DB89D" w:rsidR="00511335" w:rsidRPr="00511335" w:rsidRDefault="00511335" w:rsidP="00511335">
          <w:pPr>
            <w:pStyle w:val="TOC2"/>
            <w:tabs>
              <w:tab w:val="right" w:leader="dot" w:pos="8296"/>
            </w:tabs>
            <w:spacing w:line="360" w:lineRule="auto"/>
            <w:jc w:val="both"/>
            <w:rPr>
              <w:rFonts w:eastAsiaTheme="minorEastAsia"/>
              <w:noProof/>
              <w:kern w:val="2"/>
              <w:sz w:val="24"/>
              <w:szCs w:val="24"/>
              <w14:ligatures w14:val="standardContextual"/>
            </w:rPr>
          </w:pPr>
          <w:hyperlink w:anchor="_Toc235178285" w:history="1">
            <w:r w:rsidRPr="00511335">
              <w:rPr>
                <w:rStyle w:val="Hyperlink"/>
                <w:noProof/>
                <w:sz w:val="24"/>
                <w:szCs w:val="24"/>
              </w:rPr>
              <w:t>B.2 Job Crafting as an Engine of Innovation</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_Toc235178285 \h </w:instrText>
            </w:r>
            <w:r w:rsidRPr="00511335">
              <w:rPr>
                <w:noProof/>
                <w:webHidden/>
                <w:sz w:val="24"/>
                <w:szCs w:val="24"/>
              </w:rPr>
            </w:r>
            <w:r w:rsidRPr="00511335">
              <w:rPr>
                <w:noProof/>
                <w:webHidden/>
                <w:sz w:val="24"/>
                <w:szCs w:val="24"/>
              </w:rPr>
              <w:fldChar w:fldCharType="separate"/>
            </w:r>
            <w:r w:rsidRPr="00511335">
              <w:rPr>
                <w:noProof/>
                <w:webHidden/>
                <w:sz w:val="24"/>
                <w:szCs w:val="24"/>
              </w:rPr>
              <w:t>8</w:t>
            </w:r>
            <w:r w:rsidRPr="00511335">
              <w:rPr>
                <w:noProof/>
                <w:webHidden/>
                <w:sz w:val="24"/>
                <w:szCs w:val="24"/>
              </w:rPr>
              <w:fldChar w:fldCharType="end"/>
            </w:r>
          </w:hyperlink>
        </w:p>
        <w:p w14:paraId="780F2E08" w14:textId="19C0902D" w:rsidR="00511335" w:rsidRPr="00511335" w:rsidRDefault="00511335" w:rsidP="00511335">
          <w:pPr>
            <w:pStyle w:val="TOC2"/>
            <w:tabs>
              <w:tab w:val="right" w:leader="dot" w:pos="8296"/>
            </w:tabs>
            <w:spacing w:line="360" w:lineRule="auto"/>
            <w:jc w:val="both"/>
            <w:rPr>
              <w:rFonts w:eastAsiaTheme="minorEastAsia"/>
              <w:noProof/>
              <w:kern w:val="2"/>
              <w:sz w:val="24"/>
              <w:szCs w:val="24"/>
              <w14:ligatures w14:val="standardContextual"/>
            </w:rPr>
          </w:pPr>
          <w:hyperlink w:anchor="_Toc235178286" w:history="1">
            <w:r w:rsidRPr="00511335">
              <w:rPr>
                <w:rStyle w:val="Hyperlink"/>
                <w:noProof/>
                <w:sz w:val="24"/>
                <w:szCs w:val="24"/>
              </w:rPr>
              <w:t>B.3 Skills-Based Architecture and Internal Talent Marketplaces</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_Toc235178286 \h </w:instrText>
            </w:r>
            <w:r w:rsidRPr="00511335">
              <w:rPr>
                <w:noProof/>
                <w:webHidden/>
                <w:sz w:val="24"/>
                <w:szCs w:val="24"/>
              </w:rPr>
            </w:r>
            <w:r w:rsidRPr="00511335">
              <w:rPr>
                <w:noProof/>
                <w:webHidden/>
                <w:sz w:val="24"/>
                <w:szCs w:val="24"/>
              </w:rPr>
              <w:fldChar w:fldCharType="separate"/>
            </w:r>
            <w:r w:rsidRPr="00511335">
              <w:rPr>
                <w:noProof/>
                <w:webHidden/>
                <w:sz w:val="24"/>
                <w:szCs w:val="24"/>
              </w:rPr>
              <w:t>8</w:t>
            </w:r>
            <w:r w:rsidRPr="00511335">
              <w:rPr>
                <w:noProof/>
                <w:webHidden/>
                <w:sz w:val="24"/>
                <w:szCs w:val="24"/>
              </w:rPr>
              <w:fldChar w:fldCharType="end"/>
            </w:r>
          </w:hyperlink>
        </w:p>
        <w:p w14:paraId="7965F0AC" w14:textId="38E86EB2" w:rsidR="00511335" w:rsidRPr="00511335" w:rsidRDefault="00511335" w:rsidP="00511335">
          <w:pPr>
            <w:pStyle w:val="TOC2"/>
            <w:tabs>
              <w:tab w:val="right" w:leader="dot" w:pos="8296"/>
            </w:tabs>
            <w:spacing w:line="360" w:lineRule="auto"/>
            <w:jc w:val="both"/>
            <w:rPr>
              <w:rFonts w:eastAsiaTheme="minorEastAsia"/>
              <w:noProof/>
              <w:kern w:val="2"/>
              <w:sz w:val="24"/>
              <w:szCs w:val="24"/>
              <w14:ligatures w14:val="standardContextual"/>
            </w:rPr>
          </w:pPr>
          <w:hyperlink w:anchor="_Toc235178287" w:history="1">
            <w:r w:rsidRPr="00511335">
              <w:rPr>
                <w:rStyle w:val="Hyperlink"/>
                <w:noProof/>
                <w:sz w:val="24"/>
                <w:szCs w:val="24"/>
              </w:rPr>
              <w:t>B.4 Stimulating Intrinsic Motivation and Supporting Innovation</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_Toc235178287 \h </w:instrText>
            </w:r>
            <w:r w:rsidRPr="00511335">
              <w:rPr>
                <w:noProof/>
                <w:webHidden/>
                <w:sz w:val="24"/>
                <w:szCs w:val="24"/>
              </w:rPr>
            </w:r>
            <w:r w:rsidRPr="00511335">
              <w:rPr>
                <w:noProof/>
                <w:webHidden/>
                <w:sz w:val="24"/>
                <w:szCs w:val="24"/>
              </w:rPr>
              <w:fldChar w:fldCharType="separate"/>
            </w:r>
            <w:r w:rsidRPr="00511335">
              <w:rPr>
                <w:noProof/>
                <w:webHidden/>
                <w:sz w:val="24"/>
                <w:szCs w:val="24"/>
              </w:rPr>
              <w:t>9</w:t>
            </w:r>
            <w:r w:rsidRPr="00511335">
              <w:rPr>
                <w:noProof/>
                <w:webHidden/>
                <w:sz w:val="24"/>
                <w:szCs w:val="24"/>
              </w:rPr>
              <w:fldChar w:fldCharType="end"/>
            </w:r>
          </w:hyperlink>
        </w:p>
        <w:p w14:paraId="56CEFBC8" w14:textId="2438B2CE" w:rsidR="00511335" w:rsidRPr="00511335" w:rsidRDefault="00511335" w:rsidP="00511335">
          <w:pPr>
            <w:pStyle w:val="TOC1"/>
            <w:tabs>
              <w:tab w:val="right" w:leader="dot" w:pos="8296"/>
            </w:tabs>
            <w:spacing w:line="360" w:lineRule="auto"/>
            <w:jc w:val="both"/>
            <w:rPr>
              <w:rFonts w:eastAsiaTheme="minorEastAsia"/>
              <w:noProof/>
              <w:kern w:val="2"/>
              <w:sz w:val="24"/>
              <w:szCs w:val="24"/>
              <w14:ligatures w14:val="standardContextual"/>
            </w:rPr>
          </w:pPr>
          <w:hyperlink w:anchor="_Toc235178288" w:history="1">
            <w:r w:rsidRPr="00511335">
              <w:rPr>
                <w:rStyle w:val="Hyperlink"/>
                <w:noProof/>
                <w:sz w:val="24"/>
                <w:szCs w:val="24"/>
              </w:rPr>
              <w:t>TASK C: Reflective Report</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_Toc235178288 \h </w:instrText>
            </w:r>
            <w:r w:rsidRPr="00511335">
              <w:rPr>
                <w:noProof/>
                <w:webHidden/>
                <w:sz w:val="24"/>
                <w:szCs w:val="24"/>
              </w:rPr>
            </w:r>
            <w:r w:rsidRPr="00511335">
              <w:rPr>
                <w:noProof/>
                <w:webHidden/>
                <w:sz w:val="24"/>
                <w:szCs w:val="24"/>
              </w:rPr>
              <w:fldChar w:fldCharType="separate"/>
            </w:r>
            <w:r w:rsidRPr="00511335">
              <w:rPr>
                <w:noProof/>
                <w:webHidden/>
                <w:sz w:val="24"/>
                <w:szCs w:val="24"/>
              </w:rPr>
              <w:t>10</w:t>
            </w:r>
            <w:r w:rsidRPr="00511335">
              <w:rPr>
                <w:noProof/>
                <w:webHidden/>
                <w:sz w:val="24"/>
                <w:szCs w:val="24"/>
              </w:rPr>
              <w:fldChar w:fldCharType="end"/>
            </w:r>
          </w:hyperlink>
        </w:p>
        <w:p w14:paraId="5D9E06E3" w14:textId="1041C0EF" w:rsidR="00511335" w:rsidRPr="00511335" w:rsidRDefault="00511335" w:rsidP="00511335">
          <w:pPr>
            <w:pStyle w:val="TOC2"/>
            <w:tabs>
              <w:tab w:val="right" w:leader="dot" w:pos="8296"/>
            </w:tabs>
            <w:spacing w:line="360" w:lineRule="auto"/>
            <w:jc w:val="both"/>
            <w:rPr>
              <w:rFonts w:eastAsiaTheme="minorEastAsia"/>
              <w:noProof/>
              <w:kern w:val="2"/>
              <w:sz w:val="24"/>
              <w:szCs w:val="24"/>
              <w14:ligatures w14:val="standardContextual"/>
            </w:rPr>
          </w:pPr>
          <w:hyperlink w:anchor="_Toc235178289" w:history="1">
            <w:r w:rsidRPr="00511335">
              <w:rPr>
                <w:rStyle w:val="Hyperlink"/>
                <w:noProof/>
                <w:sz w:val="24"/>
                <w:szCs w:val="24"/>
              </w:rPr>
              <w:t>C.1 AI as a Decision-Support Tool Without Eroding Human Judgement</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_Toc235178289 \h </w:instrText>
            </w:r>
            <w:r w:rsidRPr="00511335">
              <w:rPr>
                <w:noProof/>
                <w:webHidden/>
                <w:sz w:val="24"/>
                <w:szCs w:val="24"/>
              </w:rPr>
            </w:r>
            <w:r w:rsidRPr="00511335">
              <w:rPr>
                <w:noProof/>
                <w:webHidden/>
                <w:sz w:val="24"/>
                <w:szCs w:val="24"/>
              </w:rPr>
              <w:fldChar w:fldCharType="separate"/>
            </w:r>
            <w:r w:rsidRPr="00511335">
              <w:rPr>
                <w:noProof/>
                <w:webHidden/>
                <w:sz w:val="24"/>
                <w:szCs w:val="24"/>
              </w:rPr>
              <w:t>10</w:t>
            </w:r>
            <w:r w:rsidRPr="00511335">
              <w:rPr>
                <w:noProof/>
                <w:webHidden/>
                <w:sz w:val="24"/>
                <w:szCs w:val="24"/>
              </w:rPr>
              <w:fldChar w:fldCharType="end"/>
            </w:r>
          </w:hyperlink>
        </w:p>
        <w:p w14:paraId="127B2D80" w14:textId="3BBD4776" w:rsidR="00511335" w:rsidRPr="00511335" w:rsidRDefault="00511335" w:rsidP="00511335">
          <w:pPr>
            <w:pStyle w:val="TOC2"/>
            <w:tabs>
              <w:tab w:val="right" w:leader="dot" w:pos="8296"/>
            </w:tabs>
            <w:spacing w:line="360" w:lineRule="auto"/>
            <w:jc w:val="both"/>
            <w:rPr>
              <w:rFonts w:eastAsiaTheme="minorEastAsia"/>
              <w:noProof/>
              <w:kern w:val="2"/>
              <w:sz w:val="24"/>
              <w:szCs w:val="24"/>
              <w14:ligatures w14:val="standardContextual"/>
            </w:rPr>
          </w:pPr>
          <w:hyperlink w:anchor="_Toc235178290" w:history="1">
            <w:r w:rsidRPr="00511335">
              <w:rPr>
                <w:rStyle w:val="Hyperlink"/>
                <w:noProof/>
                <w:sz w:val="24"/>
                <w:szCs w:val="24"/>
              </w:rPr>
              <w:t>C.2 Personal Capability Development Plan</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_Toc235178290 \h </w:instrText>
            </w:r>
            <w:r w:rsidRPr="00511335">
              <w:rPr>
                <w:noProof/>
                <w:webHidden/>
                <w:sz w:val="24"/>
                <w:szCs w:val="24"/>
              </w:rPr>
            </w:r>
            <w:r w:rsidRPr="00511335">
              <w:rPr>
                <w:noProof/>
                <w:webHidden/>
                <w:sz w:val="24"/>
                <w:szCs w:val="24"/>
              </w:rPr>
              <w:fldChar w:fldCharType="separate"/>
            </w:r>
            <w:r w:rsidRPr="00511335">
              <w:rPr>
                <w:noProof/>
                <w:webHidden/>
                <w:sz w:val="24"/>
                <w:szCs w:val="24"/>
              </w:rPr>
              <w:t>11</w:t>
            </w:r>
            <w:r w:rsidRPr="00511335">
              <w:rPr>
                <w:noProof/>
                <w:webHidden/>
                <w:sz w:val="24"/>
                <w:szCs w:val="24"/>
              </w:rPr>
              <w:fldChar w:fldCharType="end"/>
            </w:r>
          </w:hyperlink>
        </w:p>
        <w:p w14:paraId="1A8D44B8" w14:textId="5C844790" w:rsidR="00511335" w:rsidRPr="00511335" w:rsidRDefault="00511335" w:rsidP="00511335">
          <w:pPr>
            <w:pStyle w:val="TOC1"/>
            <w:tabs>
              <w:tab w:val="right" w:leader="dot" w:pos="8296"/>
            </w:tabs>
            <w:spacing w:line="360" w:lineRule="auto"/>
            <w:jc w:val="both"/>
            <w:rPr>
              <w:rFonts w:eastAsiaTheme="minorEastAsia"/>
              <w:noProof/>
              <w:kern w:val="2"/>
              <w:sz w:val="24"/>
              <w:szCs w:val="24"/>
              <w14:ligatures w14:val="standardContextual"/>
            </w:rPr>
          </w:pPr>
          <w:hyperlink w:anchor="_Toc235178291" w:history="1">
            <w:r w:rsidRPr="00511335">
              <w:rPr>
                <w:rStyle w:val="Hyperlink"/>
                <w:noProof/>
                <w:sz w:val="24"/>
                <w:szCs w:val="24"/>
              </w:rPr>
              <w:t>References</w:t>
            </w:r>
            <w:r w:rsidRPr="00511335">
              <w:rPr>
                <w:noProof/>
                <w:webHidden/>
                <w:sz w:val="24"/>
                <w:szCs w:val="24"/>
              </w:rPr>
              <w:tab/>
            </w:r>
            <w:r w:rsidRPr="00511335">
              <w:rPr>
                <w:noProof/>
                <w:webHidden/>
                <w:sz w:val="24"/>
                <w:szCs w:val="24"/>
              </w:rPr>
              <w:fldChar w:fldCharType="begin"/>
            </w:r>
            <w:r w:rsidRPr="00511335">
              <w:rPr>
                <w:noProof/>
                <w:webHidden/>
                <w:sz w:val="24"/>
                <w:szCs w:val="24"/>
              </w:rPr>
              <w:instrText xml:space="preserve"> PAGEREF _Toc235178291 \h </w:instrText>
            </w:r>
            <w:r w:rsidRPr="00511335">
              <w:rPr>
                <w:noProof/>
                <w:webHidden/>
                <w:sz w:val="24"/>
                <w:szCs w:val="24"/>
              </w:rPr>
            </w:r>
            <w:r w:rsidRPr="00511335">
              <w:rPr>
                <w:noProof/>
                <w:webHidden/>
                <w:sz w:val="24"/>
                <w:szCs w:val="24"/>
              </w:rPr>
              <w:fldChar w:fldCharType="separate"/>
            </w:r>
            <w:r w:rsidRPr="00511335">
              <w:rPr>
                <w:noProof/>
                <w:webHidden/>
                <w:sz w:val="24"/>
                <w:szCs w:val="24"/>
              </w:rPr>
              <w:t>13</w:t>
            </w:r>
            <w:r w:rsidRPr="00511335">
              <w:rPr>
                <w:noProof/>
                <w:webHidden/>
                <w:sz w:val="24"/>
                <w:szCs w:val="24"/>
              </w:rPr>
              <w:fldChar w:fldCharType="end"/>
            </w:r>
          </w:hyperlink>
        </w:p>
        <w:p w14:paraId="00912154" w14:textId="389209AE" w:rsidR="00511335" w:rsidRDefault="00511335" w:rsidP="00511335">
          <w:pPr>
            <w:spacing w:line="360" w:lineRule="auto"/>
            <w:jc w:val="both"/>
          </w:pPr>
          <w:r w:rsidRPr="00511335">
            <w:rPr>
              <w:b/>
              <w:bCs/>
              <w:noProof/>
              <w:sz w:val="24"/>
              <w:szCs w:val="24"/>
            </w:rPr>
            <w:fldChar w:fldCharType="end"/>
          </w:r>
        </w:p>
      </w:sdtContent>
    </w:sdt>
    <w:p w14:paraId="75A49AAA" w14:textId="77777777" w:rsidR="00511335" w:rsidRDefault="00511335">
      <w:pPr>
        <w:rPr>
          <w:color w:val="2E74B5"/>
          <w:sz w:val="24"/>
          <w:szCs w:val="24"/>
        </w:rPr>
      </w:pPr>
      <w:r>
        <w:rPr>
          <w:sz w:val="24"/>
          <w:szCs w:val="24"/>
        </w:rPr>
        <w:br w:type="page"/>
      </w:r>
    </w:p>
    <w:p w14:paraId="3A1F5B6A" w14:textId="2E75BB71" w:rsidR="002D26FB" w:rsidRDefault="00000000">
      <w:pPr>
        <w:pStyle w:val="Heading1"/>
        <w:spacing w:before="320" w:after="160"/>
        <w:rPr>
          <w:szCs w:val="24"/>
        </w:rPr>
      </w:pPr>
      <w:bookmarkStart w:id="0" w:name="_Toc235178279"/>
      <w:r>
        <w:rPr>
          <w:szCs w:val="24"/>
        </w:rPr>
        <w:lastRenderedPageBreak/>
        <w:t xml:space="preserve">TASK A: </w:t>
      </w:r>
      <w:proofErr w:type="spellStart"/>
      <w:r>
        <w:rPr>
          <w:szCs w:val="24"/>
        </w:rPr>
        <w:t>Socialisation</w:t>
      </w:r>
      <w:proofErr w:type="spellEnd"/>
      <w:r>
        <w:rPr>
          <w:szCs w:val="24"/>
        </w:rPr>
        <w:t>, Identity and Business Activism</w:t>
      </w:r>
      <w:bookmarkEnd w:id="0"/>
      <w:r>
        <w:rPr>
          <w:szCs w:val="24"/>
        </w:rPr>
        <w:t xml:space="preserve"> </w:t>
      </w:r>
    </w:p>
    <w:p w14:paraId="6002B5D7" w14:textId="77777777" w:rsidR="002D26FB" w:rsidRDefault="00000000">
      <w:pPr>
        <w:pStyle w:val="Heading2"/>
        <w:spacing w:before="240" w:after="120"/>
        <w:rPr>
          <w:szCs w:val="24"/>
        </w:rPr>
      </w:pPr>
      <w:bookmarkStart w:id="1" w:name="_heading=h.4yn4xz2xoybx" w:colFirst="0" w:colLast="0"/>
      <w:bookmarkStart w:id="2" w:name="_Toc235178280"/>
      <w:bookmarkEnd w:id="1"/>
      <w:r>
        <w:rPr>
          <w:szCs w:val="24"/>
        </w:rPr>
        <w:t xml:space="preserve">A.1 Traditional Onboarding versus Strategic </w:t>
      </w:r>
      <w:proofErr w:type="spellStart"/>
      <w:r>
        <w:rPr>
          <w:szCs w:val="24"/>
        </w:rPr>
        <w:t>Organisational</w:t>
      </w:r>
      <w:proofErr w:type="spellEnd"/>
      <w:r>
        <w:rPr>
          <w:szCs w:val="24"/>
        </w:rPr>
        <w:t xml:space="preserve"> </w:t>
      </w:r>
      <w:proofErr w:type="spellStart"/>
      <w:r>
        <w:rPr>
          <w:szCs w:val="24"/>
        </w:rPr>
        <w:t>Socialisation</w:t>
      </w:r>
      <w:bookmarkEnd w:id="2"/>
      <w:proofErr w:type="spellEnd"/>
    </w:p>
    <w:p w14:paraId="6306EC1E" w14:textId="77777777" w:rsidR="002D26FB" w:rsidRDefault="00000000">
      <w:pPr>
        <w:spacing w:after="160" w:line="360" w:lineRule="auto"/>
        <w:jc w:val="both"/>
        <w:rPr>
          <w:sz w:val="24"/>
          <w:szCs w:val="24"/>
        </w:rPr>
      </w:pPr>
      <w:r>
        <w:rPr>
          <w:sz w:val="24"/>
          <w:szCs w:val="24"/>
        </w:rPr>
        <w:t xml:space="preserve">Helios Urban Mobility (HUM) faces a critical people management challenge. An eight-months ramp-up time is indicative of a </w:t>
      </w:r>
      <w:proofErr w:type="spellStart"/>
      <w:r>
        <w:rPr>
          <w:sz w:val="24"/>
          <w:szCs w:val="24"/>
        </w:rPr>
        <w:t>socialisation</w:t>
      </w:r>
      <w:proofErr w:type="spellEnd"/>
      <w:r>
        <w:rPr>
          <w:sz w:val="24"/>
          <w:szCs w:val="24"/>
        </w:rPr>
        <w:t xml:space="preserve"> failure in a structural sense. The traditional approach to onboarding simply involves administrative and logistical orientation (</w:t>
      </w:r>
      <w:r>
        <w:rPr>
          <w:color w:val="222222"/>
          <w:sz w:val="24"/>
          <w:szCs w:val="24"/>
          <w:highlight w:val="white"/>
        </w:rPr>
        <w:t>Bauer and Erdogan, 2011</w:t>
      </w:r>
      <w:r>
        <w:rPr>
          <w:sz w:val="24"/>
          <w:szCs w:val="24"/>
        </w:rPr>
        <w:t xml:space="preserve">). Standard Policy Handbooks, IT credentials and introductions are provided to employees. These inputs do not develop belonging or shared purpose. Strategic </w:t>
      </w:r>
      <w:proofErr w:type="spellStart"/>
      <w:r>
        <w:rPr>
          <w:sz w:val="24"/>
          <w:szCs w:val="24"/>
        </w:rPr>
        <w:t>organisational</w:t>
      </w:r>
      <w:proofErr w:type="spellEnd"/>
      <w:r>
        <w:rPr>
          <w:sz w:val="24"/>
          <w:szCs w:val="24"/>
        </w:rPr>
        <w:t xml:space="preserve"> </w:t>
      </w:r>
      <w:proofErr w:type="spellStart"/>
      <w:r>
        <w:rPr>
          <w:sz w:val="24"/>
          <w:szCs w:val="24"/>
        </w:rPr>
        <w:t>socialisation</w:t>
      </w:r>
      <w:proofErr w:type="spellEnd"/>
      <w:r>
        <w:rPr>
          <w:sz w:val="24"/>
          <w:szCs w:val="24"/>
        </w:rPr>
        <w:t xml:space="preserve">, on the other hand, is intentional </w:t>
      </w:r>
      <w:proofErr w:type="spellStart"/>
      <w:r>
        <w:rPr>
          <w:sz w:val="24"/>
          <w:szCs w:val="24"/>
        </w:rPr>
        <w:t>behavioural</w:t>
      </w:r>
      <w:proofErr w:type="spellEnd"/>
      <w:r>
        <w:rPr>
          <w:sz w:val="24"/>
          <w:szCs w:val="24"/>
        </w:rPr>
        <w:t xml:space="preserve"> and cognitive change (Van Maanen and Schein, 1977). Over time it deliberately forms values, role clarity and group membership in a systematic manner.</w:t>
      </w:r>
    </w:p>
    <w:p w14:paraId="1B9D3423" w14:textId="77777777" w:rsidR="002D26FB" w:rsidRDefault="00000000">
      <w:pPr>
        <w:spacing w:after="160" w:line="360" w:lineRule="auto"/>
        <w:jc w:val="both"/>
        <w:rPr>
          <w:sz w:val="24"/>
          <w:szCs w:val="24"/>
        </w:rPr>
      </w:pPr>
      <w:r>
        <w:rPr>
          <w:sz w:val="24"/>
          <w:szCs w:val="24"/>
        </w:rPr>
        <w:t xml:space="preserve">The </w:t>
      </w:r>
      <w:proofErr w:type="spellStart"/>
      <w:r>
        <w:rPr>
          <w:sz w:val="24"/>
          <w:szCs w:val="24"/>
        </w:rPr>
        <w:t>socialisation</w:t>
      </w:r>
      <w:proofErr w:type="spellEnd"/>
      <w:r>
        <w:rPr>
          <w:sz w:val="24"/>
          <w:szCs w:val="24"/>
        </w:rPr>
        <w:t xml:space="preserve"> tactics of Van Maanen and Schein are still basic. Collective, formal, sequential </w:t>
      </w:r>
      <w:proofErr w:type="spellStart"/>
      <w:r>
        <w:rPr>
          <w:sz w:val="24"/>
          <w:szCs w:val="24"/>
        </w:rPr>
        <w:t>institutionalised</w:t>
      </w:r>
      <w:proofErr w:type="spellEnd"/>
      <w:r>
        <w:rPr>
          <w:sz w:val="24"/>
          <w:szCs w:val="24"/>
        </w:rPr>
        <w:t xml:space="preserve"> tactics generate custodial orientations of roles. Tactics that are customized encourage innovative and entrepreneurially oriented employees (Cable et al., 2012). The latter is necessary by the innovation-driven mandate of HUM. The psychological contract theory also sheds light on this issue. Rousseau (1989) differentiates between relational and transactional contracts. Upon graduation, HUM alumni look forward to growing, learning, and doing something impactful. These expectations go unmet, and the disengagement takes off quickly. This breach is substantiated by HUM's 54% engagement score.</w:t>
      </w:r>
    </w:p>
    <w:p w14:paraId="78E5D224" w14:textId="77777777" w:rsidR="002D26FB" w:rsidRDefault="00000000">
      <w:pPr>
        <w:spacing w:after="160" w:line="360" w:lineRule="auto"/>
        <w:jc w:val="both"/>
        <w:rPr>
          <w:sz w:val="24"/>
          <w:szCs w:val="24"/>
        </w:rPr>
      </w:pPr>
      <w:r>
        <w:rPr>
          <w:sz w:val="24"/>
          <w:szCs w:val="24"/>
        </w:rPr>
        <w:t xml:space="preserve">There is one more framing tool: identity construction theory. Ashforth and Mael (1989) maintain that people get their self-concept from group membership. Instead, new entrants at HUM need to be led to the identification with the </w:t>
      </w:r>
      <w:proofErr w:type="spellStart"/>
      <w:r>
        <w:rPr>
          <w:sz w:val="24"/>
          <w:szCs w:val="24"/>
        </w:rPr>
        <w:t>organisation's</w:t>
      </w:r>
      <w:proofErr w:type="spellEnd"/>
      <w:r>
        <w:rPr>
          <w:sz w:val="24"/>
          <w:szCs w:val="24"/>
        </w:rPr>
        <w:t xml:space="preserve"> mission of AI-mobility. Without an intentional identity anchor, high-potential graduates go astray. In line with this, </w:t>
      </w:r>
      <w:proofErr w:type="spellStart"/>
      <w:r>
        <w:rPr>
          <w:sz w:val="24"/>
          <w:szCs w:val="24"/>
        </w:rPr>
        <w:t>Wrzesniewski</w:t>
      </w:r>
      <w:proofErr w:type="spellEnd"/>
      <w:r>
        <w:rPr>
          <w:sz w:val="24"/>
          <w:szCs w:val="24"/>
        </w:rPr>
        <w:t xml:space="preserve"> et al. (2023) found a strong link between purpose aligned identity formation and low voluntary turnover. Thus the change from administration onboarding to strategic </w:t>
      </w:r>
      <w:proofErr w:type="spellStart"/>
      <w:r>
        <w:rPr>
          <w:sz w:val="24"/>
          <w:szCs w:val="24"/>
        </w:rPr>
        <w:t>socialisation</w:t>
      </w:r>
      <w:proofErr w:type="spellEnd"/>
      <w:r>
        <w:rPr>
          <w:sz w:val="24"/>
          <w:szCs w:val="24"/>
        </w:rPr>
        <w:t xml:space="preserve"> is imperative for HUM. </w:t>
      </w:r>
    </w:p>
    <w:p w14:paraId="23BBAE75" w14:textId="77777777" w:rsidR="002D26FB" w:rsidRDefault="00000000">
      <w:pPr>
        <w:pStyle w:val="Heading2"/>
        <w:spacing w:before="240" w:after="120"/>
        <w:rPr>
          <w:szCs w:val="24"/>
        </w:rPr>
      </w:pPr>
      <w:bookmarkStart w:id="3" w:name="_heading=h.gbtxhrigmz9n" w:colFirst="0" w:colLast="0"/>
      <w:bookmarkStart w:id="4" w:name="_Toc235178281"/>
      <w:bookmarkEnd w:id="3"/>
      <w:r>
        <w:rPr>
          <w:szCs w:val="24"/>
        </w:rPr>
        <w:t xml:space="preserve">A.2 A Structured </w:t>
      </w:r>
      <w:proofErr w:type="spellStart"/>
      <w:r>
        <w:rPr>
          <w:szCs w:val="24"/>
        </w:rPr>
        <w:t>Socialisation</w:t>
      </w:r>
      <w:proofErr w:type="spellEnd"/>
      <w:r>
        <w:rPr>
          <w:szCs w:val="24"/>
        </w:rPr>
        <w:t xml:space="preserve"> Framework for Helios Urban Mobility</w:t>
      </w:r>
      <w:bookmarkEnd w:id="4"/>
    </w:p>
    <w:p w14:paraId="7220903F" w14:textId="77777777" w:rsidR="002D26FB" w:rsidRPr="00511335" w:rsidRDefault="00000000">
      <w:pPr>
        <w:spacing w:after="160" w:line="360" w:lineRule="auto"/>
        <w:jc w:val="both"/>
        <w:rPr>
          <w:b/>
          <w:bCs/>
          <w:i/>
          <w:iCs/>
          <w:sz w:val="24"/>
          <w:szCs w:val="24"/>
        </w:rPr>
      </w:pPr>
      <w:sdt>
        <w:sdtPr>
          <w:tag w:val="goog_rdk_0"/>
          <w:id w:val="-2134949337"/>
        </w:sdtPr>
        <w:sdtContent>
          <w:r w:rsidRPr="00511335">
            <w:rPr>
              <w:rFonts w:eastAsia="Gungsuh"/>
              <w:b/>
              <w:bCs/>
              <w:i/>
              <w:iCs/>
              <w:sz w:val="24"/>
              <w:szCs w:val="24"/>
            </w:rPr>
            <w:t>Pre-Boarding Phase (Weeks −4 to 0)</w:t>
          </w:r>
        </w:sdtContent>
      </w:sdt>
    </w:p>
    <w:p w14:paraId="664AC79B" w14:textId="77777777" w:rsidR="002D26FB" w:rsidRDefault="00000000">
      <w:pPr>
        <w:spacing w:after="160" w:line="360" w:lineRule="auto"/>
        <w:jc w:val="both"/>
        <w:rPr>
          <w:sz w:val="24"/>
          <w:szCs w:val="24"/>
        </w:rPr>
      </w:pPr>
      <w:r>
        <w:rPr>
          <w:sz w:val="24"/>
          <w:szCs w:val="24"/>
        </w:rPr>
        <w:t>HUM should contact the Hire 4 weeks prior to their first day of employment. AI enabled content curation (</w:t>
      </w:r>
      <w:r>
        <w:rPr>
          <w:color w:val="222222"/>
          <w:sz w:val="24"/>
          <w:szCs w:val="24"/>
          <w:highlight w:val="white"/>
        </w:rPr>
        <w:t>Morrison</w:t>
      </w:r>
      <w:r>
        <w:rPr>
          <w:sz w:val="24"/>
          <w:szCs w:val="24"/>
        </w:rPr>
        <w:t xml:space="preserve">, 1993) tailors the experience on digital pre-boarding portals, </w:t>
      </w:r>
      <w:proofErr w:type="spellStart"/>
      <w:r>
        <w:rPr>
          <w:sz w:val="24"/>
          <w:szCs w:val="24"/>
        </w:rPr>
        <w:t>personalising</w:t>
      </w:r>
      <w:proofErr w:type="spellEnd"/>
      <w:r>
        <w:rPr>
          <w:sz w:val="24"/>
          <w:szCs w:val="24"/>
        </w:rPr>
        <w:t xml:space="preserve"> the experience. New players get mission stories tailored for them, team </w:t>
      </w:r>
      <w:r>
        <w:rPr>
          <w:sz w:val="24"/>
          <w:szCs w:val="24"/>
        </w:rPr>
        <w:lastRenderedPageBreak/>
        <w:t xml:space="preserve">introductions, and live project snapshots. This should eventually lead to a virtual "Mission Immersion Day". New employees are introduced to senior leaders and current groups of graduates online. Studies show time-to-productivity (TTP) and first-week anxiety are reduced with pre-boarding (Korte, </w:t>
      </w:r>
      <w:r>
        <w:rPr>
          <w:color w:val="222222"/>
          <w:sz w:val="24"/>
          <w:szCs w:val="24"/>
          <w:highlight w:val="white"/>
        </w:rPr>
        <w:t>2007</w:t>
      </w:r>
      <w:r>
        <w:rPr>
          <w:sz w:val="24"/>
          <w:szCs w:val="24"/>
        </w:rPr>
        <w:t>). Here is the start of the psychological contract formation, clarity of expectations is key.</w:t>
      </w:r>
    </w:p>
    <w:p w14:paraId="5DD875ED" w14:textId="77777777" w:rsidR="002D26FB" w:rsidRDefault="00000000">
      <w:pPr>
        <w:spacing w:after="120" w:line="360" w:lineRule="auto"/>
        <w:jc w:val="center"/>
        <w:rPr>
          <w:sz w:val="24"/>
          <w:szCs w:val="24"/>
        </w:rPr>
      </w:pPr>
      <w:r>
        <w:rPr>
          <w:noProof/>
          <w:sz w:val="24"/>
          <w:szCs w:val="24"/>
        </w:rPr>
        <w:drawing>
          <wp:inline distT="114300" distB="114300" distL="114300" distR="114300" wp14:anchorId="2719D42D" wp14:editId="24ED8DCD">
            <wp:extent cx="5274000" cy="3479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274000" cy="3479800"/>
                    </a:xfrm>
                    <a:prstGeom prst="rect">
                      <a:avLst/>
                    </a:prstGeom>
                    <a:ln/>
                  </pic:spPr>
                </pic:pic>
              </a:graphicData>
            </a:graphic>
          </wp:inline>
        </w:drawing>
      </w:r>
    </w:p>
    <w:p w14:paraId="5430DF29" w14:textId="77777777" w:rsidR="002D26FB" w:rsidRPr="00511335" w:rsidRDefault="00000000">
      <w:pPr>
        <w:spacing w:after="120" w:line="360" w:lineRule="auto"/>
        <w:jc w:val="center"/>
        <w:rPr>
          <w:sz w:val="24"/>
          <w:szCs w:val="24"/>
        </w:rPr>
      </w:pPr>
      <w:r>
        <w:rPr>
          <w:b/>
          <w:bCs/>
          <w:sz w:val="24"/>
          <w:szCs w:val="24"/>
        </w:rPr>
        <w:t>Figure 1: Employee onboarding</w:t>
      </w:r>
      <w:r>
        <w:rPr>
          <w:b/>
          <w:bCs/>
          <w:sz w:val="24"/>
          <w:szCs w:val="24"/>
        </w:rPr>
        <w:br/>
      </w:r>
      <w:r w:rsidRPr="00511335">
        <w:rPr>
          <w:sz w:val="24"/>
          <w:szCs w:val="24"/>
        </w:rPr>
        <w:t xml:space="preserve">(Source: </w:t>
      </w:r>
      <w:proofErr w:type="spellStart"/>
      <w:r w:rsidRPr="00511335">
        <w:rPr>
          <w:sz w:val="24"/>
          <w:szCs w:val="24"/>
        </w:rPr>
        <w:t>self created</w:t>
      </w:r>
      <w:proofErr w:type="spellEnd"/>
      <w:r w:rsidRPr="00511335">
        <w:rPr>
          <w:sz w:val="24"/>
          <w:szCs w:val="24"/>
        </w:rPr>
        <w:t>)</w:t>
      </w:r>
    </w:p>
    <w:p w14:paraId="71EE0E78" w14:textId="4C0A2448" w:rsidR="002D26FB" w:rsidRPr="00511335" w:rsidRDefault="00000000">
      <w:pPr>
        <w:spacing w:after="160" w:line="360" w:lineRule="auto"/>
        <w:jc w:val="both"/>
        <w:rPr>
          <w:sz w:val="24"/>
          <w:szCs w:val="24"/>
        </w:rPr>
      </w:pPr>
      <w:r w:rsidRPr="00511335">
        <w:rPr>
          <w:sz w:val="24"/>
          <w:szCs w:val="24"/>
        </w:rPr>
        <w:t xml:space="preserve">The image </w:t>
      </w:r>
      <w:r w:rsidR="00511335" w:rsidRPr="00511335">
        <w:rPr>
          <w:sz w:val="24"/>
          <w:szCs w:val="24"/>
        </w:rPr>
        <w:t>exemplifies</w:t>
      </w:r>
      <w:r w:rsidRPr="00511335">
        <w:rPr>
          <w:sz w:val="24"/>
          <w:szCs w:val="24"/>
        </w:rPr>
        <w:t xml:space="preserve"> the </w:t>
      </w:r>
      <w:r w:rsidR="00511335" w:rsidRPr="00511335">
        <w:rPr>
          <w:sz w:val="24"/>
          <w:szCs w:val="24"/>
        </w:rPr>
        <w:t>change</w:t>
      </w:r>
      <w:r w:rsidRPr="00511335">
        <w:rPr>
          <w:sz w:val="24"/>
          <w:szCs w:val="24"/>
        </w:rPr>
        <w:t xml:space="preserve"> from pre-boarding to identity </w:t>
      </w:r>
      <w:r w:rsidR="00511335" w:rsidRPr="00511335">
        <w:rPr>
          <w:sz w:val="24"/>
          <w:szCs w:val="24"/>
        </w:rPr>
        <w:t>alliance</w:t>
      </w:r>
      <w:r w:rsidRPr="00511335">
        <w:rPr>
          <w:sz w:val="24"/>
          <w:szCs w:val="24"/>
        </w:rPr>
        <w:t xml:space="preserve"> and makes the framework easier to </w:t>
      </w:r>
      <w:r w:rsidR="00511335" w:rsidRPr="00511335">
        <w:rPr>
          <w:sz w:val="24"/>
          <w:szCs w:val="24"/>
        </w:rPr>
        <w:t>comprehend</w:t>
      </w:r>
      <w:r w:rsidRPr="00511335">
        <w:rPr>
          <w:sz w:val="24"/>
          <w:szCs w:val="24"/>
        </w:rPr>
        <w:t xml:space="preserve">. </w:t>
      </w:r>
    </w:p>
    <w:p w14:paraId="54AE04FB" w14:textId="77777777" w:rsidR="002D26FB" w:rsidRDefault="00000000">
      <w:pPr>
        <w:spacing w:after="160" w:line="360" w:lineRule="auto"/>
        <w:jc w:val="both"/>
        <w:rPr>
          <w:b/>
          <w:bCs/>
          <w:i/>
          <w:iCs/>
          <w:sz w:val="24"/>
          <w:szCs w:val="24"/>
        </w:rPr>
      </w:pPr>
      <w:r>
        <w:rPr>
          <w:b/>
          <w:bCs/>
          <w:i/>
          <w:iCs/>
          <w:sz w:val="24"/>
          <w:szCs w:val="24"/>
        </w:rPr>
        <w:t>Structured Integration</w:t>
      </w:r>
    </w:p>
    <w:p w14:paraId="330206E6" w14:textId="77777777" w:rsidR="002D26FB" w:rsidRDefault="00000000">
      <w:pPr>
        <w:spacing w:after="160" w:line="360" w:lineRule="auto"/>
        <w:jc w:val="both"/>
        <w:rPr>
          <w:sz w:val="24"/>
          <w:szCs w:val="24"/>
        </w:rPr>
      </w:pPr>
      <w:r>
        <w:rPr>
          <w:sz w:val="24"/>
          <w:szCs w:val="24"/>
        </w:rPr>
        <w:t xml:space="preserve">The first 90 days are the </w:t>
      </w:r>
      <w:proofErr w:type="spellStart"/>
      <w:r>
        <w:rPr>
          <w:sz w:val="24"/>
          <w:szCs w:val="24"/>
        </w:rPr>
        <w:t>socialisation</w:t>
      </w:r>
      <w:proofErr w:type="spellEnd"/>
      <w:r>
        <w:rPr>
          <w:sz w:val="24"/>
          <w:szCs w:val="24"/>
        </w:rPr>
        <w:t xml:space="preserve"> "critical window" (Bauer et al., 2007). HUM needs to implement a tri-city buddy system between new staff members in London, Berlin and Singapore. This makes cross cultural knowledge transfer happen on the spot. Structured line management meetings weekly to discuss role clarity. Longitudinal survey data reveals that support from a manager, in the 30-60 period, is the greatest predictor of engagement (CIPD, 2025). HUM should also create “Mobility Innovation Squads” which are small, multi-disciplinary teams to address concrete city-government </w:t>
      </w:r>
      <w:r>
        <w:rPr>
          <w:sz w:val="24"/>
          <w:szCs w:val="24"/>
        </w:rPr>
        <w:lastRenderedPageBreak/>
        <w:t>challenges. This results in real-life task-based identity development. At day thirty, the learning goal is signed collaboratively in learning contracts.</w:t>
      </w:r>
    </w:p>
    <w:p w14:paraId="6FCF66BD" w14:textId="77777777" w:rsidR="002D26FB" w:rsidRDefault="00000000">
      <w:pPr>
        <w:spacing w:after="160" w:line="360" w:lineRule="auto"/>
        <w:jc w:val="both"/>
        <w:rPr>
          <w:b/>
          <w:bCs/>
          <w:i/>
          <w:iCs/>
          <w:sz w:val="24"/>
          <w:szCs w:val="24"/>
        </w:rPr>
      </w:pPr>
      <w:r>
        <w:rPr>
          <w:b/>
          <w:bCs/>
          <w:i/>
          <w:iCs/>
          <w:sz w:val="24"/>
          <w:szCs w:val="24"/>
        </w:rPr>
        <w:t>Year 1: Identity Consolidation and Activation</w:t>
      </w:r>
    </w:p>
    <w:p w14:paraId="02A561EA" w14:textId="77777777" w:rsidR="002D26FB" w:rsidRDefault="00000000">
      <w:pPr>
        <w:spacing w:after="160" w:line="360" w:lineRule="auto"/>
        <w:jc w:val="both"/>
        <w:rPr>
          <w:b/>
          <w:bCs/>
          <w:i/>
          <w:iCs/>
          <w:color w:val="404040"/>
          <w:sz w:val="24"/>
          <w:szCs w:val="24"/>
        </w:rPr>
      </w:pPr>
      <w:r>
        <w:rPr>
          <w:sz w:val="24"/>
          <w:szCs w:val="24"/>
        </w:rPr>
        <w:t xml:space="preserve">Career identity and business activism develop in the second year (months 4-12). Performance appraisals are replaced with quarterly "Impact Reviews. These reviews are specifically linked to the mission of HUM and measure the impact of the contributions. The peer nominated 'Urban Mobility Champion' awards strengthen </w:t>
      </w:r>
      <w:proofErr w:type="spellStart"/>
      <w:r>
        <w:rPr>
          <w:sz w:val="24"/>
          <w:szCs w:val="24"/>
        </w:rPr>
        <w:t>organisational</w:t>
      </w:r>
      <w:proofErr w:type="spellEnd"/>
      <w:r>
        <w:rPr>
          <w:sz w:val="24"/>
          <w:szCs w:val="24"/>
        </w:rPr>
        <w:t xml:space="preserve"> identification. A dedicated alumni mentoring platform is in place to link alumni with seasoned employees around the world. According to McKinsey &amp; Company, (2023), structured mentoring results in a 28% lower rate of graduate attrition in technology companies. Year-one </w:t>
      </w:r>
      <w:proofErr w:type="spellStart"/>
      <w:r>
        <w:rPr>
          <w:sz w:val="24"/>
          <w:szCs w:val="24"/>
        </w:rPr>
        <w:t>socialisation</w:t>
      </w:r>
      <w:proofErr w:type="spellEnd"/>
      <w:r>
        <w:rPr>
          <w:sz w:val="24"/>
          <w:szCs w:val="24"/>
        </w:rPr>
        <w:t xml:space="preserve"> is completed in a "HUM Leadership Lab" cross-city immersion </w:t>
      </w:r>
      <w:proofErr w:type="spellStart"/>
      <w:r>
        <w:rPr>
          <w:sz w:val="24"/>
          <w:szCs w:val="24"/>
        </w:rPr>
        <w:t>programme</w:t>
      </w:r>
      <w:proofErr w:type="spellEnd"/>
      <w:r>
        <w:rPr>
          <w:sz w:val="24"/>
          <w:szCs w:val="24"/>
        </w:rPr>
        <w:t xml:space="preserve">, which speeds up strategic thinking. </w:t>
      </w:r>
    </w:p>
    <w:p w14:paraId="1DAA0E39" w14:textId="77777777" w:rsidR="002D26FB" w:rsidRDefault="00000000">
      <w:pPr>
        <w:pStyle w:val="Heading2"/>
        <w:spacing w:before="240" w:after="120"/>
        <w:rPr>
          <w:szCs w:val="24"/>
        </w:rPr>
      </w:pPr>
      <w:bookmarkStart w:id="5" w:name="_heading=h.ahmaucjzzp7t" w:colFirst="0" w:colLast="0"/>
      <w:bookmarkStart w:id="6" w:name="_Toc235178282"/>
      <w:bookmarkEnd w:id="5"/>
      <w:r>
        <w:rPr>
          <w:szCs w:val="24"/>
        </w:rPr>
        <w:t>A.3 Mechanisms for Identification, Ethical Professionalism, and Business Activism</w:t>
      </w:r>
      <w:bookmarkEnd w:id="6"/>
    </w:p>
    <w:p w14:paraId="1FF06DBD" w14:textId="77777777" w:rsidR="002D26FB" w:rsidRDefault="00000000">
      <w:pPr>
        <w:spacing w:after="160" w:line="360" w:lineRule="auto"/>
        <w:jc w:val="both"/>
        <w:rPr>
          <w:b/>
          <w:bCs/>
          <w:i/>
          <w:iCs/>
          <w:sz w:val="24"/>
          <w:szCs w:val="24"/>
        </w:rPr>
      </w:pPr>
      <w:proofErr w:type="spellStart"/>
      <w:r>
        <w:rPr>
          <w:b/>
          <w:bCs/>
          <w:i/>
          <w:iCs/>
          <w:sz w:val="24"/>
          <w:szCs w:val="24"/>
        </w:rPr>
        <w:t>Organisational</w:t>
      </w:r>
      <w:proofErr w:type="spellEnd"/>
      <w:r>
        <w:rPr>
          <w:b/>
          <w:bCs/>
          <w:i/>
          <w:iCs/>
          <w:sz w:val="24"/>
          <w:szCs w:val="24"/>
        </w:rPr>
        <w:t xml:space="preserve"> Identification</w:t>
      </w:r>
    </w:p>
    <w:p w14:paraId="65AEABA6" w14:textId="77777777" w:rsidR="002D26FB" w:rsidRDefault="00000000">
      <w:pPr>
        <w:spacing w:after="160" w:line="360" w:lineRule="auto"/>
        <w:jc w:val="both"/>
        <w:rPr>
          <w:sz w:val="24"/>
          <w:szCs w:val="24"/>
        </w:rPr>
      </w:pPr>
      <w:r>
        <w:rPr>
          <w:sz w:val="24"/>
          <w:szCs w:val="24"/>
        </w:rPr>
        <w:t xml:space="preserve">There is a need to embed symbolic artefacts that communicate mission into HUM. Urban-mobility impact figures in real-time dashboards do engender tangible purpose (Cable et al., 2012). Regular "City Impact Stories" featuring stories from government partners reinforce employees' identities in terms of social good. The higher their sense of distinctiveness and prestige in their </w:t>
      </w:r>
      <w:proofErr w:type="spellStart"/>
      <w:r>
        <w:rPr>
          <w:sz w:val="24"/>
          <w:szCs w:val="24"/>
        </w:rPr>
        <w:t>organisation</w:t>
      </w:r>
      <w:proofErr w:type="spellEnd"/>
      <w:r>
        <w:rPr>
          <w:sz w:val="24"/>
          <w:szCs w:val="24"/>
        </w:rPr>
        <w:t xml:space="preserve">, the stronger their identification will be (Ashforth and Mael, 1989). Thus, this is imbibed with the unique HUM AI-mobility positioning and needs to be made vivid and personal through </w:t>
      </w:r>
      <w:proofErr w:type="spellStart"/>
      <w:r>
        <w:rPr>
          <w:sz w:val="24"/>
          <w:szCs w:val="24"/>
        </w:rPr>
        <w:t>socialisation</w:t>
      </w:r>
      <w:proofErr w:type="spellEnd"/>
      <w:r>
        <w:rPr>
          <w:sz w:val="24"/>
          <w:szCs w:val="24"/>
        </w:rPr>
        <w:t>.</w:t>
      </w:r>
    </w:p>
    <w:p w14:paraId="78FBDDC9" w14:textId="77777777" w:rsidR="002D26FB" w:rsidRDefault="00000000">
      <w:pPr>
        <w:spacing w:after="160" w:line="360" w:lineRule="auto"/>
        <w:jc w:val="both"/>
        <w:rPr>
          <w:b/>
          <w:bCs/>
          <w:i/>
          <w:iCs/>
          <w:sz w:val="24"/>
          <w:szCs w:val="24"/>
        </w:rPr>
      </w:pPr>
      <w:r>
        <w:rPr>
          <w:b/>
          <w:bCs/>
          <w:i/>
          <w:iCs/>
          <w:sz w:val="24"/>
          <w:szCs w:val="24"/>
        </w:rPr>
        <w:t>Ethical Professionalism</w:t>
      </w:r>
    </w:p>
    <w:p w14:paraId="71786A18" w14:textId="77777777" w:rsidR="002D26FB" w:rsidRDefault="00000000">
      <w:pPr>
        <w:spacing w:after="160" w:line="360" w:lineRule="auto"/>
        <w:jc w:val="both"/>
        <w:rPr>
          <w:sz w:val="24"/>
          <w:szCs w:val="24"/>
        </w:rPr>
      </w:pPr>
      <w:r>
        <w:rPr>
          <w:sz w:val="24"/>
          <w:szCs w:val="24"/>
        </w:rPr>
        <w:t>Ethical responsibilities are a major consideration for AI-powered transport systems. An "Ethics by Design" module shall be incorporated into HUM within the first ninety days. The material in this module is based on case-based learning, inspired by real algorithmic bias incidents in public transport (</w:t>
      </w:r>
      <w:r>
        <w:rPr>
          <w:color w:val="222222"/>
          <w:sz w:val="24"/>
          <w:szCs w:val="24"/>
          <w:highlight w:val="white"/>
        </w:rPr>
        <w:t>Whittlestone</w:t>
      </w:r>
      <w:r>
        <w:rPr>
          <w:sz w:val="24"/>
          <w:szCs w:val="24"/>
        </w:rPr>
        <w:t xml:space="preserve"> et al., 2019). Ethical professionalism is developed not assumed. Employees have the opportunity to question decisions openly through monthly cross functional Ethics Forums. Psychological safety is essential for professional integrity development (Edmondson, 2018).</w:t>
      </w:r>
    </w:p>
    <w:p w14:paraId="338B0126" w14:textId="77777777" w:rsidR="002D26FB" w:rsidRDefault="00000000">
      <w:pPr>
        <w:spacing w:after="160" w:line="360" w:lineRule="auto"/>
        <w:jc w:val="both"/>
        <w:rPr>
          <w:b/>
          <w:bCs/>
          <w:i/>
          <w:iCs/>
          <w:sz w:val="24"/>
          <w:szCs w:val="24"/>
        </w:rPr>
      </w:pPr>
      <w:r>
        <w:rPr>
          <w:b/>
          <w:bCs/>
          <w:i/>
          <w:iCs/>
          <w:sz w:val="24"/>
          <w:szCs w:val="24"/>
        </w:rPr>
        <w:lastRenderedPageBreak/>
        <w:t>Relationality and the Business Activist Mindset</w:t>
      </w:r>
    </w:p>
    <w:p w14:paraId="76B7CDF7" w14:textId="77777777" w:rsidR="002D26FB" w:rsidRDefault="00000000">
      <w:pPr>
        <w:spacing w:after="160" w:line="360" w:lineRule="auto"/>
        <w:jc w:val="both"/>
        <w:rPr>
          <w:b/>
          <w:bCs/>
          <w:i/>
          <w:iCs/>
          <w:color w:val="404040"/>
          <w:sz w:val="24"/>
          <w:szCs w:val="24"/>
        </w:rPr>
      </w:pPr>
      <w:r>
        <w:rPr>
          <w:sz w:val="24"/>
          <w:szCs w:val="24"/>
        </w:rPr>
        <w:t xml:space="preserve">Finally, HR business partner has been updated to include “business activist,” a role for an HR professional who influences the external societal conversation (Ulrich and Dulebohn, 2015). HUM staff should have the authority to speak on behalf of the </w:t>
      </w:r>
      <w:proofErr w:type="spellStart"/>
      <w:r>
        <w:rPr>
          <w:sz w:val="24"/>
          <w:szCs w:val="24"/>
        </w:rPr>
        <w:t>organisation</w:t>
      </w:r>
      <w:proofErr w:type="spellEnd"/>
      <w:r>
        <w:rPr>
          <w:sz w:val="24"/>
          <w:szCs w:val="24"/>
        </w:rPr>
        <w:t xml:space="preserve"> at advocacy forums of the city government. The stakeholder capitalism views (Freeman et al., 2020) require employees to </w:t>
      </w:r>
      <w:proofErr w:type="spellStart"/>
      <w:r>
        <w:rPr>
          <w:sz w:val="24"/>
          <w:szCs w:val="24"/>
        </w:rPr>
        <w:t>recognise</w:t>
      </w:r>
      <w:proofErr w:type="spellEnd"/>
      <w:r>
        <w:rPr>
          <w:sz w:val="24"/>
          <w:szCs w:val="24"/>
        </w:rPr>
        <w:t xml:space="preserve"> the accountability of HUM to cities, citizens and ecosystems, not shareholders. A “Mobility Policy Fellow” cycle is </w:t>
      </w:r>
      <w:proofErr w:type="spellStart"/>
      <w:r>
        <w:rPr>
          <w:sz w:val="24"/>
          <w:szCs w:val="24"/>
        </w:rPr>
        <w:t>organised</w:t>
      </w:r>
      <w:proofErr w:type="spellEnd"/>
      <w:r>
        <w:rPr>
          <w:sz w:val="24"/>
          <w:szCs w:val="24"/>
        </w:rPr>
        <w:t xml:space="preserve"> by rotation between high-quality graduates and public sector partner </w:t>
      </w:r>
      <w:proofErr w:type="spellStart"/>
      <w:r>
        <w:rPr>
          <w:sz w:val="24"/>
          <w:szCs w:val="24"/>
        </w:rPr>
        <w:t>organisations</w:t>
      </w:r>
      <w:proofErr w:type="spellEnd"/>
      <w:r>
        <w:rPr>
          <w:sz w:val="24"/>
          <w:szCs w:val="24"/>
        </w:rPr>
        <w:t xml:space="preserve">. This simultaneously makes workers credible urban mobility advocates and increases the commitment of the </w:t>
      </w:r>
      <w:proofErr w:type="spellStart"/>
      <w:r>
        <w:rPr>
          <w:sz w:val="24"/>
          <w:szCs w:val="24"/>
        </w:rPr>
        <w:t>organisation</w:t>
      </w:r>
      <w:proofErr w:type="spellEnd"/>
      <w:r>
        <w:rPr>
          <w:sz w:val="24"/>
          <w:szCs w:val="24"/>
        </w:rPr>
        <w:t>.</w:t>
      </w:r>
    </w:p>
    <w:p w14:paraId="046581A8" w14:textId="77777777" w:rsidR="002D26FB" w:rsidRDefault="00000000">
      <w:pPr>
        <w:pStyle w:val="Heading1"/>
        <w:spacing w:before="320" w:after="160"/>
        <w:rPr>
          <w:szCs w:val="24"/>
        </w:rPr>
      </w:pPr>
      <w:bookmarkStart w:id="7" w:name="_Toc235178283"/>
      <w:r>
        <w:rPr>
          <w:szCs w:val="24"/>
        </w:rPr>
        <w:t>TASK B: Job Design Strategy</w:t>
      </w:r>
      <w:bookmarkEnd w:id="7"/>
      <w:r>
        <w:rPr>
          <w:szCs w:val="24"/>
        </w:rPr>
        <w:t xml:space="preserve"> </w:t>
      </w:r>
    </w:p>
    <w:p w14:paraId="452BC680" w14:textId="77777777" w:rsidR="002D26FB" w:rsidRDefault="00000000">
      <w:pPr>
        <w:pStyle w:val="Heading2"/>
        <w:spacing w:before="240" w:after="120"/>
        <w:rPr>
          <w:szCs w:val="24"/>
        </w:rPr>
      </w:pPr>
      <w:bookmarkStart w:id="8" w:name="_heading=h.p914thqf1gsb" w:colFirst="0" w:colLast="0"/>
      <w:bookmarkStart w:id="9" w:name="_Toc235178284"/>
      <w:bookmarkEnd w:id="8"/>
      <w:r>
        <w:rPr>
          <w:szCs w:val="24"/>
        </w:rPr>
        <w:t>B.1 Innovative Job Design Using the Job Characteristics Model</w:t>
      </w:r>
      <w:bookmarkEnd w:id="9"/>
    </w:p>
    <w:p w14:paraId="3B6AE661" w14:textId="77777777" w:rsidR="002D26FB" w:rsidRDefault="00000000">
      <w:pPr>
        <w:spacing w:after="160" w:line="360" w:lineRule="auto"/>
        <w:jc w:val="both"/>
        <w:rPr>
          <w:sz w:val="24"/>
          <w:szCs w:val="24"/>
        </w:rPr>
      </w:pPr>
      <w:r>
        <w:rPr>
          <w:sz w:val="24"/>
          <w:szCs w:val="24"/>
        </w:rPr>
        <w:t>Hackman and Oldham's Job Characteristics Model (JCM) lists five components that are associated with intrinsic motivation (Oldham and Hackman, 2010). The elements of these are skill variety, task identity, task significance, autonomy, and feedback. The present HUM engagement score of 54% indicates that these are systematically under delivered. All 5 characteristics need to be included in a re-designed job architecture in an intentional manner. The impact of JCM aligned roles has been shown in the research to be 34% higher engagement in knowledge intensive organizations (Grant and Parker, 2009). HUM's AI-mobility context is an abundance of raw material for such redesign.</w:t>
      </w:r>
    </w:p>
    <w:p w14:paraId="0F14F4D4" w14:textId="77777777" w:rsidR="002D26FB" w:rsidRDefault="00000000">
      <w:pPr>
        <w:spacing w:after="120" w:line="360" w:lineRule="auto"/>
        <w:jc w:val="center"/>
        <w:rPr>
          <w:sz w:val="24"/>
          <w:szCs w:val="24"/>
        </w:rPr>
      </w:pPr>
      <w:r>
        <w:rPr>
          <w:noProof/>
          <w:sz w:val="24"/>
          <w:szCs w:val="24"/>
        </w:rPr>
        <w:lastRenderedPageBreak/>
        <w:drawing>
          <wp:inline distT="114300" distB="114300" distL="114300" distR="114300" wp14:anchorId="4865C7F1" wp14:editId="03B4338F">
            <wp:extent cx="5274000" cy="6286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274000" cy="6286500"/>
                    </a:xfrm>
                    <a:prstGeom prst="rect">
                      <a:avLst/>
                    </a:prstGeom>
                    <a:ln/>
                  </pic:spPr>
                </pic:pic>
              </a:graphicData>
            </a:graphic>
          </wp:inline>
        </w:drawing>
      </w:r>
    </w:p>
    <w:p w14:paraId="32011779" w14:textId="3D8EE2FE" w:rsidR="002D26FB" w:rsidRPr="00511335" w:rsidRDefault="00000000">
      <w:pPr>
        <w:spacing w:after="120" w:line="360" w:lineRule="auto"/>
        <w:jc w:val="center"/>
        <w:rPr>
          <w:sz w:val="24"/>
          <w:szCs w:val="24"/>
        </w:rPr>
      </w:pPr>
      <w:r>
        <w:rPr>
          <w:b/>
          <w:bCs/>
          <w:sz w:val="24"/>
          <w:szCs w:val="24"/>
        </w:rPr>
        <w:t xml:space="preserve">Figure </w:t>
      </w:r>
      <w:r w:rsidR="00511335">
        <w:rPr>
          <w:b/>
          <w:bCs/>
          <w:sz w:val="24"/>
          <w:szCs w:val="24"/>
        </w:rPr>
        <w:t>2: Job</w:t>
      </w:r>
      <w:r>
        <w:rPr>
          <w:b/>
          <w:bCs/>
          <w:sz w:val="24"/>
          <w:szCs w:val="24"/>
        </w:rPr>
        <w:t xml:space="preserve"> characteristics model</w:t>
      </w:r>
      <w:r>
        <w:rPr>
          <w:b/>
          <w:bCs/>
          <w:sz w:val="24"/>
          <w:szCs w:val="24"/>
        </w:rPr>
        <w:br/>
      </w:r>
      <w:r w:rsidRPr="00511335">
        <w:rPr>
          <w:sz w:val="24"/>
          <w:szCs w:val="24"/>
        </w:rPr>
        <w:t xml:space="preserve">(Source: </w:t>
      </w:r>
      <w:proofErr w:type="spellStart"/>
      <w:r w:rsidRPr="00511335">
        <w:rPr>
          <w:sz w:val="24"/>
          <w:szCs w:val="24"/>
        </w:rPr>
        <w:t>self created</w:t>
      </w:r>
      <w:proofErr w:type="spellEnd"/>
      <w:r w:rsidRPr="00511335">
        <w:rPr>
          <w:sz w:val="24"/>
          <w:szCs w:val="24"/>
        </w:rPr>
        <w:t>)</w:t>
      </w:r>
    </w:p>
    <w:p w14:paraId="6EEE481C" w14:textId="0770E452" w:rsidR="002D26FB" w:rsidRDefault="00000000">
      <w:pPr>
        <w:spacing w:after="160" w:line="360" w:lineRule="auto"/>
        <w:jc w:val="both"/>
        <w:rPr>
          <w:sz w:val="24"/>
          <w:szCs w:val="24"/>
        </w:rPr>
      </w:pPr>
      <w:r w:rsidRPr="00511335">
        <w:rPr>
          <w:sz w:val="24"/>
          <w:szCs w:val="24"/>
        </w:rPr>
        <w:t xml:space="preserve">The image </w:t>
      </w:r>
      <w:r w:rsidR="00511335" w:rsidRPr="00511335">
        <w:rPr>
          <w:sz w:val="24"/>
          <w:szCs w:val="24"/>
        </w:rPr>
        <w:t>demonstrates</w:t>
      </w:r>
      <w:r w:rsidRPr="00511335">
        <w:rPr>
          <w:sz w:val="24"/>
          <w:szCs w:val="24"/>
        </w:rPr>
        <w:t xml:space="preserve"> and supports the </w:t>
      </w:r>
      <w:r w:rsidR="00511335" w:rsidRPr="00511335">
        <w:rPr>
          <w:sz w:val="24"/>
          <w:szCs w:val="24"/>
        </w:rPr>
        <w:t>clarification</w:t>
      </w:r>
      <w:r w:rsidRPr="00511335">
        <w:rPr>
          <w:sz w:val="24"/>
          <w:szCs w:val="24"/>
        </w:rPr>
        <w:t xml:space="preserve"> of the five core job </w:t>
      </w:r>
      <w:r w:rsidR="00511335" w:rsidRPr="00511335">
        <w:rPr>
          <w:sz w:val="24"/>
          <w:szCs w:val="24"/>
        </w:rPr>
        <w:t>features</w:t>
      </w:r>
      <w:r w:rsidRPr="00511335">
        <w:rPr>
          <w:sz w:val="24"/>
          <w:szCs w:val="24"/>
        </w:rPr>
        <w:t xml:space="preserve">. Skill variety is achieved by swapping engineers from hardware to software and from software to data analytics sub-units. To enhance task identity, project ownership is strengthened by assigning a group </w:t>
      </w:r>
      <w:r>
        <w:rPr>
          <w:sz w:val="24"/>
          <w:szCs w:val="24"/>
        </w:rPr>
        <w:t xml:space="preserve">of people a single project, end-to-end, which is the entire city-government brief. Task significance is brought to life when employees see how it affects the lives of urban commuters. Micro-management is eliminated and therefore autonomy is maintained, using outcomes-based performance measures. </w:t>
      </w:r>
      <w:r>
        <w:rPr>
          <w:sz w:val="24"/>
          <w:szCs w:val="24"/>
        </w:rPr>
        <w:lastRenderedPageBreak/>
        <w:t xml:space="preserve">Feedback is fast with real-time data dashboards that provide project impact data every day. These five improvements combined result in a high level of increase for the Motivating Potential Score of HUM roles (Oldham and Hackman, 2010). </w:t>
      </w:r>
    </w:p>
    <w:p w14:paraId="46513B21" w14:textId="77777777" w:rsidR="002D26FB" w:rsidRDefault="00000000">
      <w:pPr>
        <w:pStyle w:val="Heading2"/>
        <w:spacing w:before="240" w:after="120"/>
        <w:rPr>
          <w:szCs w:val="24"/>
        </w:rPr>
      </w:pPr>
      <w:bookmarkStart w:id="10" w:name="_heading=h.y1jhfmra8pdq" w:colFirst="0" w:colLast="0"/>
      <w:bookmarkStart w:id="11" w:name="_Toc235178285"/>
      <w:bookmarkEnd w:id="10"/>
      <w:r>
        <w:rPr>
          <w:szCs w:val="24"/>
        </w:rPr>
        <w:t>B.2 Job Crafting as an Engine of Innovation</w:t>
      </w:r>
      <w:bookmarkEnd w:id="11"/>
    </w:p>
    <w:p w14:paraId="35563CA0" w14:textId="77777777" w:rsidR="002D26FB" w:rsidRDefault="00000000">
      <w:pPr>
        <w:spacing w:after="160" w:line="360" w:lineRule="auto"/>
        <w:jc w:val="both"/>
        <w:rPr>
          <w:sz w:val="24"/>
          <w:szCs w:val="24"/>
        </w:rPr>
      </w:pPr>
      <w:r>
        <w:rPr>
          <w:sz w:val="24"/>
          <w:szCs w:val="24"/>
        </w:rPr>
        <w:t xml:space="preserve">According to the job crafting theory of </w:t>
      </w:r>
      <w:proofErr w:type="spellStart"/>
      <w:r>
        <w:rPr>
          <w:sz w:val="24"/>
          <w:szCs w:val="24"/>
        </w:rPr>
        <w:t>Wrzesniewski</w:t>
      </w:r>
      <w:proofErr w:type="spellEnd"/>
      <w:r>
        <w:rPr>
          <w:sz w:val="24"/>
          <w:szCs w:val="24"/>
        </w:rPr>
        <w:t xml:space="preserve"> and Dutton, employees engage in tasks, people, and thoughts (Tims et al., 2016). HUM should institutionalize job crafting not as an incidental. A formal "Crafting Sprint" should take place twice a year. Through these sprints, staff identifies their strengths and passion with their current position. The role adjustments are then co-designed by the managers within the boundaries. Job crafting can boost innovative work </w:t>
      </w:r>
      <w:proofErr w:type="spellStart"/>
      <w:r>
        <w:rPr>
          <w:sz w:val="24"/>
          <w:szCs w:val="24"/>
        </w:rPr>
        <w:t>behaviour</w:t>
      </w:r>
      <w:proofErr w:type="spellEnd"/>
      <w:r>
        <w:rPr>
          <w:sz w:val="24"/>
          <w:szCs w:val="24"/>
        </w:rPr>
        <w:t xml:space="preserve"> by 31% in technology companies (</w:t>
      </w:r>
      <w:proofErr w:type="spellStart"/>
      <w:r>
        <w:rPr>
          <w:sz w:val="24"/>
          <w:szCs w:val="24"/>
        </w:rPr>
        <w:t>Lichtenthaler</w:t>
      </w:r>
      <w:proofErr w:type="spellEnd"/>
      <w:r>
        <w:rPr>
          <w:sz w:val="24"/>
          <w:szCs w:val="24"/>
        </w:rPr>
        <w:t xml:space="preserve"> and Fischbach, 2019). This investment is directly commercially relevant due to HUM's innovation mandate.</w:t>
      </w:r>
    </w:p>
    <w:p w14:paraId="4860A595" w14:textId="77777777" w:rsidR="002D26FB" w:rsidRDefault="00000000">
      <w:pPr>
        <w:spacing w:after="160" w:line="360" w:lineRule="auto"/>
        <w:jc w:val="both"/>
        <w:rPr>
          <w:sz w:val="24"/>
          <w:szCs w:val="24"/>
        </w:rPr>
      </w:pPr>
      <w:r>
        <w:rPr>
          <w:sz w:val="24"/>
          <w:szCs w:val="24"/>
        </w:rPr>
        <w:t xml:space="preserve">In HUM there are three dimensions of crafting that are salient. Task crafting: Engineers can be asked to take part in briefs outside their specific domain, but which are relevant to the other discipline. Relational crafting invites data scientists to work directly with urban planners and government stakeholders to co-create. Individual tasks are reimagined as opportunities to contribute to sustainable city futures in cognitive crafting. The reframing has an extra strong impact on those in HUM's graduate cohort who tend to value purpose driven work (Deloitte, 2024) to a higher degree. HUM managers need training in facilitative leadership to be able to craft without compromising their operational coherence. </w:t>
      </w:r>
    </w:p>
    <w:p w14:paraId="3EBD2EB4" w14:textId="77777777" w:rsidR="002D26FB" w:rsidRDefault="00000000">
      <w:pPr>
        <w:pStyle w:val="Heading2"/>
        <w:spacing w:before="240" w:after="120"/>
        <w:rPr>
          <w:szCs w:val="24"/>
        </w:rPr>
      </w:pPr>
      <w:bookmarkStart w:id="12" w:name="_heading=h.k6luncde5pzi" w:colFirst="0" w:colLast="0"/>
      <w:bookmarkStart w:id="13" w:name="_Toc235178286"/>
      <w:bookmarkEnd w:id="12"/>
      <w:r>
        <w:rPr>
          <w:szCs w:val="24"/>
        </w:rPr>
        <w:t>B.3 Skills-Based Architecture and Internal Talent Marketplaces</w:t>
      </w:r>
      <w:bookmarkEnd w:id="13"/>
    </w:p>
    <w:p w14:paraId="7AB5869B" w14:textId="77777777" w:rsidR="002D26FB" w:rsidRDefault="00000000">
      <w:pPr>
        <w:spacing w:after="160" w:line="360" w:lineRule="auto"/>
        <w:jc w:val="both"/>
        <w:rPr>
          <w:sz w:val="24"/>
          <w:szCs w:val="24"/>
        </w:rPr>
      </w:pPr>
      <w:r>
        <w:rPr>
          <w:sz w:val="24"/>
          <w:szCs w:val="24"/>
        </w:rPr>
        <w:t xml:space="preserve">A traditional job-title based organization structure limits talent deployment, and they demoralize talented employees. Skills-based </w:t>
      </w:r>
      <w:proofErr w:type="spellStart"/>
      <w:r>
        <w:rPr>
          <w:sz w:val="24"/>
          <w:szCs w:val="24"/>
        </w:rPr>
        <w:t>organisations</w:t>
      </w:r>
      <w:proofErr w:type="spellEnd"/>
      <w:r>
        <w:rPr>
          <w:sz w:val="24"/>
          <w:szCs w:val="24"/>
        </w:rPr>
        <w:t xml:space="preserve"> (SBOs) divide work into task groups aligned with capability packages, or portfolios, (Deloitte, 2024). The three campuses of HUM need to be designed in a skills-based architecture. This starts with a detailed skills taxonomy of some 200 fundamental skills. These can include AI engineering, stakeholder engagement, and regulatory intelligence. According to Mercer (2023), companies that use skills-based models are 40% faster than companies with title-based approaches hiring internal candidates.</w:t>
      </w:r>
    </w:p>
    <w:p w14:paraId="20F9D2A2" w14:textId="77777777" w:rsidR="002D26FB" w:rsidRDefault="00000000">
      <w:pPr>
        <w:spacing w:after="120" w:line="360" w:lineRule="auto"/>
        <w:jc w:val="center"/>
        <w:rPr>
          <w:sz w:val="24"/>
          <w:szCs w:val="24"/>
        </w:rPr>
      </w:pPr>
      <w:r>
        <w:rPr>
          <w:noProof/>
          <w:sz w:val="24"/>
          <w:szCs w:val="24"/>
        </w:rPr>
        <w:lastRenderedPageBreak/>
        <w:drawing>
          <wp:inline distT="114300" distB="114300" distL="114300" distR="114300" wp14:anchorId="332AA19C" wp14:editId="05869B0B">
            <wp:extent cx="5274000" cy="3937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274000" cy="3937000"/>
                    </a:xfrm>
                    <a:prstGeom prst="rect">
                      <a:avLst/>
                    </a:prstGeom>
                    <a:ln/>
                  </pic:spPr>
                </pic:pic>
              </a:graphicData>
            </a:graphic>
          </wp:inline>
        </w:drawing>
      </w:r>
    </w:p>
    <w:p w14:paraId="2B12611A" w14:textId="53EF1014" w:rsidR="002D26FB" w:rsidRDefault="00000000">
      <w:pPr>
        <w:spacing w:after="120" w:line="360" w:lineRule="auto"/>
        <w:jc w:val="center"/>
        <w:rPr>
          <w:sz w:val="24"/>
          <w:szCs w:val="24"/>
        </w:rPr>
      </w:pPr>
      <w:r>
        <w:rPr>
          <w:b/>
          <w:bCs/>
          <w:sz w:val="24"/>
          <w:szCs w:val="24"/>
        </w:rPr>
        <w:t xml:space="preserve">Figure </w:t>
      </w:r>
      <w:r w:rsidR="00511335">
        <w:rPr>
          <w:b/>
          <w:bCs/>
          <w:sz w:val="24"/>
          <w:szCs w:val="24"/>
        </w:rPr>
        <w:t>3: Skills</w:t>
      </w:r>
      <w:r>
        <w:rPr>
          <w:b/>
          <w:bCs/>
          <w:sz w:val="24"/>
          <w:szCs w:val="24"/>
        </w:rPr>
        <w:t xml:space="preserve">-Based </w:t>
      </w:r>
      <w:proofErr w:type="spellStart"/>
      <w:r>
        <w:rPr>
          <w:b/>
          <w:bCs/>
          <w:sz w:val="24"/>
          <w:szCs w:val="24"/>
        </w:rPr>
        <w:t>Organisation</w:t>
      </w:r>
      <w:proofErr w:type="spellEnd"/>
      <w:r>
        <w:rPr>
          <w:b/>
          <w:bCs/>
          <w:sz w:val="24"/>
          <w:szCs w:val="24"/>
        </w:rPr>
        <w:t xml:space="preserve"> or Internal Talent Marketplace framework </w:t>
      </w:r>
      <w:r>
        <w:rPr>
          <w:b/>
          <w:bCs/>
          <w:sz w:val="24"/>
          <w:szCs w:val="24"/>
        </w:rPr>
        <w:br/>
      </w:r>
      <w:r>
        <w:rPr>
          <w:sz w:val="24"/>
          <w:szCs w:val="24"/>
        </w:rPr>
        <w:t xml:space="preserve">(Source: </w:t>
      </w:r>
      <w:proofErr w:type="spellStart"/>
      <w:r>
        <w:rPr>
          <w:sz w:val="24"/>
          <w:szCs w:val="24"/>
        </w:rPr>
        <w:t>self created</w:t>
      </w:r>
      <w:proofErr w:type="spellEnd"/>
      <w:r>
        <w:rPr>
          <w:sz w:val="24"/>
          <w:szCs w:val="24"/>
        </w:rPr>
        <w:t>)</w:t>
      </w:r>
    </w:p>
    <w:p w14:paraId="7B23EA86" w14:textId="77777777" w:rsidR="002D26FB" w:rsidRDefault="00000000">
      <w:pPr>
        <w:spacing w:after="160" w:line="360" w:lineRule="auto"/>
        <w:jc w:val="both"/>
        <w:rPr>
          <w:sz w:val="24"/>
          <w:szCs w:val="24"/>
        </w:rPr>
      </w:pPr>
      <w:r>
        <w:rPr>
          <w:sz w:val="24"/>
          <w:szCs w:val="24"/>
        </w:rPr>
        <w:t xml:space="preserve">This architecture is dynamically </w:t>
      </w:r>
      <w:proofErr w:type="spellStart"/>
      <w:r>
        <w:rPr>
          <w:sz w:val="24"/>
          <w:szCs w:val="24"/>
        </w:rPr>
        <w:t>realised</w:t>
      </w:r>
      <w:proofErr w:type="spellEnd"/>
      <w:r>
        <w:rPr>
          <w:sz w:val="24"/>
          <w:szCs w:val="24"/>
        </w:rPr>
        <w:t xml:space="preserve"> by an internal talent marketplace. HUM should implement an AI-based platform similar to Gloat or Fuel50, to bring together employees, projects and mentors and learning resources based on skill data (</w:t>
      </w:r>
      <w:r>
        <w:rPr>
          <w:color w:val="222222"/>
          <w:sz w:val="24"/>
          <w:szCs w:val="24"/>
          <w:highlight w:val="white"/>
        </w:rPr>
        <w:t>Levit</w:t>
      </w:r>
      <w:r>
        <w:rPr>
          <w:sz w:val="24"/>
          <w:szCs w:val="24"/>
        </w:rPr>
        <w:t xml:space="preserve">, 2018). The skill profiles are posted by employees and the project needs are posted by the managers. Algorithmic matching reveals high-potential candidates who are hidden in hierarchical systems in a way that is not visually apparent. According to LinkedIn Talent Solutions 2024, workers who have access to internal mobility are 3.5 times more likely to stay with their </w:t>
      </w:r>
      <w:proofErr w:type="spellStart"/>
      <w:r>
        <w:rPr>
          <w:sz w:val="24"/>
          <w:szCs w:val="24"/>
        </w:rPr>
        <w:t>organisation</w:t>
      </w:r>
      <w:proofErr w:type="spellEnd"/>
      <w:r>
        <w:rPr>
          <w:sz w:val="24"/>
          <w:szCs w:val="24"/>
        </w:rPr>
        <w:t xml:space="preserve">. This directly impacts the problem of graduate attrition for HUM. </w:t>
      </w:r>
    </w:p>
    <w:p w14:paraId="2BE90CD8" w14:textId="77777777" w:rsidR="002D26FB" w:rsidRDefault="00000000">
      <w:pPr>
        <w:pStyle w:val="Heading2"/>
        <w:spacing w:before="240" w:after="120"/>
        <w:rPr>
          <w:szCs w:val="24"/>
        </w:rPr>
      </w:pPr>
      <w:bookmarkStart w:id="14" w:name="_heading=h.4y784cwrgu3r" w:colFirst="0" w:colLast="0"/>
      <w:bookmarkStart w:id="15" w:name="_Toc235178287"/>
      <w:bookmarkEnd w:id="14"/>
      <w:r>
        <w:rPr>
          <w:szCs w:val="24"/>
        </w:rPr>
        <w:t>B.4 Stimulating Intrinsic Motivation and Supporting Innovation</w:t>
      </w:r>
      <w:bookmarkEnd w:id="15"/>
    </w:p>
    <w:p w14:paraId="269E7F2E" w14:textId="77777777" w:rsidR="002D26FB" w:rsidRDefault="00000000">
      <w:pPr>
        <w:spacing w:after="160" w:line="360" w:lineRule="auto"/>
        <w:jc w:val="both"/>
        <w:rPr>
          <w:sz w:val="24"/>
          <w:szCs w:val="24"/>
        </w:rPr>
      </w:pPr>
      <w:r>
        <w:rPr>
          <w:sz w:val="24"/>
          <w:szCs w:val="24"/>
        </w:rPr>
        <w:t xml:space="preserve">According to Self-Determination Theory (SDT) by </w:t>
      </w:r>
      <w:r>
        <w:rPr>
          <w:color w:val="222222"/>
          <w:sz w:val="24"/>
          <w:szCs w:val="24"/>
          <w:highlight w:val="white"/>
        </w:rPr>
        <w:t>Deci et al., (2017)</w:t>
      </w:r>
      <w:r>
        <w:rPr>
          <w:sz w:val="24"/>
          <w:szCs w:val="24"/>
        </w:rPr>
        <w:t xml:space="preserve">, there are three universal intrinsic motivation factors: autonomy, competence, and relatedness. HUM's new building design needs to explicitly cater for all three. Project ownership and the designing of rights are safeguards for autonomy. Competence is developed through skills marketplace and learning sprints. Relatedness is built through activities of </w:t>
      </w:r>
      <w:r>
        <w:rPr>
          <w:sz w:val="24"/>
          <w:szCs w:val="24"/>
        </w:rPr>
        <w:lastRenderedPageBreak/>
        <w:t>collaboration across cities and shared mission stories. Creative performance is much higher in R&amp;D-intensive firms in SDT-aligned environments (</w:t>
      </w:r>
      <w:r>
        <w:rPr>
          <w:color w:val="222222"/>
          <w:sz w:val="24"/>
          <w:szCs w:val="24"/>
          <w:highlight w:val="white"/>
        </w:rPr>
        <w:t xml:space="preserve">Amar, </w:t>
      </w:r>
      <w:r>
        <w:rPr>
          <w:sz w:val="24"/>
          <w:szCs w:val="24"/>
        </w:rPr>
        <w:t>2004).</w:t>
      </w:r>
    </w:p>
    <w:p w14:paraId="2981D0D8" w14:textId="77777777" w:rsidR="002D26FB" w:rsidRDefault="00000000">
      <w:pPr>
        <w:spacing w:after="160" w:line="360" w:lineRule="auto"/>
        <w:jc w:val="both"/>
        <w:rPr>
          <w:sz w:val="24"/>
          <w:szCs w:val="24"/>
        </w:rPr>
      </w:pPr>
      <w:r>
        <w:rPr>
          <w:sz w:val="24"/>
          <w:szCs w:val="24"/>
        </w:rPr>
        <w:t xml:space="preserve">Innovation is also encouraged by using designated "10% Exploration Time" - time during the day when employees are encouraged to explore ideas related to mobility that go beyond their core brief. This approach has been proven effective by Google's 20% time model, and by 3M's innovation sabbaticals (Edmondson, 2018). HUM will match this with an internal “Urban Mobility Innovation Fund” that distributes seed capital to staff initiated projects throughout the quarter. This is indicative of a true commitment to bottom-up innovation within the </w:t>
      </w:r>
      <w:proofErr w:type="spellStart"/>
      <w:r>
        <w:rPr>
          <w:sz w:val="24"/>
          <w:szCs w:val="24"/>
        </w:rPr>
        <w:t>organisation</w:t>
      </w:r>
      <w:proofErr w:type="spellEnd"/>
      <w:r>
        <w:rPr>
          <w:sz w:val="24"/>
          <w:szCs w:val="24"/>
        </w:rPr>
        <w:t xml:space="preserve">. Together with the skills marketplace and building sprints, it creates HUM's job architecture as a long-term competitive advantage in retaining talent and generating innovation output. Job Design should not work alone, above all. It requires leadership behaviors, norms, and performance structures that “encourage people to try new things rather than just getting things done” (Grant and Parker, 2009). HUM's Board should create an annual "Job Quality Audit" and compare it to the JCM standards. This guarantees that design interventions are responsive to changing expectations of the workforce. Taking the synthesis of JCM, Job Crafting and Skills Based Architecture together, a coherent and evidence based framework is created. This approach tackles recruitment and retention challenges of HUM at the same time as the issue of graduate attrition in a structural manner. </w:t>
      </w:r>
    </w:p>
    <w:p w14:paraId="7435ACBB" w14:textId="77777777" w:rsidR="002D26FB" w:rsidRDefault="00000000">
      <w:pPr>
        <w:pStyle w:val="Heading1"/>
        <w:spacing w:before="320" w:after="160"/>
        <w:rPr>
          <w:szCs w:val="24"/>
        </w:rPr>
      </w:pPr>
      <w:bookmarkStart w:id="16" w:name="_Toc235178288"/>
      <w:r>
        <w:rPr>
          <w:szCs w:val="24"/>
        </w:rPr>
        <w:t>TASK C: Reflective Report</w:t>
      </w:r>
      <w:bookmarkEnd w:id="16"/>
    </w:p>
    <w:p w14:paraId="4A307FF6" w14:textId="77777777" w:rsidR="002D26FB" w:rsidRDefault="00000000">
      <w:pPr>
        <w:pStyle w:val="Heading2"/>
        <w:spacing w:before="240" w:after="120"/>
        <w:rPr>
          <w:szCs w:val="24"/>
        </w:rPr>
      </w:pPr>
      <w:bookmarkStart w:id="17" w:name="_heading=h.1vj8r7cp8i1c" w:colFirst="0" w:colLast="0"/>
      <w:bookmarkStart w:id="18" w:name="_Toc235178289"/>
      <w:bookmarkEnd w:id="17"/>
      <w:r>
        <w:rPr>
          <w:szCs w:val="24"/>
        </w:rPr>
        <w:t>C.1 AI as a Decision-Support Tool Without Eroding Human Judgement</w:t>
      </w:r>
      <w:bookmarkEnd w:id="18"/>
    </w:p>
    <w:p w14:paraId="41A9EE4A" w14:textId="77777777" w:rsidR="002D26FB" w:rsidRDefault="00000000">
      <w:pPr>
        <w:spacing w:after="160" w:line="360" w:lineRule="auto"/>
        <w:jc w:val="both"/>
        <w:rPr>
          <w:sz w:val="24"/>
          <w:szCs w:val="24"/>
        </w:rPr>
      </w:pPr>
      <w:r>
        <w:rPr>
          <w:sz w:val="24"/>
          <w:szCs w:val="24"/>
        </w:rPr>
        <w:t>AI has advanced to a point where it can be a strategic asset in the HR landscape and a potential danger at the same time. AI is ultimately a tool for practitioners, not a decision-maker, so one needs to use it as such, not as the decision-maker (Tambe et al., 2019). AI can analyze the data of the workforce at speed, uncovering patterns of attrition and drivers of engagement without anyone knowing. But algorithmic output can be riddled with historical biases and lack of contextual empathy. According to IBM (2026), AI-driven HR decisions have a 23% bias risk when not managed by humans. Human judgment is an essential element.</w:t>
      </w:r>
    </w:p>
    <w:p w14:paraId="2F275245" w14:textId="77777777" w:rsidR="002D26FB" w:rsidRDefault="00000000">
      <w:pPr>
        <w:spacing w:after="160" w:line="360" w:lineRule="auto"/>
        <w:jc w:val="both"/>
        <w:rPr>
          <w:sz w:val="24"/>
          <w:szCs w:val="24"/>
        </w:rPr>
      </w:pPr>
      <w:r>
        <w:rPr>
          <w:sz w:val="24"/>
          <w:szCs w:val="24"/>
        </w:rPr>
        <w:t xml:space="preserve">The practitioner's job is to question the recommendations of AI thoroughly. If an attrition prediction algorithm reports that a student is a “flight risk,” it is important to </w:t>
      </w:r>
      <w:r>
        <w:rPr>
          <w:sz w:val="24"/>
          <w:szCs w:val="24"/>
        </w:rPr>
        <w:lastRenderedPageBreak/>
        <w:t>understand what factors underlay the prediction. These kinds of models can be tainted by age, gender, and network distance from managers. Interpretable AI frameworks include explainability tools like SHAP values and give practitioners the chance to audit the algorithmic logic transparently (Whittlestone et al., 2019). One agrees to demand that any HR-tech vendor be explainable, before using their system. This epistemic discipline maintains professional integrity.</w:t>
      </w:r>
    </w:p>
    <w:p w14:paraId="128BDC30" w14:textId="77777777" w:rsidR="002D26FB" w:rsidRDefault="00000000">
      <w:pPr>
        <w:spacing w:after="160" w:line="360" w:lineRule="auto"/>
        <w:jc w:val="both"/>
        <w:rPr>
          <w:sz w:val="24"/>
          <w:szCs w:val="24"/>
        </w:rPr>
      </w:pPr>
      <w:r>
        <w:rPr>
          <w:sz w:val="24"/>
          <w:szCs w:val="24"/>
        </w:rPr>
        <w:t xml:space="preserve">Moreover, do not replace relational intelligence with AI when it comes to people's decisions. Human judgment is needed for decisions about promotion, disciplinary review, and wellbeing interventions, and this judgment is not a pattern of data (Edmondson, 2018). Therefore, the practitioner's effect is: AI brings evidence to the surface, humans interpret the evidence within ethical and contextual perspectives. This blended approach ensures close analytical </w:t>
      </w:r>
      <w:proofErr w:type="spellStart"/>
      <w:r>
        <w:rPr>
          <w:sz w:val="24"/>
          <w:szCs w:val="24"/>
        </w:rPr>
        <w:t>rigour</w:t>
      </w:r>
      <w:proofErr w:type="spellEnd"/>
      <w:r>
        <w:rPr>
          <w:sz w:val="24"/>
          <w:szCs w:val="24"/>
        </w:rPr>
        <w:t xml:space="preserve"> and prevents </w:t>
      </w:r>
      <w:proofErr w:type="spellStart"/>
      <w:r>
        <w:rPr>
          <w:sz w:val="24"/>
          <w:szCs w:val="24"/>
        </w:rPr>
        <w:t>dehumanisation</w:t>
      </w:r>
      <w:proofErr w:type="spellEnd"/>
      <w:r>
        <w:rPr>
          <w:sz w:val="24"/>
          <w:szCs w:val="24"/>
        </w:rPr>
        <w:t xml:space="preserve"> of the employment relationship.</w:t>
      </w:r>
    </w:p>
    <w:p w14:paraId="1A8ADCFB" w14:textId="77777777" w:rsidR="002D26FB" w:rsidRDefault="00000000" w:rsidP="00511335">
      <w:pPr>
        <w:pStyle w:val="Heading2"/>
      </w:pPr>
      <w:bookmarkStart w:id="19" w:name="_heading=h.wjy1zozfogc1" w:colFirst="0" w:colLast="0"/>
      <w:bookmarkStart w:id="20" w:name="_Toc235178290"/>
      <w:bookmarkEnd w:id="19"/>
      <w:r>
        <w:t xml:space="preserve">C.2 Personal </w:t>
      </w:r>
      <w:r w:rsidRPr="00511335">
        <w:t>Capability</w:t>
      </w:r>
      <w:r>
        <w:t xml:space="preserve"> Development Plan</w:t>
      </w:r>
      <w:bookmarkEnd w:id="20"/>
    </w:p>
    <w:p w14:paraId="5C4C3DDB" w14:textId="77777777" w:rsidR="002D26FB" w:rsidRDefault="00000000">
      <w:pPr>
        <w:spacing w:after="160" w:line="360" w:lineRule="auto"/>
        <w:jc w:val="both"/>
        <w:rPr>
          <w:b/>
          <w:bCs/>
          <w:i/>
          <w:iCs/>
          <w:sz w:val="24"/>
          <w:szCs w:val="24"/>
        </w:rPr>
      </w:pPr>
      <w:r>
        <w:rPr>
          <w:b/>
          <w:bCs/>
          <w:i/>
          <w:iCs/>
          <w:sz w:val="24"/>
          <w:szCs w:val="24"/>
        </w:rPr>
        <w:t>Data Literacy</w:t>
      </w:r>
    </w:p>
    <w:p w14:paraId="73EDEEFF" w14:textId="77777777" w:rsidR="002D26FB" w:rsidRDefault="00000000">
      <w:pPr>
        <w:spacing w:after="160" w:line="360" w:lineRule="auto"/>
        <w:jc w:val="both"/>
        <w:rPr>
          <w:sz w:val="24"/>
          <w:szCs w:val="24"/>
        </w:rPr>
      </w:pPr>
      <w:r>
        <w:rPr>
          <w:sz w:val="24"/>
          <w:szCs w:val="24"/>
        </w:rPr>
        <w:t xml:space="preserve">One </w:t>
      </w:r>
      <w:proofErr w:type="spellStart"/>
      <w:r>
        <w:rPr>
          <w:sz w:val="24"/>
          <w:szCs w:val="24"/>
        </w:rPr>
        <w:t>recognises</w:t>
      </w:r>
      <w:proofErr w:type="spellEnd"/>
      <w:r>
        <w:rPr>
          <w:sz w:val="24"/>
          <w:szCs w:val="24"/>
        </w:rPr>
        <w:t xml:space="preserve"> a need to further develop quantitative HR analytics functions. A learning roadmap is designed for 12 months that covers R for People Analytics and Power BI dashboards. The People Analytics Certificate from CIPD will be formally accredited. This competency is fundamental as all the strategic interventions suggested in this report (CIPD, 2025) rely on data literacy.</w:t>
      </w:r>
    </w:p>
    <w:p w14:paraId="09F690D2" w14:textId="77777777" w:rsidR="002D26FB" w:rsidRDefault="00000000">
      <w:pPr>
        <w:spacing w:after="160" w:line="360" w:lineRule="auto"/>
        <w:jc w:val="both"/>
        <w:rPr>
          <w:b/>
          <w:bCs/>
          <w:i/>
          <w:iCs/>
          <w:sz w:val="24"/>
          <w:szCs w:val="24"/>
        </w:rPr>
      </w:pPr>
      <w:r>
        <w:rPr>
          <w:b/>
          <w:bCs/>
          <w:i/>
          <w:iCs/>
          <w:sz w:val="24"/>
          <w:szCs w:val="24"/>
        </w:rPr>
        <w:t>AI Augmentation in HR</w:t>
      </w:r>
    </w:p>
    <w:p w14:paraId="531E7638" w14:textId="77777777" w:rsidR="002D26FB" w:rsidRDefault="00000000">
      <w:pPr>
        <w:spacing w:after="160" w:line="360" w:lineRule="auto"/>
        <w:jc w:val="both"/>
        <w:rPr>
          <w:sz w:val="24"/>
          <w:szCs w:val="24"/>
        </w:rPr>
      </w:pPr>
      <w:r>
        <w:rPr>
          <w:sz w:val="24"/>
          <w:szCs w:val="24"/>
        </w:rPr>
        <w:t xml:space="preserve">One will finish SHRM's AI in HR </w:t>
      </w:r>
      <w:proofErr w:type="spellStart"/>
      <w:r>
        <w:rPr>
          <w:sz w:val="24"/>
          <w:szCs w:val="24"/>
        </w:rPr>
        <w:t>Specialisation</w:t>
      </w:r>
      <w:proofErr w:type="spellEnd"/>
      <w:r>
        <w:rPr>
          <w:sz w:val="24"/>
          <w:szCs w:val="24"/>
        </w:rPr>
        <w:t xml:space="preserve"> course in 6-months. Further, collaboration with practitioner communities, such as the Josh Bersin Academy's AI community, will also offer peer learning. It is crucial to understand the limitations of the algorithms as well as their capabilities. This helps to avoid adopting technology without critical reflection, leading to an imbalance in workforce status (Tambe et al., 2023).</w:t>
      </w:r>
    </w:p>
    <w:p w14:paraId="52AA2972" w14:textId="77777777" w:rsidR="002D26FB" w:rsidRDefault="00000000">
      <w:pPr>
        <w:spacing w:after="160" w:line="360" w:lineRule="auto"/>
        <w:jc w:val="both"/>
        <w:rPr>
          <w:b/>
          <w:bCs/>
          <w:i/>
          <w:iCs/>
          <w:sz w:val="24"/>
          <w:szCs w:val="24"/>
        </w:rPr>
      </w:pPr>
      <w:r>
        <w:rPr>
          <w:b/>
          <w:bCs/>
          <w:i/>
          <w:iCs/>
          <w:sz w:val="24"/>
          <w:szCs w:val="24"/>
        </w:rPr>
        <w:t>Strategic Influencing Skills</w:t>
      </w:r>
    </w:p>
    <w:p w14:paraId="6504D1DA" w14:textId="77777777" w:rsidR="002D26FB" w:rsidRDefault="00000000">
      <w:pPr>
        <w:spacing w:after="160" w:line="360" w:lineRule="auto"/>
        <w:jc w:val="both"/>
        <w:rPr>
          <w:b/>
          <w:bCs/>
          <w:i/>
          <w:iCs/>
          <w:color w:val="404040"/>
          <w:sz w:val="24"/>
          <w:szCs w:val="24"/>
        </w:rPr>
      </w:pPr>
      <w:r>
        <w:rPr>
          <w:sz w:val="24"/>
          <w:szCs w:val="24"/>
        </w:rPr>
        <w:t xml:space="preserve">Good, credible communication in the boardroom is essential to evidence-based HR recommendations. One will undertake Executive Communication coaching with the Chartered Management Institute. There will be applied exposure through shadowing </w:t>
      </w:r>
      <w:r>
        <w:rPr>
          <w:sz w:val="24"/>
          <w:szCs w:val="24"/>
        </w:rPr>
        <w:lastRenderedPageBreak/>
        <w:t xml:space="preserve">with a Chief People Officer in three quarterly Board presentations. The authors of 'Strategic influencing skills for HR professionals' (Ulrich and Dulebohn, 2015) agree that strategic influencing is a key skill for HR practitioners to be a true business partner at the higher levels. </w:t>
      </w:r>
    </w:p>
    <w:p w14:paraId="04F3976D" w14:textId="77777777" w:rsidR="002D26FB" w:rsidRDefault="00000000">
      <w:pPr>
        <w:spacing w:after="160" w:line="360" w:lineRule="auto"/>
        <w:jc w:val="both"/>
        <w:rPr>
          <w:b/>
          <w:bCs/>
          <w:i/>
          <w:iCs/>
          <w:sz w:val="24"/>
          <w:szCs w:val="24"/>
        </w:rPr>
      </w:pPr>
      <w:r>
        <w:rPr>
          <w:b/>
          <w:bCs/>
          <w:i/>
          <w:iCs/>
          <w:sz w:val="24"/>
          <w:szCs w:val="24"/>
        </w:rPr>
        <w:t>Global Mobility Awareness</w:t>
      </w:r>
    </w:p>
    <w:p w14:paraId="1004F469" w14:textId="77777777" w:rsidR="002D26FB" w:rsidRDefault="00000000">
      <w:pPr>
        <w:spacing w:after="160" w:line="360" w:lineRule="auto"/>
        <w:jc w:val="both"/>
        <w:rPr>
          <w:sz w:val="24"/>
          <w:szCs w:val="24"/>
        </w:rPr>
      </w:pPr>
      <w:r>
        <w:rPr>
          <w:sz w:val="24"/>
          <w:szCs w:val="24"/>
        </w:rPr>
        <w:t xml:space="preserve">HUM is a tri-city organization that requires cross-cultural intelligence. One is in the process of finishing the CQ Certification at the Cultural Intelligence Centre in 9 months. Further, a development priority is identified for a short term project secondment to a HUM campus in Singapore. Regulatory differences in immigration, </w:t>
      </w:r>
      <w:proofErr w:type="spellStart"/>
      <w:r>
        <w:rPr>
          <w:sz w:val="24"/>
          <w:szCs w:val="24"/>
        </w:rPr>
        <w:t>labour</w:t>
      </w:r>
      <w:proofErr w:type="spellEnd"/>
      <w:r>
        <w:rPr>
          <w:sz w:val="24"/>
          <w:szCs w:val="24"/>
        </w:rPr>
        <w:t xml:space="preserve"> law, tax </w:t>
      </w:r>
      <w:proofErr w:type="spellStart"/>
      <w:r>
        <w:rPr>
          <w:sz w:val="24"/>
          <w:szCs w:val="24"/>
        </w:rPr>
        <w:t>equalisation</w:t>
      </w:r>
      <w:proofErr w:type="spellEnd"/>
      <w:r>
        <w:rPr>
          <w:sz w:val="24"/>
          <w:szCs w:val="24"/>
        </w:rPr>
        <w:t xml:space="preserve"> etc. in HUM's geographies will significantly improve the credibility of the advisory (Deloitte, 2024). Of course mobility awareness is not an ancillary issue; it is a core element of the work for delivering coherent human capital strategies in multinational </w:t>
      </w:r>
      <w:proofErr w:type="spellStart"/>
      <w:r>
        <w:rPr>
          <w:sz w:val="24"/>
          <w:szCs w:val="24"/>
        </w:rPr>
        <w:t>organisations</w:t>
      </w:r>
      <w:proofErr w:type="spellEnd"/>
      <w:r>
        <w:rPr>
          <w:sz w:val="24"/>
          <w:szCs w:val="24"/>
        </w:rPr>
        <w:t>.</w:t>
      </w:r>
    </w:p>
    <w:p w14:paraId="29212262" w14:textId="77777777" w:rsidR="002D26FB" w:rsidRDefault="002D26FB">
      <w:pPr>
        <w:spacing w:after="160" w:line="360" w:lineRule="auto"/>
        <w:jc w:val="both"/>
        <w:rPr>
          <w:sz w:val="24"/>
          <w:szCs w:val="24"/>
          <w:shd w:val="clear" w:color="auto" w:fill="FF9900"/>
        </w:rPr>
      </w:pPr>
    </w:p>
    <w:p w14:paraId="7730D2F4" w14:textId="502E484E" w:rsidR="00511335" w:rsidRDefault="00511335">
      <w:pPr>
        <w:rPr>
          <w:sz w:val="24"/>
          <w:szCs w:val="24"/>
        </w:rPr>
      </w:pPr>
      <w:r>
        <w:rPr>
          <w:sz w:val="24"/>
          <w:szCs w:val="24"/>
        </w:rPr>
        <w:br w:type="page"/>
      </w:r>
    </w:p>
    <w:p w14:paraId="1FC00028" w14:textId="289CA3AD" w:rsidR="00511335" w:rsidRDefault="00511335" w:rsidP="00511335">
      <w:pPr>
        <w:pStyle w:val="Heading1"/>
      </w:pPr>
      <w:bookmarkStart w:id="21" w:name="_Toc235178291"/>
      <w:r>
        <w:lastRenderedPageBreak/>
        <w:t>References</w:t>
      </w:r>
      <w:bookmarkEnd w:id="21"/>
    </w:p>
    <w:p w14:paraId="7D54DC7C" w14:textId="77777777" w:rsidR="00511335" w:rsidRPr="00511335" w:rsidRDefault="00511335" w:rsidP="00511335">
      <w:pPr>
        <w:spacing w:line="360" w:lineRule="auto"/>
        <w:jc w:val="both"/>
        <w:rPr>
          <w:sz w:val="24"/>
          <w:szCs w:val="24"/>
        </w:rPr>
      </w:pPr>
      <w:r w:rsidRPr="00511335">
        <w:rPr>
          <w:sz w:val="24"/>
          <w:szCs w:val="24"/>
        </w:rPr>
        <w:t xml:space="preserve">Amar, A.D., 2004. Motivating knowledge workers to innovate: a model integrating motivation dynamics and antecedents. </w:t>
      </w:r>
      <w:r w:rsidRPr="00511335">
        <w:rPr>
          <w:i/>
          <w:iCs/>
          <w:sz w:val="24"/>
          <w:szCs w:val="24"/>
        </w:rPr>
        <w:t>European Journal of Innovation Management</w:t>
      </w:r>
      <w:r w:rsidRPr="00511335">
        <w:rPr>
          <w:sz w:val="24"/>
          <w:szCs w:val="24"/>
        </w:rPr>
        <w:t xml:space="preserve">, </w:t>
      </w:r>
      <w:r w:rsidRPr="00511335">
        <w:rPr>
          <w:i/>
          <w:iCs/>
          <w:sz w:val="24"/>
          <w:szCs w:val="24"/>
        </w:rPr>
        <w:t>7</w:t>
      </w:r>
      <w:r w:rsidRPr="00511335">
        <w:rPr>
          <w:sz w:val="24"/>
          <w:szCs w:val="24"/>
        </w:rPr>
        <w:t xml:space="preserve">(2), pp.89-101. </w:t>
      </w:r>
      <w:hyperlink r:id="rId12" w:history="1">
        <w:r w:rsidRPr="00511335">
          <w:rPr>
            <w:rStyle w:val="Hyperlink"/>
            <w:sz w:val="24"/>
            <w:szCs w:val="24"/>
          </w:rPr>
          <w:t>https://www.emerald.com/ejim/article/7/2/89/41962</w:t>
        </w:r>
      </w:hyperlink>
      <w:r w:rsidRPr="00511335">
        <w:rPr>
          <w:sz w:val="24"/>
          <w:szCs w:val="24"/>
        </w:rPr>
        <w:t> </w:t>
      </w:r>
    </w:p>
    <w:p w14:paraId="3B9B8BBD" w14:textId="77777777" w:rsidR="00511335" w:rsidRPr="00511335" w:rsidRDefault="00511335" w:rsidP="00511335">
      <w:pPr>
        <w:spacing w:line="360" w:lineRule="auto"/>
        <w:jc w:val="both"/>
        <w:rPr>
          <w:sz w:val="24"/>
          <w:szCs w:val="24"/>
        </w:rPr>
      </w:pPr>
      <w:r w:rsidRPr="00511335">
        <w:rPr>
          <w:sz w:val="24"/>
          <w:szCs w:val="24"/>
        </w:rPr>
        <w:t xml:space="preserve">Ashforth, B.E. and Mael, F., 1989. Social identity theory and the organization. </w:t>
      </w:r>
      <w:r w:rsidRPr="00511335">
        <w:rPr>
          <w:i/>
          <w:iCs/>
          <w:sz w:val="24"/>
          <w:szCs w:val="24"/>
        </w:rPr>
        <w:t>Academy of management review</w:t>
      </w:r>
      <w:r w:rsidRPr="00511335">
        <w:rPr>
          <w:sz w:val="24"/>
          <w:szCs w:val="24"/>
        </w:rPr>
        <w:t xml:space="preserve">, </w:t>
      </w:r>
      <w:r w:rsidRPr="00511335">
        <w:rPr>
          <w:i/>
          <w:iCs/>
          <w:sz w:val="24"/>
          <w:szCs w:val="24"/>
        </w:rPr>
        <w:t>14</w:t>
      </w:r>
      <w:r w:rsidRPr="00511335">
        <w:rPr>
          <w:sz w:val="24"/>
          <w:szCs w:val="24"/>
        </w:rPr>
        <w:t xml:space="preserve">(1), pp.20-39. </w:t>
      </w:r>
      <w:hyperlink r:id="rId13" w:history="1">
        <w:r w:rsidRPr="00511335">
          <w:rPr>
            <w:rStyle w:val="Hyperlink"/>
            <w:sz w:val="24"/>
            <w:szCs w:val="24"/>
          </w:rPr>
          <w:t>https://journals.aom.org/doi/abs/10.5465/amr.1989.4278999</w:t>
        </w:r>
      </w:hyperlink>
      <w:r w:rsidRPr="00511335">
        <w:rPr>
          <w:sz w:val="24"/>
          <w:szCs w:val="24"/>
        </w:rPr>
        <w:t> </w:t>
      </w:r>
    </w:p>
    <w:p w14:paraId="594CB3E4" w14:textId="77777777" w:rsidR="00511335" w:rsidRPr="00511335" w:rsidRDefault="00511335" w:rsidP="00511335">
      <w:pPr>
        <w:spacing w:line="360" w:lineRule="auto"/>
        <w:jc w:val="both"/>
        <w:rPr>
          <w:sz w:val="24"/>
          <w:szCs w:val="24"/>
        </w:rPr>
      </w:pPr>
      <w:r w:rsidRPr="00511335">
        <w:rPr>
          <w:sz w:val="24"/>
          <w:szCs w:val="24"/>
          <w:lang w:val="de-DE"/>
        </w:rPr>
        <w:t xml:space="preserve">Bauer, T.N. and Erdogan, B., 2011. </w:t>
      </w:r>
      <w:r w:rsidRPr="00511335">
        <w:rPr>
          <w:sz w:val="24"/>
          <w:szCs w:val="24"/>
        </w:rPr>
        <w:t xml:space="preserve">Organizational socialization: The effective onboarding of new employees. </w:t>
      </w:r>
      <w:hyperlink r:id="rId14" w:history="1">
        <w:r w:rsidRPr="00511335">
          <w:rPr>
            <w:rStyle w:val="Hyperlink"/>
            <w:sz w:val="24"/>
            <w:szCs w:val="24"/>
          </w:rPr>
          <w:t>https://psycnet.apa.org/record/2010-06019-002?doi=1</w:t>
        </w:r>
      </w:hyperlink>
      <w:r w:rsidRPr="00511335">
        <w:rPr>
          <w:sz w:val="24"/>
          <w:szCs w:val="24"/>
        </w:rPr>
        <w:t> </w:t>
      </w:r>
    </w:p>
    <w:p w14:paraId="6E9E10AF" w14:textId="77777777" w:rsidR="00511335" w:rsidRPr="00511335" w:rsidRDefault="00511335" w:rsidP="00511335">
      <w:pPr>
        <w:spacing w:line="360" w:lineRule="auto"/>
        <w:jc w:val="both"/>
        <w:rPr>
          <w:sz w:val="24"/>
          <w:szCs w:val="24"/>
        </w:rPr>
      </w:pPr>
      <w:r w:rsidRPr="00511335">
        <w:rPr>
          <w:sz w:val="24"/>
          <w:szCs w:val="24"/>
          <w:lang w:val="de-DE"/>
        </w:rPr>
        <w:t xml:space="preserve">Bauer, T.N., Bodner, T., Erdogan, B., Truxillo, D.M. and Tucker, J.S., 2007. </w:t>
      </w:r>
      <w:r w:rsidRPr="00511335">
        <w:rPr>
          <w:sz w:val="24"/>
          <w:szCs w:val="24"/>
        </w:rPr>
        <w:t xml:space="preserve">Newcomer adjustment during organizational socialization: a meta-analytic review of antecedents, outcomes, and methods. </w:t>
      </w:r>
      <w:r w:rsidRPr="00511335">
        <w:rPr>
          <w:i/>
          <w:iCs/>
          <w:sz w:val="24"/>
          <w:szCs w:val="24"/>
        </w:rPr>
        <w:t>Journal of applied psychology</w:t>
      </w:r>
      <w:r w:rsidRPr="00511335">
        <w:rPr>
          <w:sz w:val="24"/>
          <w:szCs w:val="24"/>
        </w:rPr>
        <w:t xml:space="preserve">, </w:t>
      </w:r>
      <w:r w:rsidRPr="00511335">
        <w:rPr>
          <w:i/>
          <w:iCs/>
          <w:sz w:val="24"/>
          <w:szCs w:val="24"/>
        </w:rPr>
        <w:t>92</w:t>
      </w:r>
      <w:r w:rsidRPr="00511335">
        <w:rPr>
          <w:sz w:val="24"/>
          <w:szCs w:val="24"/>
        </w:rPr>
        <w:t xml:space="preserve">(3), p.707. </w:t>
      </w:r>
      <w:hyperlink r:id="rId15" w:history="1">
        <w:r w:rsidRPr="00511335">
          <w:rPr>
            <w:rStyle w:val="Hyperlink"/>
            <w:sz w:val="24"/>
            <w:szCs w:val="24"/>
          </w:rPr>
          <w:t>https://psycnet.apa.org/fulltext/2007-06438-009.html</w:t>
        </w:r>
      </w:hyperlink>
      <w:r w:rsidRPr="00511335">
        <w:rPr>
          <w:sz w:val="24"/>
          <w:szCs w:val="24"/>
        </w:rPr>
        <w:t> </w:t>
      </w:r>
    </w:p>
    <w:p w14:paraId="40F30821" w14:textId="77777777" w:rsidR="00511335" w:rsidRPr="00511335" w:rsidRDefault="00511335" w:rsidP="00511335">
      <w:pPr>
        <w:spacing w:line="360" w:lineRule="auto"/>
        <w:jc w:val="both"/>
        <w:rPr>
          <w:sz w:val="24"/>
          <w:szCs w:val="24"/>
        </w:rPr>
      </w:pPr>
      <w:r w:rsidRPr="00511335">
        <w:rPr>
          <w:sz w:val="24"/>
          <w:szCs w:val="24"/>
        </w:rPr>
        <w:t xml:space="preserve">Cable, D., Gino, F. and Staats, B.R., 2012, July. Breaking them in or revealing their best? Reframing socialization around newcomer </w:t>
      </w:r>
      <w:proofErr w:type="spellStart"/>
      <w:r w:rsidRPr="00511335">
        <w:rPr>
          <w:sz w:val="24"/>
          <w:szCs w:val="24"/>
        </w:rPr>
        <w:t>self expression</w:t>
      </w:r>
      <w:proofErr w:type="spellEnd"/>
      <w:r w:rsidRPr="00511335">
        <w:rPr>
          <w:sz w:val="24"/>
          <w:szCs w:val="24"/>
        </w:rPr>
        <w:t xml:space="preserve">. In </w:t>
      </w:r>
      <w:r w:rsidRPr="00511335">
        <w:rPr>
          <w:i/>
          <w:iCs/>
          <w:sz w:val="24"/>
          <w:szCs w:val="24"/>
        </w:rPr>
        <w:t>Academy of Management Proceedings</w:t>
      </w:r>
      <w:r w:rsidRPr="00511335">
        <w:rPr>
          <w:sz w:val="24"/>
          <w:szCs w:val="24"/>
        </w:rPr>
        <w:t xml:space="preserve"> (Vol. 2012, No. 1, p. 15051). Briarcliff Manor, NY 10510: Academy of Management. </w:t>
      </w:r>
      <w:hyperlink r:id="rId16" w:history="1">
        <w:r w:rsidRPr="00511335">
          <w:rPr>
            <w:rStyle w:val="Hyperlink"/>
            <w:sz w:val="24"/>
            <w:szCs w:val="24"/>
          </w:rPr>
          <w:t>https://journals.aom.org/doi/abs/10.5465/AMBPP.2012.15051abstract</w:t>
        </w:r>
      </w:hyperlink>
      <w:r w:rsidRPr="00511335">
        <w:rPr>
          <w:sz w:val="24"/>
          <w:szCs w:val="24"/>
        </w:rPr>
        <w:t> </w:t>
      </w:r>
    </w:p>
    <w:p w14:paraId="468BABE3" w14:textId="77777777" w:rsidR="00511335" w:rsidRPr="00511335" w:rsidRDefault="00511335" w:rsidP="00511335">
      <w:pPr>
        <w:spacing w:line="360" w:lineRule="auto"/>
        <w:jc w:val="both"/>
        <w:rPr>
          <w:sz w:val="24"/>
          <w:szCs w:val="24"/>
        </w:rPr>
      </w:pPr>
      <w:r w:rsidRPr="00511335">
        <w:rPr>
          <w:sz w:val="24"/>
          <w:szCs w:val="24"/>
        </w:rPr>
        <w:t xml:space="preserve">CIPD (2025). </w:t>
      </w:r>
      <w:r w:rsidRPr="00511335">
        <w:rPr>
          <w:i/>
          <w:iCs/>
          <w:sz w:val="24"/>
          <w:szCs w:val="24"/>
        </w:rPr>
        <w:t>Employee engagement and motivation</w:t>
      </w:r>
      <w:r w:rsidRPr="00511335">
        <w:rPr>
          <w:sz w:val="24"/>
          <w:szCs w:val="24"/>
        </w:rPr>
        <w:t xml:space="preserve">. [online] CIPD. Available at: </w:t>
      </w:r>
      <w:hyperlink r:id="rId17" w:history="1">
        <w:r w:rsidRPr="00511335">
          <w:rPr>
            <w:rStyle w:val="Hyperlink"/>
            <w:sz w:val="24"/>
            <w:szCs w:val="24"/>
          </w:rPr>
          <w:t>https://www.cipd.org/en/knowledge/factsheets/engagement-factsheet/</w:t>
        </w:r>
      </w:hyperlink>
      <w:r w:rsidRPr="00511335">
        <w:rPr>
          <w:sz w:val="24"/>
          <w:szCs w:val="24"/>
        </w:rPr>
        <w:t>  [Accessed 17 July 2026].</w:t>
      </w:r>
    </w:p>
    <w:p w14:paraId="774DEB65" w14:textId="77777777" w:rsidR="00511335" w:rsidRPr="00511335" w:rsidRDefault="00511335" w:rsidP="00511335">
      <w:pPr>
        <w:spacing w:line="360" w:lineRule="auto"/>
        <w:jc w:val="both"/>
        <w:rPr>
          <w:sz w:val="24"/>
          <w:szCs w:val="24"/>
        </w:rPr>
      </w:pPr>
      <w:r w:rsidRPr="00511335">
        <w:rPr>
          <w:sz w:val="24"/>
          <w:szCs w:val="24"/>
        </w:rPr>
        <w:t xml:space="preserve">Deci, E.L., Olafsen, A.H. and Ryan, R.M., 2017. Self-determination theory in work organizations: The state of a science. </w:t>
      </w:r>
      <w:r w:rsidRPr="00511335">
        <w:rPr>
          <w:i/>
          <w:iCs/>
          <w:sz w:val="24"/>
          <w:szCs w:val="24"/>
        </w:rPr>
        <w:t>Annual review of organizational psychology and organizational behavior</w:t>
      </w:r>
      <w:r w:rsidRPr="00511335">
        <w:rPr>
          <w:sz w:val="24"/>
          <w:szCs w:val="24"/>
        </w:rPr>
        <w:t xml:space="preserve">, </w:t>
      </w:r>
      <w:r w:rsidRPr="00511335">
        <w:rPr>
          <w:i/>
          <w:iCs/>
          <w:sz w:val="24"/>
          <w:szCs w:val="24"/>
        </w:rPr>
        <w:t>4</w:t>
      </w:r>
      <w:r w:rsidRPr="00511335">
        <w:rPr>
          <w:sz w:val="24"/>
          <w:szCs w:val="24"/>
        </w:rPr>
        <w:t xml:space="preserve">, pp.19-43. </w:t>
      </w:r>
      <w:hyperlink r:id="rId18" w:history="1">
        <w:r w:rsidRPr="00511335">
          <w:rPr>
            <w:rStyle w:val="Hyperlink"/>
            <w:sz w:val="24"/>
            <w:szCs w:val="24"/>
          </w:rPr>
          <w:t>https://www.annualreviews.org/content/journals/10.1146/annurev-orgpsych-032516-113108</w:t>
        </w:r>
      </w:hyperlink>
      <w:r w:rsidRPr="00511335">
        <w:rPr>
          <w:sz w:val="24"/>
          <w:szCs w:val="24"/>
        </w:rPr>
        <w:t> </w:t>
      </w:r>
    </w:p>
    <w:p w14:paraId="034C69EC" w14:textId="77777777" w:rsidR="00511335" w:rsidRPr="00511335" w:rsidRDefault="00511335" w:rsidP="00511335">
      <w:pPr>
        <w:spacing w:line="360" w:lineRule="auto"/>
        <w:jc w:val="both"/>
        <w:rPr>
          <w:sz w:val="24"/>
          <w:szCs w:val="24"/>
        </w:rPr>
      </w:pPr>
      <w:r w:rsidRPr="00511335">
        <w:rPr>
          <w:sz w:val="24"/>
          <w:szCs w:val="24"/>
        </w:rPr>
        <w:t xml:space="preserve">Deloitte. (2024). </w:t>
      </w:r>
      <w:r w:rsidRPr="00511335">
        <w:rPr>
          <w:i/>
          <w:iCs/>
          <w:sz w:val="24"/>
          <w:szCs w:val="24"/>
        </w:rPr>
        <w:t>Deloitte’s ‘2024 Global Human Capital Trends’ Report Identifies Trust and Human Sustainability as Top Issues</w:t>
      </w:r>
      <w:r w:rsidRPr="00511335">
        <w:rPr>
          <w:sz w:val="24"/>
          <w:szCs w:val="24"/>
        </w:rPr>
        <w:t xml:space="preserve">. [online] Available at: </w:t>
      </w:r>
      <w:hyperlink r:id="rId19" w:history="1">
        <w:r w:rsidRPr="00511335">
          <w:rPr>
            <w:rStyle w:val="Hyperlink"/>
            <w:sz w:val="24"/>
            <w:szCs w:val="24"/>
          </w:rPr>
          <w:t>https://www.deloitte.com/ua/en/about/press-room/human-capital-trends.html</w:t>
        </w:r>
      </w:hyperlink>
      <w:r w:rsidRPr="00511335">
        <w:rPr>
          <w:sz w:val="24"/>
          <w:szCs w:val="24"/>
        </w:rPr>
        <w:t xml:space="preserve"> [Accessed 17 July 2026].</w:t>
      </w:r>
    </w:p>
    <w:p w14:paraId="25882953" w14:textId="77777777" w:rsidR="00511335" w:rsidRPr="00511335" w:rsidRDefault="00511335" w:rsidP="00511335">
      <w:pPr>
        <w:spacing w:line="360" w:lineRule="auto"/>
        <w:jc w:val="both"/>
        <w:rPr>
          <w:sz w:val="24"/>
          <w:szCs w:val="24"/>
        </w:rPr>
      </w:pPr>
      <w:r w:rsidRPr="00511335">
        <w:rPr>
          <w:sz w:val="24"/>
          <w:szCs w:val="24"/>
        </w:rPr>
        <w:t xml:space="preserve">Edmondson, A.C., 2018. </w:t>
      </w:r>
      <w:r w:rsidRPr="00511335">
        <w:rPr>
          <w:i/>
          <w:iCs/>
          <w:sz w:val="24"/>
          <w:szCs w:val="24"/>
        </w:rPr>
        <w:t>The fearless organization: Creating psychological safety in the workplace for learning, innovation, and growth</w:t>
      </w:r>
      <w:r w:rsidRPr="00511335">
        <w:rPr>
          <w:sz w:val="24"/>
          <w:szCs w:val="24"/>
        </w:rPr>
        <w:t xml:space="preserve">. John Wiley &amp; Sons. </w:t>
      </w:r>
      <w:hyperlink r:id="rId20" w:history="1">
        <w:r w:rsidRPr="00511335">
          <w:rPr>
            <w:rStyle w:val="Hyperlink"/>
            <w:sz w:val="24"/>
            <w:szCs w:val="24"/>
          </w:rPr>
          <w:t>https://books.google.com/books?hl=en&amp;lr=&amp;id=aZZxDwAAQBAJ&amp;oi=fnd&amp;pg=PR13&amp;dq=Edmondson,+A.C.+(2023)+The+fearless+organisation:+Creating+psychologi</w:t>
        </w:r>
        <w:r w:rsidRPr="00511335">
          <w:rPr>
            <w:rStyle w:val="Hyperlink"/>
            <w:sz w:val="24"/>
            <w:szCs w:val="24"/>
          </w:rPr>
          <w:lastRenderedPageBreak/>
          <w:t>cal+safety+in+the+workplace+for+learning,+innovation+and+growth.+2nd+ed.+New+York:+Wiley.&amp;ots=AlaK494idJ&amp;sig=2oUGEKudmpdx5D5sUCeNNYp5B-o</w:t>
        </w:r>
      </w:hyperlink>
      <w:r w:rsidRPr="00511335">
        <w:rPr>
          <w:sz w:val="24"/>
          <w:szCs w:val="24"/>
        </w:rPr>
        <w:t> </w:t>
      </w:r>
    </w:p>
    <w:p w14:paraId="73A61D88" w14:textId="77777777" w:rsidR="00511335" w:rsidRPr="00511335" w:rsidRDefault="00511335" w:rsidP="00511335">
      <w:pPr>
        <w:spacing w:line="360" w:lineRule="auto"/>
        <w:jc w:val="both"/>
        <w:rPr>
          <w:sz w:val="24"/>
          <w:szCs w:val="24"/>
        </w:rPr>
      </w:pPr>
      <w:r w:rsidRPr="00511335">
        <w:rPr>
          <w:sz w:val="24"/>
          <w:szCs w:val="24"/>
        </w:rPr>
        <w:t xml:space="preserve">Freeman, R.E., Phillips, R. and Sisodia, R., 2020. Tensions in stakeholder theory. </w:t>
      </w:r>
      <w:r w:rsidRPr="00511335">
        <w:rPr>
          <w:i/>
          <w:iCs/>
          <w:sz w:val="24"/>
          <w:szCs w:val="24"/>
        </w:rPr>
        <w:t>Business &amp; society</w:t>
      </w:r>
      <w:r w:rsidRPr="00511335">
        <w:rPr>
          <w:sz w:val="24"/>
          <w:szCs w:val="24"/>
        </w:rPr>
        <w:t xml:space="preserve">, </w:t>
      </w:r>
      <w:r w:rsidRPr="00511335">
        <w:rPr>
          <w:i/>
          <w:iCs/>
          <w:sz w:val="24"/>
          <w:szCs w:val="24"/>
        </w:rPr>
        <w:t>59</w:t>
      </w:r>
      <w:r w:rsidRPr="00511335">
        <w:rPr>
          <w:sz w:val="24"/>
          <w:szCs w:val="24"/>
        </w:rPr>
        <w:t xml:space="preserve">(2), pp.213-231. </w:t>
      </w:r>
      <w:hyperlink r:id="rId21" w:history="1">
        <w:r w:rsidRPr="00511335">
          <w:rPr>
            <w:rStyle w:val="Hyperlink"/>
            <w:sz w:val="24"/>
            <w:szCs w:val="24"/>
          </w:rPr>
          <w:t>https://journals.sagepub.com/doi/abs/10.1177/0007650318773750</w:t>
        </w:r>
      </w:hyperlink>
      <w:r w:rsidRPr="00511335">
        <w:rPr>
          <w:sz w:val="24"/>
          <w:szCs w:val="24"/>
        </w:rPr>
        <w:t> </w:t>
      </w:r>
    </w:p>
    <w:p w14:paraId="46C7ED15" w14:textId="77777777" w:rsidR="00511335" w:rsidRPr="00511335" w:rsidRDefault="00511335" w:rsidP="00511335">
      <w:pPr>
        <w:spacing w:line="360" w:lineRule="auto"/>
        <w:jc w:val="both"/>
        <w:rPr>
          <w:sz w:val="24"/>
          <w:szCs w:val="24"/>
        </w:rPr>
      </w:pPr>
      <w:r w:rsidRPr="00511335">
        <w:rPr>
          <w:sz w:val="24"/>
          <w:szCs w:val="24"/>
        </w:rPr>
        <w:t xml:space="preserve">Grant, A.M. and Parker, S.K., 2009. 7 redesigning work design theories: the rise of relational and proactive perspectives. </w:t>
      </w:r>
      <w:r w:rsidRPr="00511335">
        <w:rPr>
          <w:i/>
          <w:iCs/>
          <w:sz w:val="24"/>
          <w:szCs w:val="24"/>
        </w:rPr>
        <w:t>Academy of Management annals</w:t>
      </w:r>
      <w:r w:rsidRPr="00511335">
        <w:rPr>
          <w:sz w:val="24"/>
          <w:szCs w:val="24"/>
        </w:rPr>
        <w:t xml:space="preserve">, </w:t>
      </w:r>
      <w:r w:rsidRPr="00511335">
        <w:rPr>
          <w:i/>
          <w:iCs/>
          <w:sz w:val="24"/>
          <w:szCs w:val="24"/>
        </w:rPr>
        <w:t>3</w:t>
      </w:r>
      <w:r w:rsidRPr="00511335">
        <w:rPr>
          <w:sz w:val="24"/>
          <w:szCs w:val="24"/>
        </w:rPr>
        <w:t xml:space="preserve">(1), pp.317-375. </w:t>
      </w:r>
      <w:hyperlink r:id="rId22" w:history="1">
        <w:r w:rsidRPr="00511335">
          <w:rPr>
            <w:rStyle w:val="Hyperlink"/>
            <w:sz w:val="24"/>
            <w:szCs w:val="24"/>
          </w:rPr>
          <w:t>https://journals.aom.org/doi/abs/10.5465/19416520903047327</w:t>
        </w:r>
      </w:hyperlink>
      <w:r w:rsidRPr="00511335">
        <w:rPr>
          <w:sz w:val="24"/>
          <w:szCs w:val="24"/>
        </w:rPr>
        <w:t> </w:t>
      </w:r>
    </w:p>
    <w:p w14:paraId="7EDF1013" w14:textId="77777777" w:rsidR="00511335" w:rsidRPr="00511335" w:rsidRDefault="00511335" w:rsidP="00511335">
      <w:pPr>
        <w:spacing w:line="360" w:lineRule="auto"/>
        <w:jc w:val="both"/>
        <w:rPr>
          <w:sz w:val="24"/>
          <w:szCs w:val="24"/>
        </w:rPr>
      </w:pPr>
      <w:r w:rsidRPr="00511335">
        <w:rPr>
          <w:sz w:val="24"/>
          <w:szCs w:val="24"/>
        </w:rPr>
        <w:t xml:space="preserve">Ibm.com. (2026). </w:t>
      </w:r>
      <w:r w:rsidRPr="00511335">
        <w:rPr>
          <w:i/>
          <w:iCs/>
          <w:sz w:val="24"/>
          <w:szCs w:val="24"/>
        </w:rPr>
        <w:t>AI Agents Solutions | IBM</w:t>
      </w:r>
      <w:r w:rsidRPr="00511335">
        <w:rPr>
          <w:sz w:val="24"/>
          <w:szCs w:val="24"/>
        </w:rPr>
        <w:t xml:space="preserve">. [online] Available at: </w:t>
      </w:r>
      <w:hyperlink r:id="rId23" w:history="1">
        <w:r w:rsidRPr="00511335">
          <w:rPr>
            <w:rStyle w:val="Hyperlink"/>
            <w:sz w:val="24"/>
            <w:szCs w:val="24"/>
          </w:rPr>
          <w:t>https://www.ibm.com/solutions/ai-agents?utm_content=SRCWW&amp;p1=Search&amp;p4=957696076757&amp;p5=p&amp;p9=181410761691&amp;gclsrc=aw.ds&amp;gad_source=1&amp;gad_campaignid=22297710955&amp;gbraid=0AAAAAD-_QsTf6gxb-srjjQ2wqHdfpEIaB&amp;gclid=Cj0KCQjwguLSBhDLARIsAH-yPrFgG-bb4TuD47JQloeqK97pYtDU87at0nw1gjBjrGsXDFRjdcjwWpgaAgvEEALw_wcB</w:t>
        </w:r>
      </w:hyperlink>
      <w:r w:rsidRPr="00511335">
        <w:rPr>
          <w:sz w:val="24"/>
          <w:szCs w:val="24"/>
        </w:rPr>
        <w:t xml:space="preserve"> [Accessed 17 July 2026].</w:t>
      </w:r>
    </w:p>
    <w:p w14:paraId="4E7893C0" w14:textId="77777777" w:rsidR="00511335" w:rsidRPr="00511335" w:rsidRDefault="00511335" w:rsidP="00511335">
      <w:pPr>
        <w:spacing w:line="360" w:lineRule="auto"/>
        <w:jc w:val="both"/>
        <w:rPr>
          <w:sz w:val="24"/>
          <w:szCs w:val="24"/>
        </w:rPr>
      </w:pPr>
      <w:r w:rsidRPr="00511335">
        <w:rPr>
          <w:sz w:val="24"/>
          <w:szCs w:val="24"/>
        </w:rPr>
        <w:t xml:space="preserve">Korte, R.F., 2007. A review of social identity theory with implications for training and development. </w:t>
      </w:r>
      <w:r w:rsidRPr="00511335">
        <w:rPr>
          <w:i/>
          <w:iCs/>
          <w:sz w:val="24"/>
          <w:szCs w:val="24"/>
        </w:rPr>
        <w:t>Journal of European industrial training</w:t>
      </w:r>
      <w:r w:rsidRPr="00511335">
        <w:rPr>
          <w:sz w:val="24"/>
          <w:szCs w:val="24"/>
        </w:rPr>
        <w:t xml:space="preserve">, </w:t>
      </w:r>
      <w:r w:rsidRPr="00511335">
        <w:rPr>
          <w:i/>
          <w:iCs/>
          <w:sz w:val="24"/>
          <w:szCs w:val="24"/>
        </w:rPr>
        <w:t>31</w:t>
      </w:r>
      <w:r w:rsidRPr="00511335">
        <w:rPr>
          <w:sz w:val="24"/>
          <w:szCs w:val="24"/>
        </w:rPr>
        <w:t xml:space="preserve">(3), pp.166-180. </w:t>
      </w:r>
      <w:hyperlink r:id="rId24" w:history="1">
        <w:r w:rsidRPr="00511335">
          <w:rPr>
            <w:rStyle w:val="Hyperlink"/>
            <w:sz w:val="24"/>
            <w:szCs w:val="24"/>
          </w:rPr>
          <w:t>https://www.emerald.com/ejtd/article/31/3/166/215031</w:t>
        </w:r>
      </w:hyperlink>
      <w:r w:rsidRPr="00511335">
        <w:rPr>
          <w:sz w:val="24"/>
          <w:szCs w:val="24"/>
        </w:rPr>
        <w:t> </w:t>
      </w:r>
    </w:p>
    <w:p w14:paraId="02C9077E" w14:textId="77777777" w:rsidR="00511335" w:rsidRPr="00511335" w:rsidRDefault="00511335" w:rsidP="00511335">
      <w:pPr>
        <w:spacing w:line="360" w:lineRule="auto"/>
        <w:jc w:val="both"/>
        <w:rPr>
          <w:sz w:val="24"/>
          <w:szCs w:val="24"/>
        </w:rPr>
      </w:pPr>
      <w:r w:rsidRPr="00511335">
        <w:rPr>
          <w:sz w:val="24"/>
          <w:szCs w:val="24"/>
        </w:rPr>
        <w:t xml:space="preserve">Levit, A., 2018. </w:t>
      </w:r>
      <w:r w:rsidRPr="00511335">
        <w:rPr>
          <w:i/>
          <w:iCs/>
          <w:sz w:val="24"/>
          <w:szCs w:val="24"/>
        </w:rPr>
        <w:t>Humanity works: Merging technologies and people for the workforce of the future</w:t>
      </w:r>
      <w:r w:rsidRPr="00511335">
        <w:rPr>
          <w:sz w:val="24"/>
          <w:szCs w:val="24"/>
        </w:rPr>
        <w:t xml:space="preserve">. Kogan Page Publishers. </w:t>
      </w:r>
      <w:hyperlink r:id="rId25" w:history="1">
        <w:r w:rsidRPr="00511335">
          <w:rPr>
            <w:rStyle w:val="Hyperlink"/>
            <w:sz w:val="24"/>
            <w:szCs w:val="24"/>
          </w:rPr>
          <w:t>https://books.google.com/books?hl=en&amp;lr=&amp;id=MrlwDwAAQBAJ&amp;oi=fnd&amp;pg=PP1&amp;dq=Workforce+2030:+Managing+talent+in+an+age+of+AI+and+internal+marketplaces.+London:+Kogan+Page.&amp;ots=Q_PSy7cfh3&amp;sig=mJSmPU8-qQqGE4dNlpaVhgJZYQ4</w:t>
        </w:r>
      </w:hyperlink>
      <w:r w:rsidRPr="00511335">
        <w:rPr>
          <w:sz w:val="24"/>
          <w:szCs w:val="24"/>
        </w:rPr>
        <w:t> </w:t>
      </w:r>
    </w:p>
    <w:p w14:paraId="75311EF9" w14:textId="77777777" w:rsidR="00511335" w:rsidRPr="00511335" w:rsidRDefault="00511335" w:rsidP="00511335">
      <w:pPr>
        <w:spacing w:line="360" w:lineRule="auto"/>
        <w:jc w:val="both"/>
        <w:rPr>
          <w:sz w:val="24"/>
          <w:szCs w:val="24"/>
        </w:rPr>
      </w:pPr>
      <w:r w:rsidRPr="00511335">
        <w:rPr>
          <w:sz w:val="24"/>
          <w:szCs w:val="24"/>
          <w:lang w:val="de-DE"/>
        </w:rPr>
        <w:t xml:space="preserve">Lichtenthaler, P.W. and Fischbach, A., 2019. </w:t>
      </w:r>
      <w:r w:rsidRPr="00511335">
        <w:rPr>
          <w:sz w:val="24"/>
          <w:szCs w:val="24"/>
        </w:rPr>
        <w:t xml:space="preserve">A meta-analysis on promotion-and prevention-focused job crafting. </w:t>
      </w:r>
      <w:r w:rsidRPr="00511335">
        <w:rPr>
          <w:i/>
          <w:iCs/>
          <w:sz w:val="24"/>
          <w:szCs w:val="24"/>
        </w:rPr>
        <w:t>European Journal of Work and Organizational Psychology</w:t>
      </w:r>
      <w:r w:rsidRPr="00511335">
        <w:rPr>
          <w:sz w:val="24"/>
          <w:szCs w:val="24"/>
        </w:rPr>
        <w:t xml:space="preserve">, </w:t>
      </w:r>
      <w:r w:rsidRPr="00511335">
        <w:rPr>
          <w:i/>
          <w:iCs/>
          <w:sz w:val="24"/>
          <w:szCs w:val="24"/>
        </w:rPr>
        <w:t>28</w:t>
      </w:r>
      <w:r w:rsidRPr="00511335">
        <w:rPr>
          <w:sz w:val="24"/>
          <w:szCs w:val="24"/>
        </w:rPr>
        <w:t xml:space="preserve">(1), pp.30-50. </w:t>
      </w:r>
      <w:hyperlink r:id="rId26" w:history="1">
        <w:r w:rsidRPr="00511335">
          <w:rPr>
            <w:rStyle w:val="Hyperlink"/>
            <w:sz w:val="24"/>
            <w:szCs w:val="24"/>
          </w:rPr>
          <w:t>https://www.tandfonline.com/doi/abs/10.1080/1359432X.2018.1527767</w:t>
        </w:r>
      </w:hyperlink>
      <w:r w:rsidRPr="00511335">
        <w:rPr>
          <w:sz w:val="24"/>
          <w:szCs w:val="24"/>
        </w:rPr>
        <w:t> </w:t>
      </w:r>
    </w:p>
    <w:p w14:paraId="787E2B1F" w14:textId="77777777" w:rsidR="00511335" w:rsidRPr="00511335" w:rsidRDefault="00511335" w:rsidP="00511335">
      <w:pPr>
        <w:spacing w:line="360" w:lineRule="auto"/>
        <w:jc w:val="both"/>
        <w:rPr>
          <w:sz w:val="24"/>
          <w:szCs w:val="24"/>
        </w:rPr>
      </w:pPr>
      <w:r w:rsidRPr="00511335">
        <w:rPr>
          <w:sz w:val="24"/>
          <w:szCs w:val="24"/>
        </w:rPr>
        <w:t>LinkedIn Talent Solutions (2024) 2024 Workplace Learning Report: The skills advantage. Sunnyvale: LinkedIn.</w:t>
      </w:r>
      <w:hyperlink r:id="rId27" w:history="1">
        <w:r w:rsidRPr="00511335">
          <w:rPr>
            <w:rStyle w:val="Hyperlink"/>
            <w:sz w:val="24"/>
            <w:szCs w:val="24"/>
          </w:rPr>
          <w:t>https://delivery-p143253-e1476319.adobeaemcloud.com/adobe/assets/urn:aaid:aem:4b1cb4da-9126-4583-8916-b2525f5411ef/original/as/original.pdf</w:t>
        </w:r>
      </w:hyperlink>
      <w:r w:rsidRPr="00511335">
        <w:rPr>
          <w:sz w:val="24"/>
          <w:szCs w:val="24"/>
        </w:rPr>
        <w:t xml:space="preserve"> [Accessed 17 July 2026].</w:t>
      </w:r>
    </w:p>
    <w:p w14:paraId="1B492DFD" w14:textId="77777777" w:rsidR="00511335" w:rsidRPr="00511335" w:rsidRDefault="00511335" w:rsidP="00511335">
      <w:pPr>
        <w:spacing w:line="360" w:lineRule="auto"/>
        <w:jc w:val="both"/>
        <w:rPr>
          <w:sz w:val="24"/>
          <w:szCs w:val="24"/>
        </w:rPr>
      </w:pPr>
      <w:r w:rsidRPr="00511335">
        <w:rPr>
          <w:sz w:val="24"/>
          <w:szCs w:val="24"/>
        </w:rPr>
        <w:lastRenderedPageBreak/>
        <w:t xml:space="preserve">McKinsey &amp; Company. (2023). </w:t>
      </w:r>
      <w:r w:rsidRPr="00511335">
        <w:rPr>
          <w:i/>
          <w:iCs/>
          <w:sz w:val="24"/>
          <w:szCs w:val="24"/>
        </w:rPr>
        <w:t>Closing the tech talent gap: Adopting the right mindset</w:t>
      </w:r>
      <w:r w:rsidRPr="00511335">
        <w:rPr>
          <w:sz w:val="24"/>
          <w:szCs w:val="24"/>
        </w:rPr>
        <w:t xml:space="preserve">. [online] Available at: </w:t>
      </w:r>
      <w:hyperlink r:id="rId28" w:history="1">
        <w:r w:rsidRPr="00511335">
          <w:rPr>
            <w:rStyle w:val="Hyperlink"/>
            <w:sz w:val="24"/>
            <w:szCs w:val="24"/>
          </w:rPr>
          <w:t>https://www.mckinsey.com/capabilities/tech-and-ai/our-insights/tech-forward/closing-the-tech-talent-gap-adopting-the-right-mindset</w:t>
        </w:r>
      </w:hyperlink>
      <w:r w:rsidRPr="00511335">
        <w:rPr>
          <w:sz w:val="24"/>
          <w:szCs w:val="24"/>
        </w:rPr>
        <w:t xml:space="preserve"> [Accessed 17 July 2026].</w:t>
      </w:r>
    </w:p>
    <w:p w14:paraId="617601C6" w14:textId="77777777" w:rsidR="00511335" w:rsidRPr="00511335" w:rsidRDefault="00511335" w:rsidP="00511335">
      <w:pPr>
        <w:spacing w:line="360" w:lineRule="auto"/>
        <w:jc w:val="both"/>
        <w:rPr>
          <w:sz w:val="24"/>
          <w:szCs w:val="24"/>
        </w:rPr>
      </w:pPr>
      <w:r w:rsidRPr="00511335">
        <w:rPr>
          <w:sz w:val="24"/>
          <w:szCs w:val="24"/>
        </w:rPr>
        <w:t xml:space="preserve">Mercer (2023) Global Talent Trends 2023: The rise of the skills-based </w:t>
      </w:r>
      <w:proofErr w:type="spellStart"/>
      <w:r w:rsidRPr="00511335">
        <w:rPr>
          <w:sz w:val="24"/>
          <w:szCs w:val="24"/>
        </w:rPr>
        <w:t>organisation</w:t>
      </w:r>
      <w:proofErr w:type="spellEnd"/>
      <w:r w:rsidRPr="00511335">
        <w:rPr>
          <w:sz w:val="24"/>
          <w:szCs w:val="24"/>
        </w:rPr>
        <w:t>. New York: Mercer.</w:t>
      </w:r>
    </w:p>
    <w:p w14:paraId="072EF1FC" w14:textId="77777777" w:rsidR="00511335" w:rsidRPr="00511335" w:rsidRDefault="00511335" w:rsidP="00511335">
      <w:pPr>
        <w:spacing w:line="360" w:lineRule="auto"/>
        <w:jc w:val="both"/>
        <w:rPr>
          <w:sz w:val="24"/>
          <w:szCs w:val="24"/>
        </w:rPr>
      </w:pPr>
      <w:r w:rsidRPr="00511335">
        <w:rPr>
          <w:sz w:val="24"/>
          <w:szCs w:val="24"/>
        </w:rPr>
        <w:t xml:space="preserve">Morrison, E.W., 1993. Longitudinal study of the effects of information seeking on newcomer socialization. </w:t>
      </w:r>
      <w:r w:rsidRPr="00511335">
        <w:rPr>
          <w:i/>
          <w:iCs/>
          <w:sz w:val="24"/>
          <w:szCs w:val="24"/>
        </w:rPr>
        <w:t>Journal of applied psychology</w:t>
      </w:r>
      <w:r w:rsidRPr="00511335">
        <w:rPr>
          <w:sz w:val="24"/>
          <w:szCs w:val="24"/>
        </w:rPr>
        <w:t xml:space="preserve">, </w:t>
      </w:r>
      <w:r w:rsidRPr="00511335">
        <w:rPr>
          <w:i/>
          <w:iCs/>
          <w:sz w:val="24"/>
          <w:szCs w:val="24"/>
        </w:rPr>
        <w:t>78</w:t>
      </w:r>
      <w:r w:rsidRPr="00511335">
        <w:rPr>
          <w:sz w:val="24"/>
          <w:szCs w:val="24"/>
        </w:rPr>
        <w:t xml:space="preserve">(2), p.173. </w:t>
      </w:r>
      <w:hyperlink r:id="rId29" w:history="1">
        <w:r w:rsidRPr="00511335">
          <w:rPr>
            <w:rStyle w:val="Hyperlink"/>
            <w:sz w:val="24"/>
            <w:szCs w:val="24"/>
          </w:rPr>
          <w:t>https://psycnet.apa.org/fulltext/1993-31588-001.html</w:t>
        </w:r>
      </w:hyperlink>
      <w:r w:rsidRPr="00511335">
        <w:rPr>
          <w:sz w:val="24"/>
          <w:szCs w:val="24"/>
        </w:rPr>
        <w:t> </w:t>
      </w:r>
    </w:p>
    <w:p w14:paraId="2F05F6FD" w14:textId="77777777" w:rsidR="00511335" w:rsidRPr="00511335" w:rsidRDefault="00511335" w:rsidP="00511335">
      <w:pPr>
        <w:spacing w:line="360" w:lineRule="auto"/>
        <w:jc w:val="both"/>
        <w:rPr>
          <w:sz w:val="24"/>
          <w:szCs w:val="24"/>
        </w:rPr>
      </w:pPr>
      <w:r w:rsidRPr="00511335">
        <w:rPr>
          <w:sz w:val="24"/>
          <w:szCs w:val="24"/>
        </w:rPr>
        <w:t xml:space="preserve">Oldham, G.R. and Hackman, J.R., 2010. Not what it was and not what it will be: The future of job design research. </w:t>
      </w:r>
      <w:r w:rsidRPr="00511335">
        <w:rPr>
          <w:i/>
          <w:iCs/>
          <w:sz w:val="24"/>
          <w:szCs w:val="24"/>
        </w:rPr>
        <w:t>Journal of organizational behavior</w:t>
      </w:r>
      <w:r w:rsidRPr="00511335">
        <w:rPr>
          <w:sz w:val="24"/>
          <w:szCs w:val="24"/>
        </w:rPr>
        <w:t xml:space="preserve">, </w:t>
      </w:r>
      <w:r w:rsidRPr="00511335">
        <w:rPr>
          <w:i/>
          <w:iCs/>
          <w:sz w:val="24"/>
          <w:szCs w:val="24"/>
        </w:rPr>
        <w:t>31</w:t>
      </w:r>
      <w:r w:rsidRPr="00511335">
        <w:rPr>
          <w:sz w:val="24"/>
          <w:szCs w:val="24"/>
        </w:rPr>
        <w:t xml:space="preserve">(2‐3), pp.463-479. </w:t>
      </w:r>
      <w:hyperlink r:id="rId30" w:history="1">
        <w:r w:rsidRPr="00511335">
          <w:rPr>
            <w:rStyle w:val="Hyperlink"/>
            <w:sz w:val="24"/>
            <w:szCs w:val="24"/>
          </w:rPr>
          <w:t>https://onlinelibrary.wiley.com/doi/abs/10.1002/job.678</w:t>
        </w:r>
      </w:hyperlink>
      <w:r w:rsidRPr="00511335">
        <w:rPr>
          <w:sz w:val="24"/>
          <w:szCs w:val="24"/>
        </w:rPr>
        <w:t> </w:t>
      </w:r>
    </w:p>
    <w:p w14:paraId="12E1025B" w14:textId="77777777" w:rsidR="00511335" w:rsidRPr="00511335" w:rsidRDefault="00511335" w:rsidP="00511335">
      <w:pPr>
        <w:spacing w:line="360" w:lineRule="auto"/>
        <w:jc w:val="both"/>
        <w:rPr>
          <w:sz w:val="24"/>
          <w:szCs w:val="24"/>
        </w:rPr>
      </w:pPr>
      <w:r w:rsidRPr="00511335">
        <w:rPr>
          <w:sz w:val="24"/>
          <w:szCs w:val="24"/>
        </w:rPr>
        <w:t xml:space="preserve">Rousseau, D.M., 1989. Psychological and implied contracts in organizations. </w:t>
      </w:r>
      <w:r w:rsidRPr="00511335">
        <w:rPr>
          <w:i/>
          <w:iCs/>
          <w:sz w:val="24"/>
          <w:szCs w:val="24"/>
        </w:rPr>
        <w:t>Employee responsibilities and rights journal</w:t>
      </w:r>
      <w:r w:rsidRPr="00511335">
        <w:rPr>
          <w:sz w:val="24"/>
          <w:szCs w:val="24"/>
        </w:rPr>
        <w:t xml:space="preserve">, </w:t>
      </w:r>
      <w:r w:rsidRPr="00511335">
        <w:rPr>
          <w:i/>
          <w:iCs/>
          <w:sz w:val="24"/>
          <w:szCs w:val="24"/>
        </w:rPr>
        <w:t>2</w:t>
      </w:r>
      <w:r w:rsidRPr="00511335">
        <w:rPr>
          <w:sz w:val="24"/>
          <w:szCs w:val="24"/>
        </w:rPr>
        <w:t xml:space="preserve">(2), pp.121-139. </w:t>
      </w:r>
      <w:hyperlink r:id="rId31" w:history="1">
        <w:r w:rsidRPr="00511335">
          <w:rPr>
            <w:rStyle w:val="Hyperlink"/>
            <w:sz w:val="24"/>
            <w:szCs w:val="24"/>
          </w:rPr>
          <w:t>https://link.springer.com/article/10.1007/BF01384942</w:t>
        </w:r>
      </w:hyperlink>
      <w:r w:rsidRPr="00511335">
        <w:rPr>
          <w:sz w:val="24"/>
          <w:szCs w:val="24"/>
        </w:rPr>
        <w:t> </w:t>
      </w:r>
    </w:p>
    <w:p w14:paraId="5D242A9C" w14:textId="77777777" w:rsidR="00511335" w:rsidRPr="00511335" w:rsidRDefault="00511335" w:rsidP="00511335">
      <w:pPr>
        <w:spacing w:line="360" w:lineRule="auto"/>
        <w:jc w:val="both"/>
        <w:rPr>
          <w:sz w:val="24"/>
          <w:szCs w:val="24"/>
        </w:rPr>
      </w:pPr>
      <w:r w:rsidRPr="00511335">
        <w:rPr>
          <w:sz w:val="24"/>
          <w:szCs w:val="24"/>
        </w:rPr>
        <w:t xml:space="preserve">Tambe, P., Cappelli, P. and Yakubovich, V., 2019. Artificial intelligence in human resources management: Challenges and a path forward. </w:t>
      </w:r>
      <w:r w:rsidRPr="00511335">
        <w:rPr>
          <w:i/>
          <w:iCs/>
          <w:sz w:val="24"/>
          <w:szCs w:val="24"/>
        </w:rPr>
        <w:t>California management review</w:t>
      </w:r>
      <w:r w:rsidRPr="00511335">
        <w:rPr>
          <w:sz w:val="24"/>
          <w:szCs w:val="24"/>
        </w:rPr>
        <w:t xml:space="preserve">, </w:t>
      </w:r>
      <w:r w:rsidRPr="00511335">
        <w:rPr>
          <w:i/>
          <w:iCs/>
          <w:sz w:val="24"/>
          <w:szCs w:val="24"/>
        </w:rPr>
        <w:t>61</w:t>
      </w:r>
      <w:r w:rsidRPr="00511335">
        <w:rPr>
          <w:sz w:val="24"/>
          <w:szCs w:val="24"/>
        </w:rPr>
        <w:t xml:space="preserve">(4), pp.15-42. </w:t>
      </w:r>
      <w:hyperlink r:id="rId32" w:history="1">
        <w:r w:rsidRPr="00511335">
          <w:rPr>
            <w:rStyle w:val="Hyperlink"/>
            <w:sz w:val="24"/>
            <w:szCs w:val="24"/>
          </w:rPr>
          <w:t>https://journals.sagepub.com/doi/abs/10.1177/0008125619867910</w:t>
        </w:r>
      </w:hyperlink>
      <w:r w:rsidRPr="00511335">
        <w:rPr>
          <w:sz w:val="24"/>
          <w:szCs w:val="24"/>
        </w:rPr>
        <w:t> </w:t>
      </w:r>
    </w:p>
    <w:p w14:paraId="4F837C6F" w14:textId="77777777" w:rsidR="00511335" w:rsidRPr="00511335" w:rsidRDefault="00511335" w:rsidP="00511335">
      <w:pPr>
        <w:spacing w:line="360" w:lineRule="auto"/>
        <w:jc w:val="both"/>
        <w:rPr>
          <w:sz w:val="24"/>
          <w:szCs w:val="24"/>
        </w:rPr>
      </w:pPr>
      <w:r w:rsidRPr="00511335">
        <w:rPr>
          <w:sz w:val="24"/>
          <w:szCs w:val="24"/>
        </w:rPr>
        <w:t xml:space="preserve">Tims, M., Derks, D. and Bakker, A.B., 2016. Job crafting and its relationships with person–job fit and meaningfulness: A three-wave study. </w:t>
      </w:r>
      <w:r w:rsidRPr="00511335">
        <w:rPr>
          <w:i/>
          <w:iCs/>
          <w:sz w:val="24"/>
          <w:szCs w:val="24"/>
        </w:rPr>
        <w:t>Journal of vocational behavior</w:t>
      </w:r>
      <w:r w:rsidRPr="00511335">
        <w:rPr>
          <w:sz w:val="24"/>
          <w:szCs w:val="24"/>
        </w:rPr>
        <w:t xml:space="preserve">, </w:t>
      </w:r>
      <w:r w:rsidRPr="00511335">
        <w:rPr>
          <w:i/>
          <w:iCs/>
          <w:sz w:val="24"/>
          <w:szCs w:val="24"/>
        </w:rPr>
        <w:t>92</w:t>
      </w:r>
      <w:r w:rsidRPr="00511335">
        <w:rPr>
          <w:sz w:val="24"/>
          <w:szCs w:val="24"/>
        </w:rPr>
        <w:t xml:space="preserve">, pp.44-53. </w:t>
      </w:r>
      <w:hyperlink r:id="rId33" w:history="1">
        <w:r w:rsidRPr="00511335">
          <w:rPr>
            <w:rStyle w:val="Hyperlink"/>
            <w:sz w:val="24"/>
            <w:szCs w:val="24"/>
          </w:rPr>
          <w:t>https://www.sciencedirect.com/science/article/pii/S0001879115300129</w:t>
        </w:r>
      </w:hyperlink>
      <w:r w:rsidRPr="00511335">
        <w:rPr>
          <w:sz w:val="24"/>
          <w:szCs w:val="24"/>
        </w:rPr>
        <w:t> </w:t>
      </w:r>
    </w:p>
    <w:p w14:paraId="02499F65" w14:textId="77777777" w:rsidR="00511335" w:rsidRPr="00511335" w:rsidRDefault="00511335" w:rsidP="00511335">
      <w:pPr>
        <w:spacing w:line="360" w:lineRule="auto"/>
        <w:jc w:val="both"/>
        <w:rPr>
          <w:sz w:val="24"/>
          <w:szCs w:val="24"/>
          <w:lang w:val="de-DE"/>
        </w:rPr>
      </w:pPr>
      <w:r w:rsidRPr="00511335">
        <w:rPr>
          <w:sz w:val="24"/>
          <w:szCs w:val="24"/>
        </w:rPr>
        <w:t xml:space="preserve">Ulrich, D. and Dulebohn, J.H., 2015. Are we there yet? What's next for HR?. </w:t>
      </w:r>
      <w:r w:rsidRPr="00511335">
        <w:rPr>
          <w:i/>
          <w:iCs/>
          <w:sz w:val="24"/>
          <w:szCs w:val="24"/>
        </w:rPr>
        <w:t>Human resource management review</w:t>
      </w:r>
      <w:r w:rsidRPr="00511335">
        <w:rPr>
          <w:sz w:val="24"/>
          <w:szCs w:val="24"/>
        </w:rPr>
        <w:t xml:space="preserve">, </w:t>
      </w:r>
      <w:r w:rsidRPr="00511335">
        <w:rPr>
          <w:i/>
          <w:iCs/>
          <w:sz w:val="24"/>
          <w:szCs w:val="24"/>
        </w:rPr>
        <w:t>25</w:t>
      </w:r>
      <w:r w:rsidRPr="00511335">
        <w:rPr>
          <w:sz w:val="24"/>
          <w:szCs w:val="24"/>
        </w:rPr>
        <w:t xml:space="preserve">(2), pp.188-204. </w:t>
      </w:r>
      <w:hyperlink r:id="rId34" w:history="1">
        <w:r w:rsidRPr="00511335">
          <w:rPr>
            <w:rStyle w:val="Hyperlink"/>
            <w:sz w:val="24"/>
            <w:szCs w:val="24"/>
            <w:lang w:val="de-DE"/>
          </w:rPr>
          <w:t>https://www.sciencedirect.com/science/article/pii/S1053482215000054</w:t>
        </w:r>
      </w:hyperlink>
      <w:r w:rsidRPr="00511335">
        <w:rPr>
          <w:sz w:val="24"/>
          <w:szCs w:val="24"/>
          <w:lang w:val="de-DE"/>
        </w:rPr>
        <w:t> </w:t>
      </w:r>
    </w:p>
    <w:p w14:paraId="5D749CD6" w14:textId="77777777" w:rsidR="00511335" w:rsidRPr="00511335" w:rsidRDefault="00511335" w:rsidP="00511335">
      <w:pPr>
        <w:spacing w:line="360" w:lineRule="auto"/>
        <w:jc w:val="both"/>
        <w:rPr>
          <w:sz w:val="24"/>
          <w:szCs w:val="24"/>
        </w:rPr>
      </w:pPr>
      <w:r w:rsidRPr="00511335">
        <w:rPr>
          <w:sz w:val="24"/>
          <w:szCs w:val="24"/>
          <w:lang w:val="de-DE"/>
        </w:rPr>
        <w:t xml:space="preserve">Van Maanen, J.E. and Schein, E.H., 1977. </w:t>
      </w:r>
      <w:r w:rsidRPr="00511335">
        <w:rPr>
          <w:sz w:val="24"/>
          <w:szCs w:val="24"/>
        </w:rPr>
        <w:t xml:space="preserve">Toward a theory of organizational socialization. </w:t>
      </w:r>
      <w:hyperlink r:id="rId35" w:history="1">
        <w:r w:rsidRPr="00511335">
          <w:rPr>
            <w:rStyle w:val="Hyperlink"/>
            <w:sz w:val="24"/>
            <w:szCs w:val="24"/>
          </w:rPr>
          <w:t>https://dspace.mit.edu/bitstream/handle/1721.1/1934/?sequence=1</w:t>
        </w:r>
      </w:hyperlink>
      <w:r w:rsidRPr="00511335">
        <w:rPr>
          <w:sz w:val="24"/>
          <w:szCs w:val="24"/>
        </w:rPr>
        <w:t> </w:t>
      </w:r>
    </w:p>
    <w:p w14:paraId="5DB1B1F5" w14:textId="77777777" w:rsidR="00511335" w:rsidRPr="00511335" w:rsidRDefault="00511335" w:rsidP="00511335">
      <w:pPr>
        <w:spacing w:line="360" w:lineRule="auto"/>
        <w:jc w:val="both"/>
        <w:rPr>
          <w:sz w:val="24"/>
          <w:szCs w:val="24"/>
        </w:rPr>
      </w:pPr>
      <w:r w:rsidRPr="00511335">
        <w:rPr>
          <w:sz w:val="24"/>
          <w:szCs w:val="24"/>
        </w:rPr>
        <w:t xml:space="preserve">Whittlestone, J., Nyrup, R., Alexandrova, A. and Cave, S., 2019, January. The role and limits of principles in AI ethics: Towards a focus on tensions. In </w:t>
      </w:r>
      <w:r w:rsidRPr="00511335">
        <w:rPr>
          <w:i/>
          <w:iCs/>
          <w:sz w:val="24"/>
          <w:szCs w:val="24"/>
        </w:rPr>
        <w:t>Proceedings of the 2019 AAAI/ACM Conference on AI, Ethics, and Society</w:t>
      </w:r>
      <w:r w:rsidRPr="00511335">
        <w:rPr>
          <w:sz w:val="24"/>
          <w:szCs w:val="24"/>
        </w:rPr>
        <w:t xml:space="preserve"> (pp. 195-200). </w:t>
      </w:r>
      <w:hyperlink r:id="rId36" w:history="1">
        <w:r w:rsidRPr="00511335">
          <w:rPr>
            <w:rStyle w:val="Hyperlink"/>
            <w:sz w:val="24"/>
            <w:szCs w:val="24"/>
          </w:rPr>
          <w:t>https://dl.acm.org/doi/abs/10.1145/3306618.3314289</w:t>
        </w:r>
      </w:hyperlink>
      <w:r w:rsidRPr="00511335">
        <w:rPr>
          <w:sz w:val="24"/>
          <w:szCs w:val="24"/>
        </w:rPr>
        <w:t> </w:t>
      </w:r>
    </w:p>
    <w:p w14:paraId="0504EA49" w14:textId="77777777" w:rsidR="00511335" w:rsidRPr="00511335" w:rsidRDefault="00511335" w:rsidP="00511335">
      <w:pPr>
        <w:spacing w:line="360" w:lineRule="auto"/>
        <w:jc w:val="both"/>
        <w:rPr>
          <w:sz w:val="24"/>
          <w:szCs w:val="24"/>
        </w:rPr>
      </w:pPr>
      <w:r w:rsidRPr="00511335">
        <w:rPr>
          <w:sz w:val="24"/>
          <w:szCs w:val="24"/>
        </w:rPr>
        <w:t xml:space="preserve">Wrzesniewski, A., LoBuglio, N., Dutton, J.E. and Berg, J.M., 2013. Job crafting and cultivating positive meaning and identity in work. </w:t>
      </w:r>
      <w:hyperlink r:id="rId37" w:history="1">
        <w:r w:rsidRPr="00511335">
          <w:rPr>
            <w:rStyle w:val="Hyperlink"/>
            <w:sz w:val="24"/>
            <w:szCs w:val="24"/>
          </w:rPr>
          <w:t>https://www.emerald.com/books/edited-volume/15962/chapter/87623796</w:t>
        </w:r>
      </w:hyperlink>
      <w:r w:rsidRPr="00511335">
        <w:rPr>
          <w:sz w:val="24"/>
          <w:szCs w:val="24"/>
        </w:rPr>
        <w:t xml:space="preserve"> </w:t>
      </w:r>
    </w:p>
    <w:sectPr w:rsidR="00511335" w:rsidRPr="00511335" w:rsidSect="00511335">
      <w:footerReference w:type="default" r:id="rId3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A9CAE" w14:textId="77777777" w:rsidR="00FF5BF7" w:rsidRDefault="00FF5BF7" w:rsidP="00511335">
      <w:r>
        <w:separator/>
      </w:r>
    </w:p>
  </w:endnote>
  <w:endnote w:type="continuationSeparator" w:id="0">
    <w:p w14:paraId="22FD0023" w14:textId="77777777" w:rsidR="00FF5BF7" w:rsidRDefault="00FF5BF7" w:rsidP="00511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4E7F5E08-D8AD-48A2-9A1E-2D332C617E4D}"/>
  </w:font>
  <w:font w:name="Calibri">
    <w:panose1 w:val="020F0502020204030204"/>
    <w:charset w:val="00"/>
    <w:family w:val="swiss"/>
    <w:pitch w:val="variable"/>
    <w:sig w:usb0="E4002EFF" w:usb1="C200247B" w:usb2="00000009" w:usb3="00000000" w:csb0="000001FF" w:csb1="00000000"/>
    <w:embedRegular r:id="rId2" w:fontKey="{5F301C4A-176D-4392-8F5B-98193CF8585F}"/>
    <w:embedBold r:id="rId3" w:fontKey="{E606E9C2-4759-4D9D-BCA8-6C0ACF4F5BF7}"/>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ungsuh">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embedRegular r:id="rId4" w:fontKey="{3BEC2A39-2D55-456B-A2D1-0841BB06EDC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485900"/>
      <w:docPartObj>
        <w:docPartGallery w:val="Page Numbers (Bottom of Page)"/>
        <w:docPartUnique/>
      </w:docPartObj>
    </w:sdtPr>
    <w:sdtEndPr>
      <w:rPr>
        <w:noProof/>
      </w:rPr>
    </w:sdtEndPr>
    <w:sdtContent>
      <w:p w14:paraId="089CAA46" w14:textId="286A46FF" w:rsidR="00511335" w:rsidRDefault="005113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12657F" w14:textId="77777777" w:rsidR="00511335" w:rsidRDefault="00511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AFFA3" w14:textId="77777777" w:rsidR="00FF5BF7" w:rsidRDefault="00FF5BF7" w:rsidP="00511335">
      <w:r>
        <w:separator/>
      </w:r>
    </w:p>
  </w:footnote>
  <w:footnote w:type="continuationSeparator" w:id="0">
    <w:p w14:paraId="22DAC352" w14:textId="77777777" w:rsidR="00FF5BF7" w:rsidRDefault="00FF5BF7" w:rsidP="005113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6FB"/>
    <w:rsid w:val="002D26FB"/>
    <w:rsid w:val="003778D4"/>
    <w:rsid w:val="003D1D70"/>
    <w:rsid w:val="00441D16"/>
    <w:rsid w:val="00494598"/>
    <w:rsid w:val="00511335"/>
    <w:rsid w:val="00A937B0"/>
    <w:rsid w:val="00D64832"/>
    <w:rsid w:val="00D74550"/>
    <w:rsid w:val="00F5459D"/>
    <w:rsid w:val="00F767AB"/>
    <w:rsid w:val="00F8281D"/>
    <w:rsid w:val="00FF5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6BCD5"/>
  <w15:docId w15:val="{A285472A-D452-4A71-93B3-5C349D8C2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511335"/>
    <w:pPr>
      <w:pBdr>
        <w:top w:val="nil"/>
        <w:left w:val="nil"/>
        <w:bottom w:val="nil"/>
        <w:right w:val="nil"/>
        <w:between w:val="nil"/>
      </w:pBdr>
      <w:spacing w:line="360" w:lineRule="auto"/>
      <w:jc w:val="both"/>
      <w:outlineLvl w:val="0"/>
    </w:pPr>
    <w:rPr>
      <w:b/>
      <w:sz w:val="24"/>
      <w:szCs w:val="32"/>
    </w:rPr>
  </w:style>
  <w:style w:type="paragraph" w:styleId="Heading2">
    <w:name w:val="heading 2"/>
    <w:basedOn w:val="Normal"/>
    <w:next w:val="Normal"/>
    <w:autoRedefine/>
    <w:uiPriority w:val="9"/>
    <w:unhideWhenUsed/>
    <w:qFormat/>
    <w:rsid w:val="00511335"/>
    <w:pPr>
      <w:pBdr>
        <w:top w:val="nil"/>
        <w:left w:val="nil"/>
        <w:bottom w:val="nil"/>
        <w:right w:val="nil"/>
        <w:between w:val="nil"/>
      </w:pBdr>
      <w:spacing w:line="360" w:lineRule="auto"/>
      <w:jc w:val="both"/>
      <w:outlineLvl w:val="1"/>
    </w:pPr>
    <w:rPr>
      <w:b/>
      <w:sz w:val="24"/>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TOCHeading">
    <w:name w:val="TOC Heading"/>
    <w:basedOn w:val="Heading1"/>
    <w:next w:val="Normal"/>
    <w:uiPriority w:val="39"/>
    <w:unhideWhenUsed/>
    <w:qFormat/>
    <w:rsid w:val="00511335"/>
    <w:pPr>
      <w:keepNext/>
      <w:keepLines/>
      <w:pBdr>
        <w:top w:val="none" w:sz="0" w:space="0" w:color="auto"/>
        <w:left w:val="none" w:sz="0" w:space="0" w:color="auto"/>
        <w:bottom w:val="none" w:sz="0" w:space="0" w:color="auto"/>
        <w:right w:val="none" w:sz="0" w:space="0" w:color="auto"/>
        <w:between w:val="none" w:sz="0" w:space="0" w:color="auto"/>
      </w:pBdr>
      <w:spacing w:before="240" w:line="259" w:lineRule="auto"/>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511335"/>
    <w:pPr>
      <w:spacing w:after="100"/>
    </w:pPr>
  </w:style>
  <w:style w:type="paragraph" w:styleId="TOC2">
    <w:name w:val="toc 2"/>
    <w:basedOn w:val="Normal"/>
    <w:next w:val="Normal"/>
    <w:autoRedefine/>
    <w:uiPriority w:val="39"/>
    <w:unhideWhenUsed/>
    <w:rsid w:val="00511335"/>
    <w:pPr>
      <w:spacing w:after="100"/>
      <w:ind w:left="200"/>
    </w:pPr>
  </w:style>
  <w:style w:type="character" w:styleId="Hyperlink">
    <w:name w:val="Hyperlink"/>
    <w:basedOn w:val="DefaultParagraphFont"/>
    <w:uiPriority w:val="99"/>
    <w:unhideWhenUsed/>
    <w:rsid w:val="00511335"/>
    <w:rPr>
      <w:color w:val="0000FF" w:themeColor="hyperlink"/>
      <w:u w:val="single"/>
    </w:rPr>
  </w:style>
  <w:style w:type="paragraph" w:styleId="Header">
    <w:name w:val="header"/>
    <w:basedOn w:val="Normal"/>
    <w:link w:val="HeaderChar"/>
    <w:uiPriority w:val="99"/>
    <w:unhideWhenUsed/>
    <w:rsid w:val="00511335"/>
    <w:pPr>
      <w:tabs>
        <w:tab w:val="center" w:pos="4680"/>
        <w:tab w:val="right" w:pos="9360"/>
      </w:tabs>
    </w:pPr>
  </w:style>
  <w:style w:type="character" w:customStyle="1" w:styleId="HeaderChar">
    <w:name w:val="Header Char"/>
    <w:basedOn w:val="DefaultParagraphFont"/>
    <w:link w:val="Header"/>
    <w:uiPriority w:val="99"/>
    <w:rsid w:val="00511335"/>
  </w:style>
  <w:style w:type="paragraph" w:styleId="Footer">
    <w:name w:val="footer"/>
    <w:basedOn w:val="Normal"/>
    <w:link w:val="FooterChar"/>
    <w:uiPriority w:val="99"/>
    <w:unhideWhenUsed/>
    <w:rsid w:val="00511335"/>
    <w:pPr>
      <w:tabs>
        <w:tab w:val="center" w:pos="4680"/>
        <w:tab w:val="right" w:pos="9360"/>
      </w:tabs>
    </w:pPr>
  </w:style>
  <w:style w:type="character" w:customStyle="1" w:styleId="FooterChar">
    <w:name w:val="Footer Char"/>
    <w:basedOn w:val="DefaultParagraphFont"/>
    <w:link w:val="Footer"/>
    <w:uiPriority w:val="99"/>
    <w:rsid w:val="00511335"/>
  </w:style>
  <w:style w:type="character" w:styleId="UnresolvedMention">
    <w:name w:val="Unresolved Mention"/>
    <w:basedOn w:val="DefaultParagraphFont"/>
    <w:uiPriority w:val="99"/>
    <w:semiHidden/>
    <w:unhideWhenUsed/>
    <w:rsid w:val="005113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480668">
      <w:bodyDiv w:val="1"/>
      <w:marLeft w:val="0"/>
      <w:marRight w:val="0"/>
      <w:marTop w:val="0"/>
      <w:marBottom w:val="0"/>
      <w:divBdr>
        <w:top w:val="none" w:sz="0" w:space="0" w:color="auto"/>
        <w:left w:val="none" w:sz="0" w:space="0" w:color="auto"/>
        <w:bottom w:val="none" w:sz="0" w:space="0" w:color="auto"/>
        <w:right w:val="none" w:sz="0" w:space="0" w:color="auto"/>
      </w:divBdr>
    </w:div>
    <w:div w:id="17550856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journals.aom.org/doi/abs/10.5465/amr.1989.4278999" TargetMode="External"/><Relationship Id="rId18" Type="http://schemas.openxmlformats.org/officeDocument/2006/relationships/hyperlink" Target="https://www.annualreviews.org/content/journals/10.1146/annurev-orgpsych-032516-113108" TargetMode="External"/><Relationship Id="rId26" Type="http://schemas.openxmlformats.org/officeDocument/2006/relationships/hyperlink" Target="https://www.tandfonline.com/doi/abs/10.1080/1359432X.2018.1527767" TargetMode="External"/><Relationship Id="rId39" Type="http://schemas.openxmlformats.org/officeDocument/2006/relationships/fontTable" Target="fontTable.xml"/><Relationship Id="rId21" Type="http://schemas.openxmlformats.org/officeDocument/2006/relationships/hyperlink" Target="https://journals.sagepub.com/doi/abs/10.1177/0007650318773750" TargetMode="External"/><Relationship Id="rId34" Type="http://schemas.openxmlformats.org/officeDocument/2006/relationships/hyperlink" Target="https://www.sciencedirect.com/science/article/pii/S1053482215000054" TargetMode="External"/><Relationship Id="rId7" Type="http://schemas.openxmlformats.org/officeDocument/2006/relationships/endnotes" Target="endnotes.xml"/><Relationship Id="rId12" Type="http://schemas.openxmlformats.org/officeDocument/2006/relationships/hyperlink" Target="https://www.emerald.com/ejim/article/7/2/89/41962" TargetMode="External"/><Relationship Id="rId17" Type="http://schemas.openxmlformats.org/officeDocument/2006/relationships/hyperlink" Target="https://www.cipd.org/en/knowledge/factsheets/engagement-factsheet/" TargetMode="External"/><Relationship Id="rId25" Type="http://schemas.openxmlformats.org/officeDocument/2006/relationships/hyperlink" Target="https://books.google.com/books?hl=en&amp;lr=&amp;id=MrlwDwAAQBAJ&amp;oi=fnd&amp;pg=PP1&amp;dq=Workforce+2030:+Managing+talent+in+an+age+of+AI+and+internal+marketplaces.+London:+Kogan+Page.&amp;ots=Q_PSy7cfh3&amp;sig=mJSmPU8-qQqGE4dNlpaVhgJZYQ4" TargetMode="External"/><Relationship Id="rId33" Type="http://schemas.openxmlformats.org/officeDocument/2006/relationships/hyperlink" Target="https://www.sciencedirect.com/science/article/pii/S0001879115300129"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journals.aom.org/doi/abs/10.5465/AMBPP.2012.15051abstract" TargetMode="External"/><Relationship Id="rId20" Type="http://schemas.openxmlformats.org/officeDocument/2006/relationships/hyperlink" Target="https://books.google.com/books?hl=en&amp;lr=&amp;id=aZZxDwAAQBAJ&amp;oi=fnd&amp;pg=PR13&amp;dq=Edmondson,+A.C.+(2023)+The+fearless+organisation:+Creating+psychological+safety+in+the+workplace+for+learning,+innovation+and+growth.+2nd+ed.+New+York:+Wiley.&amp;ots=AlaK494idJ&amp;sig=2oUGEKudmpdx5D5sUCeNNYp5B-o" TargetMode="External"/><Relationship Id="rId29" Type="http://schemas.openxmlformats.org/officeDocument/2006/relationships/hyperlink" Target="https://psycnet.apa.org/fulltext/1993-31588-00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merald.com/ejtd/article/31/3/166/215031" TargetMode="External"/><Relationship Id="rId32" Type="http://schemas.openxmlformats.org/officeDocument/2006/relationships/hyperlink" Target="https://journals.sagepub.com/doi/abs/10.1177/0008125619867910" TargetMode="External"/><Relationship Id="rId37" Type="http://schemas.openxmlformats.org/officeDocument/2006/relationships/hyperlink" Target="https://www.emerald.com/books/edited-volume/15962/chapter/87623796"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sycnet.apa.org/fulltext/2007-06438-009.html" TargetMode="External"/><Relationship Id="rId23" Type="http://schemas.openxmlformats.org/officeDocument/2006/relationships/hyperlink" Target="https://www.ibm.com/solutions/ai-agents?utm_content=SRCWW&amp;p1=Search&amp;p4=957696076757&amp;p5=p&amp;p9=181410761691&amp;gclsrc=aw.ds&amp;gad_source=1&amp;gad_campaignid=22297710955&amp;gbraid=0AAAAAD-_QsTf6gxb-srjjQ2wqHdfpEIaB&amp;gclid=Cj0KCQjwguLSBhDLARIsAH-yPrFgG-bb4TuD47JQloeqK97pYtDU87at0nw1gjBjrGsXDFRjdcjwWpgaAgvEEALw_wcB" TargetMode="External"/><Relationship Id="rId28" Type="http://schemas.openxmlformats.org/officeDocument/2006/relationships/hyperlink" Target="https://www.mckinsey.com/capabilities/tech-and-ai/our-insights/tech-forward/closing-the-tech-talent-gap-adopting-the-right-mindset" TargetMode="External"/><Relationship Id="rId36" Type="http://schemas.openxmlformats.org/officeDocument/2006/relationships/hyperlink" Target="https://dl.acm.org/doi/abs/10.1145/3306618.3314289" TargetMode="External"/><Relationship Id="rId10" Type="http://schemas.openxmlformats.org/officeDocument/2006/relationships/image" Target="media/image3.png"/><Relationship Id="rId19" Type="http://schemas.openxmlformats.org/officeDocument/2006/relationships/hyperlink" Target="https://www.deloitte.com/ua/en/about/press-room/human-capital-trends.html" TargetMode="External"/><Relationship Id="rId31" Type="http://schemas.openxmlformats.org/officeDocument/2006/relationships/hyperlink" Target="https://link.springer.com/article/10.1007/BF0138494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sycnet.apa.org/record/2010-06019-002?doi=1" TargetMode="External"/><Relationship Id="rId22" Type="http://schemas.openxmlformats.org/officeDocument/2006/relationships/hyperlink" Target="https://journals.aom.org/doi/abs/10.5465/19416520903047327" TargetMode="External"/><Relationship Id="rId27" Type="http://schemas.openxmlformats.org/officeDocument/2006/relationships/hyperlink" Target="https://delivery-p143253-e1476319.adobeaemcloud.com/adobe/assets/urn:aaid:aem:4b1cb4da-9126-4583-8916-b2525f5411ef/original/as/original.pdf" TargetMode="External"/><Relationship Id="rId30" Type="http://schemas.openxmlformats.org/officeDocument/2006/relationships/hyperlink" Target="https://onlinelibrary.wiley.com/doi/abs/10.1002/job.678" TargetMode="External"/><Relationship Id="rId35" Type="http://schemas.openxmlformats.org/officeDocument/2006/relationships/hyperlink" Target="https://dspace.mit.edu/bitstream/handle/1721.1/1934/?sequence=1"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0erg2HXeHaV7elQkCkq5A67Y9A==">CgMxLjAaFAoBMBIPCg0IB0IJEgdHdW5nc3VoMg5oLjR5bjR4ejJ4b3lieDIOaC5nYnR4aHJpZ216OW4yDmguYWhtYXVjanp6cDd0Mg5oLnA5MTR0aHFmMWdzYjIOaC55MWpoZm1yYThwZHEyDmguazZsdW5jZGU1cHppMg5oLjR5Nzg0Y3dyZ3UzcjIOaC4xdmo4cjdjcDhpMWMyDmgud2p5MXpvemZvZ2MxOAByITExX0ZZamc2MGxXdnlHWXpBR3VlaU8yd2YxWkFTcVhGW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546095-DE81-4CB8-BEB1-FB88F9C44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4299</Words>
  <Characters>24505</Characters>
  <Application>Microsoft Office Word</Application>
  <DocSecurity>0</DocSecurity>
  <Lines>204</Lines>
  <Paragraphs>57</Paragraphs>
  <ScaleCrop>false</ScaleCrop>
  <Company/>
  <LinksUpToDate>false</LinksUpToDate>
  <CharactersWithSpaces>28747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Harshil Ghanshyambhai Beladiya (2543506)</cp:lastModifiedBy>
  <cp:revision>4</cp:revision>
  <dcterms:created xsi:type="dcterms:W3CDTF">2026-07-17T05:38:00Z</dcterms:created>
  <dcterms:modified xsi:type="dcterms:W3CDTF">2026-07-17T08:51:00Z</dcterms:modified>
</cp:coreProperties>
</file>