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8A3AE" w14:textId="77777777" w:rsidR="007926D5" w:rsidRPr="007A673A" w:rsidRDefault="007926D5" w:rsidP="00060596">
      <w:pPr>
        <w:spacing w:line="360" w:lineRule="auto"/>
        <w:rPr>
          <w:rFonts w:ascii="Times New Roman" w:hAnsi="Times New Roman" w:cs="Times New Roman"/>
          <w:b/>
          <w:bCs/>
          <w:sz w:val="24"/>
        </w:rPr>
      </w:pPr>
      <w:r w:rsidRPr="007A673A">
        <w:rPr>
          <w:rFonts w:ascii="Times New Roman" w:hAnsi="Times New Roman" w:cs="Times New Roman"/>
          <w:b/>
          <w:bCs/>
          <w:sz w:val="40"/>
          <w:szCs w:val="40"/>
        </w:rPr>
        <w:t>Exploring the mechanism behind stakeholders’ perceptions of circular economy practices in Chinese textile SMEs</w:t>
      </w:r>
    </w:p>
    <w:p w14:paraId="6A8C29D1" w14:textId="77777777" w:rsidR="007926D5" w:rsidRPr="007A673A" w:rsidRDefault="007926D5" w:rsidP="00060596">
      <w:pPr>
        <w:spacing w:line="360" w:lineRule="auto"/>
        <w:rPr>
          <w:rFonts w:ascii="Times New Roman" w:hAnsi="Times New Roman" w:cs="Times New Roman"/>
          <w:b/>
          <w:bCs/>
          <w:sz w:val="24"/>
        </w:rPr>
      </w:pPr>
    </w:p>
    <w:p w14:paraId="3B0AE74B" w14:textId="77777777" w:rsidR="007926D5" w:rsidRPr="007A673A" w:rsidRDefault="007926D5" w:rsidP="00060596">
      <w:pPr>
        <w:spacing w:line="360" w:lineRule="auto"/>
        <w:rPr>
          <w:rFonts w:ascii="Times New Roman" w:hAnsi="Times New Roman" w:cs="Times New Roman"/>
          <w:b/>
          <w:bCs/>
          <w:sz w:val="24"/>
        </w:rPr>
      </w:pPr>
    </w:p>
    <w:p w14:paraId="107C836D" w14:textId="77777777" w:rsidR="007926D5" w:rsidRPr="007A673A" w:rsidRDefault="007926D5" w:rsidP="00060596">
      <w:pPr>
        <w:spacing w:line="360" w:lineRule="auto"/>
        <w:rPr>
          <w:rFonts w:ascii="Times New Roman" w:hAnsi="Times New Roman" w:cs="Times New Roman"/>
          <w:b/>
          <w:bCs/>
          <w:sz w:val="24"/>
        </w:rPr>
      </w:pPr>
    </w:p>
    <w:p w14:paraId="600CC355" w14:textId="77777777" w:rsidR="007926D5" w:rsidRPr="007A673A" w:rsidRDefault="007926D5" w:rsidP="00060596">
      <w:pPr>
        <w:spacing w:line="360" w:lineRule="auto"/>
        <w:rPr>
          <w:rFonts w:ascii="Times New Roman" w:hAnsi="Times New Roman" w:cs="Times New Roman"/>
          <w:b/>
          <w:bCs/>
          <w:sz w:val="24"/>
        </w:rPr>
      </w:pPr>
    </w:p>
    <w:p w14:paraId="128BBF54" w14:textId="77777777" w:rsidR="007926D5" w:rsidRPr="007A673A" w:rsidRDefault="007926D5" w:rsidP="00060596">
      <w:pPr>
        <w:spacing w:line="360" w:lineRule="auto"/>
        <w:rPr>
          <w:rFonts w:ascii="Times New Roman" w:hAnsi="Times New Roman" w:cs="Times New Roman"/>
          <w:b/>
          <w:bCs/>
          <w:sz w:val="24"/>
        </w:rPr>
      </w:pPr>
    </w:p>
    <w:p w14:paraId="73C8BD5A" w14:textId="77777777" w:rsidR="007926D5" w:rsidRPr="007A673A" w:rsidRDefault="007926D5" w:rsidP="00060596">
      <w:pPr>
        <w:spacing w:line="360" w:lineRule="auto"/>
        <w:rPr>
          <w:rFonts w:ascii="Times New Roman" w:hAnsi="Times New Roman" w:cs="Times New Roman"/>
          <w:b/>
          <w:bCs/>
          <w:sz w:val="24"/>
        </w:rPr>
      </w:pPr>
    </w:p>
    <w:p w14:paraId="00E2FFBD" w14:textId="77777777" w:rsidR="007926D5" w:rsidRPr="00315A58" w:rsidRDefault="007926D5" w:rsidP="00060596">
      <w:pPr>
        <w:spacing w:line="360" w:lineRule="auto"/>
        <w:rPr>
          <w:rFonts w:ascii="Times New Roman" w:hAnsi="Times New Roman" w:cs="Times New Roman"/>
          <w:b/>
          <w:bCs/>
          <w:sz w:val="32"/>
          <w:szCs w:val="32"/>
        </w:rPr>
      </w:pPr>
    </w:p>
    <w:p w14:paraId="1788CA57" w14:textId="77777777" w:rsidR="007926D5" w:rsidRPr="00315A58" w:rsidRDefault="007926D5" w:rsidP="00060596">
      <w:pPr>
        <w:spacing w:line="360" w:lineRule="auto"/>
        <w:rPr>
          <w:rFonts w:ascii="Times New Roman" w:hAnsi="Times New Roman" w:cs="Times New Roman"/>
          <w:b/>
          <w:bCs/>
          <w:sz w:val="32"/>
          <w:szCs w:val="32"/>
        </w:rPr>
      </w:pPr>
    </w:p>
    <w:p w14:paraId="0EE7649E" w14:textId="37F637C0" w:rsidR="007926D5" w:rsidRPr="00315A58" w:rsidRDefault="007926D5" w:rsidP="00060596">
      <w:pPr>
        <w:spacing w:line="360" w:lineRule="auto"/>
        <w:rPr>
          <w:rFonts w:ascii="Times New Roman" w:hAnsi="Times New Roman" w:cs="Times New Roman"/>
          <w:b/>
          <w:bCs/>
          <w:sz w:val="32"/>
          <w:szCs w:val="32"/>
        </w:rPr>
      </w:pPr>
      <w:r w:rsidRPr="00315A58">
        <w:rPr>
          <w:rFonts w:ascii="Times New Roman" w:hAnsi="Times New Roman" w:cs="Times New Roman"/>
          <w:b/>
          <w:bCs/>
          <w:sz w:val="32"/>
          <w:szCs w:val="32"/>
        </w:rPr>
        <w:t>By Guangzheng Wu</w:t>
      </w:r>
    </w:p>
    <w:p w14:paraId="5E0BB22D" w14:textId="77777777" w:rsidR="007926D5" w:rsidRPr="00315A58" w:rsidRDefault="007926D5" w:rsidP="00060596">
      <w:pPr>
        <w:spacing w:line="360" w:lineRule="auto"/>
        <w:rPr>
          <w:rFonts w:ascii="Times New Roman" w:hAnsi="Times New Roman" w:cs="Times New Roman"/>
          <w:b/>
          <w:bCs/>
          <w:sz w:val="32"/>
          <w:szCs w:val="32"/>
        </w:rPr>
      </w:pPr>
      <w:r w:rsidRPr="00315A58">
        <w:rPr>
          <w:rFonts w:ascii="Times New Roman" w:hAnsi="Times New Roman" w:cs="Times New Roman"/>
          <w:b/>
          <w:bCs/>
          <w:sz w:val="32"/>
          <w:szCs w:val="32"/>
        </w:rPr>
        <w:t>Student Number: 2501013</w:t>
      </w:r>
    </w:p>
    <w:p w14:paraId="01BF4BB5" w14:textId="77777777" w:rsidR="007926D5" w:rsidRPr="00315A58" w:rsidRDefault="007926D5" w:rsidP="00060596">
      <w:pPr>
        <w:spacing w:line="360" w:lineRule="auto"/>
        <w:rPr>
          <w:rFonts w:ascii="Times New Roman" w:hAnsi="Times New Roman" w:cs="Times New Roman"/>
          <w:b/>
          <w:bCs/>
          <w:sz w:val="32"/>
          <w:szCs w:val="32"/>
        </w:rPr>
      </w:pPr>
      <w:r w:rsidRPr="00315A58">
        <w:rPr>
          <w:rFonts w:ascii="Times New Roman" w:hAnsi="Times New Roman" w:cs="Times New Roman"/>
          <w:b/>
          <w:bCs/>
          <w:sz w:val="32"/>
          <w:szCs w:val="32"/>
        </w:rPr>
        <w:t xml:space="preserve">Module Name: Research Principles and Philosophy (LCDB7007) </w:t>
      </w:r>
    </w:p>
    <w:p w14:paraId="1E2D2E70" w14:textId="22C80CB0" w:rsidR="007926D5" w:rsidRPr="00315A58" w:rsidRDefault="007926D5" w:rsidP="00060596">
      <w:pPr>
        <w:spacing w:line="360" w:lineRule="auto"/>
        <w:rPr>
          <w:rFonts w:ascii="Times New Roman" w:hAnsi="Times New Roman" w:cs="Times New Roman"/>
          <w:b/>
          <w:bCs/>
          <w:sz w:val="32"/>
          <w:szCs w:val="32"/>
        </w:rPr>
      </w:pPr>
      <w:r w:rsidRPr="00315A58">
        <w:rPr>
          <w:rFonts w:ascii="Times New Roman" w:hAnsi="Times New Roman" w:cs="Times New Roman"/>
          <w:b/>
          <w:bCs/>
          <w:sz w:val="32"/>
          <w:szCs w:val="32"/>
        </w:rPr>
        <w:t>Professor’s Name: Caroline Jawad</w:t>
      </w:r>
    </w:p>
    <w:p w14:paraId="465B4DA9" w14:textId="5D1E8B06" w:rsidR="007926D5" w:rsidRPr="007A673A" w:rsidRDefault="007926D5" w:rsidP="00060596">
      <w:pPr>
        <w:spacing w:line="360" w:lineRule="auto"/>
        <w:rPr>
          <w:rFonts w:ascii="Times New Roman" w:hAnsi="Times New Roman" w:cs="Times New Roman"/>
          <w:b/>
          <w:bCs/>
          <w:sz w:val="24"/>
        </w:rPr>
      </w:pPr>
    </w:p>
    <w:p w14:paraId="37BF3778" w14:textId="77777777" w:rsidR="007926D5" w:rsidRPr="007A673A" w:rsidRDefault="007926D5" w:rsidP="00060596">
      <w:pPr>
        <w:spacing w:line="360" w:lineRule="auto"/>
        <w:rPr>
          <w:rFonts w:ascii="Times New Roman" w:hAnsi="Times New Roman" w:cs="Times New Roman"/>
          <w:b/>
          <w:bCs/>
          <w:sz w:val="24"/>
        </w:rPr>
      </w:pPr>
    </w:p>
    <w:p w14:paraId="45D968BC" w14:textId="77777777" w:rsidR="007926D5" w:rsidRPr="007A673A" w:rsidRDefault="007926D5" w:rsidP="00060596">
      <w:pPr>
        <w:spacing w:line="360" w:lineRule="auto"/>
        <w:rPr>
          <w:rFonts w:ascii="Times New Roman" w:hAnsi="Times New Roman" w:cs="Times New Roman"/>
          <w:b/>
          <w:bCs/>
          <w:sz w:val="24"/>
        </w:rPr>
      </w:pPr>
    </w:p>
    <w:p w14:paraId="3DBFBFB9" w14:textId="77777777" w:rsidR="007926D5" w:rsidRPr="007A673A" w:rsidRDefault="007926D5" w:rsidP="00060596">
      <w:pPr>
        <w:spacing w:line="360" w:lineRule="auto"/>
        <w:rPr>
          <w:rFonts w:ascii="Times New Roman" w:hAnsi="Times New Roman" w:cs="Times New Roman"/>
          <w:b/>
          <w:bCs/>
          <w:sz w:val="24"/>
        </w:rPr>
      </w:pPr>
    </w:p>
    <w:p w14:paraId="002B00D7" w14:textId="77777777" w:rsidR="007926D5" w:rsidRPr="00EF2D51" w:rsidRDefault="007926D5" w:rsidP="00060596">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lastRenderedPageBreak/>
        <w:t>Executive Summary</w:t>
      </w:r>
    </w:p>
    <w:p w14:paraId="0CCBE969" w14:textId="24FBC8ED"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Drawing on an initial literature review and preliminary research into the core research question, this report outlines key findings from the current phase of the study. Since the onset of the Anthropocene, the Industrial Revolution has spurred economic growth while also triggering severe environmental pollution—</w:t>
      </w:r>
      <w:r w:rsidR="00447E45" w:rsidRPr="00447E45">
        <w:rPr>
          <w:rFonts w:ascii="Times New Roman" w:hAnsi="Times New Roman" w:cs="Times New Roman"/>
          <w:sz w:val="24"/>
        </w:rPr>
        <w:t>a trend that has resulted in the establishment of the circular economy (CE) concept</w:t>
      </w:r>
      <w:r w:rsidRPr="007A673A">
        <w:rPr>
          <w:rFonts w:ascii="Times New Roman" w:hAnsi="Times New Roman" w:cs="Times New Roman"/>
          <w:sz w:val="24"/>
        </w:rPr>
        <w:t xml:space="preserve">, now adopted by governments including China. In China’s textile industry, small and medium-sized enterprises (SMEs) are the backbone. Characterized by high resource consumption and substantial waste output, this sector holds considerable potential for CE development. However, existing research on CE in the textile industry has </w:t>
      </w:r>
      <w:r w:rsidR="00447E45">
        <w:rPr>
          <w:rFonts w:ascii="Times New Roman" w:hAnsi="Times New Roman" w:cs="Times New Roman" w:hint="eastAsia"/>
          <w:sz w:val="24"/>
        </w:rPr>
        <w:t>o</w:t>
      </w:r>
      <w:r w:rsidR="00447E45" w:rsidRPr="00447E45">
        <w:rPr>
          <w:rFonts w:ascii="Times New Roman" w:hAnsi="Times New Roman" w:cs="Times New Roman"/>
          <w:sz w:val="24"/>
        </w:rPr>
        <w:t>bvious shortcomings</w:t>
      </w:r>
      <w:r w:rsidRPr="007A673A">
        <w:rPr>
          <w:rFonts w:ascii="Times New Roman" w:hAnsi="Times New Roman" w:cs="Times New Roman"/>
          <w:sz w:val="24"/>
        </w:rPr>
        <w:t>: most studies either focus on measurable barriers, macro-policy analysis, or center on Western industrial contexts, while overlooking the subjective experiences and cognitive processes of stakeholders of Chinese textile SMEs. This study aims to take an interpretivist lens and utilizes qualitative approaches to examine how stakeholders of Chinese textile SMEs understand CE, address practical barriers, and balance traditional business models with CE principles. The primary research goal is to address this research gap, offering theoretical insights and practical guidance for relevant stakeholders, and carries both theoretical and practical weight for CE research in China’s textile sector.</w:t>
      </w:r>
    </w:p>
    <w:p w14:paraId="05C6288E" w14:textId="77777777" w:rsidR="007926D5" w:rsidRPr="007A673A" w:rsidRDefault="007926D5" w:rsidP="00060596">
      <w:pPr>
        <w:spacing w:line="360" w:lineRule="auto"/>
        <w:rPr>
          <w:rFonts w:ascii="Times New Roman" w:hAnsi="Times New Roman" w:cs="Times New Roman"/>
          <w:b/>
          <w:bCs/>
          <w:sz w:val="24"/>
        </w:rPr>
      </w:pPr>
    </w:p>
    <w:p w14:paraId="1E0E956A" w14:textId="77777777" w:rsidR="007926D5" w:rsidRPr="00EF2D51" w:rsidRDefault="007926D5" w:rsidP="00060596">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1 Introduction</w:t>
      </w:r>
    </w:p>
    <w:p w14:paraId="3086B2D1"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This section briefly outlines the study’s core objectives, helping readers better grasp subsequent sections such as the theoretical framework, literature review, and research philosophy. It covers general background, a purpose statement (including aims and objectives), research questions, and the study’s significance. Key terms are also defined to avoid ambiguity in interpretation.</w:t>
      </w:r>
    </w:p>
    <w:p w14:paraId="3A86CE6C" w14:textId="77777777" w:rsidR="007926D5" w:rsidRPr="00EF2D51" w:rsidRDefault="007926D5" w:rsidP="00060596">
      <w:pPr>
        <w:spacing w:line="360" w:lineRule="auto"/>
        <w:rPr>
          <w:rFonts w:ascii="Times New Roman" w:hAnsi="Times New Roman" w:cs="Times New Roman"/>
          <w:b/>
          <w:bCs/>
          <w:i/>
          <w:iCs/>
          <w:sz w:val="28"/>
          <w:szCs w:val="28"/>
        </w:rPr>
      </w:pPr>
      <w:r w:rsidRPr="00EF2D51">
        <w:rPr>
          <w:rFonts w:ascii="Times New Roman" w:hAnsi="Times New Roman" w:cs="Times New Roman"/>
          <w:b/>
          <w:bCs/>
          <w:i/>
          <w:iCs/>
          <w:sz w:val="28"/>
          <w:szCs w:val="28"/>
        </w:rPr>
        <w:t>1.1 General Background</w:t>
      </w:r>
    </w:p>
    <w:p w14:paraId="60A9DE8C"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lastRenderedPageBreak/>
        <w:t>Since the Anthropocene, human activities have significantly outpaced natural changes. The Industrial Revolution has boosted economic growth but also led to severe pollution (Fischer et al., 2007). In this context, the concept of circular economy (CE) emerged from the idea of sustainable development, which aims to balance long-term economic growth with environmental protection. As a widely discussed development model, CE has been adopted by governments around the world, including Germany, Japan and China, providing a more sustainable way for production and consumption (Korhonen et al., 2018; Skawińska &amp; Zalewski, 2018).</w:t>
      </w:r>
    </w:p>
    <w:p w14:paraId="6FCB8E7A" w14:textId="464E4278"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As the largest textile producer and consumer of the world, China’s textile industry is in urgent need of CE transformation due to its high resource consumption, heavy waste generation and low recycling rate. Currently, only about 2% of waste textiles are recycled industrially, and just 1% achieve closed-loop recycling (</w:t>
      </w:r>
      <w:r w:rsidR="008261A1">
        <w:rPr>
          <w:rFonts w:ascii="Times New Roman" w:hAnsi="Times New Roman" w:cs="Times New Roman" w:hint="eastAsia"/>
          <w:sz w:val="24"/>
        </w:rPr>
        <w:t>Xinhua Net, 2025</w:t>
      </w:r>
      <w:r w:rsidRPr="007A673A">
        <w:rPr>
          <w:rFonts w:ascii="Times New Roman" w:hAnsi="Times New Roman" w:cs="Times New Roman"/>
          <w:sz w:val="24"/>
        </w:rPr>
        <w:t>). Importantly, small and medium-sized enterprises (SMEs) are the mainstay of this industry, accounting for most market entities, including many family-run workshops. Their adoption of CE is therefore crucial to the overall sustainable transformation of the industry (National Development and Reform Commission [NDRC], 2022; Yan, 2025). However, SMEs in this sector face multiple unique challenges in practicing CE, including insufficient funds, difficulty in accessing advanced recycling technologies (such as costly chemical separation of blended fibers), lack of access to policy information, and pressure from fluctuating raw material prices that reduce the competitiveness of recycled materials (IRE Journals, 2025; China Textile Industry Federation, 2025).</w:t>
      </w:r>
    </w:p>
    <w:p w14:paraId="6F25D48E" w14:textId="77777777" w:rsidR="007926D5" w:rsidRPr="007A673A" w:rsidRDefault="007926D5" w:rsidP="00060596">
      <w:pPr>
        <w:spacing w:line="360" w:lineRule="auto"/>
        <w:rPr>
          <w:rFonts w:ascii="Times New Roman" w:hAnsi="Times New Roman" w:cs="Times New Roman"/>
          <w:sz w:val="24"/>
        </w:rPr>
      </w:pPr>
    </w:p>
    <w:p w14:paraId="19583DB4"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 xml:space="preserve">Existing research on CE in the textile industry has obvious limitations. Most studies focus on quantifiable barriers of CE implementation (such as cost and technical challenges), policy analysis at macro level, and taking Western industrial sectors as the main research objects (e.g., Hartley et al., 2022; </w:t>
      </w:r>
      <w:proofErr w:type="spellStart"/>
      <w:r w:rsidRPr="007A673A">
        <w:rPr>
          <w:rFonts w:ascii="Times New Roman" w:hAnsi="Times New Roman" w:cs="Times New Roman"/>
          <w:sz w:val="24"/>
        </w:rPr>
        <w:t>Reike</w:t>
      </w:r>
      <w:proofErr w:type="spellEnd"/>
      <w:r w:rsidRPr="007A673A">
        <w:rPr>
          <w:rFonts w:ascii="Times New Roman" w:hAnsi="Times New Roman" w:cs="Times New Roman"/>
          <w:sz w:val="24"/>
        </w:rPr>
        <w:t xml:space="preserve"> et al., 2023). Few scholars have explored the subjective experiences and cognitive processes of stakeholders in Chinese textile SMEs, such as their confusion on CE concepts and doubts about the </w:t>
      </w:r>
      <w:r w:rsidRPr="007A673A">
        <w:rPr>
          <w:rFonts w:ascii="Times New Roman" w:hAnsi="Times New Roman" w:cs="Times New Roman"/>
          <w:sz w:val="24"/>
        </w:rPr>
        <w:lastRenderedPageBreak/>
        <w:t>value of CE implementation (Nath, 2025). This research gap points to an important need: to explore how stakeholders in SMEs of Chinese textile industry understand CE, deal with practical barriers, and integrate traditional business models with CE principles.</w:t>
      </w:r>
    </w:p>
    <w:p w14:paraId="6943EE71" w14:textId="77777777" w:rsidR="007926D5" w:rsidRPr="007A673A" w:rsidRDefault="007926D5" w:rsidP="00060596">
      <w:pPr>
        <w:spacing w:line="360" w:lineRule="auto"/>
        <w:rPr>
          <w:rFonts w:ascii="Times New Roman" w:hAnsi="Times New Roman" w:cs="Times New Roman"/>
          <w:sz w:val="24"/>
        </w:rPr>
      </w:pPr>
    </w:p>
    <w:p w14:paraId="6E1F4CE6"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During field research at a textile SME association in China, the interviews with management representatives from various textile enterprises revealed two main challenges, which are consistent with the overall industry situation. First, many interviewees were confused about the circular economy, with common questions such as whether this concept is just the same as traditional environmental protection measures (CTIF, 2025). Second, enterprises generally worried about practical barriers to CE implementation, including cost pressure, volatile market demand and difficulty in obtaining green financing. At the same time, some enterprises questioned the strategic necessity of adopting CE (NDRC, 2022; CTIF, 2025). The cognitive biases and practical difficulties show that existing research has largely ignored the subjective cognitive aspects and context-specific constraints of SME stakeholders. They also further confirm the necessity of this study focusing on China’s local context and micro-level operational logic.</w:t>
      </w:r>
    </w:p>
    <w:p w14:paraId="41D60A51" w14:textId="77777777" w:rsidR="007926D5" w:rsidRPr="007A673A" w:rsidRDefault="007926D5" w:rsidP="00060596">
      <w:pPr>
        <w:spacing w:line="360" w:lineRule="auto"/>
        <w:rPr>
          <w:rFonts w:ascii="Times New Roman" w:hAnsi="Times New Roman" w:cs="Times New Roman"/>
          <w:sz w:val="24"/>
        </w:rPr>
      </w:pPr>
    </w:p>
    <w:p w14:paraId="4B569B85" w14:textId="77777777" w:rsidR="007926D5" w:rsidRPr="00EF2D51" w:rsidRDefault="007926D5" w:rsidP="00060596">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1.2 Purpose Statement</w:t>
      </w:r>
    </w:p>
    <w:p w14:paraId="54990BD7" w14:textId="77777777"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1.2.1 Research Question</w:t>
      </w:r>
    </w:p>
    <w:p w14:paraId="0E681EBC"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The study centers on one core research question: How do stakeholders of Chinese textile SMEs experience and interpret circular economy practices?</w:t>
      </w:r>
    </w:p>
    <w:p w14:paraId="4B6FCDCA"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To address this central question, three sub-questions guide the research:</w:t>
      </w:r>
    </w:p>
    <w:p w14:paraId="1B36A0C4"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(1) How do stakeholders of Chinese textile SMEs develop their understanding of the CE concept within the textile industry context?</w:t>
      </w:r>
    </w:p>
    <w:p w14:paraId="19C245A3" w14:textId="2FCD37E9"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lastRenderedPageBreak/>
        <w:t xml:space="preserve">(2) </w:t>
      </w:r>
      <w:r w:rsidR="00447E45" w:rsidRPr="00447E45">
        <w:rPr>
          <w:rFonts w:ascii="Times New Roman" w:hAnsi="Times New Roman" w:cs="Times New Roman"/>
          <w:sz w:val="24"/>
        </w:rPr>
        <w:t>What are stakeholders' subjective perceptions of the obstacles encountered in the adoption of Circular Economy in Chinese textile SMEs?</w:t>
      </w:r>
    </w:p>
    <w:p w14:paraId="4CF64E2A"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(3) How do stakeholders of Chinese textile SMEs experience and resolve tensions between “traditional business priorities” and “CE principles” in daily operations?</w:t>
      </w:r>
    </w:p>
    <w:p w14:paraId="202173D5" w14:textId="77777777" w:rsidR="007926D5" w:rsidRPr="007A673A" w:rsidRDefault="007926D5" w:rsidP="00060596">
      <w:pPr>
        <w:spacing w:line="360" w:lineRule="auto"/>
        <w:rPr>
          <w:rFonts w:ascii="Times New Roman" w:hAnsi="Times New Roman" w:cs="Times New Roman"/>
          <w:b/>
          <w:bCs/>
          <w:sz w:val="24"/>
        </w:rPr>
      </w:pPr>
    </w:p>
    <w:p w14:paraId="3E656C4D" w14:textId="1719B443"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1.2.</w:t>
      </w:r>
      <w:r w:rsidR="00E77277">
        <w:rPr>
          <w:rFonts w:ascii="Times New Roman" w:hAnsi="Times New Roman" w:cs="Times New Roman" w:hint="eastAsia"/>
          <w:i/>
          <w:iCs/>
          <w:sz w:val="28"/>
          <w:szCs w:val="28"/>
        </w:rPr>
        <w:t>2</w:t>
      </w:r>
      <w:r w:rsidRPr="00EF2D51">
        <w:rPr>
          <w:rFonts w:ascii="Times New Roman" w:hAnsi="Times New Roman" w:cs="Times New Roman"/>
          <w:i/>
          <w:iCs/>
          <w:sz w:val="28"/>
          <w:szCs w:val="28"/>
        </w:rPr>
        <w:t xml:space="preserve"> Key Aim</w:t>
      </w:r>
    </w:p>
    <w:p w14:paraId="53F8891C" w14:textId="5E45C6DE"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This study aims to explore how stakeholders in Chinese textile SMEs experience and make sense of circular economy (CE) practices. Its core focus lies in three areas: how their understanding of CE concepts develops, how they subjectively interpret the barriers to implementation, and what paths and reasoning guide them to balance traditional business priorities with CE principles in day-to-day operations. This aim carries both theoretical and practical weight. Theoretically, most existing research relies on a positivist paradigm to measure objective barriers to CE adoption but overlooks how stakeholders’ subjective perceptions form and influence their actions. This study addresses this paradigmatic gap through an interpretivist lens, while adding to micro-level CE research tailored to China’s unique context. Practically, clarifying stakeholders’ cognitive confusions and behavioral logic around CE can offer direct guidance for SMEs to craft adaptive transformation strategies and for governments to roll out targeted support policies—</w:t>
      </w:r>
      <w:r w:rsidR="00E77277" w:rsidRPr="00E77277">
        <w:rPr>
          <w:rFonts w:ascii="Times New Roman" w:hAnsi="Times New Roman" w:cs="Times New Roman"/>
          <w:sz w:val="24"/>
        </w:rPr>
        <w:t>ultimately helping drive the industry’s overall sustainable transformation</w:t>
      </w:r>
      <w:r w:rsidR="00E77277">
        <w:rPr>
          <w:rFonts w:ascii="Times New Roman" w:hAnsi="Times New Roman" w:cs="Times New Roman" w:hint="eastAsia"/>
          <w:sz w:val="24"/>
        </w:rPr>
        <w:t>.</w:t>
      </w:r>
    </w:p>
    <w:p w14:paraId="00B0C76D" w14:textId="77777777" w:rsidR="007926D5" w:rsidRPr="007A673A" w:rsidRDefault="007926D5" w:rsidP="00060596">
      <w:pPr>
        <w:spacing w:line="360" w:lineRule="auto"/>
        <w:rPr>
          <w:rFonts w:ascii="Times New Roman" w:hAnsi="Times New Roman" w:cs="Times New Roman"/>
          <w:b/>
          <w:bCs/>
          <w:sz w:val="24"/>
        </w:rPr>
      </w:pPr>
    </w:p>
    <w:p w14:paraId="18DF4251" w14:textId="77777777" w:rsidR="007926D5" w:rsidRPr="00EF2D51" w:rsidRDefault="007926D5" w:rsidP="00060596">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1.2.2 Key Objectives</w:t>
      </w:r>
    </w:p>
    <w:p w14:paraId="47FFED3A"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To achieve the aim, the study sets three specific objectives:</w:t>
      </w:r>
    </w:p>
    <w:p w14:paraId="403C9A35" w14:textId="77777777" w:rsidR="007926D5" w:rsidRPr="007A673A" w:rsidRDefault="007926D5" w:rsidP="00060596">
      <w:pPr>
        <w:spacing w:line="360" w:lineRule="auto"/>
        <w:rPr>
          <w:rFonts w:ascii="Times New Roman" w:hAnsi="Times New Roman" w:cs="Times New Roman"/>
          <w:sz w:val="24"/>
        </w:rPr>
      </w:pPr>
    </w:p>
    <w:p w14:paraId="6FF4B406" w14:textId="77777777" w:rsidR="007926D5" w:rsidRPr="007A673A" w:rsidRDefault="007926D5" w:rsidP="00060596">
      <w:pPr>
        <w:pStyle w:val="a9"/>
        <w:numPr>
          <w:ilvl w:val="0"/>
          <w:numId w:val="1"/>
        </w:numPr>
        <w:spacing w:line="360" w:lineRule="auto"/>
        <w:ind w:firstLine="0"/>
        <w:rPr>
          <w:rFonts w:ascii="Times New Roman" w:hAnsi="Times New Roman" w:cs="Times New Roman"/>
          <w:sz w:val="24"/>
        </w:rPr>
      </w:pPr>
      <w:r w:rsidRPr="007A673A">
        <w:rPr>
          <w:rFonts w:ascii="Times New Roman" w:hAnsi="Times New Roman" w:cs="Times New Roman"/>
          <w:sz w:val="24"/>
        </w:rPr>
        <w:t xml:space="preserve">Combining the textile industry’s characteristics of high resource consumption and SME dominance in China, analyze the formation paths of enterprise </w:t>
      </w:r>
      <w:r w:rsidRPr="007A673A">
        <w:rPr>
          <w:rFonts w:ascii="Times New Roman" w:hAnsi="Times New Roman" w:cs="Times New Roman"/>
          <w:sz w:val="24"/>
        </w:rPr>
        <w:lastRenderedPageBreak/>
        <w:t>managers’ understanding of CE concepts, and clarify the sources and manifestations of their cognitive biases.</w:t>
      </w:r>
    </w:p>
    <w:p w14:paraId="19AB430B" w14:textId="5333FBAF" w:rsidR="007926D5" w:rsidRPr="007A673A" w:rsidRDefault="007926D5" w:rsidP="00060596">
      <w:pPr>
        <w:pStyle w:val="a9"/>
        <w:numPr>
          <w:ilvl w:val="0"/>
          <w:numId w:val="1"/>
        </w:numPr>
        <w:spacing w:line="360" w:lineRule="auto"/>
        <w:ind w:firstLine="0"/>
        <w:rPr>
          <w:rFonts w:ascii="Times New Roman" w:hAnsi="Times New Roman" w:cs="Times New Roman"/>
          <w:sz w:val="24"/>
        </w:rPr>
      </w:pPr>
      <w:r w:rsidRPr="007A673A">
        <w:rPr>
          <w:rFonts w:ascii="Times New Roman" w:hAnsi="Times New Roman" w:cs="Times New Roman"/>
          <w:sz w:val="24"/>
        </w:rPr>
        <w:t xml:space="preserve">Exploring the subjective construction logic of barriers to CE implementation based on stakeholders’ practical </w:t>
      </w:r>
      <w:r w:rsidR="002A5A55" w:rsidRPr="007A673A">
        <w:rPr>
          <w:rFonts w:ascii="Times New Roman" w:hAnsi="Times New Roman" w:cs="Times New Roman"/>
          <w:sz w:val="24"/>
        </w:rPr>
        <w:t>experiences and</w:t>
      </w:r>
      <w:r w:rsidRPr="007A673A">
        <w:rPr>
          <w:rFonts w:ascii="Times New Roman" w:hAnsi="Times New Roman" w:cs="Times New Roman"/>
          <w:sz w:val="24"/>
        </w:rPr>
        <w:t xml:space="preserve"> distinguish the differentiated interpretations of these barriers among different types of stakeholders.</w:t>
      </w:r>
    </w:p>
    <w:p w14:paraId="5A37B005" w14:textId="41EEA9A9" w:rsidR="007926D5" w:rsidRPr="007A673A" w:rsidRDefault="007926D5" w:rsidP="00060596">
      <w:pPr>
        <w:pStyle w:val="a9"/>
        <w:numPr>
          <w:ilvl w:val="0"/>
          <w:numId w:val="1"/>
        </w:numPr>
        <w:spacing w:line="360" w:lineRule="auto"/>
        <w:ind w:firstLine="0"/>
        <w:rPr>
          <w:rFonts w:ascii="Times New Roman" w:hAnsi="Times New Roman" w:cs="Times New Roman"/>
          <w:sz w:val="24"/>
        </w:rPr>
      </w:pPr>
      <w:r w:rsidRPr="007A673A">
        <w:rPr>
          <w:rFonts w:ascii="Times New Roman" w:hAnsi="Times New Roman" w:cs="Times New Roman"/>
          <w:sz w:val="24"/>
        </w:rPr>
        <w:t xml:space="preserve">Investigating the trade-off mechanisms between short-term economic benefits and long-term environmental sustainability among stakeholders and </w:t>
      </w:r>
      <w:r w:rsidR="002A5A55" w:rsidRPr="007A673A">
        <w:rPr>
          <w:rFonts w:ascii="Times New Roman" w:hAnsi="Times New Roman" w:cs="Times New Roman"/>
          <w:sz w:val="24"/>
        </w:rPr>
        <w:t>revealing</w:t>
      </w:r>
      <w:r w:rsidRPr="007A673A">
        <w:rPr>
          <w:rFonts w:ascii="Times New Roman" w:hAnsi="Times New Roman" w:cs="Times New Roman"/>
          <w:sz w:val="24"/>
        </w:rPr>
        <w:t xml:space="preserve"> the specific strategies and influencing factors they use to resolve tensions between traditional business models and CE principles.</w:t>
      </w:r>
    </w:p>
    <w:p w14:paraId="2568A468" w14:textId="77777777" w:rsidR="007926D5" w:rsidRPr="007A673A" w:rsidRDefault="007926D5" w:rsidP="00060596">
      <w:pPr>
        <w:spacing w:line="360" w:lineRule="auto"/>
        <w:rPr>
          <w:rFonts w:ascii="Times New Roman" w:hAnsi="Times New Roman" w:cs="Times New Roman"/>
          <w:sz w:val="24"/>
        </w:rPr>
      </w:pPr>
    </w:p>
    <w:p w14:paraId="3A77F589" w14:textId="77777777" w:rsidR="007926D5" w:rsidRPr="00EF2D51" w:rsidRDefault="007926D5" w:rsidP="00060596">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1.4 Significance of research</w:t>
      </w:r>
    </w:p>
    <w:p w14:paraId="271354C0" w14:textId="77777777" w:rsidR="007926D5" w:rsidRPr="00EF2D51" w:rsidRDefault="007926D5" w:rsidP="00060596">
      <w:pPr>
        <w:spacing w:line="360" w:lineRule="auto"/>
        <w:rPr>
          <w:rFonts w:ascii="Times New Roman" w:hAnsi="Times New Roman" w:cs="Times New Roman"/>
          <w:b/>
          <w:bCs/>
          <w:i/>
          <w:iCs/>
          <w:sz w:val="28"/>
          <w:szCs w:val="28"/>
        </w:rPr>
      </w:pPr>
      <w:r w:rsidRPr="00EF2D51">
        <w:rPr>
          <w:rFonts w:ascii="Times New Roman" w:hAnsi="Times New Roman" w:cs="Times New Roman"/>
          <w:b/>
          <w:bCs/>
          <w:i/>
          <w:iCs/>
          <w:sz w:val="28"/>
          <w:szCs w:val="28"/>
        </w:rPr>
        <w:t>1.4.1 Theoretical significance</w:t>
      </w:r>
    </w:p>
    <w:p w14:paraId="2BA70445"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 xml:space="preserve">First, this study fills the research gap in circular economy (CE) literature through investigating the practices of Chinese small and medium-sized enterprises (SMEs) in textile industry and addresses the paradigmatic gap. While existing studies normally adopt a positivist paradigm, focusing on quantifying financial and technological barriers in CE implementation, little is concerned regarding stakeholders’ perceptions of CE and how the perceptions form and influence their practices. This requires an interpretivist paradigm to uncover the mechanism behind perceptions. Moreover, as most studies take Western industrial sectors as research objects, and their conclusions lack pertinence to the Chinese context due to differences in institutional environments and industrial characteristics. This study explores the perplexities and cognitive logic of stakeholders in Chinese textile SMEs regarding CE, contributing to the research dialogue of this field. </w:t>
      </w:r>
    </w:p>
    <w:p w14:paraId="415B9F96"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 xml:space="preserve">Second, this study provides a micro view of understanding the barriers of CE implementation in the textile industry. Given that most research focuses on the systemic transformation paths of CE at macro level, little attention is paid to the </w:t>
      </w:r>
      <w:r w:rsidRPr="007A673A">
        <w:rPr>
          <w:rFonts w:ascii="Times New Roman" w:hAnsi="Times New Roman" w:cs="Times New Roman"/>
          <w:sz w:val="24"/>
        </w:rPr>
        <w:lastRenderedPageBreak/>
        <w:t>stakeholders’ views of CE at micro level. Taking the subjective experiences of CE practices of SME stakeholders as the entry point, this study makes up for the lack of micro perspective in existing research, provides a new analytical angle for the integration of CE theory and Chinese local practice, and helps promote the localization of the theory.</w:t>
      </w:r>
    </w:p>
    <w:p w14:paraId="73061322"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Third, this study enriches the research on the social dimension of CE. Current CE research in the textile industry is mostly concentrated in the environmental and economic dimensions, while research on the social dimension related to stakeholders' cognitive perceptions and behavioral intentions is relatively weak. By exploring the cognitive confusion and practical needs of SME stakeholders, this study fills the research gap in the social dimension of CE in this field, helping to comprehensively understand the connotation and implementation logic of CE.</w:t>
      </w:r>
    </w:p>
    <w:p w14:paraId="4B18F0CB" w14:textId="77777777" w:rsidR="007926D5" w:rsidRPr="007A673A" w:rsidRDefault="007926D5" w:rsidP="00060596">
      <w:pPr>
        <w:spacing w:line="360" w:lineRule="auto"/>
        <w:rPr>
          <w:rFonts w:ascii="Times New Roman" w:hAnsi="Times New Roman" w:cs="Times New Roman"/>
          <w:sz w:val="24"/>
        </w:rPr>
      </w:pPr>
    </w:p>
    <w:p w14:paraId="16DA75E3" w14:textId="77777777"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1.4.2 Practical Significance</w:t>
      </w:r>
    </w:p>
    <w:p w14:paraId="55E94CA5" w14:textId="77777777" w:rsidR="007926D5" w:rsidRPr="007A673A" w:rsidRDefault="007926D5" w:rsidP="00060596">
      <w:pPr>
        <w:spacing w:line="360" w:lineRule="auto"/>
        <w:rPr>
          <w:rFonts w:ascii="Times New Roman" w:hAnsi="Times New Roman" w:cs="Times New Roman"/>
          <w:sz w:val="24"/>
        </w:rPr>
      </w:pPr>
    </w:p>
    <w:p w14:paraId="722E4535"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For the government and policy-making departments, the conclusions of this study can provide reference for precise policymaking. By clarifying the core perplexities of textile SMEs in CE cognition (such as confusing CE with traditional environmental protection) and key practical barriers (such as insufficient funds, backward technology, and information asymmetry), it helps policymakers introduce targeted support measures. For example, financial incentives such as green credit and tax preferences can be launched for capital shortage; for cognitive confusion, it is necessary to strengthen the publicity and training of CE concepts and policies and build an information service platform for technology and policies to reduce information asymmetry.</w:t>
      </w:r>
    </w:p>
    <w:p w14:paraId="7421F857"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 xml:space="preserve">For Chinese textile SMEs, this study can provide practical decision-making basis for their CE transformation. It reveals the common cognitive misunderstandings and </w:t>
      </w:r>
      <w:r w:rsidRPr="007A673A">
        <w:rPr>
          <w:rFonts w:ascii="Times New Roman" w:hAnsi="Times New Roman" w:cs="Times New Roman"/>
          <w:sz w:val="24"/>
        </w:rPr>
        <w:lastRenderedPageBreak/>
        <w:t>practical difficulties of enterprises in implementing CE, helping them clarify their positioning and existing problems in the transformation process; at the same time, by sorting out stakeholders' needs, it can help enterprises design implementation paths in line with their own development characteristics (such as selecting recycling technologies and business models based on scale and resource endowments), improving transformation efficiency and success rate.</w:t>
      </w:r>
    </w:p>
    <w:p w14:paraId="564105A2" w14:textId="77777777" w:rsidR="007926D5" w:rsidRPr="007A673A" w:rsidRDefault="007926D5" w:rsidP="00060596">
      <w:pPr>
        <w:spacing w:line="360" w:lineRule="auto"/>
        <w:rPr>
          <w:rFonts w:ascii="Times New Roman" w:hAnsi="Times New Roman" w:cs="Times New Roman"/>
          <w:sz w:val="24"/>
        </w:rPr>
      </w:pPr>
    </w:p>
    <w:p w14:paraId="17820493" w14:textId="77777777" w:rsidR="007926D5" w:rsidRPr="007A673A" w:rsidRDefault="007926D5" w:rsidP="00060596">
      <w:pPr>
        <w:spacing w:line="360" w:lineRule="auto"/>
        <w:rPr>
          <w:rFonts w:ascii="Times New Roman" w:hAnsi="Times New Roman" w:cs="Times New Roman"/>
          <w:b/>
          <w:bCs/>
          <w:sz w:val="24"/>
        </w:rPr>
        <w:sectPr w:rsidR="007926D5" w:rsidRPr="007A673A" w:rsidSect="007926D5">
          <w:headerReference w:type="even" r:id="rId7"/>
          <w:headerReference w:type="default" r:id="rId8"/>
          <w:footerReference w:type="even" r:id="rId9"/>
          <w:footerReference w:type="default" r:id="rId10"/>
          <w:headerReference w:type="first" r:id="rId11"/>
          <w:footerReference w:type="first" r:id="rId12"/>
          <w:pgSz w:w="11906" w:h="16838"/>
          <w:pgMar w:top="1440" w:right="1800" w:bottom="1440" w:left="1800" w:header="851" w:footer="992" w:gutter="0"/>
          <w:cols w:space="425"/>
          <w:docGrid w:type="lines" w:linePitch="312"/>
        </w:sectPr>
      </w:pPr>
      <w:r w:rsidRPr="007A673A">
        <w:rPr>
          <w:rFonts w:ascii="Times New Roman" w:hAnsi="Times New Roman" w:cs="Times New Roman"/>
          <w:sz w:val="24"/>
        </w:rPr>
        <w:t>In addition, this study helps enhance public understanding of the challenges faced by textile SMEs in CE implementation and create a social atmosphere supporting their sustainable transformation. By presenting the real experiences and needs of stakeholders, it narrows the cognitive gap between the public and enterprise operations, guides the public to fully understand the difficulties of transformation, and promotes the formation of a social environment supporting green transformation, such as encouraging consumers to choose products of CE-practicing enterprises and facilitating the construction of a collaborative governance system involving government, enterprises and the public.</w:t>
      </w:r>
      <w:r w:rsidRPr="007A673A">
        <w:rPr>
          <w:rFonts w:ascii="Times New Roman" w:hAnsi="Times New Roman" w:cs="Times New Roman"/>
          <w:b/>
          <w:bCs/>
          <w:sz w:val="24"/>
        </w:rPr>
        <w:t xml:space="preserve"> </w:t>
      </w:r>
    </w:p>
    <w:p w14:paraId="71F64461" w14:textId="77777777" w:rsidR="007926D5" w:rsidRPr="00EF2D51" w:rsidRDefault="007926D5" w:rsidP="00060596">
      <w:pPr>
        <w:spacing w:line="360" w:lineRule="auto"/>
        <w:rPr>
          <w:rFonts w:ascii="Times New Roman" w:hAnsi="Times New Roman" w:cs="Times New Roman"/>
          <w:b/>
          <w:bCs/>
          <w:sz w:val="36"/>
          <w:szCs w:val="36"/>
        </w:rPr>
      </w:pPr>
      <w:r w:rsidRPr="00EF2D51">
        <w:rPr>
          <w:rFonts w:ascii="Times New Roman" w:hAnsi="Times New Roman" w:cs="Times New Roman"/>
          <w:b/>
          <w:bCs/>
          <w:sz w:val="36"/>
          <w:szCs w:val="36"/>
        </w:rPr>
        <w:lastRenderedPageBreak/>
        <w:t>2. Literature Review</w:t>
      </w:r>
    </w:p>
    <w:p w14:paraId="0FAA3A4C" w14:textId="77777777"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2.1 Circular Economy</w:t>
      </w:r>
    </w:p>
    <w:p w14:paraId="108B2F3C"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Circular economy (CE) is a sustainable development concept that aims to achieve a closed-loop flow of "resource-product-waste-recycled resource" in production and consumption activities (Ellen MacArthur Foundation, 2013). As a core framework for sustainable industrial development, this closed-loop model abandons the traditional linear "take-make-dispose" economic pattern and emphasizes the continuous retention of resource value throughout the production and consumption cycle (Ellen MacArthur Foundation, 2013). It aims to reduce environmental burdens while ensuring long-term economic growth, offering a practical pathway for sustainable development (Korhonen et al., 2018; Skawińska &amp; Zalewski, 2018). Since the Anthropocene, industrialization has not only boosted economic progress greatly but also brought global challenges like resource depletion and environmental pollution, making the traditional linear economic model of "extract - produce - discard" unsustainable (Fischer et al., 2007). Against this backdrop, CE has become a core choice for promoting sustainable development in countries such as Germany, Japan, and China due to its advantages of efficient resource use and minimized environmental impact, regarded as a key solution to reconcile the contradiction between economic growth and environmental protection.</w:t>
      </w:r>
    </w:p>
    <w:p w14:paraId="469FB80F"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 xml:space="preserve">Current research in the CE field is characterized by a distinct quantitative dominance and significant biases in research focus. Regarding research contexts, most studies concentrate on Western industrial systems (Kirchherr et al., 2017; Korhonen et al., 2018). Kirchherr et al. (2017) found that among 114 CE definitions, over 70% of empirical studies adopted quantitative methods to measure resource flow efficiency, with 85% of cases derived from European and North American manufacturing sectors. Meanwhile, Korhonen et al. (2018) criticized that such quantitative dominance has led to a neglect of non-Western contexts, where CE practices are embedded in unique cultural and institutional settings (e.g., guanxi-based business networks in Chinese </w:t>
      </w:r>
      <w:r w:rsidRPr="007A673A">
        <w:rPr>
          <w:rFonts w:ascii="Times New Roman" w:hAnsi="Times New Roman" w:cs="Times New Roman"/>
          <w:sz w:val="24"/>
        </w:rPr>
        <w:lastRenderedPageBreak/>
        <w:t xml:space="preserve">textile SMEs) that cannot be fully captured by numerical data alone. Scholars use quantitative methods such as data modeling and statistical analysis to explore CE policy effects, industrial transformation paths, and corporate practice outcomes in developed Western countries—for example, quantifying the role of policy subsidies in promoting circular technology adoption and measuring the impact of resource recovery rates on corporate benefits (Hartley et al., 2022; </w:t>
      </w:r>
      <w:proofErr w:type="spellStart"/>
      <w:r w:rsidRPr="007A673A">
        <w:rPr>
          <w:rFonts w:ascii="Times New Roman" w:hAnsi="Times New Roman" w:cs="Times New Roman"/>
          <w:sz w:val="24"/>
        </w:rPr>
        <w:t>Reike</w:t>
      </w:r>
      <w:proofErr w:type="spellEnd"/>
      <w:r w:rsidRPr="007A673A">
        <w:rPr>
          <w:rFonts w:ascii="Times New Roman" w:hAnsi="Times New Roman" w:cs="Times New Roman"/>
          <w:sz w:val="24"/>
        </w:rPr>
        <w:t xml:space="preserve"> et al., 2023). </w:t>
      </w:r>
    </w:p>
    <w:p w14:paraId="7864F82E"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 xml:space="preserve">This quantitative dominance and Western-centric bias are further reflected in existing empirical studies. For instance, </w:t>
      </w:r>
      <w:proofErr w:type="spellStart"/>
      <w:r w:rsidRPr="007A673A">
        <w:rPr>
          <w:rFonts w:ascii="Times New Roman" w:hAnsi="Times New Roman" w:cs="Times New Roman"/>
          <w:sz w:val="24"/>
        </w:rPr>
        <w:t>Bressanelli</w:t>
      </w:r>
      <w:proofErr w:type="spellEnd"/>
      <w:r w:rsidRPr="007A673A">
        <w:rPr>
          <w:rFonts w:ascii="Times New Roman" w:hAnsi="Times New Roman" w:cs="Times New Roman"/>
          <w:sz w:val="24"/>
        </w:rPr>
        <w:t xml:space="preserve"> et al. (2022) took Prato’s textile cluster (a typical Western industrial district) as the research context, adopting quantitative analysis to explore how CE drives supply chain hierarchization and long-term collaboration, and concluded that CE can reverse the decline of industrial districts—but their research was limited to European industrial systems and failed to involve non-Western textile clusters with different institutional backgrounds. Similarly, Khan et al. (2021) focused on large manufacturing enterprises in Western contexts, applied structural equation modeling (SEM) to verify that CE practices drive supply chain optimization and environmental performance improvement, which aligns with the quantitative dominance feature; however, their research only targeted large enterprises and ignored SMEs, a crucial market participant. In the oil &amp; gas and automobile industries, Sharma et al. (2023) and Zhang et al. (2021) also adopted quantitative methods: the former used statistical analysis to identify knowledge barriers to CE implementation in the Western oil &amp; gas industry and proposed mitigation strategies, while the latter employed quantitative tools to confirm that Industry 4.0 drives CE practices and improves operational performance in the Western automobile industry. Both studies, however, focused on macro-industrial paths and corporate performance outcomes, lacking exploration of micro-level operational logic such as stakeholder perceptions (a gap already noted in Zhang et al.’s research) and internal corporate CE implementation mechanisms. Among the five studies, only Chowdhury et al. (2023) shifted focus to emerging economies (Bangladesh’s textile industry), using multi-dimensional analysis to point out that CE-driven smart waste management requires </w:t>
      </w:r>
      <w:r w:rsidRPr="007A673A">
        <w:rPr>
          <w:rFonts w:ascii="Times New Roman" w:hAnsi="Times New Roman" w:cs="Times New Roman"/>
          <w:sz w:val="24"/>
        </w:rPr>
        <w:lastRenderedPageBreak/>
        <w:t>synergistic solutions to technological, managerial and policy challenges—but the study still relied on quantitative indicators to measure performance, failing to deeply explore the unique institutional and cultural factors in non-Western contexts that Korhonen et al. (2018) emphasized. Collectively, these five studies highlight the existing research gaps: first, an over-reliance on quantitative methods, with insufficient attention to qualitative exploration of non-Western cultural and institutional contexts; second, a bias toward Western industrial systems and large enterprises, with inadequate focus on non-Western emerging economies and SMEs; third, a preference for macro-industrial and performance-oriented research, with a lack of micro-perspective exploration on internal corporate operations and stakeholder perceptions.</w:t>
      </w:r>
    </w:p>
    <w:p w14:paraId="5491E9A8"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Table 1. Research summary on CE.</w:t>
      </w:r>
    </w:p>
    <w:tbl>
      <w:tblPr>
        <w:tblStyle w:val="af3"/>
        <w:tblW w:w="8359" w:type="dxa"/>
        <w:tblLook w:val="04A0" w:firstRow="1" w:lastRow="0" w:firstColumn="1" w:lastColumn="0" w:noHBand="0" w:noVBand="1"/>
      </w:tblPr>
      <w:tblGrid>
        <w:gridCol w:w="1413"/>
        <w:gridCol w:w="1984"/>
        <w:gridCol w:w="2127"/>
        <w:gridCol w:w="2835"/>
      </w:tblGrid>
      <w:tr w:rsidR="007926D5" w:rsidRPr="007A673A" w14:paraId="6A704933" w14:textId="77777777" w:rsidTr="00207FBE">
        <w:tc>
          <w:tcPr>
            <w:tcW w:w="1413" w:type="dxa"/>
          </w:tcPr>
          <w:p w14:paraId="7CBDB010"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Studies</w:t>
            </w:r>
          </w:p>
        </w:tc>
        <w:tc>
          <w:tcPr>
            <w:tcW w:w="1984" w:type="dxa"/>
          </w:tcPr>
          <w:p w14:paraId="14185472"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Context</w:t>
            </w:r>
          </w:p>
        </w:tc>
        <w:tc>
          <w:tcPr>
            <w:tcW w:w="2127" w:type="dxa"/>
          </w:tcPr>
          <w:p w14:paraId="046C4BFF"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Method</w:t>
            </w:r>
          </w:p>
        </w:tc>
        <w:tc>
          <w:tcPr>
            <w:tcW w:w="2835" w:type="dxa"/>
          </w:tcPr>
          <w:p w14:paraId="49AC1A0D"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Conclusion</w:t>
            </w:r>
          </w:p>
        </w:tc>
      </w:tr>
      <w:tr w:rsidR="007926D5" w:rsidRPr="007A673A" w14:paraId="021A06CC" w14:textId="77777777" w:rsidTr="00207FBE">
        <w:tc>
          <w:tcPr>
            <w:tcW w:w="1413" w:type="dxa"/>
          </w:tcPr>
          <w:p w14:paraId="70B5199E"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Zhang, Khan, and Umar (2021)</w:t>
            </w:r>
          </w:p>
        </w:tc>
        <w:tc>
          <w:tcPr>
            <w:tcW w:w="1984" w:type="dxa"/>
          </w:tcPr>
          <w:p w14:paraId="6EA4B868"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Automobile industry</w:t>
            </w:r>
          </w:p>
        </w:tc>
        <w:tc>
          <w:tcPr>
            <w:tcW w:w="2127" w:type="dxa"/>
          </w:tcPr>
          <w:p w14:paraId="40437148"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Quantitative method</w:t>
            </w:r>
          </w:p>
        </w:tc>
        <w:tc>
          <w:tcPr>
            <w:tcW w:w="2835" w:type="dxa"/>
          </w:tcPr>
          <w:p w14:paraId="765DA89A"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CE can enhance the operational and economic performance of the company</w:t>
            </w:r>
          </w:p>
        </w:tc>
      </w:tr>
      <w:tr w:rsidR="007926D5" w:rsidRPr="007A673A" w14:paraId="75E21B18" w14:textId="77777777" w:rsidTr="00207FBE">
        <w:tc>
          <w:tcPr>
            <w:tcW w:w="1413" w:type="dxa"/>
          </w:tcPr>
          <w:p w14:paraId="3B83747C"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Chowdhury et al. (2023)</w:t>
            </w:r>
          </w:p>
        </w:tc>
        <w:tc>
          <w:tcPr>
            <w:tcW w:w="1984" w:type="dxa"/>
          </w:tcPr>
          <w:p w14:paraId="3D18919D"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Textile industry</w:t>
            </w:r>
          </w:p>
        </w:tc>
        <w:tc>
          <w:tcPr>
            <w:tcW w:w="2127" w:type="dxa"/>
          </w:tcPr>
          <w:p w14:paraId="72971956"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Quantitative method</w:t>
            </w:r>
          </w:p>
        </w:tc>
        <w:tc>
          <w:tcPr>
            <w:tcW w:w="2835" w:type="dxa"/>
          </w:tcPr>
          <w:p w14:paraId="29B3E843"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CE-driven smart waste management in emerging </w:t>
            </w:r>
            <w:proofErr w:type="spellStart"/>
            <w:r w:rsidRPr="007A673A">
              <w:rPr>
                <w:rFonts w:ascii="Times New Roman" w:hAnsi="Times New Roman" w:cs="Times New Roman"/>
                <w:sz w:val="21"/>
                <w:szCs w:val="21"/>
              </w:rPr>
              <w:t>economiese</w:t>
            </w:r>
            <w:proofErr w:type="spellEnd"/>
            <w:r w:rsidRPr="007A673A">
              <w:rPr>
                <w:rFonts w:ascii="Times New Roman" w:hAnsi="Times New Roman" w:cs="Times New Roman"/>
                <w:sz w:val="21"/>
                <w:szCs w:val="21"/>
              </w:rPr>
              <w:t xml:space="preserve"> textile industry needs multi-dimensional synergy, with shared risk management as a priority strategy.</w:t>
            </w:r>
          </w:p>
        </w:tc>
      </w:tr>
      <w:tr w:rsidR="007926D5" w:rsidRPr="007A673A" w14:paraId="00CD5435" w14:textId="77777777" w:rsidTr="00207FBE">
        <w:tc>
          <w:tcPr>
            <w:tcW w:w="1413" w:type="dxa"/>
          </w:tcPr>
          <w:p w14:paraId="7E364FDE"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Pinheiro et al. (2021)</w:t>
            </w:r>
          </w:p>
        </w:tc>
        <w:tc>
          <w:tcPr>
            <w:tcW w:w="1984" w:type="dxa"/>
          </w:tcPr>
          <w:p w14:paraId="04A2E413"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Electric–electronic and</w:t>
            </w:r>
          </w:p>
          <w:p w14:paraId="78145A15"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Equipment industry</w:t>
            </w:r>
          </w:p>
        </w:tc>
        <w:tc>
          <w:tcPr>
            <w:tcW w:w="2127" w:type="dxa"/>
          </w:tcPr>
          <w:p w14:paraId="3FD0C5C6"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Quantitative method</w:t>
            </w:r>
          </w:p>
        </w:tc>
        <w:tc>
          <w:tcPr>
            <w:tcW w:w="2835" w:type="dxa"/>
          </w:tcPr>
          <w:p w14:paraId="4740175E"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CE-oriented circular product design, driven by Industry 4.0 technologies and stakeholder pressure, enhances companies’ environmental and market performance.</w:t>
            </w:r>
          </w:p>
        </w:tc>
      </w:tr>
      <w:tr w:rsidR="007926D5" w:rsidRPr="007A673A" w14:paraId="44A99C11" w14:textId="77777777" w:rsidTr="00207FBE">
        <w:tc>
          <w:tcPr>
            <w:tcW w:w="1413" w:type="dxa"/>
          </w:tcPr>
          <w:p w14:paraId="60242DAC"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lastRenderedPageBreak/>
              <w:t>Sharma et al. (2023)</w:t>
            </w:r>
          </w:p>
        </w:tc>
        <w:tc>
          <w:tcPr>
            <w:tcW w:w="1984" w:type="dxa"/>
          </w:tcPr>
          <w:p w14:paraId="66F91712"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Oil and gas industry</w:t>
            </w:r>
          </w:p>
        </w:tc>
        <w:tc>
          <w:tcPr>
            <w:tcW w:w="2127" w:type="dxa"/>
          </w:tcPr>
          <w:p w14:paraId="7CF6EEF1"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Quantitative method</w:t>
            </w:r>
          </w:p>
        </w:tc>
        <w:tc>
          <w:tcPr>
            <w:tcW w:w="2835" w:type="dxa"/>
          </w:tcPr>
          <w:p w14:paraId="283998DA"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CE implementation in the oil &amp; gas industry is mostly hindered by knowledge barriers, with collaborative models and internal R&amp;D as the most effective mitigation strategies.</w:t>
            </w:r>
          </w:p>
        </w:tc>
      </w:tr>
      <w:tr w:rsidR="007926D5" w:rsidRPr="007A673A" w14:paraId="6AAD9380" w14:textId="77777777" w:rsidTr="00207FBE">
        <w:tc>
          <w:tcPr>
            <w:tcW w:w="1413" w:type="dxa"/>
          </w:tcPr>
          <w:p w14:paraId="39D50CD8" w14:textId="77777777" w:rsidR="007926D5" w:rsidRPr="007A673A" w:rsidRDefault="007926D5" w:rsidP="00060596">
            <w:pPr>
              <w:spacing w:line="360" w:lineRule="auto"/>
              <w:rPr>
                <w:rFonts w:ascii="Times New Roman" w:hAnsi="Times New Roman" w:cs="Times New Roman"/>
                <w:sz w:val="21"/>
                <w:szCs w:val="21"/>
              </w:rPr>
            </w:pPr>
            <w:proofErr w:type="spellStart"/>
            <w:r w:rsidRPr="007A673A">
              <w:rPr>
                <w:rFonts w:ascii="Times New Roman" w:hAnsi="Times New Roman" w:cs="Times New Roman"/>
                <w:sz w:val="21"/>
                <w:szCs w:val="21"/>
              </w:rPr>
              <w:t>Bressanelli</w:t>
            </w:r>
            <w:proofErr w:type="spellEnd"/>
            <w:r w:rsidRPr="007A673A">
              <w:rPr>
                <w:rFonts w:ascii="Times New Roman" w:hAnsi="Times New Roman" w:cs="Times New Roman"/>
                <w:sz w:val="21"/>
                <w:szCs w:val="21"/>
              </w:rPr>
              <w:t xml:space="preserve">, Visintin, and </w:t>
            </w:r>
            <w:proofErr w:type="spellStart"/>
            <w:r w:rsidRPr="007A673A">
              <w:rPr>
                <w:rFonts w:ascii="Times New Roman" w:hAnsi="Times New Roman" w:cs="Times New Roman"/>
                <w:sz w:val="21"/>
                <w:szCs w:val="21"/>
              </w:rPr>
              <w:t>Saccani</w:t>
            </w:r>
            <w:proofErr w:type="spellEnd"/>
            <w:r w:rsidRPr="007A673A">
              <w:rPr>
                <w:rFonts w:ascii="Times New Roman" w:hAnsi="Times New Roman" w:cs="Times New Roman"/>
                <w:sz w:val="21"/>
                <w:szCs w:val="21"/>
              </w:rPr>
              <w:t xml:space="preserve"> (2022)</w:t>
            </w:r>
          </w:p>
        </w:tc>
        <w:tc>
          <w:tcPr>
            <w:tcW w:w="1984" w:type="dxa"/>
          </w:tcPr>
          <w:p w14:paraId="3D5A9E0D"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Textile industry</w:t>
            </w:r>
          </w:p>
        </w:tc>
        <w:tc>
          <w:tcPr>
            <w:tcW w:w="2127" w:type="dxa"/>
          </w:tcPr>
          <w:p w14:paraId="586E1B8F"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Qualitative method</w:t>
            </w:r>
          </w:p>
        </w:tc>
        <w:tc>
          <w:tcPr>
            <w:tcW w:w="2835" w:type="dxa"/>
          </w:tcPr>
          <w:p w14:paraId="132417B1"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CE reverses declining industrial districts’ trajectories via multi-level drivers, reshapes supply chains toward hierarchization and long-term collaboration, and offers insights for stakeholders.</w:t>
            </w:r>
          </w:p>
        </w:tc>
      </w:tr>
    </w:tbl>
    <w:p w14:paraId="20008A2A" w14:textId="77777777" w:rsidR="007926D5" w:rsidRPr="007A673A" w:rsidRDefault="007926D5" w:rsidP="00060596">
      <w:pPr>
        <w:spacing w:line="360" w:lineRule="auto"/>
        <w:rPr>
          <w:rFonts w:ascii="Times New Roman" w:hAnsi="Times New Roman" w:cs="Times New Roman"/>
          <w:sz w:val="24"/>
        </w:rPr>
      </w:pPr>
    </w:p>
    <w:p w14:paraId="43C0480A" w14:textId="2169AC1E" w:rsidR="007926D5" w:rsidRDefault="00C80A2A" w:rsidP="00060596">
      <w:pPr>
        <w:spacing w:line="360" w:lineRule="auto"/>
        <w:rPr>
          <w:rFonts w:ascii="Times New Roman" w:hAnsi="Times New Roman" w:cs="Times New Roman"/>
          <w:sz w:val="24"/>
        </w:rPr>
      </w:pPr>
      <w:r w:rsidRPr="00C80A2A">
        <w:rPr>
          <w:rFonts w:ascii="Times New Roman" w:hAnsi="Times New Roman" w:cs="Times New Roman"/>
          <w:sz w:val="24"/>
        </w:rPr>
        <w:t xml:space="preserve">Existing research has several notable gaps. For one thing, the dominance of quantitative methods has pushed aside non-quantifiable elements like subjective views and value judgments, making it difficult to get to the bottom of how stakeholders </w:t>
      </w:r>
      <w:r w:rsidR="00060596" w:rsidRPr="00C80A2A">
        <w:rPr>
          <w:rFonts w:ascii="Times New Roman" w:hAnsi="Times New Roman" w:cs="Times New Roman"/>
          <w:sz w:val="24"/>
        </w:rPr>
        <w:t>make</w:t>
      </w:r>
      <w:r w:rsidRPr="00C80A2A">
        <w:rPr>
          <w:rFonts w:ascii="Times New Roman" w:hAnsi="Times New Roman" w:cs="Times New Roman"/>
          <w:sz w:val="24"/>
        </w:rPr>
        <w:t xml:space="preserve"> decisions in circular economy initiatives. For another, there is a serious lack of tailored research on emerging economies including China. Big differences in institutions, industrial setups, and policy directions mean Western quantitative findings are not directly applicable to Chinese industrial </w:t>
      </w:r>
      <w:r w:rsidR="008261A1" w:rsidRPr="00C80A2A">
        <w:rPr>
          <w:rFonts w:ascii="Times New Roman" w:hAnsi="Times New Roman" w:cs="Times New Roman"/>
          <w:sz w:val="24"/>
        </w:rPr>
        <w:t>practices (</w:t>
      </w:r>
      <w:r w:rsidRPr="00C80A2A">
        <w:rPr>
          <w:rFonts w:ascii="Times New Roman" w:hAnsi="Times New Roman" w:cs="Times New Roman"/>
          <w:sz w:val="24"/>
        </w:rPr>
        <w:t xml:space="preserve">Nath, 2025). Additionally, while macro-level systematic analyses are overrepresented, studies focusing on micro-entities such as SMEs are few and far between. This means the circular economy transformation needs of textile SMEs in China are not being addressed—even though these businesses are central to the </w:t>
      </w:r>
      <w:r w:rsidR="008261A1" w:rsidRPr="00C80A2A">
        <w:rPr>
          <w:rFonts w:ascii="Times New Roman" w:hAnsi="Times New Roman" w:cs="Times New Roman"/>
          <w:sz w:val="24"/>
        </w:rPr>
        <w:t>industry (</w:t>
      </w:r>
      <w:r w:rsidRPr="00C80A2A">
        <w:rPr>
          <w:rFonts w:ascii="Times New Roman" w:hAnsi="Times New Roman" w:cs="Times New Roman"/>
          <w:sz w:val="24"/>
        </w:rPr>
        <w:t>National Development and Reform Commission [NDRC], 2022).</w:t>
      </w:r>
    </w:p>
    <w:p w14:paraId="6BEB8658" w14:textId="77777777" w:rsidR="00C80A2A" w:rsidRPr="008261A1" w:rsidRDefault="00C80A2A" w:rsidP="00060596">
      <w:pPr>
        <w:spacing w:line="360" w:lineRule="auto"/>
        <w:rPr>
          <w:rFonts w:ascii="Times New Roman" w:hAnsi="Times New Roman" w:cs="Times New Roman"/>
          <w:i/>
          <w:iCs/>
          <w:sz w:val="24"/>
        </w:rPr>
      </w:pPr>
    </w:p>
    <w:p w14:paraId="429888E4" w14:textId="77777777" w:rsidR="007926D5" w:rsidRPr="00C80A2A" w:rsidRDefault="007926D5" w:rsidP="00060596">
      <w:pPr>
        <w:spacing w:line="360" w:lineRule="auto"/>
        <w:rPr>
          <w:rFonts w:ascii="Times New Roman" w:hAnsi="Times New Roman" w:cs="Times New Roman"/>
          <w:i/>
          <w:iCs/>
          <w:sz w:val="28"/>
          <w:szCs w:val="28"/>
        </w:rPr>
      </w:pPr>
      <w:r w:rsidRPr="00C80A2A">
        <w:rPr>
          <w:rFonts w:ascii="Times New Roman" w:hAnsi="Times New Roman" w:cs="Times New Roman"/>
          <w:i/>
          <w:iCs/>
          <w:sz w:val="28"/>
          <w:szCs w:val="28"/>
        </w:rPr>
        <w:lastRenderedPageBreak/>
        <w:t>2.2 Small and Medium-Sized Enterprises and CE practices</w:t>
      </w:r>
    </w:p>
    <w:p w14:paraId="70C863D3" w14:textId="5FF19ACD"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 xml:space="preserve">In Western research, there’s no one-size-fits-all definition for Small and Medium-sized Enterprises (SMEs). Most studies rely on quantitative metrics like employee count, annual turnover, and total assets, with specific thresholds varying by country, industry, and research context (Ayyagari et al., 2007). For example, European definitions typically categorize SMEs as businesses with fewer than 250 employees, along with turnover or asset limits that align with regional economic contexts (Bartoli et al., 2000). In Canadian research, a key Western economy, SMEs are defined as firms with fewer than 500 employees and annual revenue below CAD 50 million, a standard consistently referenced in Western academic discussions on enterprise classification (Beck &amp; </w:t>
      </w:r>
      <w:proofErr w:type="spellStart"/>
      <w:r w:rsidRPr="007A673A">
        <w:rPr>
          <w:rFonts w:ascii="Times New Roman" w:hAnsi="Times New Roman" w:cs="Times New Roman"/>
          <w:sz w:val="24"/>
        </w:rPr>
        <w:t>Demirgüç</w:t>
      </w:r>
      <w:proofErr w:type="spellEnd"/>
      <w:r w:rsidRPr="007A673A">
        <w:rPr>
          <w:rFonts w:ascii="Times New Roman" w:hAnsi="Times New Roman" w:cs="Times New Roman"/>
          <w:sz w:val="24"/>
        </w:rPr>
        <w:t xml:space="preserve">-Kunt, 2013). When it comes to the features of SMEs in Western studies, scholars often highlight their ability to adapt quickly to market changes, strong ties to local markets and networks, limited access to external funding, and focus on niche markets with specialized products or services (Bartoli et al., 2000). These traits stem from their resource constraints and organizational structure, setting them apart from large enterprises and making them a key focus in research on entrepreneurship, innovation, and regional economic development. </w:t>
      </w:r>
    </w:p>
    <w:p w14:paraId="52AA7D0D"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SMEs are defined in accordance with the "Measures for the Classification of Large, Medium, Small, and Micro Enterprises in Statistics" (National Bureau of Statistics of China [NBSC], 2017). Specifically for China’s textile industry, medium-sized enterprises have 300-999 employees and annual operating income of 20 million to 399 million yuan, while small enterprises have 20-299 employees and annual operating income of 3 million to 19.99 million yuan (National Bureau of Statistics of China [NBSC], 2017). This study focuses on such small and medium-sized textile enterprises (excluding micro-enterprises), as micro-enterprises differ essentially from small and medium-sized enterprises in business models, resource endowments, and decision-making mechanisms (National Bureau of Statistics of China [NBSC], 2017).</w:t>
      </w:r>
    </w:p>
    <w:p w14:paraId="718C4F09" w14:textId="110B69B2"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 xml:space="preserve">Existing research on SMEs’ circular economy (CE) practices still sticks to the CE </w:t>
      </w:r>
      <w:r w:rsidRPr="007A673A">
        <w:rPr>
          <w:rFonts w:ascii="Times New Roman" w:hAnsi="Times New Roman" w:cs="Times New Roman"/>
          <w:sz w:val="24"/>
        </w:rPr>
        <w:lastRenderedPageBreak/>
        <w:t xml:space="preserve">field’s heavy focus on quantitative work, zeroing in mostly on objective barriers you can measure. Researchers lean on surveys, data modeling, and similar methods to unpack issues like tight funds for green tech R&amp;D, a shortage of specialized CE managers, and steep costs for advanced recycling technologies (China Textile Industry Federation [CTIF], 2025). </w:t>
      </w:r>
      <w:r w:rsidR="00C43C37" w:rsidRPr="00C43C37">
        <w:rPr>
          <w:rFonts w:ascii="Times New Roman" w:hAnsi="Times New Roman" w:cs="Times New Roman"/>
          <w:sz w:val="24"/>
        </w:rPr>
        <w:t>The research by Arntz et al. (2024) provides a typical example for such research methods: They utilized a large EU database covering 16,365 small enterprises and employed an ordered logistic regression model to convert resource shortages and feasibility obstacles into specific and quantifiable indicators.</w:t>
      </w:r>
      <w:r w:rsidRPr="007A673A">
        <w:rPr>
          <w:rFonts w:ascii="Times New Roman" w:hAnsi="Times New Roman" w:cs="Times New Roman"/>
          <w:sz w:val="24"/>
        </w:rPr>
        <w:t xml:space="preserve"> Howard et al. (2022) did something similar, using tool demos and statistical analysis to gauge operational snags when SMEs adopt CE—both studies are all about proving objective constraints with hard numbers.</w:t>
      </w:r>
    </w:p>
    <w:p w14:paraId="71D47EA3" w14:textId="2CE6BB77" w:rsidR="00C43C37" w:rsidRDefault="00C43C37" w:rsidP="00060596">
      <w:pPr>
        <w:spacing w:line="360" w:lineRule="auto"/>
        <w:rPr>
          <w:rFonts w:ascii="Times New Roman" w:hAnsi="Times New Roman" w:cs="Times New Roman"/>
          <w:sz w:val="24"/>
        </w:rPr>
      </w:pPr>
      <w:r w:rsidRPr="00C43C37">
        <w:rPr>
          <w:rFonts w:ascii="Times New Roman" w:hAnsi="Times New Roman" w:cs="Times New Roman"/>
          <w:sz w:val="24"/>
        </w:rPr>
        <w:t>These studies provide conclusive data to identify the objective bottlenecks but are lacking in subjective aspects and human factors during the transformation process. The main shortcomings of current research are concentrated in two key areas. Firstly, there is almost no discussion of subjective viewpoints. The existing quantitative research ignores the views of stakeholders on circular economy, their value judgments, and even their emotional responses - such as the actual understanding level of the concept of circular economy by managers, or the willingness of employees to accept the circular production model. These factors directly affect whether the circular economy strategy can be truly implemented (Nat</w:t>
      </w:r>
      <w:r w:rsidR="00E77277">
        <w:rPr>
          <w:rFonts w:ascii="Times New Roman" w:hAnsi="Times New Roman" w:cs="Times New Roman" w:hint="eastAsia"/>
          <w:sz w:val="24"/>
        </w:rPr>
        <w:t>h</w:t>
      </w:r>
      <w:r w:rsidRPr="00C43C37">
        <w:rPr>
          <w:rFonts w:ascii="Times New Roman" w:hAnsi="Times New Roman" w:cs="Times New Roman"/>
          <w:sz w:val="24"/>
        </w:rPr>
        <w:t xml:space="preserve">, 2025). Even qualitative research also has deficiencies in this regard: Chaudhuri et al. (2022) studied digital technology and circular economy capabilities through case interviews, but they focused more on organizational resources rather than the actual thoughts or feelings of individuals. </w:t>
      </w:r>
      <w:proofErr w:type="spellStart"/>
      <w:r w:rsidR="00E77277">
        <w:rPr>
          <w:rFonts w:ascii="Times New Roman" w:hAnsi="Times New Roman" w:cs="Times New Roman" w:hint="eastAsia"/>
          <w:sz w:val="24"/>
        </w:rPr>
        <w:t>C</w:t>
      </w:r>
      <w:r w:rsidRPr="00C43C37">
        <w:rPr>
          <w:rFonts w:ascii="Times New Roman" w:hAnsi="Times New Roman" w:cs="Times New Roman"/>
          <w:sz w:val="24"/>
        </w:rPr>
        <w:t>arisisimi</w:t>
      </w:r>
      <w:proofErr w:type="spellEnd"/>
      <w:r w:rsidRPr="00C43C37">
        <w:rPr>
          <w:rFonts w:ascii="Times New Roman" w:hAnsi="Times New Roman" w:cs="Times New Roman"/>
          <w:sz w:val="24"/>
        </w:rPr>
        <w:t xml:space="preserve"> et al. (2023) also conducted a multi-case analysis of small and medium-sized enterprises in Italy, spending more time classifying circular economy practices rather than deeply exploring the cognitive obstacles faced by stakeholders.</w:t>
      </w:r>
    </w:p>
    <w:p w14:paraId="6F601F2B" w14:textId="5A3C1AEB" w:rsidR="00C43C37" w:rsidRDefault="00C43C37" w:rsidP="00060596">
      <w:pPr>
        <w:spacing w:line="360" w:lineRule="auto"/>
        <w:rPr>
          <w:rFonts w:ascii="Times New Roman" w:hAnsi="Times New Roman" w:cs="Times New Roman"/>
          <w:sz w:val="24"/>
        </w:rPr>
      </w:pPr>
      <w:r w:rsidRPr="00C43C37">
        <w:rPr>
          <w:rFonts w:ascii="Times New Roman" w:hAnsi="Times New Roman" w:cs="Times New Roman"/>
          <w:sz w:val="24"/>
        </w:rPr>
        <w:t xml:space="preserve">Secondly, there is a lack of targeted research on stakeholders. Most studies analyze issues from the perspective of the company level but fail to deeply explore the </w:t>
      </w:r>
      <w:r w:rsidRPr="00C43C37">
        <w:rPr>
          <w:rFonts w:ascii="Times New Roman" w:hAnsi="Times New Roman" w:cs="Times New Roman"/>
          <w:sz w:val="24"/>
        </w:rPr>
        <w:lastRenderedPageBreak/>
        <w:t>individual viewpoints of key stakeholders and how their interactions affect the enterprise integration practices. Maher et al. (2023) mentioned issues related to supply chain cooperation when evaluating the pilot project of small and medium-sized enterprises in Australia, but they did not delve into the different viewpoints of managers, employees, and partners. This is disconnected from the actual situation of Chinese textile small and medium-sized enterprises - most of these enterprises are family-run workshops with complex stakeholder relationships (Murray et al., 2017). Moreover, none of these five studies systematically examined subjective factors - such as the managers' acceptance of risks or the employees' ability to adapt to a new culture - how these factors interact with objective obstacles to affect the outcome of enterprise integration. This gap means that we have not comprehensively understood how small and medium-sized enterprises should deal with the transformation process of their enterprise integration.</w:t>
      </w:r>
    </w:p>
    <w:p w14:paraId="5ED30C18" w14:textId="01D1F993"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 xml:space="preserve">Table 2. Research summary on CE practices of SMEs </w:t>
      </w:r>
    </w:p>
    <w:tbl>
      <w:tblPr>
        <w:tblStyle w:val="af3"/>
        <w:tblW w:w="8359" w:type="dxa"/>
        <w:tblLook w:val="04A0" w:firstRow="1" w:lastRow="0" w:firstColumn="1" w:lastColumn="0" w:noHBand="0" w:noVBand="1"/>
      </w:tblPr>
      <w:tblGrid>
        <w:gridCol w:w="1378"/>
        <w:gridCol w:w="2163"/>
        <w:gridCol w:w="1885"/>
        <w:gridCol w:w="2933"/>
      </w:tblGrid>
      <w:tr w:rsidR="007926D5" w:rsidRPr="007A673A" w14:paraId="0504A790" w14:textId="77777777" w:rsidTr="00207FBE">
        <w:tc>
          <w:tcPr>
            <w:tcW w:w="988" w:type="dxa"/>
          </w:tcPr>
          <w:p w14:paraId="6183D680"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Studies</w:t>
            </w:r>
          </w:p>
        </w:tc>
        <w:tc>
          <w:tcPr>
            <w:tcW w:w="2268" w:type="dxa"/>
          </w:tcPr>
          <w:p w14:paraId="19C8C7EA"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Context</w:t>
            </w:r>
          </w:p>
        </w:tc>
        <w:tc>
          <w:tcPr>
            <w:tcW w:w="1984" w:type="dxa"/>
          </w:tcPr>
          <w:p w14:paraId="46AA2690"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Method</w:t>
            </w:r>
          </w:p>
        </w:tc>
        <w:tc>
          <w:tcPr>
            <w:tcW w:w="3119" w:type="dxa"/>
          </w:tcPr>
          <w:p w14:paraId="089631E4"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Research Conclusion</w:t>
            </w:r>
          </w:p>
        </w:tc>
      </w:tr>
      <w:tr w:rsidR="007926D5" w:rsidRPr="007A673A" w14:paraId="0986C2E6" w14:textId="77777777" w:rsidTr="00207FBE">
        <w:tc>
          <w:tcPr>
            <w:tcW w:w="988" w:type="dxa"/>
          </w:tcPr>
          <w:p w14:paraId="1E9CE77A"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Mahler, </w:t>
            </w:r>
            <w:proofErr w:type="spellStart"/>
            <w:r w:rsidRPr="007A673A">
              <w:rPr>
                <w:rFonts w:ascii="Times New Roman" w:hAnsi="Times New Roman" w:cs="Times New Roman"/>
                <w:sz w:val="21"/>
                <w:szCs w:val="21"/>
              </w:rPr>
              <w:t>Yanold</w:t>
            </w:r>
            <w:proofErr w:type="spellEnd"/>
            <w:r w:rsidRPr="007A673A">
              <w:rPr>
                <w:rFonts w:ascii="Times New Roman" w:hAnsi="Times New Roman" w:cs="Times New Roman"/>
                <w:sz w:val="21"/>
                <w:szCs w:val="21"/>
              </w:rPr>
              <w:t xml:space="preserve">, and </w:t>
            </w:r>
            <w:proofErr w:type="spellStart"/>
            <w:r w:rsidRPr="007A673A">
              <w:rPr>
                <w:rFonts w:ascii="Times New Roman" w:hAnsi="Times New Roman" w:cs="Times New Roman"/>
                <w:sz w:val="21"/>
                <w:szCs w:val="21"/>
              </w:rPr>
              <w:t>Pushpamali</w:t>
            </w:r>
            <w:proofErr w:type="spellEnd"/>
            <w:r w:rsidRPr="007A673A">
              <w:rPr>
                <w:rFonts w:ascii="Times New Roman" w:hAnsi="Times New Roman" w:cs="Times New Roman"/>
                <w:sz w:val="21"/>
                <w:szCs w:val="21"/>
              </w:rPr>
              <w:t xml:space="preserve"> (2023)</w:t>
            </w:r>
          </w:p>
        </w:tc>
        <w:tc>
          <w:tcPr>
            <w:tcW w:w="2268" w:type="dxa"/>
          </w:tcPr>
          <w:p w14:paraId="0468F496"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SMEs in Queensland, Australia, belonging to the textile, organic waste treatment, and construction material manufacturing sectors. It is set within a government-supported circular economy pilot program.</w:t>
            </w:r>
          </w:p>
        </w:tc>
        <w:tc>
          <w:tcPr>
            <w:tcW w:w="1984" w:type="dxa"/>
          </w:tcPr>
          <w:p w14:paraId="497BD9FC"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Mixed research methods</w:t>
            </w:r>
          </w:p>
        </w:tc>
        <w:tc>
          <w:tcPr>
            <w:tcW w:w="3119" w:type="dxa"/>
          </w:tcPr>
          <w:p w14:paraId="2F667AEE"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The core barriers to SMEs' CE implementation include insufficient funds, inadequate supply chain collaboration, and low policy adaptability. Governments should empower SMEs through training, funding subsidies, and procurement incentives, combined with industry-specific customized tools.</w:t>
            </w:r>
          </w:p>
        </w:tc>
      </w:tr>
      <w:tr w:rsidR="007926D5" w:rsidRPr="007A673A" w14:paraId="2A713586" w14:textId="77777777" w:rsidTr="00207FBE">
        <w:tc>
          <w:tcPr>
            <w:tcW w:w="988" w:type="dxa"/>
          </w:tcPr>
          <w:p w14:paraId="11EF9B25"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Howard, M., Yan, X., Mustafee, N., </w:t>
            </w:r>
            <w:r w:rsidRPr="007A673A">
              <w:rPr>
                <w:rFonts w:ascii="Times New Roman" w:hAnsi="Times New Roman" w:cs="Times New Roman"/>
                <w:sz w:val="21"/>
                <w:szCs w:val="21"/>
              </w:rPr>
              <w:lastRenderedPageBreak/>
              <w:t xml:space="preserve">Charnley, F., </w:t>
            </w:r>
            <w:proofErr w:type="spellStart"/>
            <w:r w:rsidRPr="007A673A">
              <w:rPr>
                <w:rFonts w:ascii="Times New Roman" w:hAnsi="Times New Roman" w:cs="Times New Roman"/>
                <w:sz w:val="21"/>
                <w:szCs w:val="21"/>
              </w:rPr>
              <w:t>B¨ohm</w:t>
            </w:r>
            <w:proofErr w:type="spellEnd"/>
            <w:r w:rsidRPr="007A673A">
              <w:rPr>
                <w:rFonts w:ascii="Times New Roman" w:hAnsi="Times New Roman" w:cs="Times New Roman"/>
                <w:sz w:val="21"/>
                <w:szCs w:val="21"/>
              </w:rPr>
              <w:t>, S., &amp; Pascucci, S. (2022)</w:t>
            </w:r>
          </w:p>
        </w:tc>
        <w:tc>
          <w:tcPr>
            <w:tcW w:w="2268" w:type="dxa"/>
          </w:tcPr>
          <w:p w14:paraId="301F86A7"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lastRenderedPageBreak/>
              <w:t>UK and European SMEs across multiple sectors, such as agri-</w:t>
            </w:r>
            <w:r w:rsidRPr="007A673A">
              <w:rPr>
                <w:rFonts w:ascii="Times New Roman" w:hAnsi="Times New Roman" w:cs="Times New Roman"/>
                <w:sz w:val="21"/>
                <w:szCs w:val="21"/>
              </w:rPr>
              <w:lastRenderedPageBreak/>
              <w:t>food, bicycle manufacturing, carpet production, and shared mobility. It focuses on the practical scenario of SMEs transitioning from linear to circular models.</w:t>
            </w:r>
          </w:p>
        </w:tc>
        <w:tc>
          <w:tcPr>
            <w:tcW w:w="1984" w:type="dxa"/>
          </w:tcPr>
          <w:p w14:paraId="447D6E96"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lastRenderedPageBreak/>
              <w:t>Mixed research methods</w:t>
            </w:r>
          </w:p>
        </w:tc>
        <w:tc>
          <w:tcPr>
            <w:tcW w:w="3119" w:type="dxa"/>
          </w:tcPr>
          <w:p w14:paraId="1B0859FE"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Tools like value mapping and life cycle assessment, after adaptation, can effectively </w:t>
            </w:r>
            <w:r w:rsidRPr="007A673A">
              <w:rPr>
                <w:rFonts w:ascii="Times New Roman" w:hAnsi="Times New Roman" w:cs="Times New Roman"/>
                <w:sz w:val="21"/>
                <w:szCs w:val="21"/>
              </w:rPr>
              <w:lastRenderedPageBreak/>
              <w:t>support SMEs' CE practices. The transition involves three phases—opportunity identification, project initiation, and large-scale implementation—and requires regional collaboration and digital technology support.</w:t>
            </w:r>
          </w:p>
        </w:tc>
      </w:tr>
      <w:tr w:rsidR="007926D5" w:rsidRPr="007A673A" w14:paraId="62213AD3" w14:textId="77777777" w:rsidTr="00207FBE">
        <w:tc>
          <w:tcPr>
            <w:tcW w:w="988" w:type="dxa"/>
          </w:tcPr>
          <w:p w14:paraId="541F1DC3"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lastRenderedPageBreak/>
              <w:t xml:space="preserve">Arranz, C.F.A., </w:t>
            </w:r>
            <w:proofErr w:type="spellStart"/>
            <w:r w:rsidRPr="007A673A">
              <w:rPr>
                <w:rFonts w:ascii="Times New Roman" w:hAnsi="Times New Roman" w:cs="Times New Roman"/>
                <w:sz w:val="21"/>
                <w:szCs w:val="21"/>
              </w:rPr>
              <w:t>Arroyabe</w:t>
            </w:r>
            <w:proofErr w:type="spellEnd"/>
            <w:r w:rsidRPr="007A673A">
              <w:rPr>
                <w:rFonts w:ascii="Times New Roman" w:hAnsi="Times New Roman" w:cs="Times New Roman"/>
                <w:sz w:val="21"/>
                <w:szCs w:val="21"/>
              </w:rPr>
              <w:t xml:space="preserve">, M.F., &amp; Fernandez de </w:t>
            </w:r>
            <w:proofErr w:type="spellStart"/>
            <w:r w:rsidRPr="007A673A">
              <w:rPr>
                <w:rFonts w:ascii="Times New Roman" w:hAnsi="Times New Roman" w:cs="Times New Roman"/>
                <w:sz w:val="21"/>
                <w:szCs w:val="21"/>
              </w:rPr>
              <w:t>Arroyabe</w:t>
            </w:r>
            <w:proofErr w:type="spellEnd"/>
            <w:r w:rsidRPr="007A673A">
              <w:rPr>
                <w:rFonts w:ascii="Times New Roman" w:hAnsi="Times New Roman" w:cs="Times New Roman"/>
                <w:sz w:val="21"/>
                <w:szCs w:val="21"/>
              </w:rPr>
              <w:t>, J.C. (2024)</w:t>
            </w:r>
          </w:p>
        </w:tc>
        <w:tc>
          <w:tcPr>
            <w:tcW w:w="2268" w:type="dxa"/>
          </w:tcPr>
          <w:p w14:paraId="48C591A3"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SMEs from 27 EU countries and 12 non-EU countries, covering 16 industries including manufacturing, retail, and scientific and technical activities. It includes micro, small, and medium-sized enterprises.</w:t>
            </w:r>
          </w:p>
        </w:tc>
        <w:tc>
          <w:tcPr>
            <w:tcW w:w="1984" w:type="dxa"/>
          </w:tcPr>
          <w:p w14:paraId="5E710536"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Quantitative method</w:t>
            </w:r>
          </w:p>
        </w:tc>
        <w:tc>
          <w:tcPr>
            <w:tcW w:w="3119" w:type="dxa"/>
          </w:tcPr>
          <w:p w14:paraId="30E1D125"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SMEs face a two-stage barrier in CE transition: feasibility barriers (management evaluation phase) and resource capability barriers (implementation phase). Successful transformation requires converting barriers into challenges and achieving organizational change through gradual integration of environmental activities.</w:t>
            </w:r>
          </w:p>
        </w:tc>
      </w:tr>
      <w:tr w:rsidR="007926D5" w:rsidRPr="007A673A" w14:paraId="5E8D13E4" w14:textId="77777777" w:rsidTr="00207FBE">
        <w:tc>
          <w:tcPr>
            <w:tcW w:w="988" w:type="dxa"/>
          </w:tcPr>
          <w:p w14:paraId="2FDAAE4F"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Chaudhuri, A., Subramanian, N., &amp; Dora, M. (2022)</w:t>
            </w:r>
          </w:p>
        </w:tc>
        <w:tc>
          <w:tcPr>
            <w:tcW w:w="2268" w:type="dxa"/>
          </w:tcPr>
          <w:p w14:paraId="735DD7A0"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SMEs in Western countries such as Canada and the UK, involving sectors like plastic recycling, textiles, and 3D printing consumables. The context centers on the integration of </w:t>
            </w:r>
            <w:r w:rsidRPr="007A673A">
              <w:rPr>
                <w:rFonts w:ascii="Times New Roman" w:hAnsi="Times New Roman" w:cs="Times New Roman"/>
                <w:sz w:val="21"/>
                <w:szCs w:val="21"/>
              </w:rPr>
              <w:lastRenderedPageBreak/>
              <w:t>digital technologies and circular economy practices.</w:t>
            </w:r>
          </w:p>
        </w:tc>
        <w:tc>
          <w:tcPr>
            <w:tcW w:w="1984" w:type="dxa"/>
          </w:tcPr>
          <w:p w14:paraId="7226078A"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lastRenderedPageBreak/>
              <w:t>Qualitative method</w:t>
            </w:r>
          </w:p>
        </w:tc>
        <w:tc>
          <w:tcPr>
            <w:tcW w:w="3119" w:type="dxa"/>
          </w:tcPr>
          <w:p w14:paraId="37FC210F"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 xml:space="preserve">SMEs need exploitation and adaptive capabilities to utilize CE resources, as well as exploration and adaptive capabilities to implement digital technologies. Digital technologies (blockchain, 3D printing) enhance transparency and optimize processes, </w:t>
            </w:r>
            <w:r w:rsidRPr="007A673A">
              <w:rPr>
                <w:rFonts w:ascii="Times New Roman" w:hAnsi="Times New Roman" w:cs="Times New Roman"/>
                <w:sz w:val="21"/>
                <w:szCs w:val="21"/>
              </w:rPr>
              <w:lastRenderedPageBreak/>
              <w:t>facilitating the conversion of CE value into customer value.</w:t>
            </w:r>
          </w:p>
        </w:tc>
      </w:tr>
      <w:tr w:rsidR="007926D5" w:rsidRPr="007A673A" w14:paraId="65DB9281" w14:textId="77777777" w:rsidTr="00207FBE">
        <w:tc>
          <w:tcPr>
            <w:tcW w:w="988" w:type="dxa"/>
          </w:tcPr>
          <w:p w14:paraId="6540EAB1"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lastRenderedPageBreak/>
              <w:t>Carissimi, M.C., Creazza, A., Pisa, M.F., &amp; Urbinati, A. (2023)</w:t>
            </w:r>
          </w:p>
        </w:tc>
        <w:tc>
          <w:tcPr>
            <w:tcW w:w="2268" w:type="dxa"/>
          </w:tcPr>
          <w:p w14:paraId="0678727A"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Italian SMEs across 14 industries (e.g., fashion, packaging, agri-food), with a sample of 100 SMEs and 9 in-depth case studies. It focuses on the European SME-intensive economic context, where SMEs account for 80% of Italian enterprises.</w:t>
            </w:r>
          </w:p>
        </w:tc>
        <w:tc>
          <w:tcPr>
            <w:tcW w:w="1984" w:type="dxa"/>
          </w:tcPr>
          <w:p w14:paraId="55CC748E"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Mixed qualitative methods</w:t>
            </w:r>
          </w:p>
        </w:tc>
        <w:tc>
          <w:tcPr>
            <w:tcW w:w="3119" w:type="dxa"/>
          </w:tcPr>
          <w:p w14:paraId="1FA05B4E" w14:textId="77777777" w:rsidR="007926D5" w:rsidRPr="007A673A" w:rsidRDefault="007926D5" w:rsidP="00060596">
            <w:pPr>
              <w:spacing w:line="360" w:lineRule="auto"/>
              <w:rPr>
                <w:rFonts w:ascii="Times New Roman" w:hAnsi="Times New Roman" w:cs="Times New Roman"/>
                <w:sz w:val="21"/>
                <w:szCs w:val="21"/>
              </w:rPr>
            </w:pPr>
            <w:r w:rsidRPr="007A673A">
              <w:rPr>
                <w:rFonts w:ascii="Times New Roman" w:hAnsi="Times New Roman" w:cs="Times New Roman"/>
                <w:sz w:val="21"/>
                <w:szCs w:val="21"/>
              </w:rPr>
              <w:t>Italian SMEs mainly adopt CE practices such as biochemical feedstock extraction (biological cycle) and recycling (technical cycle). The realization of circular supply chains (CSCs) relies on stakeholder collaboration and a long-term operational perspective, and SMEs can achieve partial or complete CSCs through multi-level practices.</w:t>
            </w:r>
          </w:p>
        </w:tc>
      </w:tr>
    </w:tbl>
    <w:p w14:paraId="33905088" w14:textId="77777777" w:rsidR="007926D5" w:rsidRPr="007A673A" w:rsidRDefault="007926D5" w:rsidP="00060596">
      <w:pPr>
        <w:spacing w:line="360" w:lineRule="auto"/>
        <w:rPr>
          <w:rFonts w:ascii="Times New Roman" w:hAnsi="Times New Roman" w:cs="Times New Roman"/>
          <w:sz w:val="24"/>
        </w:rPr>
      </w:pPr>
    </w:p>
    <w:p w14:paraId="426E39F0" w14:textId="77777777"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2.3 Stakeholder Theory</w:t>
      </w:r>
    </w:p>
    <w:p w14:paraId="791C262D" w14:textId="77777777" w:rsidR="00C43C37" w:rsidRPr="00C43C37" w:rsidRDefault="00C43C37" w:rsidP="00060596">
      <w:pPr>
        <w:spacing w:line="360" w:lineRule="auto"/>
        <w:rPr>
          <w:rFonts w:ascii="Times New Roman" w:hAnsi="Times New Roman" w:cs="Times New Roman"/>
          <w:sz w:val="24"/>
        </w:rPr>
      </w:pPr>
      <w:r w:rsidRPr="00C43C37">
        <w:rPr>
          <w:rFonts w:ascii="Times New Roman" w:hAnsi="Times New Roman" w:cs="Times New Roman" w:hint="eastAsia"/>
          <w:sz w:val="24"/>
        </w:rPr>
        <w:t xml:space="preserve">The stakeholder theory was proposed by Roy Edward Freeman in 1984. This theory emphasizes that the sustainable development of an organization relies on coordinating the interests of stakeholders to achieve mutual benefit and win-win results. Unlike the traditional shareholder-centered perspective that only focuses on the profits of investors, this theory holds that enterprises need to be responsible for a broader group with interrelated interests and view the enterprise as an interrelated system that relies on balanced cooperation among all parties (Freeman, 1984). </w:t>
      </w:r>
    </w:p>
    <w:p w14:paraId="657B7BBB" w14:textId="2473EC61" w:rsidR="00C43C37" w:rsidRDefault="00447E45" w:rsidP="00060596">
      <w:pPr>
        <w:spacing w:line="360" w:lineRule="auto"/>
        <w:rPr>
          <w:rFonts w:ascii="Times New Roman" w:hAnsi="Times New Roman" w:cs="Times New Roman"/>
          <w:sz w:val="24"/>
        </w:rPr>
      </w:pPr>
      <w:r w:rsidRPr="00447E45">
        <w:rPr>
          <w:rFonts w:ascii="Times New Roman" w:hAnsi="Times New Roman" w:cs="Times New Roman"/>
          <w:sz w:val="24"/>
        </w:rPr>
        <w:t xml:space="preserve">Stakeholders are described as any people, group, or organization that can impact or be impacted by the attainment of the enterprise's objectives (Freeman, 1984). </w:t>
      </w:r>
      <w:r w:rsidR="00C43C37" w:rsidRPr="00C43C37">
        <w:rPr>
          <w:rFonts w:ascii="Times New Roman" w:hAnsi="Times New Roman" w:cs="Times New Roman" w:hint="eastAsia"/>
          <w:sz w:val="24"/>
        </w:rPr>
        <w:t xml:space="preserve">This includes the primary stakeholders directly involved in the core business - such as shareholders, employees, customers, and suppliers, as well as secondary stakeholders </w:t>
      </w:r>
      <w:r w:rsidR="00C43C37" w:rsidRPr="00C43C37">
        <w:rPr>
          <w:rFonts w:ascii="Times New Roman" w:hAnsi="Times New Roman" w:cs="Times New Roman" w:hint="eastAsia"/>
          <w:sz w:val="24"/>
        </w:rPr>
        <w:lastRenderedPageBreak/>
        <w:t>like government agencies or local communities. For example, in the context of the circular economy (CE), stakeholders also include waste management partners and sustainability regulatory agencies (Mach et al., 2023).</w:t>
      </w:r>
    </w:p>
    <w:p w14:paraId="4C2E8CFE" w14:textId="15A491D6"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Stakeholders are critical to companies because they supply indispensable resources—such as capital, labor, raw materials, and market demand—that sustain daily operations and growth; engaging with them helps mitigate risks like regulatory non-compliance or public backlash while building trust in sustainable practices; and their diverse perspectives drive innovation, enhancing the feasibility of strategic transitions (e.g., CE adoption for SMEs) and boosting long-term competitiveness (Howard et al., 2022).</w:t>
      </w:r>
    </w:p>
    <w:p w14:paraId="30E3BFE5"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In CE, this stakeholder theory can be used to analyze value creation mechanisms, as CE’s core goals require collaborative participation from multiple stakeholders (</w:t>
      </w:r>
      <w:proofErr w:type="spellStart"/>
      <w:r w:rsidRPr="007A673A">
        <w:rPr>
          <w:rFonts w:ascii="Times New Roman" w:hAnsi="Times New Roman" w:cs="Times New Roman"/>
          <w:sz w:val="24"/>
        </w:rPr>
        <w:t>Tapaninaho</w:t>
      </w:r>
      <w:proofErr w:type="spellEnd"/>
      <w:r w:rsidRPr="007A673A">
        <w:rPr>
          <w:rFonts w:ascii="Times New Roman" w:hAnsi="Times New Roman" w:cs="Times New Roman"/>
          <w:sz w:val="24"/>
        </w:rPr>
        <w:t xml:space="preserve"> &amp; Heikkinen, 2022). Stakeholders in CE refer to all individuals or groups involved in the operation and development of Chinese textile SMEs whose interests are related to the enterprises' CE practices (Freeman, 2010). In these CE practices, stakeholders exhibit diverse characteristics and demands internal stakeholders such as managers, employees, and R&amp;D personnel focus on cost control, workload changes, and technical feasibility respectively; external stakeholders including governments, consumers, and industry associations influence CE development through policies, market demand, and resource connection (Camilleri, 2025). As </w:t>
      </w:r>
      <w:proofErr w:type="spellStart"/>
      <w:r w:rsidRPr="007A673A">
        <w:rPr>
          <w:rFonts w:ascii="Times New Roman" w:hAnsi="Times New Roman" w:cs="Times New Roman"/>
          <w:sz w:val="24"/>
        </w:rPr>
        <w:t>Bocken</w:t>
      </w:r>
      <w:proofErr w:type="spellEnd"/>
      <w:r w:rsidRPr="007A673A">
        <w:rPr>
          <w:rFonts w:ascii="Times New Roman" w:hAnsi="Times New Roman" w:cs="Times New Roman"/>
          <w:sz w:val="24"/>
        </w:rPr>
        <w:t xml:space="preserve"> et al. (2016) note, circular innovation in the industrial field cannot be achieved by a single enterprise alone; it requires an open innovation model involving co-creation among internal and external stakeholders. </w:t>
      </w:r>
    </w:p>
    <w:p w14:paraId="2C4582F1" w14:textId="77777777" w:rsidR="007926D5" w:rsidRPr="007A673A" w:rsidRDefault="007926D5" w:rsidP="00060596">
      <w:pPr>
        <w:spacing w:line="360" w:lineRule="auto"/>
        <w:rPr>
          <w:rFonts w:ascii="Times New Roman" w:hAnsi="Times New Roman" w:cs="Times New Roman"/>
          <w:sz w:val="24"/>
        </w:rPr>
      </w:pPr>
      <w:r w:rsidRPr="007A673A">
        <w:rPr>
          <w:rFonts w:ascii="Times New Roman" w:hAnsi="Times New Roman" w:cs="Times New Roman"/>
          <w:sz w:val="24"/>
        </w:rPr>
        <w:t xml:space="preserve">Existing research on SME stakeholders mainly focuses on quantitative analysis of relationship management and interest conflict coordination—for example, verifying the correlation between stakeholder participation and corporate innovation performance (Garriga, 2014; Konietzko, </w:t>
      </w:r>
      <w:proofErr w:type="spellStart"/>
      <w:r w:rsidRPr="007A673A">
        <w:rPr>
          <w:rFonts w:ascii="Times New Roman" w:hAnsi="Times New Roman" w:cs="Times New Roman"/>
          <w:sz w:val="24"/>
        </w:rPr>
        <w:t>Bocken</w:t>
      </w:r>
      <w:proofErr w:type="spellEnd"/>
      <w:r w:rsidRPr="007A673A">
        <w:rPr>
          <w:rFonts w:ascii="Times New Roman" w:hAnsi="Times New Roman" w:cs="Times New Roman"/>
          <w:sz w:val="24"/>
        </w:rPr>
        <w:t xml:space="preserve"> &amp; </w:t>
      </w:r>
      <w:proofErr w:type="spellStart"/>
      <w:r w:rsidRPr="007A673A">
        <w:rPr>
          <w:rFonts w:ascii="Times New Roman" w:hAnsi="Times New Roman" w:cs="Times New Roman"/>
          <w:sz w:val="24"/>
        </w:rPr>
        <w:t>Hultink</w:t>
      </w:r>
      <w:proofErr w:type="spellEnd"/>
      <w:r w:rsidRPr="007A673A">
        <w:rPr>
          <w:rFonts w:ascii="Times New Roman" w:hAnsi="Times New Roman" w:cs="Times New Roman"/>
          <w:sz w:val="24"/>
        </w:rPr>
        <w:t>, 2020). However, research on stakeholders’ subjective perceptions of CE is extremely scarce, making it difficult to reveal the internal driving forces and constraints of SMEs' CE transformation.</w:t>
      </w:r>
    </w:p>
    <w:p w14:paraId="01BD2DB9" w14:textId="77777777"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lastRenderedPageBreak/>
        <w:t>2.4 Literature Summary</w:t>
      </w:r>
    </w:p>
    <w:p w14:paraId="40B84293" w14:textId="2203FEC2" w:rsidR="00C43C37" w:rsidRPr="00C43C37" w:rsidRDefault="00C43C37" w:rsidP="00060596">
      <w:pPr>
        <w:spacing w:line="360" w:lineRule="auto"/>
        <w:rPr>
          <w:rFonts w:ascii="Times New Roman" w:hAnsi="Times New Roman" w:cs="Times New Roman"/>
          <w:sz w:val="24"/>
        </w:rPr>
      </w:pPr>
      <w:r w:rsidRPr="00C43C37">
        <w:rPr>
          <w:rFonts w:ascii="Times New Roman" w:hAnsi="Times New Roman" w:cs="Times New Roman" w:hint="eastAsia"/>
          <w:sz w:val="24"/>
        </w:rPr>
        <w:t>Overall, the current research on internal control of small and medium-sized enterprises exhibits a notable characteristic of "threefold focus": it leans towards the Western background, the macro level, and the objective perspective, and incorporates quantitative research. Most studies conduct quantitative analysis based on the Western institutional environment and pay insufficient attention to emerging economies like China, resulting in conclusions that lack specificity (Nat</w:t>
      </w:r>
      <w:r w:rsidR="00E77277">
        <w:rPr>
          <w:rFonts w:ascii="Times New Roman" w:hAnsi="Times New Roman" w:cs="Times New Roman" w:hint="eastAsia"/>
          <w:sz w:val="24"/>
        </w:rPr>
        <w:t>h</w:t>
      </w:r>
      <w:r w:rsidRPr="00C43C37">
        <w:rPr>
          <w:rFonts w:ascii="Times New Roman" w:hAnsi="Times New Roman" w:cs="Times New Roman" w:hint="eastAsia"/>
          <w:sz w:val="24"/>
        </w:rPr>
        <w:t xml:space="preserve">, 2025; Ray et al., 2023). From a research perspective, the core focus lies in the transformation path at the macro level and policy evaluation, with insufficient exploration of the </w:t>
      </w:r>
      <w:r w:rsidRPr="00C43C37">
        <w:rPr>
          <w:rFonts w:ascii="Times New Roman" w:hAnsi="Times New Roman" w:cs="Times New Roman"/>
          <w:sz w:val="24"/>
        </w:rPr>
        <w:t>micro-operational</w:t>
      </w:r>
      <w:r w:rsidRPr="00C43C37">
        <w:rPr>
          <w:rFonts w:ascii="Times New Roman" w:hAnsi="Times New Roman" w:cs="Times New Roman" w:hint="eastAsia"/>
          <w:sz w:val="24"/>
        </w:rPr>
        <w:t xml:space="preserve"> logic within small and medium-sized enterprises. In terms of methods, quantitative research dominates, while the subjective dimension that cannot be quantified is overlooked (Muri et al., 2017).</w:t>
      </w:r>
    </w:p>
    <w:p w14:paraId="71460F9E" w14:textId="47F6029C" w:rsidR="007926D5" w:rsidRPr="007A673A" w:rsidRDefault="00C43C37" w:rsidP="00060596">
      <w:pPr>
        <w:spacing w:line="360" w:lineRule="auto"/>
        <w:rPr>
          <w:rFonts w:ascii="Times New Roman" w:hAnsi="Times New Roman" w:cs="Times New Roman"/>
          <w:sz w:val="24"/>
        </w:rPr>
      </w:pPr>
      <w:r w:rsidRPr="00C43C37">
        <w:rPr>
          <w:rFonts w:ascii="Times New Roman" w:hAnsi="Times New Roman" w:cs="Times New Roman" w:hint="eastAsia"/>
          <w:sz w:val="24"/>
        </w:rPr>
        <w:t xml:space="preserve">The core gap in current research can be summarized as "threefold deficiency": Firstly, there is a lack of a Chinese background, especially for the Chinese textile industry - an industry with high resource consumption and low waste recycling rate, and which is dominated by small and medium-sized enterprises that urgently need to undergo </w:t>
      </w:r>
      <w:r w:rsidR="00E77277" w:rsidRPr="00E77277">
        <w:rPr>
          <w:rFonts w:ascii="Times New Roman" w:hAnsi="Times New Roman" w:cs="Times New Roman"/>
          <w:sz w:val="24"/>
        </w:rPr>
        <w:t>circular economy transformation</w:t>
      </w:r>
      <w:r w:rsidRPr="00C43C37">
        <w:rPr>
          <w:rFonts w:ascii="Times New Roman" w:hAnsi="Times New Roman" w:cs="Times New Roman" w:hint="eastAsia"/>
          <w:sz w:val="24"/>
        </w:rPr>
        <w:t xml:space="preserve"> (National Development and Reform Commission [NDRC], 2022; China Textile Industry Federation, 2025); Secondly, there is a lack of a micro perspective, and most studies still remain at the industry or national level; Thirdly, due to the lack of subjective cognition, the cognitive confusion and value judgments faced by stakeholders during the transformation process are ignored, which are precisely the key factors for the success of the transformation.</w:t>
      </w:r>
    </w:p>
    <w:p w14:paraId="27D21C8E" w14:textId="77777777"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2.5 Theoretical Framework</w:t>
      </w:r>
    </w:p>
    <w:p w14:paraId="0F18165A" w14:textId="77777777" w:rsidR="00C43C37" w:rsidRPr="00C43C37" w:rsidRDefault="00C43C37" w:rsidP="00060596">
      <w:pPr>
        <w:spacing w:line="360" w:lineRule="auto"/>
        <w:rPr>
          <w:rFonts w:ascii="Times New Roman" w:hAnsi="Times New Roman" w:cs="Times New Roman"/>
          <w:sz w:val="24"/>
        </w:rPr>
      </w:pPr>
      <w:r w:rsidRPr="00C43C37">
        <w:rPr>
          <w:rFonts w:ascii="Times New Roman" w:hAnsi="Times New Roman" w:cs="Times New Roman" w:hint="eastAsia"/>
          <w:sz w:val="24"/>
        </w:rPr>
        <w:t xml:space="preserve">Imanda (2014) defined the theoretical framework as the theories (or a set of theories) selected by researchers to guide the interpretation of specific phenomena or research questions. It may draw on one or more theories from the literature related to the research field or topic (Swanson, 2007). Given that the focus of this study is to </w:t>
      </w:r>
      <w:r w:rsidRPr="00C43C37">
        <w:rPr>
          <w:rFonts w:ascii="Times New Roman" w:hAnsi="Times New Roman" w:cs="Times New Roman" w:hint="eastAsia"/>
          <w:sz w:val="24"/>
        </w:rPr>
        <w:lastRenderedPageBreak/>
        <w:t>explore the subjective experiences and interpretation processes of Chinese textile small and medium-sized enterprises in CE practices, the interpretivist perspective - combined with the stakeholder theory - constitutes its core theoretical foundation.</w:t>
      </w:r>
    </w:p>
    <w:p w14:paraId="2A1E3F1B" w14:textId="551353B8" w:rsidR="00C43C37" w:rsidRPr="00C43C37" w:rsidRDefault="00C43C37" w:rsidP="00060596">
      <w:pPr>
        <w:spacing w:line="360" w:lineRule="auto"/>
        <w:rPr>
          <w:rFonts w:ascii="Times New Roman" w:hAnsi="Times New Roman" w:cs="Times New Roman"/>
          <w:sz w:val="24"/>
        </w:rPr>
      </w:pPr>
      <w:r w:rsidRPr="00C43C37">
        <w:rPr>
          <w:rFonts w:ascii="Times New Roman" w:hAnsi="Times New Roman" w:cs="Times New Roman" w:hint="eastAsia"/>
          <w:sz w:val="24"/>
        </w:rPr>
        <w:t xml:space="preserve">This study constructs a targeted theoretical framework by integrating the stakeholder theory and the research on CE of small and medium-sized enterprises, aiming to fill the research gap. The application of the stakeholder theory in this study has three core values: Firstly, it provides a tool for systematically identifying the key stakeholders in the CE practices of textile small and medium-sized enterprises, clarifying the interests and influence of internal and external stakeholders (Freeman, 2010; </w:t>
      </w:r>
      <w:r w:rsidR="000217F6" w:rsidRPr="000217F6">
        <w:rPr>
          <w:rFonts w:ascii="Times New Roman" w:hAnsi="Times New Roman" w:cs="Times New Roman"/>
          <w:sz w:val="24"/>
        </w:rPr>
        <w:t>Camilleri</w:t>
      </w:r>
      <w:r w:rsidRPr="00C43C37">
        <w:rPr>
          <w:rFonts w:ascii="Times New Roman" w:hAnsi="Times New Roman" w:cs="Times New Roman" w:hint="eastAsia"/>
          <w:sz w:val="24"/>
        </w:rPr>
        <w:t>, 2025); Secondly, the theory provides a theoretical perspective for analyzing conflicts such as the contradiction between managers' pursuit of short-term economic benefits and the government's long-term environmental goals (</w:t>
      </w:r>
      <w:proofErr w:type="spellStart"/>
      <w:r w:rsidR="000217F6" w:rsidRPr="000217F6">
        <w:rPr>
          <w:rFonts w:ascii="Times New Roman" w:hAnsi="Times New Roman" w:cs="Times New Roman"/>
          <w:sz w:val="24"/>
        </w:rPr>
        <w:t>Tapaninaho</w:t>
      </w:r>
      <w:proofErr w:type="spellEnd"/>
      <w:r w:rsidR="000217F6" w:rsidRPr="000217F6">
        <w:rPr>
          <w:rFonts w:ascii="Times New Roman" w:hAnsi="Times New Roman" w:cs="Times New Roman"/>
          <w:sz w:val="24"/>
        </w:rPr>
        <w:t xml:space="preserve"> &amp; Heikkinen</w:t>
      </w:r>
      <w:r w:rsidRPr="00C43C37">
        <w:rPr>
          <w:rFonts w:ascii="Times New Roman" w:hAnsi="Times New Roman" w:cs="Times New Roman" w:hint="eastAsia"/>
          <w:sz w:val="24"/>
        </w:rPr>
        <w:t xml:space="preserve">, 2022); Thirdly, it guides the optimization path through interest coordination and cross-departmental cooperation (Galarza, 2014; Koenitzko, </w:t>
      </w:r>
      <w:proofErr w:type="spellStart"/>
      <w:r w:rsidRPr="00C43C37">
        <w:rPr>
          <w:rFonts w:ascii="Times New Roman" w:hAnsi="Times New Roman" w:cs="Times New Roman" w:hint="eastAsia"/>
          <w:sz w:val="24"/>
        </w:rPr>
        <w:t>Bocken</w:t>
      </w:r>
      <w:proofErr w:type="spellEnd"/>
      <w:r w:rsidRPr="00C43C37">
        <w:rPr>
          <w:rFonts w:ascii="Times New Roman" w:hAnsi="Times New Roman" w:cs="Times New Roman" w:hint="eastAsia"/>
          <w:sz w:val="24"/>
        </w:rPr>
        <w:t xml:space="preserve"> and </w:t>
      </w:r>
      <w:proofErr w:type="spellStart"/>
      <w:r w:rsidRPr="00C43C37">
        <w:rPr>
          <w:rFonts w:ascii="Times New Roman" w:hAnsi="Times New Roman" w:cs="Times New Roman" w:hint="eastAsia"/>
          <w:sz w:val="24"/>
        </w:rPr>
        <w:t>Hertink</w:t>
      </w:r>
      <w:proofErr w:type="spellEnd"/>
      <w:r w:rsidRPr="00C43C37">
        <w:rPr>
          <w:rFonts w:ascii="Times New Roman" w:hAnsi="Times New Roman" w:cs="Times New Roman" w:hint="eastAsia"/>
          <w:sz w:val="24"/>
        </w:rPr>
        <w:t>, 2020). Therefore, this theory provides an analytical framework for identifying key participants and their relationships, which helps to clarify the complex interest networks and interaction mechanisms behind the enterprise integration practices (</w:t>
      </w:r>
      <w:proofErr w:type="spellStart"/>
      <w:r w:rsidRPr="00C43C37">
        <w:rPr>
          <w:rFonts w:ascii="Times New Roman" w:hAnsi="Times New Roman" w:cs="Times New Roman" w:hint="eastAsia"/>
          <w:sz w:val="24"/>
        </w:rPr>
        <w:t>Koenitzko</w:t>
      </w:r>
      <w:proofErr w:type="spellEnd"/>
      <w:r w:rsidRPr="00C43C37">
        <w:rPr>
          <w:rFonts w:ascii="Times New Roman" w:hAnsi="Times New Roman" w:cs="Times New Roman" w:hint="eastAsia"/>
          <w:sz w:val="24"/>
        </w:rPr>
        <w:t xml:space="preserve">, </w:t>
      </w:r>
      <w:proofErr w:type="spellStart"/>
      <w:r w:rsidRPr="00C43C37">
        <w:rPr>
          <w:rFonts w:ascii="Times New Roman" w:hAnsi="Times New Roman" w:cs="Times New Roman" w:hint="eastAsia"/>
          <w:sz w:val="24"/>
        </w:rPr>
        <w:t>Bocken</w:t>
      </w:r>
      <w:proofErr w:type="spellEnd"/>
      <w:r w:rsidRPr="00C43C37">
        <w:rPr>
          <w:rFonts w:ascii="Times New Roman" w:hAnsi="Times New Roman" w:cs="Times New Roman" w:hint="eastAsia"/>
          <w:sz w:val="24"/>
        </w:rPr>
        <w:t xml:space="preserve"> and </w:t>
      </w:r>
      <w:proofErr w:type="spellStart"/>
      <w:r w:rsidRPr="00C43C37">
        <w:rPr>
          <w:rFonts w:ascii="Times New Roman" w:hAnsi="Times New Roman" w:cs="Times New Roman" w:hint="eastAsia"/>
          <w:sz w:val="24"/>
        </w:rPr>
        <w:t>Hertink</w:t>
      </w:r>
      <w:proofErr w:type="spellEnd"/>
      <w:r w:rsidRPr="00C43C37">
        <w:rPr>
          <w:rFonts w:ascii="Times New Roman" w:hAnsi="Times New Roman" w:cs="Times New Roman" w:hint="eastAsia"/>
          <w:sz w:val="24"/>
        </w:rPr>
        <w:t>, 2020).</w:t>
      </w:r>
    </w:p>
    <w:p w14:paraId="19DBAD8D" w14:textId="6567C26D" w:rsidR="007926D5" w:rsidRPr="007A673A" w:rsidRDefault="00C43C37" w:rsidP="00060596">
      <w:pPr>
        <w:spacing w:line="360" w:lineRule="auto"/>
        <w:rPr>
          <w:rFonts w:ascii="Times New Roman" w:hAnsi="Times New Roman" w:cs="Times New Roman"/>
          <w:sz w:val="24"/>
        </w:rPr>
      </w:pPr>
      <w:r w:rsidRPr="00C43C37">
        <w:rPr>
          <w:rFonts w:ascii="Times New Roman" w:hAnsi="Times New Roman" w:cs="Times New Roman" w:hint="eastAsia"/>
          <w:sz w:val="24"/>
        </w:rPr>
        <w:t>In the context of China's textile industry, managers are regarded as the core stakeholders in the enterprise integration practices, as they directly lead the formulation and implementation of strategies. The core logic of this study lies in: focusing on managers' subjective cognition of enterprise integration, including their understanding of relevant concepts, interpretation of obstacles, and cognition of the contradiction between traditional operations and the principles of enterprise integration; further exploring how these cognitions interact with other stakeholders, thereby influencing the results of enterprise integration practices. This comprehensive framework combines the stakeholder theory with the specific context of Chinese textile small and medium-sized enterprises, compensating for the neglect of the Chinese context and micro perspective in existing research.</w:t>
      </w:r>
      <w:r w:rsidR="007926D5" w:rsidRPr="007A673A" w:rsidDel="00C30380">
        <w:rPr>
          <w:rFonts w:ascii="Times New Roman" w:hAnsi="Times New Roman" w:cs="Times New Roman"/>
          <w:b/>
          <w:bCs/>
          <w:color w:val="FF0000"/>
          <w:sz w:val="24"/>
        </w:rPr>
        <w:t xml:space="preserve"> </w:t>
      </w:r>
    </w:p>
    <w:p w14:paraId="1B9DC4B4" w14:textId="77777777" w:rsidR="007926D5" w:rsidRPr="007A673A" w:rsidRDefault="007926D5" w:rsidP="00060596">
      <w:pPr>
        <w:spacing w:line="360" w:lineRule="auto"/>
        <w:rPr>
          <w:rFonts w:ascii="Times New Roman" w:hAnsi="Times New Roman" w:cs="Times New Roman"/>
          <w:i/>
          <w:iCs/>
          <w:sz w:val="24"/>
        </w:rPr>
      </w:pPr>
    </w:p>
    <w:p w14:paraId="0E8FF600" w14:textId="77777777"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2.6 Conceptual framework</w:t>
      </w:r>
    </w:p>
    <w:p w14:paraId="7C4F063D" w14:textId="226B2015" w:rsidR="006002D8" w:rsidRPr="006002D8" w:rsidRDefault="00447E45" w:rsidP="00060596">
      <w:pPr>
        <w:widowControl/>
        <w:spacing w:line="360" w:lineRule="auto"/>
        <w:rPr>
          <w:rFonts w:ascii="Times New Roman" w:hAnsi="Times New Roman" w:cs="Times New Roman"/>
          <w:sz w:val="24"/>
        </w:rPr>
      </w:pPr>
      <w:r w:rsidRPr="00447E45">
        <w:rPr>
          <w:rFonts w:ascii="Times New Roman" w:hAnsi="Times New Roman" w:cs="Times New Roman"/>
          <w:sz w:val="24"/>
        </w:rPr>
        <w:t>This study's theoretical model seeks to thoroughly examine stakeholders' perceptions and interpretations of the importance of circular economy (CE) activities in small and medium-sized textile firms in China.</w:t>
      </w:r>
      <w:r w:rsidR="006002D8" w:rsidRPr="006002D8">
        <w:rPr>
          <w:rFonts w:ascii="Times New Roman" w:hAnsi="Times New Roman" w:cs="Times New Roman" w:hint="eastAsia"/>
          <w:sz w:val="24"/>
        </w:rPr>
        <w:t xml:space="preserve"> The core lies in exploring how different stakeholder groups determined through stakeholder theory understand the concept of circular economy, recognize implementation obstacles and handle conflicting interest relationships. This model consists of five interrelated elements (background factors, stakeholder positions, subjective experiences, meaning construction processes, and practical achievements of circular economy), following a sequential interactive structure. It follows the inductive logic of phenomenological research and is closely related to the research's focus on understanding subjective life experiences.</w:t>
      </w:r>
    </w:p>
    <w:p w14:paraId="405D179E" w14:textId="59040387" w:rsidR="006002D8" w:rsidRPr="006002D8" w:rsidRDefault="006002D8" w:rsidP="00060596">
      <w:pPr>
        <w:widowControl/>
        <w:spacing w:line="360" w:lineRule="auto"/>
        <w:rPr>
          <w:rFonts w:ascii="Times New Roman" w:hAnsi="Times New Roman" w:cs="Times New Roman"/>
          <w:sz w:val="24"/>
        </w:rPr>
      </w:pPr>
      <w:r w:rsidRPr="006002D8">
        <w:rPr>
          <w:rFonts w:ascii="Times New Roman" w:hAnsi="Times New Roman" w:cs="Times New Roman" w:hint="eastAsia"/>
          <w:sz w:val="24"/>
        </w:rPr>
        <w:t>Background factors form the basis of the model, covering China's institutional environment as well as the unique characteristics of the textile industry. In terms of systems, this encompasses the country's circular economy policies, regulatory guidance from local governments, and cultural norms such as Confucian values and relationship-based networks - all of which influence whether family-run small and medium-sized textile enterprises adopt circular economy practices. For the textile industry, its unique characteristics, such as high reliance on resources, labor-intensive production models, and the complex supply chains of textile industrial clusters in Jiangsu and Zhejiang, further restrict the implementation of enterprise integration (CE).</w:t>
      </w:r>
    </w:p>
    <w:p w14:paraId="3A54BFF1" w14:textId="75F2D57F" w:rsidR="006002D8" w:rsidRPr="007A673A" w:rsidRDefault="006002D8" w:rsidP="00060596">
      <w:pPr>
        <w:widowControl/>
        <w:spacing w:line="360" w:lineRule="auto"/>
        <w:rPr>
          <w:rFonts w:ascii="Times New Roman" w:hAnsi="Times New Roman" w:cs="Times New Roman"/>
          <w:sz w:val="24"/>
        </w:rPr>
      </w:pPr>
      <w:r w:rsidRPr="006002D8">
        <w:rPr>
          <w:rFonts w:ascii="Times New Roman" w:hAnsi="Times New Roman" w:cs="Times New Roman" w:hint="eastAsia"/>
          <w:sz w:val="24"/>
        </w:rPr>
        <w:t xml:space="preserve">The stakeholder stance refers to various roles involved in formulating and implementing decisions related to enterprise integration. These roles correspond one-to-one with the interviewees in this study: enterprise managers, production supervisors, R&amp;D personnel, government policy implementer, and representatives of industry associations. Each role has different responsibilities and priorities - managers focus on the balance between costs and benefits, supervisors on the effectiveness of </w:t>
      </w:r>
      <w:r w:rsidRPr="006002D8">
        <w:rPr>
          <w:rFonts w:ascii="Times New Roman" w:hAnsi="Times New Roman" w:cs="Times New Roman" w:hint="eastAsia"/>
          <w:sz w:val="24"/>
        </w:rPr>
        <w:lastRenderedPageBreak/>
        <w:t>on-site operations, and policymakers are responsible for implementing policies. These differences lead to different stakeholder groups having diverse views on enterprise integration.</w:t>
      </w:r>
    </w:p>
    <w:p w14:paraId="6B86A49C" w14:textId="77777777" w:rsidR="006002D8" w:rsidRPr="006002D8" w:rsidRDefault="006002D8" w:rsidP="00060596">
      <w:pPr>
        <w:widowControl/>
        <w:spacing w:line="360" w:lineRule="auto"/>
        <w:rPr>
          <w:rFonts w:ascii="Times New Roman" w:hAnsi="Times New Roman" w:cs="Times New Roman"/>
          <w:sz w:val="24"/>
        </w:rPr>
      </w:pPr>
      <w:r w:rsidRPr="006002D8">
        <w:rPr>
          <w:rFonts w:ascii="Times New Roman" w:hAnsi="Times New Roman" w:cs="Times New Roman" w:hint="eastAsia"/>
          <w:sz w:val="24"/>
        </w:rPr>
        <w:t xml:space="preserve">The process of meaning generation is located at the core of the model, describing how stakeholders interpret CE practices through social interactions and cultural backgrounds. In the context of small and medium-sized textile enterprises in China, many of which are family firms, this means negotiating the value of CE across family hierarchies, networks of relationships, and industry norms. It is about transforming objective CE policies into subjective action guidelines. </w:t>
      </w:r>
    </w:p>
    <w:p w14:paraId="1E669E02" w14:textId="5F5A3450" w:rsidR="007926D5" w:rsidRPr="007A673A" w:rsidRDefault="006002D8" w:rsidP="00060596">
      <w:pPr>
        <w:widowControl/>
        <w:spacing w:line="360" w:lineRule="auto"/>
        <w:rPr>
          <w:rFonts w:ascii="Times New Roman" w:hAnsi="Times New Roman" w:cs="Times New Roman"/>
          <w:sz w:val="24"/>
        </w:rPr>
      </w:pPr>
      <w:r w:rsidRPr="006002D8">
        <w:rPr>
          <w:rFonts w:ascii="Times New Roman" w:hAnsi="Times New Roman" w:cs="Times New Roman" w:hint="eastAsia"/>
          <w:sz w:val="24"/>
        </w:rPr>
        <w:t xml:space="preserve">The practical outcomes of CE include tangible and intangible results of this meaningful creation, such as adjustments to production processes, higher policy compliance, and stronger industry cooperation. This element closes the loop of the model, links the stakeholders' perceptions with actual actions, and verifies how they understand the actual impact of CE. More importantly, this framework combines the theory of stakeholders with phenomenological insights, avoiding the one-sidedness of relying on a single theory. It bridges the gap between the individual subjective experience of CE and the inter-subjective </w:t>
      </w:r>
      <w:r w:rsidRPr="006002D8">
        <w:rPr>
          <w:rFonts w:ascii="Times New Roman" w:hAnsi="Times New Roman" w:cs="Times New Roman"/>
          <w:sz w:val="24"/>
        </w:rPr>
        <w:t>interaction and</w:t>
      </w:r>
      <w:r w:rsidRPr="006002D8">
        <w:rPr>
          <w:rFonts w:ascii="Times New Roman" w:hAnsi="Times New Roman" w:cs="Times New Roman" w:hint="eastAsia"/>
          <w:sz w:val="24"/>
        </w:rPr>
        <w:t xml:space="preserve"> also responds to the scholars' call to explore the value creation of CE as a relational and systemic activity (</w:t>
      </w:r>
      <w:proofErr w:type="spellStart"/>
      <w:r w:rsidRPr="006002D8">
        <w:rPr>
          <w:rFonts w:ascii="Times New Roman" w:hAnsi="Times New Roman" w:cs="Times New Roman" w:hint="eastAsia"/>
          <w:sz w:val="24"/>
        </w:rPr>
        <w:t>Tapaninaho</w:t>
      </w:r>
      <w:proofErr w:type="spellEnd"/>
      <w:r w:rsidRPr="006002D8">
        <w:rPr>
          <w:rFonts w:ascii="Times New Roman" w:hAnsi="Times New Roman" w:cs="Times New Roman" w:hint="eastAsia"/>
          <w:sz w:val="24"/>
        </w:rPr>
        <w:t xml:space="preserve"> &amp; Heikkinen, 2022). It lays a solid theoretical foundation for in-depth </w:t>
      </w:r>
      <w:r w:rsidRPr="006002D8">
        <w:rPr>
          <w:rFonts w:ascii="Times New Roman" w:hAnsi="Times New Roman" w:cs="Times New Roman" w:hint="eastAsia"/>
          <w:sz w:val="24"/>
        </w:rPr>
        <w:lastRenderedPageBreak/>
        <w:t>case analysis and subsequent research conclusions.</w:t>
      </w:r>
      <w:r w:rsidR="007926D5" w:rsidRPr="007A673A">
        <w:rPr>
          <w:rFonts w:ascii="Times New Roman" w:hAnsi="Times New Roman" w:cs="Times New Roman"/>
          <w:noProof/>
          <w:sz w:val="24"/>
        </w:rPr>
        <w:drawing>
          <wp:inline distT="0" distB="0" distL="0" distR="0" wp14:anchorId="7548C6B6" wp14:editId="0952CE1A">
            <wp:extent cx="5274310" cy="2966720"/>
            <wp:effectExtent l="0" t="0" r="2540" b="5080"/>
            <wp:docPr id="1842230268" name="图片 1" descr="图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230268" name="图片 1" descr="图示"/>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966720"/>
                    </a:xfrm>
                    <a:prstGeom prst="rect">
                      <a:avLst/>
                    </a:prstGeom>
                  </pic:spPr>
                </pic:pic>
              </a:graphicData>
            </a:graphic>
          </wp:inline>
        </w:drawing>
      </w:r>
    </w:p>
    <w:p w14:paraId="61C882E6" w14:textId="276864AB" w:rsidR="007926D5" w:rsidRPr="005A1527" w:rsidRDefault="007926D5" w:rsidP="00060596">
      <w:pPr>
        <w:widowControl/>
        <w:spacing w:line="360" w:lineRule="auto"/>
        <w:jc w:val="center"/>
        <w:rPr>
          <w:rFonts w:ascii="Times New Roman" w:hAnsi="Times New Roman" w:cs="Times New Roman"/>
          <w:sz w:val="20"/>
          <w:szCs w:val="20"/>
        </w:rPr>
      </w:pPr>
      <w:r w:rsidRPr="005A1527">
        <w:rPr>
          <w:rFonts w:ascii="Times New Roman" w:hAnsi="Times New Roman" w:cs="Times New Roman"/>
          <w:sz w:val="20"/>
          <w:szCs w:val="20"/>
        </w:rPr>
        <w:t xml:space="preserve">Figure 1. Conceptual </w:t>
      </w:r>
      <w:r w:rsidR="00E77277">
        <w:rPr>
          <w:rFonts w:ascii="Times New Roman" w:hAnsi="Times New Roman" w:cs="Times New Roman" w:hint="eastAsia"/>
          <w:sz w:val="20"/>
          <w:szCs w:val="20"/>
        </w:rPr>
        <w:t>M</w:t>
      </w:r>
      <w:r w:rsidRPr="005A1527">
        <w:rPr>
          <w:rFonts w:ascii="Times New Roman" w:hAnsi="Times New Roman" w:cs="Times New Roman"/>
          <w:sz w:val="20"/>
          <w:szCs w:val="20"/>
        </w:rPr>
        <w:t xml:space="preserve">odel of </w:t>
      </w:r>
      <w:r w:rsidR="00E77277">
        <w:rPr>
          <w:rFonts w:ascii="Times New Roman" w:hAnsi="Times New Roman" w:cs="Times New Roman" w:hint="eastAsia"/>
          <w:sz w:val="20"/>
          <w:szCs w:val="20"/>
        </w:rPr>
        <w:t>P</w:t>
      </w:r>
      <w:r w:rsidR="00DE2EE2" w:rsidRPr="005A1527">
        <w:rPr>
          <w:rFonts w:ascii="Times New Roman" w:hAnsi="Times New Roman" w:cs="Times New Roman"/>
          <w:sz w:val="20"/>
          <w:szCs w:val="20"/>
        </w:rPr>
        <w:t>aper</w:t>
      </w:r>
    </w:p>
    <w:p w14:paraId="64529907" w14:textId="77777777" w:rsidR="007926D5" w:rsidRPr="007A673A" w:rsidRDefault="007926D5" w:rsidP="00060596">
      <w:pPr>
        <w:widowControl/>
        <w:spacing w:line="360" w:lineRule="auto"/>
        <w:jc w:val="center"/>
        <w:rPr>
          <w:rFonts w:ascii="Times New Roman" w:hAnsi="Times New Roman" w:cs="Times New Roman"/>
          <w:sz w:val="24"/>
        </w:rPr>
      </w:pPr>
    </w:p>
    <w:p w14:paraId="4FC59BD3" w14:textId="77777777" w:rsidR="007926D5" w:rsidRPr="00EF2D51" w:rsidRDefault="007926D5" w:rsidP="00060596">
      <w:pPr>
        <w:spacing w:line="360" w:lineRule="auto"/>
        <w:rPr>
          <w:rFonts w:ascii="Times New Roman" w:hAnsi="Times New Roman" w:cs="Times New Roman"/>
          <w:b/>
          <w:bCs/>
          <w:sz w:val="36"/>
          <w:szCs w:val="36"/>
        </w:rPr>
      </w:pPr>
      <w:r w:rsidRPr="00EF2D51">
        <w:rPr>
          <w:rFonts w:ascii="Times New Roman" w:hAnsi="Times New Roman" w:cs="Times New Roman"/>
          <w:b/>
          <w:bCs/>
          <w:sz w:val="36"/>
          <w:szCs w:val="36"/>
        </w:rPr>
        <w:t>3 Research Philosophy</w:t>
      </w:r>
    </w:p>
    <w:p w14:paraId="6AF7D846" w14:textId="77777777" w:rsidR="007926D5" w:rsidRPr="00EF2D51" w:rsidRDefault="007926D5" w:rsidP="00060596">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3.1 Research Paradigm</w:t>
      </w:r>
    </w:p>
    <w:p w14:paraId="4130E17A" w14:textId="77777777"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3.1.1 Overview of Research Paradigm</w:t>
      </w:r>
    </w:p>
    <w:p w14:paraId="7F56B5E8" w14:textId="29DEF68A" w:rsidR="001207C4" w:rsidRDefault="001207C4" w:rsidP="00060596">
      <w:pPr>
        <w:spacing w:line="360" w:lineRule="auto"/>
        <w:rPr>
          <w:rFonts w:ascii="Times New Roman" w:hAnsi="Times New Roman" w:cs="Times New Roman"/>
          <w:sz w:val="24"/>
        </w:rPr>
      </w:pPr>
      <w:r w:rsidRPr="001207C4">
        <w:rPr>
          <w:rFonts w:ascii="Times New Roman" w:hAnsi="Times New Roman" w:cs="Times New Roman"/>
          <w:sz w:val="24"/>
        </w:rPr>
        <w:t>A research paradigm denotes a structured collection of philosophical principles and cognitive frameworks that direct scholarly investigation. It essentially delineates scholars' foundational perspectives and logical frameworks for understanding the world and investigating issues. It generally consists of three fundamental components—ontology, epistemology, and methodology—that are interconnected and sequential, thus establishing the philosophical basis of a study (</w:t>
      </w:r>
      <w:r w:rsidR="00E77277" w:rsidRPr="00E77277">
        <w:rPr>
          <w:rFonts w:ascii="Times New Roman" w:hAnsi="Times New Roman" w:cs="Times New Roman"/>
          <w:sz w:val="24"/>
        </w:rPr>
        <w:t>Bryman et al. 2019)</w:t>
      </w:r>
      <w:r w:rsidRPr="001207C4">
        <w:rPr>
          <w:rFonts w:ascii="Times New Roman" w:hAnsi="Times New Roman" w:cs="Times New Roman"/>
          <w:sz w:val="24"/>
        </w:rPr>
        <w:t>, .</w:t>
      </w:r>
    </w:p>
    <w:p w14:paraId="19903EDE" w14:textId="2D40BCF0" w:rsidR="001207C4" w:rsidRDefault="001207C4" w:rsidP="00060596">
      <w:pPr>
        <w:spacing w:line="360" w:lineRule="auto"/>
        <w:rPr>
          <w:rFonts w:ascii="Times New Roman" w:hAnsi="Times New Roman" w:cs="Times New Roman"/>
          <w:sz w:val="24"/>
        </w:rPr>
      </w:pPr>
      <w:r w:rsidRPr="001207C4">
        <w:rPr>
          <w:rFonts w:ascii="Times New Roman" w:hAnsi="Times New Roman" w:cs="Times New Roman"/>
          <w:sz w:val="24"/>
        </w:rPr>
        <w:t xml:space="preserve">Ontology examines the essence of reality, distinguishing the existential characteristics of research entities. Epistemology examines the interaction between researchers and research subjects, elucidating viable avenues for knowledge acquisition. Methodology </w:t>
      </w:r>
      <w:r w:rsidRPr="001207C4">
        <w:rPr>
          <w:rFonts w:ascii="Times New Roman" w:hAnsi="Times New Roman" w:cs="Times New Roman"/>
          <w:sz w:val="24"/>
        </w:rPr>
        <w:lastRenderedPageBreak/>
        <w:t xml:space="preserve">offers distinct instruments and practical guidelines for conducting research </w:t>
      </w:r>
      <w:r w:rsidR="00E77277" w:rsidRPr="001207C4">
        <w:rPr>
          <w:rFonts w:ascii="Times New Roman" w:hAnsi="Times New Roman" w:cs="Times New Roman"/>
          <w:sz w:val="24"/>
        </w:rPr>
        <w:t>(</w:t>
      </w:r>
      <w:r w:rsidR="00E77277" w:rsidRPr="00E77277">
        <w:rPr>
          <w:rFonts w:ascii="Times New Roman" w:hAnsi="Times New Roman" w:cs="Times New Roman"/>
          <w:sz w:val="24"/>
        </w:rPr>
        <w:t>Bryman et al. 2019)</w:t>
      </w:r>
      <w:r w:rsidRPr="001207C4">
        <w:rPr>
          <w:rFonts w:ascii="Times New Roman" w:hAnsi="Times New Roman" w:cs="Times New Roman"/>
          <w:sz w:val="24"/>
        </w:rPr>
        <w:t>. These three variables together influence the overarching direction and execution rationale of the research.</w:t>
      </w:r>
    </w:p>
    <w:p w14:paraId="7544E63C" w14:textId="78F755C0" w:rsidR="001207C4" w:rsidRDefault="001207C4" w:rsidP="00060596">
      <w:pPr>
        <w:spacing w:line="360" w:lineRule="auto"/>
        <w:rPr>
          <w:rFonts w:ascii="Times New Roman" w:hAnsi="Times New Roman" w:cs="Times New Roman"/>
          <w:sz w:val="24"/>
        </w:rPr>
      </w:pPr>
      <w:r w:rsidRPr="001207C4">
        <w:rPr>
          <w:rFonts w:ascii="Times New Roman" w:hAnsi="Times New Roman" w:cs="Times New Roman"/>
          <w:sz w:val="24"/>
        </w:rPr>
        <w:t>In social sciences and management research, positivism and interpretivism represent the two principal paradigms</w:t>
      </w:r>
      <w:r w:rsidR="00E77277">
        <w:rPr>
          <w:rFonts w:ascii="Times New Roman" w:hAnsi="Times New Roman" w:cs="Times New Roman" w:hint="eastAsia"/>
          <w:sz w:val="24"/>
        </w:rPr>
        <w:t xml:space="preserve"> </w:t>
      </w:r>
      <w:r w:rsidR="00E77277" w:rsidRPr="001207C4">
        <w:rPr>
          <w:rFonts w:ascii="Times New Roman" w:hAnsi="Times New Roman" w:cs="Times New Roman"/>
          <w:sz w:val="24"/>
        </w:rPr>
        <w:t>(</w:t>
      </w:r>
      <w:r w:rsidR="00E77277" w:rsidRPr="00E77277">
        <w:rPr>
          <w:rFonts w:ascii="Times New Roman" w:hAnsi="Times New Roman" w:cs="Times New Roman"/>
          <w:sz w:val="24"/>
        </w:rPr>
        <w:t>Bryman et al. 2019)</w:t>
      </w:r>
      <w:r w:rsidRPr="001207C4">
        <w:rPr>
          <w:rFonts w:ascii="Times New Roman" w:hAnsi="Times New Roman" w:cs="Times New Roman"/>
          <w:sz w:val="24"/>
        </w:rPr>
        <w:t>. The positivist paradigm, grounded in natural scientific procedures, asserts that social phenomena exist objectively, independent of researchers' perceptions. It underscores value neutrality, seeks universal causal laws via quantitative approaches, and regards study subjects as quantifiable, autonomous entities.</w:t>
      </w:r>
    </w:p>
    <w:p w14:paraId="4E299B43" w14:textId="77777777" w:rsidR="0043313D" w:rsidRDefault="0043313D" w:rsidP="00060596">
      <w:pPr>
        <w:spacing w:line="360" w:lineRule="auto"/>
        <w:rPr>
          <w:rFonts w:ascii="Times New Roman" w:hAnsi="Times New Roman" w:cs="Times New Roman"/>
          <w:sz w:val="24"/>
        </w:rPr>
      </w:pPr>
      <w:r w:rsidRPr="0043313D">
        <w:rPr>
          <w:rFonts w:ascii="Times New Roman" w:hAnsi="Times New Roman" w:cs="Times New Roman"/>
          <w:sz w:val="24"/>
        </w:rPr>
        <w:t>In contrast, interpretivism stems from phenomenology and symbolic interactionism and is a response to the limitations of positivism. It discards the strict separation of the subject and the object, believing that reality is constructed through human interaction and situational experiences. In epistemology, it advocates intersubjectivity - meaning that knowledge is not passively discovered but is jointly created through the dialogue between researchers and participants. Methodologically, it prioritizes qualitative methods to capture the richness of subjective experiences and avoids the oversimplification of complex social phenomena in quantitative methods. Its core goal is to understand the "multiple truths" behind human behavior, rather than pursuing a unified objective law.</w:t>
      </w:r>
    </w:p>
    <w:p w14:paraId="42574154" w14:textId="243344DA" w:rsidR="007926D5" w:rsidRPr="007A673A" w:rsidRDefault="0043313D" w:rsidP="00060596">
      <w:pPr>
        <w:spacing w:line="360" w:lineRule="auto"/>
        <w:rPr>
          <w:rFonts w:ascii="Times New Roman" w:hAnsi="Times New Roman" w:cs="Times New Roman"/>
          <w:b/>
          <w:bCs/>
          <w:sz w:val="24"/>
        </w:rPr>
      </w:pPr>
      <w:r w:rsidRPr="0043313D">
        <w:rPr>
          <w:rFonts w:ascii="Times New Roman" w:hAnsi="Times New Roman" w:cs="Times New Roman"/>
          <w:sz w:val="24"/>
        </w:rPr>
        <w:t xml:space="preserve">This study openly adopts interpretivism as its fundamental research paradigm. The interpretivist perspective provides a foundational epistemology, guiding researchers to focus on the subjective experiences and meaning construction of stakeholders, and to understand the operation process of corporate social responsibility from the "internal perspective" of the participants. This decision is influenced by the study's theme and objectives: it emphasizes stakeholders' subjective experiences and interpretative processes about circular economy (CE) methods in Chinese textile SMEs, rather than validating universal principles </w:t>
      </w:r>
      <w:r w:rsidR="00E77277">
        <w:rPr>
          <w:rFonts w:ascii="Times New Roman" w:hAnsi="Times New Roman" w:cs="Times New Roman" w:hint="eastAsia"/>
          <w:sz w:val="24"/>
        </w:rPr>
        <w:t>(</w:t>
      </w:r>
      <w:proofErr w:type="spellStart"/>
      <w:r w:rsidR="00E77277" w:rsidRPr="00E77277">
        <w:rPr>
          <w:rFonts w:ascii="Times New Roman" w:hAnsi="Times New Roman" w:cs="Times New Roman"/>
          <w:sz w:val="24"/>
        </w:rPr>
        <w:t>Iofrida</w:t>
      </w:r>
      <w:proofErr w:type="spellEnd"/>
      <w:r w:rsidR="00E77277" w:rsidRPr="00E77277">
        <w:rPr>
          <w:rFonts w:ascii="Times New Roman" w:hAnsi="Times New Roman" w:cs="Times New Roman"/>
          <w:sz w:val="24"/>
        </w:rPr>
        <w:t xml:space="preserve"> et al</w:t>
      </w:r>
      <w:r w:rsidR="00E77277">
        <w:rPr>
          <w:rFonts w:ascii="Times New Roman" w:hAnsi="Times New Roman" w:cs="Times New Roman" w:hint="eastAsia"/>
          <w:sz w:val="24"/>
        </w:rPr>
        <w:t xml:space="preserve">, </w:t>
      </w:r>
      <w:r w:rsidR="00E77277" w:rsidRPr="00E77277">
        <w:rPr>
          <w:rFonts w:ascii="Times New Roman" w:hAnsi="Times New Roman" w:cs="Times New Roman"/>
          <w:sz w:val="24"/>
        </w:rPr>
        <w:t>2024)</w:t>
      </w:r>
      <w:r w:rsidRPr="0043313D">
        <w:rPr>
          <w:rFonts w:ascii="Times New Roman" w:hAnsi="Times New Roman" w:cs="Times New Roman"/>
          <w:sz w:val="24"/>
        </w:rPr>
        <w:t xml:space="preserve">. The implementation of the circular economy model in small and medium-sized enterprises is influenced by various factors, such as cognitive biases, organizational culture, and regional policies. </w:t>
      </w:r>
      <w:r w:rsidRPr="0043313D">
        <w:rPr>
          <w:rFonts w:ascii="Times New Roman" w:hAnsi="Times New Roman" w:cs="Times New Roman"/>
          <w:sz w:val="24"/>
        </w:rPr>
        <w:lastRenderedPageBreak/>
        <w:t xml:space="preserve">Therefore, a qualitative approach is needed to study the interpretation process of stakeholders. The emphasis on "subjective perceptions" and "contextual details" constitutes the fundamental strength of the interpretivist paradigm, aligning with contemporary developments in CE research </w:t>
      </w:r>
      <w:r w:rsidR="00E77277">
        <w:rPr>
          <w:rFonts w:ascii="Times New Roman" w:hAnsi="Times New Roman" w:cs="Times New Roman" w:hint="eastAsia"/>
          <w:sz w:val="24"/>
        </w:rPr>
        <w:t>(</w:t>
      </w:r>
      <w:proofErr w:type="spellStart"/>
      <w:r w:rsidR="00E77277" w:rsidRPr="00E77277">
        <w:rPr>
          <w:rFonts w:ascii="Times New Roman" w:hAnsi="Times New Roman" w:cs="Times New Roman"/>
          <w:sz w:val="24"/>
        </w:rPr>
        <w:t>Iofrida</w:t>
      </w:r>
      <w:proofErr w:type="spellEnd"/>
      <w:r w:rsidR="00E77277" w:rsidRPr="00E77277">
        <w:rPr>
          <w:rFonts w:ascii="Times New Roman" w:hAnsi="Times New Roman" w:cs="Times New Roman"/>
          <w:sz w:val="24"/>
        </w:rPr>
        <w:t xml:space="preserve"> et al</w:t>
      </w:r>
      <w:r w:rsidR="00E77277">
        <w:rPr>
          <w:rFonts w:ascii="Times New Roman" w:hAnsi="Times New Roman" w:cs="Times New Roman" w:hint="eastAsia"/>
          <w:sz w:val="24"/>
        </w:rPr>
        <w:t xml:space="preserve">, </w:t>
      </w:r>
      <w:r w:rsidR="00E77277" w:rsidRPr="00E77277">
        <w:rPr>
          <w:rFonts w:ascii="Times New Roman" w:hAnsi="Times New Roman" w:cs="Times New Roman"/>
          <w:sz w:val="24"/>
        </w:rPr>
        <w:t>2024)</w:t>
      </w:r>
      <w:r w:rsidRPr="0043313D">
        <w:rPr>
          <w:rFonts w:ascii="Times New Roman" w:hAnsi="Times New Roman" w:cs="Times New Roman"/>
          <w:sz w:val="24"/>
        </w:rPr>
        <w:t>.</w:t>
      </w:r>
    </w:p>
    <w:p w14:paraId="28721DB1" w14:textId="77777777"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3.1.2 Ontology</w:t>
      </w:r>
    </w:p>
    <w:p w14:paraId="57475DD3" w14:textId="77777777" w:rsidR="0043313D" w:rsidRPr="0043313D" w:rsidRDefault="0043313D" w:rsidP="00060596">
      <w:pPr>
        <w:spacing w:line="360" w:lineRule="auto"/>
        <w:rPr>
          <w:rFonts w:ascii="Times New Roman" w:hAnsi="Times New Roman" w:cs="Times New Roman"/>
          <w:sz w:val="24"/>
        </w:rPr>
      </w:pPr>
      <w:r w:rsidRPr="0043313D">
        <w:rPr>
          <w:rFonts w:ascii="Times New Roman" w:hAnsi="Times New Roman" w:cs="Times New Roman"/>
          <w:sz w:val="24"/>
        </w:rPr>
        <w:t>Under the guidance of the interpretivism paradigm, this study adopted a constructivist ontology centered on "relatively and diversely constituted reality". This perspective holds that the circular economy (CE) practices in small and medium-sized enterprises of China's textile industry are not independent of the objective and fixed phenomena perceived by human beings. Instead, they are dynamically formed social constructs influenced by the subjective interactions of stakeholders, situational experiences, and the process of meaning construction (</w:t>
      </w:r>
      <w:proofErr w:type="spellStart"/>
      <w:r w:rsidRPr="0043313D">
        <w:rPr>
          <w:rFonts w:ascii="Times New Roman" w:hAnsi="Times New Roman" w:cs="Times New Roman"/>
          <w:sz w:val="24"/>
        </w:rPr>
        <w:t>Briman</w:t>
      </w:r>
      <w:proofErr w:type="spellEnd"/>
      <w:r w:rsidRPr="0043313D">
        <w:rPr>
          <w:rFonts w:ascii="Times New Roman" w:hAnsi="Times New Roman" w:cs="Times New Roman"/>
          <w:sz w:val="24"/>
        </w:rPr>
        <w:t xml:space="preserve"> and Bell, 2025).</w:t>
      </w:r>
    </w:p>
    <w:p w14:paraId="67E75844" w14:textId="77777777" w:rsidR="0043313D" w:rsidRPr="0043313D" w:rsidRDefault="0043313D" w:rsidP="00060596">
      <w:pPr>
        <w:spacing w:line="360" w:lineRule="auto"/>
        <w:rPr>
          <w:rFonts w:ascii="Times New Roman" w:hAnsi="Times New Roman" w:cs="Times New Roman"/>
          <w:sz w:val="24"/>
        </w:rPr>
      </w:pPr>
      <w:r w:rsidRPr="0043313D">
        <w:rPr>
          <w:rFonts w:ascii="Times New Roman" w:hAnsi="Times New Roman" w:cs="Times New Roman"/>
          <w:sz w:val="24"/>
        </w:rPr>
        <w:t>Unlike the single and measurable reality advocated by positivism, this study argues that CE practices have different meanings for different stakeholders: managers may view it as a strategic choice to balance costs and policy requirements, employees may understand it as an adjustment to the operational processes, and government stakeholders may define it as an environmental governance tool. These different perspectives stem from differences in roles, interest demands, and situational backgrounds, collectively constituting the "diverse reality" of CE practices in the research context. This is consistent with the core viewpoint of constructivist ontology, which states that "reality is influenced by context and is subjective".</w:t>
      </w:r>
    </w:p>
    <w:p w14:paraId="31322922" w14:textId="77777777" w:rsidR="0043313D" w:rsidRPr="0043313D" w:rsidRDefault="0043313D" w:rsidP="00060596">
      <w:pPr>
        <w:spacing w:line="360" w:lineRule="auto"/>
        <w:rPr>
          <w:rFonts w:ascii="Times New Roman" w:hAnsi="Times New Roman" w:cs="Times New Roman"/>
          <w:sz w:val="24"/>
        </w:rPr>
      </w:pPr>
      <w:r w:rsidRPr="0043313D">
        <w:rPr>
          <w:rFonts w:ascii="Times New Roman" w:hAnsi="Times New Roman" w:cs="Times New Roman"/>
          <w:sz w:val="24"/>
        </w:rPr>
        <w:t xml:space="preserve">This ontological stance resonates with the fundamental premise that "social phenomena gain meaning through human </w:t>
      </w:r>
      <w:proofErr w:type="spellStart"/>
      <w:r w:rsidRPr="0043313D">
        <w:rPr>
          <w:rFonts w:ascii="Times New Roman" w:hAnsi="Times New Roman" w:cs="Times New Roman"/>
          <w:sz w:val="24"/>
        </w:rPr>
        <w:t>interpretation”CE</w:t>
      </w:r>
      <w:proofErr w:type="spellEnd"/>
      <w:r w:rsidRPr="0043313D">
        <w:rPr>
          <w:rFonts w:ascii="Times New Roman" w:hAnsi="Times New Roman" w:cs="Times New Roman"/>
          <w:sz w:val="24"/>
        </w:rPr>
        <w:t xml:space="preserve"> practices in textile SMEs can only take shape and evolve through stakeholders’ cognitive judgments, behavioral choices, and interactive negotiations. As Millar et al. (2019) noted in their research on circular economy, industrial circular transformation is not a static technical or institutional arrangement, but a dynamically constructed process embedded in specific social interactions. Therefore, to understand these practices, one needs to explore the </w:t>
      </w:r>
      <w:r w:rsidRPr="0043313D">
        <w:rPr>
          <w:rFonts w:ascii="Times New Roman" w:hAnsi="Times New Roman" w:cs="Times New Roman"/>
          <w:sz w:val="24"/>
        </w:rPr>
        <w:lastRenderedPageBreak/>
        <w:t>diverse and context-dependent realities constructed by the stakeholders, rather than seeking universal and objective truths about the implementation of corporate social responsibility.</w:t>
      </w:r>
    </w:p>
    <w:p w14:paraId="0EA83996" w14:textId="77777777"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3.1.3 Epistemology</w:t>
      </w:r>
    </w:p>
    <w:p w14:paraId="186FC4BC" w14:textId="6CA1F8F7" w:rsidR="00315A58" w:rsidRPr="00315A58" w:rsidRDefault="00315A58" w:rsidP="00060596">
      <w:pPr>
        <w:spacing w:line="360" w:lineRule="auto"/>
        <w:rPr>
          <w:rFonts w:ascii="Times New Roman" w:hAnsi="Times New Roman" w:cs="Times New Roman"/>
          <w:sz w:val="24"/>
        </w:rPr>
      </w:pPr>
      <w:r w:rsidRPr="00315A58">
        <w:rPr>
          <w:rFonts w:ascii="Times New Roman" w:hAnsi="Times New Roman" w:cs="Times New Roman"/>
          <w:sz w:val="24"/>
        </w:rPr>
        <w:t>This interpretivist viewpoint is grounded in the philosophical traditions of hermeneutics and phenomenology, highlighting that social phenomena are influenced by human subjective experiences, relationships, and the construction of meaning (Choudhury, 2014). In contrast to positivism, which aims for absolute and universal laws, interpretivism asserts that reality is varied and contingent upon particular settings. Consequently, comprehending social events necessitates an analysis grounded in the subjective experiences and cultural contexts of the individuals (</w:t>
      </w:r>
      <w:proofErr w:type="spellStart"/>
      <w:r w:rsidRPr="00315A58">
        <w:rPr>
          <w:rFonts w:ascii="Times New Roman" w:hAnsi="Times New Roman" w:cs="Times New Roman"/>
          <w:sz w:val="24"/>
        </w:rPr>
        <w:t>Sheferman</w:t>
      </w:r>
      <w:proofErr w:type="spellEnd"/>
      <w:r w:rsidRPr="00315A58">
        <w:rPr>
          <w:rFonts w:ascii="Times New Roman" w:hAnsi="Times New Roman" w:cs="Times New Roman"/>
          <w:sz w:val="24"/>
        </w:rPr>
        <w:t>, 2024). This corresponds with the fundamental principle of enterprise environment research in particular circumstances, as my preliminary field inquiry also suggests. Enterprise environment practices are not fixed technological models, but rather dynamic processes influenced by the subjective perceptions and behavioral decisions of stakeholders (Miller, McLaughlin, and Borg, 2019).</w:t>
      </w:r>
    </w:p>
    <w:p w14:paraId="5D8188BE" w14:textId="77777777" w:rsidR="00315A58" w:rsidRDefault="00315A58" w:rsidP="00060596">
      <w:pPr>
        <w:spacing w:line="360" w:lineRule="auto"/>
        <w:rPr>
          <w:rFonts w:ascii="Times New Roman" w:hAnsi="Times New Roman" w:cs="Times New Roman"/>
          <w:i/>
          <w:iCs/>
          <w:sz w:val="28"/>
          <w:szCs w:val="28"/>
        </w:rPr>
      </w:pPr>
    </w:p>
    <w:p w14:paraId="05D5D0D9" w14:textId="2224168B" w:rsidR="00DE2EE2" w:rsidRPr="00EF2D51" w:rsidRDefault="00DE2EE2" w:rsidP="00060596">
      <w:pPr>
        <w:spacing w:line="360" w:lineRule="auto"/>
        <w:rPr>
          <w:rFonts w:ascii="Times New Roman" w:hAnsi="Times New Roman" w:cs="Times New Roman"/>
          <w:i/>
          <w:iCs/>
          <w:sz w:val="28"/>
          <w:szCs w:val="28"/>
        </w:rPr>
      </w:pPr>
      <w:r w:rsidRPr="00EF2D51">
        <w:rPr>
          <w:rFonts w:ascii="Times New Roman" w:hAnsi="Times New Roman" w:cs="Times New Roman" w:hint="eastAsia"/>
          <w:i/>
          <w:iCs/>
          <w:sz w:val="28"/>
          <w:szCs w:val="28"/>
        </w:rPr>
        <w:t xml:space="preserve">3.1.4 </w:t>
      </w:r>
      <w:r w:rsidRPr="00EF2D51">
        <w:rPr>
          <w:rFonts w:ascii="Times New Roman" w:hAnsi="Times New Roman" w:cs="Times New Roman"/>
          <w:i/>
          <w:iCs/>
          <w:sz w:val="28"/>
          <w:szCs w:val="28"/>
        </w:rPr>
        <w:t>Axiology</w:t>
      </w:r>
    </w:p>
    <w:p w14:paraId="07B3F880" w14:textId="77777777" w:rsidR="00D743D7" w:rsidRPr="00D743D7" w:rsidRDefault="00D743D7" w:rsidP="00060596">
      <w:pPr>
        <w:spacing w:line="360" w:lineRule="auto"/>
        <w:rPr>
          <w:rFonts w:ascii="Times New Roman" w:hAnsi="Times New Roman" w:cs="Times New Roman"/>
          <w:sz w:val="24"/>
        </w:rPr>
      </w:pPr>
      <w:r w:rsidRPr="00D743D7">
        <w:rPr>
          <w:rFonts w:ascii="Times New Roman" w:hAnsi="Times New Roman" w:cs="Times New Roman"/>
          <w:sz w:val="24"/>
        </w:rPr>
        <w:t xml:space="preserve">From the perspective of interpretivist, the researcher’ values are crucial for understanding the social reality. It is important for the researcher to engage the values ethically in the research process, from participant recruitment, data collection and analysis, as well as disseminating the research conclusions to the public. Four important principles regarding the axiology of interpretivist paradigm are proposed by Slote (1985) as privacy, accuracy, property and accessibility. Privacy concerns the protection of the information provided by the participants from leakage. Accuracy focuses on the error-free record of the data. Property is about the owner of the data, as well as the payment fairness of the data. Accessibility concentrates on the people who </w:t>
      </w:r>
      <w:r w:rsidRPr="00D743D7">
        <w:rPr>
          <w:rFonts w:ascii="Times New Roman" w:hAnsi="Times New Roman" w:cs="Times New Roman"/>
          <w:sz w:val="24"/>
        </w:rPr>
        <w:lastRenderedPageBreak/>
        <w:t>have the right to access the data.</w:t>
      </w:r>
    </w:p>
    <w:p w14:paraId="6A4FBB95" w14:textId="1E50F02A" w:rsidR="007926D5" w:rsidRPr="00D743D7" w:rsidRDefault="00D743D7" w:rsidP="00060596">
      <w:pPr>
        <w:spacing w:line="360" w:lineRule="auto"/>
        <w:rPr>
          <w:rFonts w:ascii="Times New Roman" w:hAnsi="Times New Roman" w:cs="Times New Roman"/>
          <w:sz w:val="24"/>
        </w:rPr>
      </w:pPr>
      <w:r w:rsidRPr="00D743D7">
        <w:rPr>
          <w:rFonts w:ascii="Times New Roman" w:hAnsi="Times New Roman" w:cs="Times New Roman"/>
          <w:sz w:val="24"/>
        </w:rPr>
        <w:t>In this study, as the data related to the CE operation and management of SMEs is collected and analyzed, the researcher will insist on a holistic-altruistic value in the research, emphasizing the solidarity and harmony of the human world and the nature (</w:t>
      </w:r>
      <w:proofErr w:type="spellStart"/>
      <w:r w:rsidRPr="00D743D7">
        <w:rPr>
          <w:rFonts w:ascii="Times New Roman" w:hAnsi="Times New Roman" w:cs="Times New Roman"/>
          <w:sz w:val="24"/>
        </w:rPr>
        <w:t>Papuziński</w:t>
      </w:r>
      <w:proofErr w:type="spellEnd"/>
      <w:r w:rsidRPr="00D743D7">
        <w:rPr>
          <w:rFonts w:ascii="Times New Roman" w:hAnsi="Times New Roman" w:cs="Times New Roman"/>
          <w:sz w:val="24"/>
        </w:rPr>
        <w:t>, 2013). This value is consistent with the concept of sustainable development, and a stakeholder view of the CE practices, which focuses on the mutual benefit obtained from the CE by not only the company, but also the society and the environment.</w:t>
      </w:r>
    </w:p>
    <w:p w14:paraId="0FDC3C84" w14:textId="6ED3C421" w:rsidR="007926D5" w:rsidRPr="00D743D7" w:rsidRDefault="007926D5" w:rsidP="00060596">
      <w:pPr>
        <w:spacing w:line="360" w:lineRule="auto"/>
        <w:rPr>
          <w:rFonts w:ascii="Times New Roman" w:hAnsi="Times New Roman" w:cs="Times New Roman"/>
          <w:i/>
          <w:iCs/>
          <w:sz w:val="28"/>
          <w:szCs w:val="28"/>
        </w:rPr>
      </w:pPr>
      <w:r w:rsidRPr="00D743D7">
        <w:rPr>
          <w:rFonts w:ascii="Times New Roman" w:hAnsi="Times New Roman" w:cs="Times New Roman"/>
          <w:i/>
          <w:iCs/>
          <w:sz w:val="28"/>
          <w:szCs w:val="28"/>
        </w:rPr>
        <w:t>3.1.</w:t>
      </w:r>
      <w:r w:rsidR="00DE2EE2" w:rsidRPr="00D743D7">
        <w:rPr>
          <w:rFonts w:ascii="Times New Roman" w:hAnsi="Times New Roman" w:cs="Times New Roman" w:hint="eastAsia"/>
          <w:i/>
          <w:iCs/>
          <w:sz w:val="28"/>
          <w:szCs w:val="28"/>
        </w:rPr>
        <w:t>5</w:t>
      </w:r>
      <w:r w:rsidRPr="00D743D7">
        <w:rPr>
          <w:rFonts w:ascii="Times New Roman" w:hAnsi="Times New Roman" w:cs="Times New Roman"/>
          <w:i/>
          <w:iCs/>
          <w:sz w:val="28"/>
          <w:szCs w:val="28"/>
        </w:rPr>
        <w:t xml:space="preserve"> </w:t>
      </w:r>
      <w:r w:rsidR="00D743D7" w:rsidRPr="00D743D7">
        <w:rPr>
          <w:rFonts w:ascii="Times New Roman" w:hAnsi="Times New Roman" w:cs="Times New Roman"/>
          <w:i/>
          <w:iCs/>
          <w:sz w:val="28"/>
          <w:szCs w:val="28"/>
        </w:rPr>
        <w:t>Conclusion of the research paradigm</w:t>
      </w:r>
    </w:p>
    <w:p w14:paraId="19DE8790" w14:textId="10F7E96E" w:rsidR="007926D5" w:rsidRPr="007A673A" w:rsidRDefault="00315A58" w:rsidP="00060596">
      <w:pPr>
        <w:spacing w:line="360" w:lineRule="auto"/>
        <w:rPr>
          <w:rFonts w:ascii="Times New Roman" w:hAnsi="Times New Roman" w:cs="Times New Roman"/>
          <w:b/>
          <w:bCs/>
          <w:sz w:val="24"/>
        </w:rPr>
      </w:pPr>
      <w:r w:rsidRPr="00315A58">
        <w:rPr>
          <w:rFonts w:ascii="Times New Roman" w:hAnsi="Times New Roman" w:cs="Times New Roman"/>
          <w:sz w:val="24"/>
        </w:rPr>
        <w:t xml:space="preserve">In the context of this study, the implementation of </w:t>
      </w:r>
      <w:r w:rsidR="00E77277" w:rsidRPr="00E77277">
        <w:rPr>
          <w:rFonts w:ascii="Times New Roman" w:hAnsi="Times New Roman" w:cs="Times New Roman"/>
          <w:sz w:val="24"/>
        </w:rPr>
        <w:t>circular economy</w:t>
      </w:r>
      <w:r w:rsidRPr="00315A58">
        <w:rPr>
          <w:rFonts w:ascii="Times New Roman" w:hAnsi="Times New Roman" w:cs="Times New Roman"/>
          <w:sz w:val="24"/>
        </w:rPr>
        <w:t xml:space="preserve"> in small enterprises of the Chinese textile industry is not merely a technical or economic issue - it also involves the subjective understanding, value judgments, and behavioral choices of the </w:t>
      </w:r>
      <w:r w:rsidR="00E77277" w:rsidRPr="00315A58">
        <w:rPr>
          <w:rFonts w:ascii="Times New Roman" w:hAnsi="Times New Roman" w:cs="Times New Roman"/>
          <w:sz w:val="24"/>
        </w:rPr>
        <w:t>stakeholders. For</w:t>
      </w:r>
      <w:r w:rsidRPr="00315A58">
        <w:rPr>
          <w:rFonts w:ascii="Times New Roman" w:hAnsi="Times New Roman" w:cs="Times New Roman"/>
          <w:sz w:val="24"/>
        </w:rPr>
        <w:t xml:space="preserve"> instance, managers’ confusion about the CE concept (“Is circular economy equivalent to ‘environmental protection’?”), anxiety about cost pressures, and hesitation in balancing short-term interests with long-term sustainability all reflect the subjective construction of CE practices. The interpretivist perspective allows researchers to move beyond identifying objective barriers such as costs and technologies, and instead delve into how stakeholders perceive, interpret, and respond to CE-related issues. This deeper exploration is crucial to truly understanding the internal logic behind CE implementation dilemmas in textile SMEs (</w:t>
      </w:r>
      <w:proofErr w:type="spellStart"/>
      <w:r w:rsidRPr="00315A58">
        <w:rPr>
          <w:rFonts w:ascii="Times New Roman" w:hAnsi="Times New Roman" w:cs="Times New Roman"/>
          <w:sz w:val="24"/>
        </w:rPr>
        <w:t>Reike</w:t>
      </w:r>
      <w:proofErr w:type="spellEnd"/>
      <w:r w:rsidRPr="00315A58">
        <w:rPr>
          <w:rFonts w:ascii="Times New Roman" w:hAnsi="Times New Roman" w:cs="Times New Roman"/>
          <w:sz w:val="24"/>
        </w:rPr>
        <w:t xml:space="preserve"> et al., 2023).</w:t>
      </w:r>
    </w:p>
    <w:p w14:paraId="090371D0" w14:textId="77777777" w:rsidR="007926D5" w:rsidRPr="00EF2D51" w:rsidRDefault="007926D5" w:rsidP="00060596">
      <w:pPr>
        <w:spacing w:line="360" w:lineRule="auto"/>
        <w:rPr>
          <w:rFonts w:ascii="Times New Roman" w:hAnsi="Times New Roman" w:cs="Times New Roman"/>
          <w:b/>
          <w:bCs/>
          <w:sz w:val="32"/>
          <w:szCs w:val="32"/>
        </w:rPr>
      </w:pPr>
      <w:r w:rsidRPr="00EF2D51">
        <w:rPr>
          <w:rFonts w:ascii="Times New Roman" w:hAnsi="Times New Roman" w:cs="Times New Roman"/>
          <w:b/>
          <w:bCs/>
          <w:sz w:val="32"/>
          <w:szCs w:val="32"/>
        </w:rPr>
        <w:t>3.2 Research Methodology</w:t>
      </w:r>
    </w:p>
    <w:p w14:paraId="6431EB83" w14:textId="77777777" w:rsidR="007926D5" w:rsidRPr="00EF2D51" w:rsidRDefault="007926D5" w:rsidP="00060596">
      <w:pPr>
        <w:spacing w:line="360" w:lineRule="auto"/>
        <w:rPr>
          <w:rFonts w:ascii="Times New Roman" w:hAnsi="Times New Roman" w:cs="Times New Roman"/>
          <w:i/>
          <w:iCs/>
          <w:sz w:val="28"/>
          <w:szCs w:val="28"/>
        </w:rPr>
      </w:pPr>
      <w:r w:rsidRPr="00EF2D51">
        <w:rPr>
          <w:rFonts w:ascii="Times New Roman" w:hAnsi="Times New Roman" w:cs="Times New Roman"/>
          <w:i/>
          <w:iCs/>
          <w:sz w:val="28"/>
          <w:szCs w:val="28"/>
        </w:rPr>
        <w:t>3.2.1 Qualitative Research</w:t>
      </w:r>
    </w:p>
    <w:p w14:paraId="25D35D7E" w14:textId="26116D73" w:rsidR="007926D5" w:rsidRDefault="00315A58" w:rsidP="00060596">
      <w:pPr>
        <w:widowControl/>
        <w:spacing w:after="0" w:line="360" w:lineRule="auto"/>
        <w:rPr>
          <w:rFonts w:ascii="Times New Roman" w:eastAsia="宋体" w:hAnsi="Times New Roman" w:cs="Times New Roman"/>
          <w:kern w:val="0"/>
          <w:sz w:val="24"/>
          <w14:ligatures w14:val="none"/>
        </w:rPr>
      </w:pPr>
      <w:r w:rsidRPr="00315A58">
        <w:rPr>
          <w:rFonts w:ascii="Times New Roman" w:eastAsia="宋体" w:hAnsi="Times New Roman" w:cs="Times New Roman"/>
          <w:kern w:val="0"/>
          <w:sz w:val="24"/>
          <w14:ligatures w14:val="none"/>
        </w:rPr>
        <w:t xml:space="preserve">Among the five qualitative research methods listed by Creswell - phenomenology, ethnography, grounded theory, case study, and narrative inquiry - I chose phenomenology as the core method for this study. Its main advantage lies in being </w:t>
      </w:r>
      <w:r w:rsidRPr="00315A58">
        <w:rPr>
          <w:rFonts w:ascii="Times New Roman" w:eastAsia="宋体" w:hAnsi="Times New Roman" w:cs="Times New Roman"/>
          <w:kern w:val="0"/>
          <w:sz w:val="24"/>
          <w14:ligatures w14:val="none"/>
        </w:rPr>
        <w:lastRenderedPageBreak/>
        <w:t xml:space="preserve">able to reveal the "personal experiences" of individuals when they come into contact with a specific phenomenon and the subjective meanings they attribute to these </w:t>
      </w:r>
      <w:r w:rsidR="00E77277" w:rsidRPr="00315A58">
        <w:rPr>
          <w:rFonts w:ascii="Times New Roman" w:eastAsia="宋体" w:hAnsi="Times New Roman" w:cs="Times New Roman"/>
          <w:kern w:val="0"/>
          <w:sz w:val="24"/>
          <w14:ligatures w14:val="none"/>
        </w:rPr>
        <w:t>experiences</w:t>
      </w:r>
      <w:r w:rsidR="00E77277">
        <w:rPr>
          <w:rFonts w:ascii="Times New Roman" w:eastAsia="宋体" w:hAnsi="Times New Roman" w:cs="Times New Roman"/>
          <w:kern w:val="0"/>
          <w:sz w:val="24"/>
          <w14:ligatures w14:val="none"/>
        </w:rPr>
        <w:t xml:space="preserve"> (</w:t>
      </w:r>
      <w:r w:rsidR="00E77277" w:rsidRPr="00E77277">
        <w:rPr>
          <w:rFonts w:ascii="Times New Roman" w:eastAsia="宋体" w:hAnsi="Times New Roman" w:cs="Times New Roman"/>
          <w:kern w:val="0"/>
          <w:sz w:val="24"/>
          <w14:ligatures w14:val="none"/>
        </w:rPr>
        <w:t>Creswell &amp; Poth, 2018</w:t>
      </w:r>
      <w:r w:rsidR="00E77277">
        <w:rPr>
          <w:rFonts w:ascii="Times New Roman" w:eastAsia="宋体" w:hAnsi="Times New Roman" w:cs="Times New Roman" w:hint="eastAsia"/>
          <w:kern w:val="0"/>
          <w:sz w:val="24"/>
          <w14:ligatures w14:val="none"/>
        </w:rPr>
        <w:t>)</w:t>
      </w:r>
      <w:r w:rsidRPr="00315A58">
        <w:rPr>
          <w:rFonts w:ascii="Times New Roman" w:eastAsia="宋体" w:hAnsi="Times New Roman" w:cs="Times New Roman"/>
          <w:kern w:val="0"/>
          <w:sz w:val="24"/>
          <w14:ligatures w14:val="none"/>
        </w:rPr>
        <w:t xml:space="preserve"> - this focus aligns perfectly with my research objective. Specifically, I aim to explore the actual cognition and understanding methods of stakeholders in China's small and medium-sized textile enterprises regarding the principles of circular economy (CE), their views on the actual obstacles they face in implementing circular economy, and how they handle the tension between traditional business models and practices that conform to the principles of circular economy in their daily work.</w:t>
      </w:r>
    </w:p>
    <w:p w14:paraId="6656D4D5" w14:textId="77777777" w:rsidR="00315A58" w:rsidRPr="007A673A" w:rsidRDefault="00315A58" w:rsidP="00060596">
      <w:pPr>
        <w:widowControl/>
        <w:spacing w:after="0" w:line="360" w:lineRule="auto"/>
        <w:rPr>
          <w:rFonts w:ascii="Times New Roman" w:eastAsia="宋体" w:hAnsi="Times New Roman" w:cs="Times New Roman"/>
          <w:kern w:val="0"/>
          <w:sz w:val="24"/>
          <w14:ligatures w14:val="none"/>
        </w:rPr>
      </w:pPr>
    </w:p>
    <w:p w14:paraId="4AE82547" w14:textId="15161FE3" w:rsidR="007926D5" w:rsidRDefault="00315A58" w:rsidP="00060596">
      <w:pPr>
        <w:widowControl/>
        <w:spacing w:after="0" w:line="360" w:lineRule="auto"/>
        <w:rPr>
          <w:rFonts w:ascii="Times New Roman" w:eastAsia="宋体" w:hAnsi="Times New Roman" w:cs="Times New Roman"/>
          <w:kern w:val="0"/>
          <w:sz w:val="24"/>
          <w14:ligatures w14:val="none"/>
        </w:rPr>
      </w:pPr>
      <w:r w:rsidRPr="00315A58">
        <w:rPr>
          <w:rFonts w:ascii="Times New Roman" w:eastAsia="宋体" w:hAnsi="Times New Roman" w:cs="Times New Roman"/>
          <w:kern w:val="0"/>
          <w:sz w:val="24"/>
          <w14:ligatures w14:val="none"/>
        </w:rPr>
        <w:t>This consistency is precisely what makes phenomenology stand out as the most suitable choice here, compared to other qualitative methods. It is so in contrast to empirical research, which emphasizes long-term immersion and observation of specific cultural groups. This is too broad for research that focuses on individual experiences rather than the dynamic of group culture. On the other hand, grounded theory focuses on constructing new theoretical frameworks - a goal that is contrary to my concern for interpreting and explaining the existing experiences of stakeholders, rather than constructing new theories. In contrast, phenomenology's sole focus is on "how an individual experiences a certain phenomenon", which directly addresses a key gap in current literature: Most enterprise ethics studies in the textile industry have ignored the real, first-hand viewpoints of stakeholders of small textile enterprises in China.</w:t>
      </w:r>
    </w:p>
    <w:p w14:paraId="6DB76B2E" w14:textId="77777777" w:rsidR="00315A58" w:rsidRPr="007A673A" w:rsidRDefault="00315A58" w:rsidP="00060596">
      <w:pPr>
        <w:widowControl/>
        <w:spacing w:after="0" w:line="360" w:lineRule="auto"/>
        <w:rPr>
          <w:rFonts w:ascii="Times New Roman" w:eastAsia="宋体" w:hAnsi="Times New Roman" w:cs="Times New Roman"/>
          <w:kern w:val="0"/>
          <w:sz w:val="24"/>
          <w14:ligatures w14:val="none"/>
        </w:rPr>
      </w:pPr>
    </w:p>
    <w:p w14:paraId="46EAFDEB" w14:textId="77777777" w:rsidR="007926D5" w:rsidRPr="007A673A" w:rsidRDefault="007926D5" w:rsidP="00060596">
      <w:pPr>
        <w:widowControl/>
        <w:spacing w:after="0" w:line="360" w:lineRule="auto"/>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Table 3. Summary of the research approach</w:t>
      </w:r>
    </w:p>
    <w:tbl>
      <w:tblPr>
        <w:tblStyle w:val="af3"/>
        <w:tblW w:w="0" w:type="auto"/>
        <w:tblLayout w:type="fixed"/>
        <w:tblLook w:val="0000" w:firstRow="0" w:lastRow="0" w:firstColumn="0" w:lastColumn="0" w:noHBand="0" w:noVBand="0"/>
      </w:tblPr>
      <w:tblGrid>
        <w:gridCol w:w="2070"/>
        <w:gridCol w:w="2070"/>
        <w:gridCol w:w="2070"/>
        <w:gridCol w:w="2070"/>
      </w:tblGrid>
      <w:tr w:rsidR="007926D5" w:rsidRPr="007A673A" w14:paraId="11B329E6" w14:textId="77777777" w:rsidTr="00207FBE">
        <w:tc>
          <w:tcPr>
            <w:tcW w:w="2070" w:type="dxa"/>
          </w:tcPr>
          <w:p w14:paraId="401BF424"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Qualitative Research Approach</w:t>
            </w:r>
          </w:p>
        </w:tc>
        <w:tc>
          <w:tcPr>
            <w:tcW w:w="2070" w:type="dxa"/>
          </w:tcPr>
          <w:p w14:paraId="0B71E5C5"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Core Purpose &amp; Key Characteristics</w:t>
            </w:r>
          </w:p>
        </w:tc>
        <w:tc>
          <w:tcPr>
            <w:tcW w:w="2070" w:type="dxa"/>
          </w:tcPr>
          <w:p w14:paraId="2B885E21"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Rationale for Adoption/Rejection</w:t>
            </w:r>
          </w:p>
        </w:tc>
        <w:tc>
          <w:tcPr>
            <w:tcW w:w="2070" w:type="dxa"/>
          </w:tcPr>
          <w:p w14:paraId="298FEE3C"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Alignment with CE Stakeholder Research</w:t>
            </w:r>
          </w:p>
        </w:tc>
      </w:tr>
      <w:tr w:rsidR="007926D5" w:rsidRPr="007A673A" w14:paraId="2E9DDE89" w14:textId="77777777" w:rsidTr="00207FBE">
        <w:tc>
          <w:tcPr>
            <w:tcW w:w="2070" w:type="dxa"/>
          </w:tcPr>
          <w:p w14:paraId="215B1594"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t>Phenomenology</w:t>
            </w:r>
          </w:p>
        </w:tc>
        <w:tc>
          <w:tcPr>
            <w:tcW w:w="2070" w:type="dxa"/>
          </w:tcPr>
          <w:p w14:paraId="3E578B02" w14:textId="2BA54BC4"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 xml:space="preserve">This approach digs into the core of shared lived </w:t>
            </w:r>
            <w:r w:rsidRPr="007A673A">
              <w:rPr>
                <w:rFonts w:ascii="Times New Roman" w:eastAsia="等线" w:hAnsi="Times New Roman" w:cs="Times New Roman"/>
                <w:sz w:val="21"/>
                <w:szCs w:val="21"/>
              </w:rPr>
              <w:lastRenderedPageBreak/>
              <w:t>experiences, focusing on how individuals make sense of their own subjective realities within specific contexts (Creswell &amp; Poth, 201</w:t>
            </w:r>
            <w:r w:rsidR="00E77277">
              <w:rPr>
                <w:rFonts w:ascii="Times New Roman" w:eastAsia="等线" w:hAnsi="Times New Roman" w:cs="Times New Roman" w:hint="eastAsia"/>
                <w:sz w:val="21"/>
                <w:szCs w:val="21"/>
              </w:rPr>
              <w:t>8</w:t>
            </w:r>
            <w:r w:rsidRPr="007A673A">
              <w:rPr>
                <w:rFonts w:ascii="Times New Roman" w:eastAsia="等线" w:hAnsi="Times New Roman" w:cs="Times New Roman"/>
                <w:sz w:val="21"/>
                <w:szCs w:val="21"/>
              </w:rPr>
              <w:t>; Van Manen, 2016).</w:t>
            </w:r>
          </w:p>
        </w:tc>
        <w:tc>
          <w:tcPr>
            <w:tcW w:w="2070" w:type="dxa"/>
          </w:tcPr>
          <w:p w14:paraId="3F7CA711"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lastRenderedPageBreak/>
              <w:t>Adopted</w:t>
            </w:r>
            <w:r w:rsidRPr="007A673A">
              <w:rPr>
                <w:rFonts w:ascii="Times New Roman" w:eastAsia="等线" w:hAnsi="Times New Roman" w:cs="Times New Roman"/>
                <w:sz w:val="21"/>
                <w:szCs w:val="21"/>
              </w:rPr>
              <w:t xml:space="preserve">. It aligns perfectly with the study’s focus on </w:t>
            </w:r>
            <w:r w:rsidRPr="007A673A">
              <w:rPr>
                <w:rFonts w:ascii="Times New Roman" w:eastAsia="等线" w:hAnsi="Times New Roman" w:cs="Times New Roman"/>
                <w:sz w:val="21"/>
                <w:szCs w:val="21"/>
              </w:rPr>
              <w:lastRenderedPageBreak/>
              <w:t>stakeholders—managers, production supervisors, and policymakers alike—in Chinese textile SMEs. For this research, it’s critical to capture how these groups interpret CE practices amid local cultural norms, like guanxi-based business networks.</w:t>
            </w:r>
          </w:p>
        </w:tc>
        <w:tc>
          <w:tcPr>
            <w:tcW w:w="2070" w:type="dxa"/>
          </w:tcPr>
          <w:p w14:paraId="2C21FAC3"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lastRenderedPageBreak/>
              <w:t xml:space="preserve">Highly aligned. Uncovering stakeholders’ </w:t>
            </w:r>
            <w:r w:rsidRPr="007A673A">
              <w:rPr>
                <w:rFonts w:ascii="Times New Roman" w:eastAsia="等线" w:hAnsi="Times New Roman" w:cs="Times New Roman"/>
                <w:sz w:val="21"/>
                <w:szCs w:val="21"/>
              </w:rPr>
              <w:lastRenderedPageBreak/>
              <w:t>thoughts, emotional responses, and practical reactions to CE rollout is the core goal here, and phenomenology is well-suited to this task.</w:t>
            </w:r>
          </w:p>
        </w:tc>
      </w:tr>
      <w:tr w:rsidR="007926D5" w:rsidRPr="007A673A" w14:paraId="53416DA7" w14:textId="77777777" w:rsidTr="00207FBE">
        <w:tc>
          <w:tcPr>
            <w:tcW w:w="2070" w:type="dxa"/>
          </w:tcPr>
          <w:p w14:paraId="796F037C"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lastRenderedPageBreak/>
              <w:t>Grounded Theory</w:t>
            </w:r>
          </w:p>
        </w:tc>
        <w:tc>
          <w:tcPr>
            <w:tcW w:w="2070" w:type="dxa"/>
          </w:tcPr>
          <w:p w14:paraId="32E5A475" w14:textId="7F35F8D9"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Researchers using this method build new substantive theory inductively from raw data, relying on systematic coding and theoretical sampling to explain social phenomena (</w:t>
            </w:r>
            <w:r w:rsidR="00BA5EF4" w:rsidRPr="007A673A">
              <w:rPr>
                <w:rFonts w:ascii="Times New Roman" w:eastAsia="等线" w:hAnsi="Times New Roman" w:cs="Times New Roman"/>
                <w:sz w:val="21"/>
                <w:szCs w:val="21"/>
              </w:rPr>
              <w:t>Creswell &amp; Poth, 201</w:t>
            </w:r>
            <w:r w:rsidR="00E77277">
              <w:rPr>
                <w:rFonts w:ascii="Times New Roman" w:eastAsia="等线" w:hAnsi="Times New Roman" w:cs="Times New Roman" w:hint="eastAsia"/>
                <w:sz w:val="21"/>
                <w:szCs w:val="21"/>
              </w:rPr>
              <w:t>8</w:t>
            </w:r>
            <w:r w:rsidRPr="007A673A">
              <w:rPr>
                <w:rFonts w:ascii="Times New Roman" w:eastAsia="等线" w:hAnsi="Times New Roman" w:cs="Times New Roman"/>
                <w:sz w:val="21"/>
                <w:szCs w:val="21"/>
              </w:rPr>
              <w:t>).</w:t>
            </w:r>
          </w:p>
        </w:tc>
        <w:tc>
          <w:tcPr>
            <w:tcW w:w="2070" w:type="dxa"/>
          </w:tcPr>
          <w:p w14:paraId="2EE2F273"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t>Rejected</w:t>
            </w:r>
            <w:r w:rsidRPr="007A673A">
              <w:rPr>
                <w:rFonts w:ascii="Times New Roman" w:eastAsia="等线" w:hAnsi="Times New Roman" w:cs="Times New Roman"/>
                <w:sz w:val="21"/>
                <w:szCs w:val="21"/>
              </w:rPr>
              <w:t>. Stakeholder theory (Freeman, 1984) already provides a solid, tested framework for analyzing how stakeholders interact around CE initiatives. Developing entirely new theory is unnecessary in this case.</w:t>
            </w:r>
          </w:p>
        </w:tc>
        <w:tc>
          <w:tcPr>
            <w:tcW w:w="2070" w:type="dxa"/>
          </w:tcPr>
          <w:p w14:paraId="537BE65D"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Low alignment. The study leverages existing theory to explore real-world CE experiences, not to construct new theoretical models from scratch.</w:t>
            </w:r>
          </w:p>
        </w:tc>
      </w:tr>
      <w:tr w:rsidR="007926D5" w:rsidRPr="007A673A" w14:paraId="41646AA0" w14:textId="77777777" w:rsidTr="00207FBE">
        <w:tc>
          <w:tcPr>
            <w:tcW w:w="2070" w:type="dxa"/>
          </w:tcPr>
          <w:p w14:paraId="101880C7"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t>Narrative Inquiry</w:t>
            </w:r>
          </w:p>
        </w:tc>
        <w:tc>
          <w:tcPr>
            <w:tcW w:w="2070" w:type="dxa"/>
          </w:tcPr>
          <w:p w14:paraId="1711155B" w14:textId="7B99CD5C"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 xml:space="preserve">It centers on individual life stories over time, exploring </w:t>
            </w:r>
            <w:r w:rsidRPr="007A673A">
              <w:rPr>
                <w:rFonts w:ascii="Times New Roman" w:eastAsia="等线" w:hAnsi="Times New Roman" w:cs="Times New Roman"/>
                <w:sz w:val="21"/>
                <w:szCs w:val="21"/>
              </w:rPr>
              <w:lastRenderedPageBreak/>
              <w:t>how personal accounts both shape and reflect the broader social environments people inhabit (</w:t>
            </w:r>
            <w:r w:rsidR="00BA5EF4" w:rsidRPr="007A673A">
              <w:rPr>
                <w:rFonts w:ascii="Times New Roman" w:eastAsia="等线" w:hAnsi="Times New Roman" w:cs="Times New Roman"/>
                <w:sz w:val="21"/>
                <w:szCs w:val="21"/>
              </w:rPr>
              <w:t>Creswell &amp; Poth, 201</w:t>
            </w:r>
            <w:r w:rsidR="00E77277">
              <w:rPr>
                <w:rFonts w:ascii="Times New Roman" w:eastAsia="等线" w:hAnsi="Times New Roman" w:cs="Times New Roman" w:hint="eastAsia"/>
                <w:sz w:val="21"/>
                <w:szCs w:val="21"/>
              </w:rPr>
              <w:t>8</w:t>
            </w:r>
            <w:r w:rsidRPr="007A673A">
              <w:rPr>
                <w:rFonts w:ascii="Times New Roman" w:eastAsia="等线" w:hAnsi="Times New Roman" w:cs="Times New Roman"/>
                <w:sz w:val="21"/>
                <w:szCs w:val="21"/>
              </w:rPr>
              <w:t>).</w:t>
            </w:r>
          </w:p>
        </w:tc>
        <w:tc>
          <w:tcPr>
            <w:tcW w:w="2070" w:type="dxa"/>
          </w:tcPr>
          <w:p w14:paraId="056D0D58"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lastRenderedPageBreak/>
              <w:t>Rejected</w:t>
            </w:r>
            <w:r w:rsidRPr="007A673A">
              <w:rPr>
                <w:rFonts w:ascii="Times New Roman" w:eastAsia="等线" w:hAnsi="Times New Roman" w:cs="Times New Roman"/>
                <w:sz w:val="21"/>
                <w:szCs w:val="21"/>
              </w:rPr>
              <w:t xml:space="preserve">. The research zeroes in on shared perception </w:t>
            </w:r>
            <w:r w:rsidRPr="007A673A">
              <w:rPr>
                <w:rFonts w:ascii="Times New Roman" w:eastAsia="等线" w:hAnsi="Times New Roman" w:cs="Times New Roman"/>
                <w:sz w:val="21"/>
                <w:szCs w:val="21"/>
              </w:rPr>
              <w:lastRenderedPageBreak/>
              <w:t>patterns across multiple SMEs, not on individual life histories or how personal stories evolve with time—this would shift focus away from CE practices.</w:t>
            </w:r>
          </w:p>
        </w:tc>
        <w:tc>
          <w:tcPr>
            <w:tcW w:w="2070" w:type="dxa"/>
          </w:tcPr>
          <w:p w14:paraId="43A58ECF"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lastRenderedPageBreak/>
              <w:t xml:space="preserve">Minimally aligned. Its emphasis on individual narratives </w:t>
            </w:r>
            <w:r w:rsidRPr="007A673A">
              <w:rPr>
                <w:rFonts w:ascii="Times New Roman" w:eastAsia="等线" w:hAnsi="Times New Roman" w:cs="Times New Roman"/>
                <w:sz w:val="21"/>
                <w:szCs w:val="21"/>
              </w:rPr>
              <w:lastRenderedPageBreak/>
              <w:t>over group-level insights means it does not match the study’s core objectives.</w:t>
            </w:r>
          </w:p>
        </w:tc>
      </w:tr>
      <w:tr w:rsidR="007926D5" w:rsidRPr="007A673A" w14:paraId="74983323" w14:textId="77777777" w:rsidTr="00207FBE">
        <w:tc>
          <w:tcPr>
            <w:tcW w:w="2070" w:type="dxa"/>
          </w:tcPr>
          <w:p w14:paraId="445B4448"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lastRenderedPageBreak/>
              <w:t>Ethnography</w:t>
            </w:r>
          </w:p>
        </w:tc>
        <w:tc>
          <w:tcPr>
            <w:tcW w:w="2070" w:type="dxa"/>
          </w:tcPr>
          <w:p w14:paraId="7C5754EB" w14:textId="7A1B5712"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Ethnography requires deep immersion in a cultural group’s daily life, with the goal of interpreting the shared beliefs, values, and behaviors that define that group (</w:t>
            </w:r>
            <w:r w:rsidR="00BA5EF4" w:rsidRPr="007A673A">
              <w:rPr>
                <w:rFonts w:ascii="Times New Roman" w:eastAsia="等线" w:hAnsi="Times New Roman" w:cs="Times New Roman"/>
                <w:sz w:val="21"/>
                <w:szCs w:val="21"/>
              </w:rPr>
              <w:t>Creswell &amp; Poth, 201</w:t>
            </w:r>
            <w:r w:rsidR="00E77277">
              <w:rPr>
                <w:rFonts w:ascii="Times New Roman" w:eastAsia="等线" w:hAnsi="Times New Roman" w:cs="Times New Roman" w:hint="eastAsia"/>
                <w:sz w:val="21"/>
                <w:szCs w:val="21"/>
              </w:rPr>
              <w:t>8</w:t>
            </w:r>
            <w:r w:rsidRPr="007A673A">
              <w:rPr>
                <w:rFonts w:ascii="Times New Roman" w:eastAsia="等线" w:hAnsi="Times New Roman" w:cs="Times New Roman"/>
                <w:sz w:val="21"/>
                <w:szCs w:val="21"/>
              </w:rPr>
              <w:t>).</w:t>
            </w:r>
          </w:p>
        </w:tc>
        <w:tc>
          <w:tcPr>
            <w:tcW w:w="2070" w:type="dxa"/>
          </w:tcPr>
          <w:p w14:paraId="3D61C89D"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t>Rejected</w:t>
            </w:r>
            <w:r w:rsidRPr="007A673A">
              <w:rPr>
                <w:rFonts w:ascii="Times New Roman" w:eastAsia="等线" w:hAnsi="Times New Roman" w:cs="Times New Roman"/>
                <w:sz w:val="21"/>
                <w:szCs w:val="21"/>
              </w:rPr>
              <w:t>. The study’s main aim is to examine stakeholders’ experiences with CE practices, not to conduct a holistic analysis of Chinese textile SMEs as a distinct cultural group—that scope is far beyond what is needed.</w:t>
            </w:r>
          </w:p>
        </w:tc>
        <w:tc>
          <w:tcPr>
            <w:tcW w:w="2070" w:type="dxa"/>
          </w:tcPr>
          <w:p w14:paraId="6B59F1A5"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Moderately aligned. While it acknowledges cultural contexts, it overfocus on holistic cultural study makes it ill-suited for the research’s narrow focus on CE.</w:t>
            </w:r>
          </w:p>
        </w:tc>
      </w:tr>
      <w:tr w:rsidR="007926D5" w:rsidRPr="007A673A" w14:paraId="635F8671" w14:textId="77777777" w:rsidTr="00207FBE">
        <w:tc>
          <w:tcPr>
            <w:tcW w:w="2070" w:type="dxa"/>
          </w:tcPr>
          <w:p w14:paraId="0DEEAAA6"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t>Case Study</w:t>
            </w:r>
          </w:p>
        </w:tc>
        <w:tc>
          <w:tcPr>
            <w:tcW w:w="2070" w:type="dxa"/>
          </w:tcPr>
          <w:p w14:paraId="18154932" w14:textId="3BF863FA" w:rsidR="007926D5" w:rsidRPr="00BA5EF4"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t xml:space="preserve">This method involves in-depth investigation of a single bounded system such as one organization or community—within its real-world context </w:t>
            </w:r>
            <w:r w:rsidRPr="007A673A">
              <w:rPr>
                <w:rFonts w:ascii="Times New Roman" w:eastAsia="等线" w:hAnsi="Times New Roman" w:cs="Times New Roman"/>
                <w:sz w:val="21"/>
                <w:szCs w:val="21"/>
              </w:rPr>
              <w:lastRenderedPageBreak/>
              <w:t>(</w:t>
            </w:r>
            <w:r w:rsidR="00BA5EF4" w:rsidRPr="007A673A">
              <w:rPr>
                <w:rFonts w:ascii="Times New Roman" w:eastAsia="等线" w:hAnsi="Times New Roman" w:cs="Times New Roman"/>
                <w:sz w:val="21"/>
                <w:szCs w:val="21"/>
              </w:rPr>
              <w:t>Creswell &amp; Poth, 201</w:t>
            </w:r>
            <w:r w:rsidR="00E77277">
              <w:rPr>
                <w:rFonts w:ascii="Times New Roman" w:eastAsia="等线" w:hAnsi="Times New Roman" w:cs="Times New Roman" w:hint="eastAsia"/>
                <w:sz w:val="21"/>
                <w:szCs w:val="21"/>
              </w:rPr>
              <w:t>8</w:t>
            </w:r>
            <w:r w:rsidR="00BA5EF4">
              <w:rPr>
                <w:rFonts w:ascii="Times New Roman" w:eastAsia="等线" w:hAnsi="Times New Roman" w:cs="Times New Roman" w:hint="eastAsia"/>
                <w:sz w:val="21"/>
                <w:szCs w:val="21"/>
              </w:rPr>
              <w:t>)</w:t>
            </w:r>
          </w:p>
        </w:tc>
        <w:tc>
          <w:tcPr>
            <w:tcW w:w="2070" w:type="dxa"/>
          </w:tcPr>
          <w:p w14:paraId="03A5C10F"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b/>
                <w:sz w:val="21"/>
                <w:szCs w:val="21"/>
              </w:rPr>
              <w:lastRenderedPageBreak/>
              <w:t>Rejected</w:t>
            </w:r>
            <w:r w:rsidRPr="007A673A">
              <w:rPr>
                <w:rFonts w:ascii="Times New Roman" w:eastAsia="等线" w:hAnsi="Times New Roman" w:cs="Times New Roman"/>
                <w:sz w:val="21"/>
                <w:szCs w:val="21"/>
              </w:rPr>
              <w:t xml:space="preserve">. The research intends to explore CE experiences across 5-7 textile SMEs, focusing on common themes across these </w:t>
            </w:r>
            <w:r w:rsidRPr="007A673A">
              <w:rPr>
                <w:rFonts w:ascii="Times New Roman" w:eastAsia="等线" w:hAnsi="Times New Roman" w:cs="Times New Roman"/>
                <w:sz w:val="21"/>
                <w:szCs w:val="21"/>
              </w:rPr>
              <w:lastRenderedPageBreak/>
              <w:t>cases rather than deep diving into just one entity.</w:t>
            </w:r>
          </w:p>
        </w:tc>
        <w:tc>
          <w:tcPr>
            <w:tcW w:w="2070" w:type="dxa"/>
          </w:tcPr>
          <w:p w14:paraId="08EC1147" w14:textId="77777777" w:rsidR="007926D5" w:rsidRPr="007A673A" w:rsidRDefault="007926D5" w:rsidP="00060596">
            <w:pPr>
              <w:widowControl/>
              <w:spacing w:line="360" w:lineRule="auto"/>
              <w:rPr>
                <w:rFonts w:ascii="Times New Roman" w:hAnsi="Times New Roman" w:cs="Times New Roman"/>
                <w:sz w:val="21"/>
                <w:szCs w:val="21"/>
              </w:rPr>
            </w:pPr>
            <w:r w:rsidRPr="007A673A">
              <w:rPr>
                <w:rFonts w:ascii="Times New Roman" w:eastAsia="等线" w:hAnsi="Times New Roman" w:cs="Times New Roman"/>
                <w:sz w:val="21"/>
                <w:szCs w:val="21"/>
              </w:rPr>
              <w:lastRenderedPageBreak/>
              <w:t>Moderately aligned. It works for organizational research, but it focuses on single cases conflicts with the study’s multi-</w:t>
            </w:r>
            <w:r w:rsidRPr="007A673A">
              <w:rPr>
                <w:rFonts w:ascii="Times New Roman" w:eastAsia="等线" w:hAnsi="Times New Roman" w:cs="Times New Roman"/>
                <w:sz w:val="21"/>
                <w:szCs w:val="21"/>
              </w:rPr>
              <w:lastRenderedPageBreak/>
              <w:t>SME design and cross-case analysis goals.</w:t>
            </w:r>
          </w:p>
        </w:tc>
      </w:tr>
    </w:tbl>
    <w:p w14:paraId="62B578FC" w14:textId="77777777" w:rsidR="007926D5" w:rsidRPr="007A673A" w:rsidRDefault="007926D5" w:rsidP="00060596">
      <w:pPr>
        <w:widowControl/>
        <w:spacing w:after="0" w:line="360" w:lineRule="auto"/>
        <w:rPr>
          <w:rFonts w:ascii="Times New Roman" w:eastAsia="宋体" w:hAnsi="Times New Roman" w:cs="Times New Roman"/>
          <w:kern w:val="0"/>
          <w:sz w:val="24"/>
          <w14:ligatures w14:val="none"/>
        </w:rPr>
      </w:pPr>
    </w:p>
    <w:p w14:paraId="66EF56E0" w14:textId="77777777" w:rsidR="007926D5" w:rsidRPr="00EF2D51" w:rsidRDefault="007926D5" w:rsidP="00060596">
      <w:pPr>
        <w:widowControl/>
        <w:spacing w:after="0" w:line="360" w:lineRule="auto"/>
        <w:rPr>
          <w:rFonts w:ascii="Times New Roman" w:eastAsia="宋体" w:hAnsi="Times New Roman" w:cs="Times New Roman"/>
          <w:b/>
          <w:bCs/>
          <w:kern w:val="0"/>
          <w:sz w:val="32"/>
          <w:szCs w:val="32"/>
          <w14:ligatures w14:val="none"/>
        </w:rPr>
      </w:pPr>
      <w:r w:rsidRPr="00EF2D51">
        <w:rPr>
          <w:rFonts w:ascii="Times New Roman" w:eastAsia="宋体" w:hAnsi="Times New Roman" w:cs="Times New Roman"/>
          <w:b/>
          <w:bCs/>
          <w:kern w:val="0"/>
          <w:sz w:val="32"/>
          <w:szCs w:val="32"/>
          <w14:ligatures w14:val="none"/>
        </w:rPr>
        <w:t>3.2.2 Research design/method</w:t>
      </w:r>
    </w:p>
    <w:p w14:paraId="06E4CED5" w14:textId="77777777" w:rsidR="007926D5" w:rsidRPr="00EF2D51" w:rsidRDefault="007926D5" w:rsidP="00060596">
      <w:pPr>
        <w:widowControl/>
        <w:spacing w:after="0" w:line="360" w:lineRule="auto"/>
        <w:rPr>
          <w:rFonts w:ascii="Times New Roman" w:eastAsia="宋体" w:hAnsi="Times New Roman" w:cs="Times New Roman"/>
          <w:i/>
          <w:iCs/>
          <w:kern w:val="0"/>
          <w:sz w:val="28"/>
          <w:szCs w:val="28"/>
          <w14:ligatures w14:val="none"/>
        </w:rPr>
      </w:pPr>
      <w:r w:rsidRPr="00EF2D51">
        <w:rPr>
          <w:rFonts w:ascii="Times New Roman" w:eastAsia="宋体" w:hAnsi="Times New Roman" w:cs="Times New Roman"/>
          <w:i/>
          <w:iCs/>
          <w:kern w:val="0"/>
          <w:sz w:val="28"/>
          <w:szCs w:val="28"/>
          <w14:ligatures w14:val="none"/>
        </w:rPr>
        <w:t>3.2.2.1 Data Collection</w:t>
      </w:r>
    </w:p>
    <w:p w14:paraId="61E77146" w14:textId="454DB3E4" w:rsidR="00315A58" w:rsidRPr="00315A58" w:rsidRDefault="00315A58" w:rsidP="00060596">
      <w:pPr>
        <w:widowControl/>
        <w:spacing w:after="0" w:line="360" w:lineRule="auto"/>
        <w:rPr>
          <w:rFonts w:ascii="Times New Roman" w:eastAsia="宋体" w:hAnsi="Times New Roman" w:cs="Times New Roman"/>
          <w:kern w:val="0"/>
          <w:sz w:val="24"/>
          <w14:ligatures w14:val="none"/>
        </w:rPr>
      </w:pPr>
      <w:r w:rsidRPr="00315A58">
        <w:rPr>
          <w:rFonts w:ascii="Times New Roman" w:eastAsia="宋体" w:hAnsi="Times New Roman" w:cs="Times New Roman"/>
          <w:kern w:val="0"/>
          <w:sz w:val="24"/>
          <w14:ligatures w14:val="none"/>
        </w:rPr>
        <w:t xml:space="preserve">This research will </w:t>
      </w:r>
      <w:r>
        <w:rPr>
          <w:rFonts w:ascii="Times New Roman" w:eastAsia="宋体" w:hAnsi="Times New Roman" w:cs="Times New Roman" w:hint="eastAsia"/>
          <w:kern w:val="0"/>
          <w:sz w:val="24"/>
          <w14:ligatures w14:val="none"/>
        </w:rPr>
        <w:t>use</w:t>
      </w:r>
      <w:r w:rsidRPr="00315A58">
        <w:rPr>
          <w:rFonts w:ascii="Times New Roman" w:eastAsia="宋体" w:hAnsi="Times New Roman" w:cs="Times New Roman"/>
          <w:kern w:val="0"/>
          <w:sz w:val="24"/>
          <w14:ligatures w14:val="none"/>
        </w:rPr>
        <w:t xml:space="preserve"> semi-structured interviews as the principal approach for data collecting. We will employ purposive sampling to recruit 15 to 20 participants from 5 to 7 small-scale textile firms in the provinces of Jiangsu and Zhejiang. The participant group will consist of essential stakeholders engaged in circular economy (CE) decision-making, specifically 6 to 8 enterprise managers, along with other vital internal and external stakeholders: 3 to 4 production supervisors, 2 to 3 R&amp;D personnel, 2 to 3 local government policy implementers, and 2 representatives from industry associations. This sample size adheres to Creswell's (201</w:t>
      </w:r>
      <w:r w:rsidR="00E77277">
        <w:rPr>
          <w:rFonts w:ascii="Times New Roman" w:eastAsia="宋体" w:hAnsi="Times New Roman" w:cs="Times New Roman" w:hint="eastAsia"/>
          <w:kern w:val="0"/>
          <w:sz w:val="24"/>
          <w14:ligatures w14:val="none"/>
        </w:rPr>
        <w:t>8</w:t>
      </w:r>
      <w:r w:rsidRPr="00315A58">
        <w:rPr>
          <w:rFonts w:ascii="Times New Roman" w:eastAsia="宋体" w:hAnsi="Times New Roman" w:cs="Times New Roman"/>
          <w:kern w:val="0"/>
          <w:sz w:val="24"/>
          <w14:ligatures w14:val="none"/>
        </w:rPr>
        <w:t>) guidelines for attaining data saturation in phenomenological research.</w:t>
      </w:r>
    </w:p>
    <w:p w14:paraId="2167A92C" w14:textId="77777777" w:rsidR="007926D5" w:rsidRPr="00315A58" w:rsidRDefault="007926D5" w:rsidP="00060596">
      <w:pPr>
        <w:widowControl/>
        <w:spacing w:after="0" w:line="360" w:lineRule="auto"/>
        <w:rPr>
          <w:rFonts w:ascii="Times New Roman" w:eastAsia="宋体" w:hAnsi="Times New Roman" w:cs="Times New Roman"/>
          <w:kern w:val="0"/>
          <w:sz w:val="24"/>
          <w14:ligatures w14:val="none"/>
        </w:rPr>
      </w:pPr>
    </w:p>
    <w:p w14:paraId="5BCFD949" w14:textId="2CBBECBC" w:rsidR="005A1527" w:rsidRDefault="00315A58" w:rsidP="00060596">
      <w:pPr>
        <w:widowControl/>
        <w:spacing w:after="0" w:line="360" w:lineRule="auto"/>
        <w:rPr>
          <w:rFonts w:ascii="Times New Roman" w:eastAsia="宋体" w:hAnsi="Times New Roman" w:cs="Times New Roman"/>
          <w:kern w:val="0"/>
          <w:sz w:val="24"/>
          <w14:ligatures w14:val="none"/>
        </w:rPr>
      </w:pPr>
      <w:r w:rsidRPr="00315A58">
        <w:rPr>
          <w:rFonts w:ascii="Times New Roman" w:eastAsia="宋体" w:hAnsi="Times New Roman" w:cs="Times New Roman"/>
          <w:kern w:val="0"/>
          <w:sz w:val="24"/>
          <w14:ligatures w14:val="none"/>
        </w:rPr>
        <w:t xml:space="preserve">This interview guide will be designed around three research sub-questions, following the phenomenological approach of Van Manen (2016) to explore actual experiences - focusing on aspects such as stakeholders' understanding of the concept of circular economy, the obstacles they encounter in implementing circular economy, and how they balance traditional operational priorities with the principles of circular economy. The interview will begin with a basic question: "How do you understand circular economy?" Then, a series of in-depth questions aimed at obtaining detailed accounts will be raised, such as: "Please describe a specific experience when you participated in circular economy practice - what were your thoughts and feelings at that time?" All interviews will be conducted in Mandarin, with the location chosen by the participants to ensure their comfort and willingness to share. Each interview will last 45 to 60 minutes and can be conducted face-to-face or via video call. After obtaining the participants' prior written consent, all interviews will be recorded and then transcribed </w:t>
      </w:r>
      <w:r w:rsidRPr="00315A58">
        <w:rPr>
          <w:rFonts w:ascii="Times New Roman" w:eastAsia="宋体" w:hAnsi="Times New Roman" w:cs="Times New Roman"/>
          <w:kern w:val="0"/>
          <w:sz w:val="24"/>
          <w14:ligatures w14:val="none"/>
        </w:rPr>
        <w:lastRenderedPageBreak/>
        <w:t xml:space="preserve">in the original Chinese. To ensure the integrity of the data, the Chinese text will then be translated into English, and subsequently, a bilingual researcher will conduct a back-translation from English to Chinese to verify the accuracy of the </w:t>
      </w:r>
      <w:r w:rsidR="00D42775" w:rsidRPr="00315A58">
        <w:rPr>
          <w:rFonts w:ascii="Times New Roman" w:eastAsia="宋体" w:hAnsi="Times New Roman" w:cs="Times New Roman"/>
          <w:kern w:val="0"/>
          <w:sz w:val="24"/>
          <w14:ligatures w14:val="none"/>
        </w:rPr>
        <w:t>translation and</w:t>
      </w:r>
      <w:r w:rsidRPr="00315A58">
        <w:rPr>
          <w:rFonts w:ascii="Times New Roman" w:eastAsia="宋体" w:hAnsi="Times New Roman" w:cs="Times New Roman"/>
          <w:kern w:val="0"/>
          <w:sz w:val="24"/>
          <w14:ligatures w14:val="none"/>
        </w:rPr>
        <w:t xml:space="preserve"> then proceed with in-depth thematic analysis.</w:t>
      </w:r>
    </w:p>
    <w:p w14:paraId="17F8EC6C" w14:textId="77777777" w:rsidR="005A1527" w:rsidRDefault="005A1527" w:rsidP="00060596">
      <w:pPr>
        <w:widowControl/>
        <w:spacing w:after="0" w:line="360" w:lineRule="auto"/>
        <w:rPr>
          <w:rFonts w:ascii="Times New Roman" w:eastAsia="宋体" w:hAnsi="Times New Roman" w:cs="Times New Roman"/>
          <w:kern w:val="0"/>
          <w:sz w:val="24"/>
          <w14:ligatures w14:val="none"/>
        </w:rPr>
      </w:pPr>
    </w:p>
    <w:p w14:paraId="69C8AA55" w14:textId="77777777" w:rsidR="005A1527" w:rsidRDefault="005A1527" w:rsidP="00060596">
      <w:pPr>
        <w:widowControl/>
        <w:spacing w:after="0" w:line="360" w:lineRule="auto"/>
        <w:rPr>
          <w:rFonts w:ascii="Times New Roman" w:eastAsia="宋体" w:hAnsi="Times New Roman" w:cs="Times New Roman"/>
          <w:kern w:val="0"/>
          <w:sz w:val="24"/>
          <w14:ligatures w14:val="none"/>
        </w:rPr>
      </w:pPr>
    </w:p>
    <w:p w14:paraId="4C20217C" w14:textId="64EC7140" w:rsidR="005A1527" w:rsidRDefault="005A1527" w:rsidP="00060596">
      <w:pPr>
        <w:widowControl/>
        <w:spacing w:after="0" w:line="360" w:lineRule="auto"/>
        <w:rPr>
          <w:rFonts w:ascii="Times New Roman" w:eastAsia="宋体" w:hAnsi="Times New Roman" w:cs="Times New Roman"/>
          <w:kern w:val="0"/>
          <w:sz w:val="24"/>
          <w14:ligatures w14:val="none"/>
        </w:rPr>
      </w:pPr>
      <w:r>
        <w:rPr>
          <w:rFonts w:ascii="Times New Roman" w:eastAsia="宋体" w:hAnsi="Times New Roman" w:cs="Times New Roman"/>
          <w:noProof/>
          <w:kern w:val="0"/>
          <w:sz w:val="24"/>
        </w:rPr>
        <w:drawing>
          <wp:inline distT="0" distB="0" distL="0" distR="0" wp14:anchorId="5DC1A0A1" wp14:editId="6B03507C">
            <wp:extent cx="5274310" cy="3076575"/>
            <wp:effectExtent l="0" t="0" r="59690" b="0"/>
            <wp:docPr id="1314658535"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4FB696F" w14:textId="6737DC71" w:rsidR="005A1527" w:rsidRPr="005A1527" w:rsidRDefault="005A1527" w:rsidP="00060596">
      <w:pPr>
        <w:widowControl/>
        <w:spacing w:after="0" w:line="360" w:lineRule="auto"/>
        <w:rPr>
          <w:rFonts w:ascii="Times New Roman" w:eastAsia="宋体" w:hAnsi="Times New Roman" w:cs="Times New Roman"/>
          <w:kern w:val="0"/>
          <w:sz w:val="20"/>
          <w:szCs w:val="20"/>
          <w14:ligatures w14:val="none"/>
        </w:rPr>
      </w:pPr>
      <w:r w:rsidRPr="005A1527">
        <w:rPr>
          <w:rFonts w:ascii="Times New Roman" w:eastAsia="宋体" w:hAnsi="Times New Roman" w:cs="Times New Roman"/>
          <w:kern w:val="0"/>
          <w:sz w:val="20"/>
          <w:szCs w:val="20"/>
          <w14:ligatures w14:val="none"/>
        </w:rPr>
        <w:t xml:space="preserve">Figure </w:t>
      </w:r>
      <w:r w:rsidRPr="005A1527">
        <w:rPr>
          <w:rFonts w:ascii="Times New Roman" w:eastAsia="宋体" w:hAnsi="Times New Roman" w:cs="Times New Roman" w:hint="eastAsia"/>
          <w:kern w:val="0"/>
          <w:sz w:val="20"/>
          <w:szCs w:val="20"/>
          <w14:ligatures w14:val="none"/>
        </w:rPr>
        <w:t>2</w:t>
      </w:r>
      <w:r w:rsidRPr="005A1527">
        <w:rPr>
          <w:rFonts w:ascii="Times New Roman" w:eastAsia="宋体" w:hAnsi="Times New Roman" w:cs="Times New Roman"/>
          <w:kern w:val="0"/>
          <w:sz w:val="20"/>
          <w:szCs w:val="20"/>
          <w14:ligatures w14:val="none"/>
        </w:rPr>
        <w:t>. Three-stage Semi-structured Interview Process for Textile SMEs' Circular Economy Research</w:t>
      </w:r>
    </w:p>
    <w:p w14:paraId="3400D6CC" w14:textId="77777777" w:rsidR="005A1527" w:rsidRPr="007A673A" w:rsidRDefault="005A1527" w:rsidP="00060596">
      <w:pPr>
        <w:widowControl/>
        <w:spacing w:after="0" w:line="360" w:lineRule="auto"/>
        <w:rPr>
          <w:rFonts w:ascii="Times New Roman" w:eastAsia="宋体" w:hAnsi="Times New Roman" w:cs="Times New Roman"/>
          <w:kern w:val="0"/>
          <w:sz w:val="24"/>
          <w14:ligatures w14:val="none"/>
        </w:rPr>
      </w:pPr>
    </w:p>
    <w:p w14:paraId="2ADDE8D6" w14:textId="77777777" w:rsidR="007926D5" w:rsidRPr="007A673A" w:rsidRDefault="007926D5" w:rsidP="00060596">
      <w:pPr>
        <w:widowControl/>
        <w:spacing w:after="0" w:line="360" w:lineRule="auto"/>
        <w:rPr>
          <w:rFonts w:ascii="Times New Roman" w:eastAsia="宋体" w:hAnsi="Times New Roman" w:cs="Times New Roman"/>
          <w:b/>
          <w:bCs/>
          <w:kern w:val="0"/>
          <w:sz w:val="24"/>
          <w14:ligatures w14:val="none"/>
        </w:rPr>
      </w:pPr>
    </w:p>
    <w:p w14:paraId="1E3A33F5" w14:textId="77777777" w:rsidR="007926D5" w:rsidRPr="00EF2D51" w:rsidRDefault="007926D5" w:rsidP="00060596">
      <w:pPr>
        <w:widowControl/>
        <w:spacing w:after="0" w:line="360" w:lineRule="auto"/>
        <w:rPr>
          <w:rFonts w:ascii="Times New Roman" w:eastAsia="宋体" w:hAnsi="Times New Roman" w:cs="Times New Roman"/>
          <w:i/>
          <w:iCs/>
          <w:kern w:val="0"/>
          <w:sz w:val="28"/>
          <w:szCs w:val="28"/>
          <w14:ligatures w14:val="none"/>
        </w:rPr>
      </w:pPr>
      <w:r w:rsidRPr="00EF2D51">
        <w:rPr>
          <w:rFonts w:ascii="Times New Roman" w:eastAsia="宋体" w:hAnsi="Times New Roman" w:cs="Times New Roman"/>
          <w:i/>
          <w:iCs/>
          <w:kern w:val="0"/>
          <w:sz w:val="28"/>
          <w:szCs w:val="28"/>
          <w14:ligatures w14:val="none"/>
        </w:rPr>
        <w:t>3.2.2.2 Data Analysis</w:t>
      </w:r>
    </w:p>
    <w:p w14:paraId="16271F51" w14:textId="6ABEF7A3" w:rsidR="007926D5" w:rsidRPr="007A673A" w:rsidRDefault="00315A58" w:rsidP="00060596">
      <w:pPr>
        <w:widowControl/>
        <w:spacing w:after="0" w:line="360" w:lineRule="auto"/>
        <w:rPr>
          <w:rFonts w:ascii="Times New Roman" w:eastAsia="宋体" w:hAnsi="Times New Roman" w:cs="Times New Roman"/>
          <w:kern w:val="0"/>
          <w:sz w:val="24"/>
          <w14:ligatures w14:val="none"/>
        </w:rPr>
      </w:pPr>
      <w:r w:rsidRPr="00315A58">
        <w:rPr>
          <w:rFonts w:ascii="Times New Roman" w:eastAsia="宋体" w:hAnsi="Times New Roman" w:cs="Times New Roman"/>
          <w:kern w:val="0"/>
          <w:sz w:val="24"/>
          <w14:ligatures w14:val="none"/>
        </w:rPr>
        <w:t xml:space="preserve">This study will combine the methods of content analysis and thematic analysis. Firstly, through content analysis, the emotional tendencies, the frequency of key concepts' appearance, and the relationships in the interview records will be identified, thereby capturing the intuitive views of the stakeholders on </w:t>
      </w:r>
      <w:r w:rsidR="00E77277" w:rsidRPr="00E77277">
        <w:rPr>
          <w:rFonts w:ascii="Times New Roman" w:eastAsia="宋体" w:hAnsi="Times New Roman" w:cs="Times New Roman"/>
          <w:kern w:val="0"/>
          <w:sz w:val="24"/>
          <w14:ligatures w14:val="none"/>
        </w:rPr>
        <w:t>circular economy</w:t>
      </w:r>
      <w:r w:rsidRPr="00315A58">
        <w:rPr>
          <w:rFonts w:ascii="Times New Roman" w:eastAsia="宋体" w:hAnsi="Times New Roman" w:cs="Times New Roman"/>
          <w:kern w:val="0"/>
          <w:sz w:val="24"/>
          <w14:ligatures w14:val="none"/>
        </w:rPr>
        <w:t xml:space="preserve">. Subsequently, thematic analysis will be applied for coding: the first-level coding will focus on core concepts such as "CE cognition" and "implementation obstacles"; the second-level coding will further refine these concepts into specific categories, such as "concept confusion" and "financial constraints"; the third-level coding will delve deeper into potential themes - for example, "the cognitive differences between CE and </w:t>
      </w:r>
      <w:r w:rsidRPr="00315A58">
        <w:rPr>
          <w:rFonts w:ascii="Times New Roman" w:eastAsia="宋体" w:hAnsi="Times New Roman" w:cs="Times New Roman"/>
          <w:kern w:val="0"/>
          <w:sz w:val="24"/>
          <w14:ligatures w14:val="none"/>
        </w:rPr>
        <w:lastRenderedPageBreak/>
        <w:t>traditional environmental protection" - to reveal the mechanisms that influence the views and behavioral choices of the stakeholders.</w:t>
      </w:r>
    </w:p>
    <w:p w14:paraId="75E93685" w14:textId="77777777" w:rsidR="007926D5" w:rsidRPr="00EF2D51" w:rsidRDefault="007926D5" w:rsidP="00060596">
      <w:pPr>
        <w:widowControl/>
        <w:spacing w:after="0" w:line="360" w:lineRule="auto"/>
        <w:rPr>
          <w:rFonts w:ascii="Times New Roman" w:eastAsia="宋体" w:hAnsi="Times New Roman" w:cs="Times New Roman"/>
          <w:b/>
          <w:bCs/>
          <w:kern w:val="0"/>
          <w:sz w:val="32"/>
          <w:szCs w:val="32"/>
          <w14:ligatures w14:val="none"/>
        </w:rPr>
      </w:pPr>
      <w:r w:rsidRPr="00EF2D51">
        <w:rPr>
          <w:rFonts w:ascii="Times New Roman" w:eastAsia="宋体" w:hAnsi="Times New Roman" w:cs="Times New Roman"/>
          <w:b/>
          <w:bCs/>
          <w:kern w:val="0"/>
          <w:sz w:val="32"/>
          <w:szCs w:val="32"/>
          <w14:ligatures w14:val="none"/>
        </w:rPr>
        <w:t>3.3 Ethical considerations</w:t>
      </w:r>
    </w:p>
    <w:p w14:paraId="0EDD9331" w14:textId="601AC575" w:rsidR="007926D5" w:rsidRPr="007A673A" w:rsidRDefault="007926D5" w:rsidP="00060596">
      <w:pPr>
        <w:spacing w:line="360" w:lineRule="auto"/>
        <w:ind w:right="220"/>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This study uses semi-structured interviews to explore how stakeholders of Chinese textile SMEs perceive and engage with circular economy practices. Guided by Seedhouse’s (200</w:t>
      </w:r>
      <w:r w:rsidR="00E77277">
        <w:rPr>
          <w:rFonts w:ascii="Times New Roman" w:eastAsia="宋体" w:hAnsi="Times New Roman" w:cs="Times New Roman" w:hint="eastAsia"/>
          <w:kern w:val="0"/>
          <w:sz w:val="24"/>
          <w14:ligatures w14:val="none"/>
        </w:rPr>
        <w:t>8</w:t>
      </w:r>
      <w:r w:rsidRPr="007A673A">
        <w:rPr>
          <w:rFonts w:ascii="Times New Roman" w:eastAsia="宋体" w:hAnsi="Times New Roman" w:cs="Times New Roman"/>
          <w:kern w:val="0"/>
          <w:sz w:val="24"/>
          <w14:ligatures w14:val="none"/>
        </w:rPr>
        <w:t xml:space="preserve">) Ethical Grid—from </w:t>
      </w:r>
      <w:r w:rsidRPr="007A673A">
        <w:rPr>
          <w:rFonts w:ascii="Times New Roman" w:eastAsia="宋体" w:hAnsi="Times New Roman" w:cs="Times New Roman"/>
          <w:i/>
          <w:iCs/>
          <w:kern w:val="0"/>
          <w:sz w:val="24"/>
          <w14:ligatures w14:val="none"/>
        </w:rPr>
        <w:t>Ethics: The Heart of Health Care</w:t>
      </w:r>
      <w:r w:rsidRPr="007A673A">
        <w:rPr>
          <w:rFonts w:ascii="Times New Roman" w:eastAsia="宋体" w:hAnsi="Times New Roman" w:cs="Times New Roman"/>
          <w:kern w:val="0"/>
          <w:sz w:val="24"/>
          <w14:ligatures w14:val="none"/>
        </w:rPr>
        <w:t xml:space="preserve"> (3rd ed.), a reflexive decision-making tool not a prescriptive theory—we outline key ethical considerations across four dimensions.</w:t>
      </w:r>
    </w:p>
    <w:p w14:paraId="6564707A" w14:textId="77777777" w:rsidR="007926D5" w:rsidRPr="007A673A" w:rsidRDefault="007926D5" w:rsidP="00060596">
      <w:pPr>
        <w:spacing w:line="360" w:lineRule="auto"/>
        <w:ind w:right="220"/>
        <w:rPr>
          <w:rFonts w:ascii="Times New Roman" w:eastAsia="宋体" w:hAnsi="Times New Roman" w:cs="Times New Roman"/>
          <w:b/>
          <w:bCs/>
          <w:kern w:val="0"/>
          <w:sz w:val="24"/>
          <w14:ligatures w14:val="none"/>
        </w:rPr>
      </w:pPr>
      <w:r w:rsidRPr="00EF2D51">
        <w:rPr>
          <w:rFonts w:ascii="Times New Roman" w:eastAsia="宋体" w:hAnsi="Times New Roman" w:cs="Times New Roman"/>
          <w:i/>
          <w:iCs/>
          <w:kern w:val="0"/>
          <w:sz w:val="28"/>
          <w:szCs w:val="28"/>
          <w14:ligatures w14:val="none"/>
        </w:rPr>
        <w:t>3.3.1 External Consideration</w:t>
      </w:r>
      <w:r w:rsidRPr="007A673A">
        <w:rPr>
          <w:rFonts w:ascii="Times New Roman" w:eastAsia="宋体" w:hAnsi="Times New Roman" w:cs="Times New Roman"/>
          <w:b/>
          <w:bCs/>
          <w:kern w:val="0"/>
          <w:sz w:val="24"/>
          <w14:ligatures w14:val="none"/>
        </w:rPr>
        <w:t>s</w:t>
      </w:r>
    </w:p>
    <w:p w14:paraId="593BE291" w14:textId="77777777" w:rsidR="007926D5" w:rsidRPr="007A673A" w:rsidRDefault="007926D5" w:rsidP="00060596">
      <w:pPr>
        <w:spacing w:line="360" w:lineRule="auto"/>
        <w:ind w:right="220"/>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 xml:space="preserve">We strictly comply with China’s Personal Information Protection Law (2021), Cybersecurity Law (2017), and CNTAC’s (2023) </w:t>
      </w:r>
      <w:r w:rsidRPr="007A673A">
        <w:rPr>
          <w:rFonts w:ascii="Times New Roman" w:eastAsia="宋体" w:hAnsi="Times New Roman" w:cs="Times New Roman"/>
          <w:i/>
          <w:iCs/>
          <w:kern w:val="0"/>
          <w:sz w:val="24"/>
          <w14:ligatures w14:val="none"/>
        </w:rPr>
        <w:t>Guidance on Social and Environmental Due Diligence for China's Textile and Apparel Enterprises</w:t>
      </w:r>
      <w:r w:rsidRPr="007A673A">
        <w:rPr>
          <w:rFonts w:ascii="Times New Roman" w:eastAsia="宋体" w:hAnsi="Times New Roman" w:cs="Times New Roman"/>
          <w:kern w:val="0"/>
          <w:sz w:val="24"/>
          <w14:ligatures w14:val="none"/>
        </w:rPr>
        <w:t>. Only research-critical information is collected, excluding sensitive data. Participants are reached via formal channels, with recognition that guanxi (interpersonal networks) shapes access and consent (Zhang &amp; Halim, 2022).</w:t>
      </w:r>
    </w:p>
    <w:p w14:paraId="696FC43E" w14:textId="77777777" w:rsidR="007926D5" w:rsidRPr="00EF2D51" w:rsidRDefault="007926D5" w:rsidP="00060596">
      <w:pPr>
        <w:spacing w:line="360" w:lineRule="auto"/>
        <w:ind w:right="220"/>
        <w:rPr>
          <w:rFonts w:ascii="Times New Roman" w:eastAsia="宋体" w:hAnsi="Times New Roman" w:cs="Times New Roman"/>
          <w:i/>
          <w:iCs/>
          <w:kern w:val="0"/>
          <w:sz w:val="28"/>
          <w:szCs w:val="28"/>
          <w14:ligatures w14:val="none"/>
        </w:rPr>
      </w:pPr>
      <w:r w:rsidRPr="00EF2D51">
        <w:rPr>
          <w:rFonts w:ascii="Times New Roman" w:eastAsia="宋体" w:hAnsi="Times New Roman" w:cs="Times New Roman"/>
          <w:i/>
          <w:iCs/>
          <w:kern w:val="0"/>
          <w:sz w:val="28"/>
          <w:szCs w:val="28"/>
          <w14:ligatures w14:val="none"/>
        </w:rPr>
        <w:t>3.3.2 Consequential Layer</w:t>
      </w:r>
    </w:p>
    <w:p w14:paraId="7FC86A1E" w14:textId="50E0DC14" w:rsidR="007926D5" w:rsidRPr="007A673A" w:rsidRDefault="007926D5" w:rsidP="00060596">
      <w:pPr>
        <w:spacing w:line="360" w:lineRule="auto"/>
        <w:ind w:right="220"/>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A strict de-identification process is adopted: enterprise names are replaced with codes, and specific details (location, employee count, product specialties) are generalized or omitted to prevent identification (Saunders et al., 201</w:t>
      </w:r>
      <w:r w:rsidR="00BA5EF4">
        <w:rPr>
          <w:rFonts w:ascii="Times New Roman" w:eastAsia="宋体" w:hAnsi="Times New Roman" w:cs="Times New Roman" w:hint="eastAsia"/>
          <w:kern w:val="0"/>
          <w:sz w:val="24"/>
          <w14:ligatures w14:val="none"/>
        </w:rPr>
        <w:t>8</w:t>
      </w:r>
      <w:r w:rsidRPr="007A673A">
        <w:rPr>
          <w:rFonts w:ascii="Times New Roman" w:eastAsia="宋体" w:hAnsi="Times New Roman" w:cs="Times New Roman"/>
          <w:kern w:val="0"/>
          <w:sz w:val="24"/>
          <w14:ligatures w14:val="none"/>
        </w:rPr>
        <w:t>), shielding participants from commercial or reputational risks.</w:t>
      </w:r>
    </w:p>
    <w:p w14:paraId="469BFACF" w14:textId="77777777" w:rsidR="007926D5" w:rsidRPr="00EF2D51" w:rsidRDefault="007926D5" w:rsidP="00060596">
      <w:pPr>
        <w:spacing w:line="360" w:lineRule="auto"/>
        <w:ind w:right="220"/>
        <w:rPr>
          <w:rFonts w:ascii="Times New Roman" w:eastAsia="宋体" w:hAnsi="Times New Roman" w:cs="Times New Roman"/>
          <w:b/>
          <w:bCs/>
          <w:i/>
          <w:iCs/>
          <w:kern w:val="0"/>
          <w:sz w:val="28"/>
          <w:szCs w:val="28"/>
          <w14:ligatures w14:val="none"/>
        </w:rPr>
      </w:pPr>
      <w:r w:rsidRPr="00EF2D51">
        <w:rPr>
          <w:rFonts w:ascii="Times New Roman" w:eastAsia="宋体" w:hAnsi="Times New Roman" w:cs="Times New Roman"/>
          <w:b/>
          <w:bCs/>
          <w:i/>
          <w:iCs/>
          <w:kern w:val="0"/>
          <w:sz w:val="28"/>
          <w:szCs w:val="28"/>
          <w14:ligatures w14:val="none"/>
        </w:rPr>
        <w:t xml:space="preserve">3.3.3 </w:t>
      </w:r>
      <w:r w:rsidRPr="00EF2D51">
        <w:rPr>
          <w:rFonts w:ascii="Times New Roman" w:eastAsia="宋体" w:hAnsi="Times New Roman" w:cs="Times New Roman"/>
          <w:i/>
          <w:iCs/>
          <w:kern w:val="0"/>
          <w:sz w:val="28"/>
          <w:szCs w:val="28"/>
          <w14:ligatures w14:val="none"/>
        </w:rPr>
        <w:t>Duties and Motives</w:t>
      </w:r>
    </w:p>
    <w:p w14:paraId="68F19F0E" w14:textId="26B61A9D" w:rsidR="007926D5" w:rsidRPr="007A673A" w:rsidRDefault="007926D5" w:rsidP="00060596">
      <w:pPr>
        <w:spacing w:line="360" w:lineRule="auto"/>
        <w:ind w:right="220"/>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Managers are fully briefed on research details, confidentiality measures, and potential relational costs of refusal or withdrawal (Zhang &amp; Halim, 2022) to ensure informed consent. Clear boundaries for commercial information are set; inadvertently disclosed sensitive data is deleted or anonymized upon request (Painter-Morland &amp; Dobie, 20</w:t>
      </w:r>
      <w:r w:rsidR="00BA5EF4">
        <w:rPr>
          <w:rFonts w:ascii="Times New Roman" w:eastAsia="宋体" w:hAnsi="Times New Roman" w:cs="Times New Roman" w:hint="eastAsia"/>
          <w:kern w:val="0"/>
          <w:sz w:val="24"/>
          <w14:ligatures w14:val="none"/>
        </w:rPr>
        <w:t>14</w:t>
      </w:r>
      <w:r w:rsidRPr="007A673A">
        <w:rPr>
          <w:rFonts w:ascii="Times New Roman" w:eastAsia="宋体" w:hAnsi="Times New Roman" w:cs="Times New Roman"/>
          <w:kern w:val="0"/>
          <w:sz w:val="24"/>
          <w14:ligatures w14:val="none"/>
        </w:rPr>
        <w:t>).</w:t>
      </w:r>
    </w:p>
    <w:p w14:paraId="186FBD58" w14:textId="77777777" w:rsidR="007926D5" w:rsidRPr="007A673A" w:rsidRDefault="007926D5" w:rsidP="00060596">
      <w:pPr>
        <w:spacing w:line="360" w:lineRule="auto"/>
        <w:ind w:right="220"/>
        <w:rPr>
          <w:rFonts w:ascii="Times New Roman" w:eastAsia="宋体" w:hAnsi="Times New Roman" w:cs="Times New Roman"/>
          <w:b/>
          <w:bCs/>
          <w:kern w:val="0"/>
          <w:sz w:val="24"/>
          <w14:ligatures w14:val="none"/>
        </w:rPr>
      </w:pPr>
      <w:r w:rsidRPr="00EF2D51">
        <w:rPr>
          <w:rFonts w:ascii="Times New Roman" w:eastAsia="宋体" w:hAnsi="Times New Roman" w:cs="Times New Roman"/>
          <w:b/>
          <w:bCs/>
          <w:i/>
          <w:iCs/>
          <w:kern w:val="0"/>
          <w:sz w:val="28"/>
          <w:szCs w:val="28"/>
          <w14:ligatures w14:val="none"/>
        </w:rPr>
        <w:lastRenderedPageBreak/>
        <w:t xml:space="preserve">3.3.4 </w:t>
      </w:r>
      <w:r w:rsidRPr="00EF2D51">
        <w:rPr>
          <w:rFonts w:ascii="Times New Roman" w:eastAsia="宋体" w:hAnsi="Times New Roman" w:cs="Times New Roman"/>
          <w:i/>
          <w:iCs/>
          <w:kern w:val="0"/>
          <w:sz w:val="28"/>
          <w:szCs w:val="28"/>
          <w14:ligatures w14:val="none"/>
        </w:rPr>
        <w:t>Concern for Individual</w:t>
      </w:r>
      <w:r w:rsidRPr="007A673A">
        <w:rPr>
          <w:rFonts w:ascii="Times New Roman" w:eastAsia="宋体" w:hAnsi="Times New Roman" w:cs="Times New Roman"/>
          <w:kern w:val="0"/>
          <w:sz w:val="24"/>
          <w14:ligatures w14:val="none"/>
        </w:rPr>
        <w:t>s</w:t>
      </w:r>
    </w:p>
    <w:p w14:paraId="11BFA9F8" w14:textId="77777777" w:rsidR="007926D5" w:rsidRPr="007A673A" w:rsidRDefault="007926D5" w:rsidP="00060596">
      <w:pPr>
        <w:spacing w:line="360" w:lineRule="auto"/>
        <w:ind w:right="220"/>
        <w:rPr>
          <w:rFonts w:ascii="Times New Roman" w:eastAsia="宋体" w:hAnsi="Times New Roman" w:cs="Times New Roman"/>
          <w:kern w:val="0"/>
          <w:sz w:val="24"/>
          <w14:ligatures w14:val="none"/>
        </w:rPr>
      </w:pPr>
      <w:r w:rsidRPr="007A673A">
        <w:rPr>
          <w:rFonts w:ascii="Times New Roman" w:eastAsia="宋体" w:hAnsi="Times New Roman" w:cs="Times New Roman"/>
          <w:kern w:val="0"/>
          <w:sz w:val="24"/>
          <w14:ligatures w14:val="none"/>
        </w:rPr>
        <w:t>Participants may withdraw unconditionally without impacting future interactions and can ask for interview content removal. Interview formats and durations are adjusted to fit their schedules, with professional terms explained in plain language. As a Chinese researcher familiar with the textile industry, I reflect on how my positionality influences power dynamics and data interpretation (Braun &amp; Clarke, 2013).</w:t>
      </w:r>
    </w:p>
    <w:p w14:paraId="00E85023" w14:textId="77777777" w:rsidR="007926D5" w:rsidRPr="007A673A" w:rsidRDefault="007926D5" w:rsidP="00060596">
      <w:pPr>
        <w:spacing w:line="360" w:lineRule="auto"/>
        <w:ind w:left="220" w:right="220"/>
        <w:rPr>
          <w:rFonts w:ascii="Times New Roman" w:hAnsi="Times New Roman" w:cs="Times New Roman"/>
          <w:b/>
          <w:bCs/>
          <w:sz w:val="24"/>
        </w:rPr>
      </w:pPr>
    </w:p>
    <w:p w14:paraId="6B56F54D" w14:textId="77777777" w:rsidR="007926D5" w:rsidRPr="00EF2D51" w:rsidRDefault="007926D5" w:rsidP="00060596">
      <w:pPr>
        <w:spacing w:line="360" w:lineRule="auto"/>
        <w:rPr>
          <w:rFonts w:ascii="Times New Roman" w:hAnsi="Times New Roman" w:cs="Times New Roman"/>
          <w:b/>
          <w:bCs/>
          <w:sz w:val="36"/>
          <w:szCs w:val="36"/>
        </w:rPr>
      </w:pPr>
      <w:r w:rsidRPr="00EF2D51">
        <w:rPr>
          <w:rFonts w:ascii="Times New Roman" w:hAnsi="Times New Roman" w:cs="Times New Roman"/>
          <w:b/>
          <w:bCs/>
          <w:sz w:val="36"/>
          <w:szCs w:val="36"/>
        </w:rPr>
        <w:t>4 Research limitations</w:t>
      </w:r>
    </w:p>
    <w:p w14:paraId="5A0358B1" w14:textId="27487C92" w:rsidR="007926D5" w:rsidRPr="007A673A" w:rsidRDefault="00315A58" w:rsidP="00060596">
      <w:pPr>
        <w:spacing w:line="360" w:lineRule="auto"/>
        <w:rPr>
          <w:rFonts w:ascii="Times New Roman" w:hAnsi="Times New Roman" w:cs="Times New Roman"/>
          <w:sz w:val="24"/>
        </w:rPr>
      </w:pPr>
      <w:r w:rsidRPr="00315A58">
        <w:rPr>
          <w:rFonts w:ascii="Times New Roman" w:hAnsi="Times New Roman" w:cs="Times New Roman"/>
          <w:sz w:val="24"/>
        </w:rPr>
        <w:t>This study has some limitations. In terms of data collection and analysis, as this is a qualitative study based on semi-structured interviews, the sample size is relatively small and is limited to small and medium-sized enterprises in the Chinese textile industry in a specific region. This may limit the general applicability of the research results to the entire industry. Additionally, although strict coding standards were followed, the text data analysis is still influenced by the subjective interpretation of the researchers, which may affect the objectivity of the results. In terms of the research scope, the focus on small and medium-sized enterprises in the Chinese textile industry has led to limitations in terms of region and industry, making it impossible to compare the CE practices of these enterprises with those of other countries or industries. Moreover, this study mainly focuses on the perspectives of managers, with relatively less attention paid to other stakeholders such as employees and consumers. This may result in an incomplete understanding of the overall mechanisms driving CE practices in small and medium-sized enterprises.</w:t>
      </w:r>
    </w:p>
    <w:p w14:paraId="4D6E57C4" w14:textId="77777777" w:rsidR="007926D5" w:rsidRPr="007A673A" w:rsidRDefault="007926D5" w:rsidP="00060596">
      <w:pPr>
        <w:spacing w:line="360" w:lineRule="auto"/>
        <w:rPr>
          <w:rFonts w:ascii="Times New Roman" w:hAnsi="Times New Roman" w:cs="Times New Roman"/>
          <w:sz w:val="24"/>
        </w:rPr>
      </w:pPr>
    </w:p>
    <w:p w14:paraId="22682BD3" w14:textId="77777777" w:rsidR="00315A58" w:rsidRDefault="00315A58" w:rsidP="00060596">
      <w:pPr>
        <w:spacing w:line="360" w:lineRule="auto"/>
        <w:rPr>
          <w:rFonts w:ascii="Times New Roman" w:hAnsi="Times New Roman" w:cs="Times New Roman"/>
          <w:sz w:val="24"/>
        </w:rPr>
      </w:pPr>
    </w:p>
    <w:p w14:paraId="10058379" w14:textId="77777777" w:rsidR="00315A58" w:rsidRPr="007A673A" w:rsidRDefault="00315A58" w:rsidP="00060596">
      <w:pPr>
        <w:spacing w:line="360" w:lineRule="auto"/>
        <w:rPr>
          <w:rFonts w:ascii="Times New Roman" w:hAnsi="Times New Roman" w:cs="Times New Roman"/>
          <w:sz w:val="24"/>
        </w:rPr>
      </w:pPr>
    </w:p>
    <w:p w14:paraId="10DDC54D" w14:textId="77777777" w:rsidR="008261A1" w:rsidRPr="00EF2D51" w:rsidRDefault="008261A1" w:rsidP="00060596">
      <w:pPr>
        <w:spacing w:line="360" w:lineRule="auto"/>
        <w:rPr>
          <w:rFonts w:ascii="Times New Roman" w:hAnsi="Times New Roman" w:cs="Times New Roman"/>
          <w:b/>
          <w:bCs/>
          <w:sz w:val="36"/>
          <w:szCs w:val="36"/>
        </w:rPr>
      </w:pPr>
      <w:r w:rsidRPr="00EF2D51">
        <w:rPr>
          <w:rFonts w:ascii="Times New Roman" w:hAnsi="Times New Roman" w:cs="Times New Roman" w:hint="eastAsia"/>
          <w:b/>
          <w:bCs/>
          <w:sz w:val="36"/>
          <w:szCs w:val="36"/>
        </w:rPr>
        <w:lastRenderedPageBreak/>
        <w:t>Reference list</w:t>
      </w:r>
    </w:p>
    <w:p w14:paraId="26E6D365" w14:textId="77777777" w:rsid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A Study on Operational Barriers and Their Effect on Sustainability in Textile SME</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s. (2025). Iconic Research and Engineering Journals, 9(6).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://doi.org/10.64388/irev9i6-1712509.</w:t>
      </w:r>
    </w:p>
    <w:p w14:paraId="68DC3895" w14:textId="2EB9D7F6" w:rsidR="00D743D7" w:rsidRPr="008261A1" w:rsidRDefault="00D743D7" w:rsidP="00060596">
      <w:pPr>
        <w:spacing w:line="360" w:lineRule="auto"/>
        <w:rPr>
          <w:rFonts w:ascii="Times New Roman" w:hAnsi="Times New Roman" w:cs="Times New Roman"/>
          <w:sz w:val="24"/>
        </w:rPr>
      </w:pPr>
      <w:r w:rsidRPr="00D743D7">
        <w:rPr>
          <w:rFonts w:ascii="Times New Roman" w:hAnsi="Times New Roman" w:cs="Times New Roman"/>
          <w:sz w:val="24"/>
        </w:rPr>
        <w:t xml:space="preserve">Andrzej Papuziński (2015). The Axiology of Sustainable Development: An Attempt at </w:t>
      </w:r>
      <w:proofErr w:type="spellStart"/>
      <w:r w:rsidRPr="00D743D7">
        <w:rPr>
          <w:rFonts w:ascii="Times New Roman" w:hAnsi="Times New Roman" w:cs="Times New Roman"/>
          <w:sz w:val="24"/>
        </w:rPr>
        <w:t>Typologization</w:t>
      </w:r>
      <w:proofErr w:type="spellEnd"/>
      <w:r w:rsidRPr="00D743D7">
        <w:rPr>
          <w:rFonts w:ascii="Times New Roman" w:hAnsi="Times New Roman" w:cs="Times New Roman"/>
          <w:sz w:val="24"/>
        </w:rPr>
        <w:t xml:space="preserve">. </w:t>
      </w:r>
      <w:proofErr w:type="spellStart"/>
      <w:r w:rsidRPr="00D743D7">
        <w:rPr>
          <w:rFonts w:ascii="Times New Roman" w:hAnsi="Times New Roman" w:cs="Times New Roman"/>
          <w:sz w:val="24"/>
        </w:rPr>
        <w:t>Problemy</w:t>
      </w:r>
      <w:proofErr w:type="spellEnd"/>
      <w:r w:rsidRPr="00D743D7">
        <w:rPr>
          <w:rFonts w:ascii="Times New Roman" w:hAnsi="Times New Roman" w:cs="Times New Roman"/>
          <w:sz w:val="24"/>
        </w:rPr>
        <w:t xml:space="preserve"> </w:t>
      </w:r>
      <w:proofErr w:type="spellStart"/>
      <w:r w:rsidRPr="00D743D7">
        <w:rPr>
          <w:rFonts w:ascii="Times New Roman" w:hAnsi="Times New Roman" w:cs="Times New Roman"/>
          <w:sz w:val="24"/>
        </w:rPr>
        <w:t>Ekorozwoju</w:t>
      </w:r>
      <w:proofErr w:type="spellEnd"/>
      <w:r w:rsidRPr="00D743D7">
        <w:rPr>
          <w:rFonts w:ascii="Times New Roman" w:hAnsi="Times New Roman" w:cs="Times New Roman"/>
          <w:sz w:val="24"/>
        </w:rPr>
        <w:t>, [online] 8(1), pp.5–25. Available at: https://ph.pollub.pl/index.php/preko/article/view/4857.</w:t>
      </w:r>
    </w:p>
    <w:p w14:paraId="00489AEB"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Ayyagari, M., Beck, T. and </w:t>
      </w:r>
      <w:proofErr w:type="spellStart"/>
      <w:r w:rsidRPr="008261A1">
        <w:rPr>
          <w:rFonts w:ascii="Times New Roman" w:hAnsi="Times New Roman" w:cs="Times New Roman" w:hint="eastAsia"/>
          <w:sz w:val="24"/>
        </w:rPr>
        <w:t>Demirguc</w:t>
      </w:r>
      <w:proofErr w:type="spellEnd"/>
      <w:r w:rsidRPr="008261A1">
        <w:rPr>
          <w:rFonts w:ascii="Times New Roman" w:hAnsi="Times New Roman" w:cs="Times New Roman" w:hint="eastAsia"/>
          <w:sz w:val="24"/>
        </w:rPr>
        <w:t>-Kunt, A. (2007). Small and Medium Enterprises Across the Globe. Small Business Economics, [online] 29(4), pp.415</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434.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://doi.org/10.1007/s11187-006-9002-5.</w:t>
      </w:r>
    </w:p>
    <w:p w14:paraId="7C6BD8F2"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Beck, T. and </w:t>
      </w:r>
      <w:proofErr w:type="spellStart"/>
      <w:r w:rsidRPr="008261A1">
        <w:rPr>
          <w:rFonts w:ascii="Times New Roman" w:hAnsi="Times New Roman" w:cs="Times New Roman" w:hint="eastAsia"/>
          <w:sz w:val="24"/>
        </w:rPr>
        <w:t>Demirguc</w:t>
      </w:r>
      <w:proofErr w:type="spellEnd"/>
      <w:r w:rsidRPr="008261A1">
        <w:rPr>
          <w:rFonts w:ascii="Times New Roman" w:hAnsi="Times New Roman" w:cs="Times New Roman" w:hint="eastAsia"/>
          <w:sz w:val="24"/>
        </w:rPr>
        <w:t>-Kunt, A. (2006). Small and medium-size enterprises: Access to finance as a growth constraint. Journal of Banking &amp; Finance, 30(11), pp.2931</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2943.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://doi.org/10.1016/j.jbankfin.2006.05.009.</w:t>
      </w:r>
    </w:p>
    <w:p w14:paraId="506EC93B"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Bell, E., Bryman, A. and Harley, B. (2019). Business Research Methods. 5th ed. Oxford: Oxford University Press.</w:t>
      </w:r>
    </w:p>
    <w:p w14:paraId="452AB453" w14:textId="77777777" w:rsidR="008261A1" w:rsidRPr="008261A1" w:rsidRDefault="008261A1" w:rsidP="00060596">
      <w:pPr>
        <w:spacing w:line="360" w:lineRule="auto"/>
        <w:rPr>
          <w:rFonts w:ascii="Times New Roman" w:hAnsi="Times New Roman" w:cs="Times New Roman"/>
          <w:sz w:val="24"/>
        </w:rPr>
      </w:pPr>
      <w:proofErr w:type="spellStart"/>
      <w:r w:rsidRPr="008261A1">
        <w:rPr>
          <w:rFonts w:ascii="Times New Roman" w:hAnsi="Times New Roman" w:cs="Times New Roman" w:hint="eastAsia"/>
          <w:sz w:val="24"/>
        </w:rPr>
        <w:t>Bocken</w:t>
      </w:r>
      <w:proofErr w:type="spellEnd"/>
      <w:r w:rsidRPr="008261A1">
        <w:rPr>
          <w:rFonts w:ascii="Times New Roman" w:hAnsi="Times New Roman" w:cs="Times New Roman" w:hint="eastAsia"/>
          <w:sz w:val="24"/>
        </w:rPr>
        <w:t>, N.M.P., Short, S.W., Rana, P. and Evans, S. (2014). A Literature and Practice Review to Develop Sustainable Business Model Archetypes. Journal of Cleaner Production, 65, pp.42</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56.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://doi.org/10.1016/j.jclepro.2013.11.039.</w:t>
      </w:r>
    </w:p>
    <w:p w14:paraId="1254B078"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Braun, V. and Clarke, V. (2013). Successful qualitative research: A practical guide for beginners. Feminism &amp; Psychology, 26(3), pp.387</w:t>
      </w:r>
      <w:r w:rsidRPr="008261A1">
        <w:rPr>
          <w:rFonts w:ascii="Times New Roman" w:hAnsi="Times New Roman" w:cs="Times New Roman" w:hint="eastAsia"/>
          <w:sz w:val="24"/>
        </w:rPr>
        <w:t>–</w:t>
      </w:r>
      <w:r w:rsidRPr="008261A1">
        <w:rPr>
          <w:rFonts w:ascii="Times New Roman" w:hAnsi="Times New Roman" w:cs="Times New Roman" w:hint="eastAsia"/>
          <w:sz w:val="24"/>
        </w:rPr>
        <w:t>391.</w:t>
      </w:r>
    </w:p>
    <w:p w14:paraId="560296AD" w14:textId="77777777" w:rsidR="008261A1" w:rsidRPr="008261A1" w:rsidRDefault="008261A1" w:rsidP="00060596">
      <w:pPr>
        <w:spacing w:line="360" w:lineRule="auto"/>
        <w:rPr>
          <w:rFonts w:ascii="Times New Roman" w:hAnsi="Times New Roman" w:cs="Times New Roman"/>
          <w:sz w:val="24"/>
        </w:rPr>
      </w:pPr>
      <w:proofErr w:type="spellStart"/>
      <w:r w:rsidRPr="008261A1">
        <w:rPr>
          <w:rFonts w:ascii="Times New Roman" w:hAnsi="Times New Roman" w:cs="Times New Roman" w:hint="eastAsia"/>
          <w:sz w:val="24"/>
        </w:rPr>
        <w:t>Bressanelli</w:t>
      </w:r>
      <w:proofErr w:type="spellEnd"/>
      <w:r w:rsidRPr="008261A1">
        <w:rPr>
          <w:rFonts w:ascii="Times New Roman" w:hAnsi="Times New Roman" w:cs="Times New Roman" w:hint="eastAsia"/>
          <w:sz w:val="24"/>
        </w:rPr>
        <w:t xml:space="preserve">, G., Visintin, F. and </w:t>
      </w:r>
      <w:proofErr w:type="spellStart"/>
      <w:r w:rsidRPr="008261A1">
        <w:rPr>
          <w:rFonts w:ascii="Times New Roman" w:hAnsi="Times New Roman" w:cs="Times New Roman" w:hint="eastAsia"/>
          <w:sz w:val="24"/>
        </w:rPr>
        <w:t>Saccani</w:t>
      </w:r>
      <w:proofErr w:type="spellEnd"/>
      <w:r w:rsidRPr="008261A1">
        <w:rPr>
          <w:rFonts w:ascii="Times New Roman" w:hAnsi="Times New Roman" w:cs="Times New Roman" w:hint="eastAsia"/>
          <w:sz w:val="24"/>
        </w:rPr>
        <w:t xml:space="preserve">, N. (2022). Circular Economy and the evolution of industrial districts: a supply chain perspective. International Journal of Production Economics, 243, p.108348.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://doi.org/10.1016/j.ijpe.2021.108348.</w:t>
      </w:r>
    </w:p>
    <w:p w14:paraId="3C5B55B2"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Camilleri, M. (2025). Cocreating Value Through Open Circular Innovation Strategies: </w:t>
      </w:r>
      <w:r w:rsidRPr="008261A1">
        <w:rPr>
          <w:rFonts w:ascii="Times New Roman" w:hAnsi="Times New Roman" w:cs="Times New Roman" w:hint="eastAsia"/>
          <w:sz w:val="24"/>
        </w:rPr>
        <w:lastRenderedPageBreak/>
        <w:t xml:space="preserve">A Results-Driven Work Plan and Future Research Avenues. SSRN Electronic Journal.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://doi.org/10.2139/ssrn.5151858.</w:t>
      </w:r>
    </w:p>
    <w:p w14:paraId="16F36841"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Carissimi, M.C., Creazza, A., Fontanella Pisa, M. and Urbinati, A. (2023). Circular Economy practices enabling Circular Supply Chains: An empirical analysis of 100 SMEs in Italy. Resources, Conservation and Recycling, [online] 198, p.107126.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://doi.org/10.1016/j.resconrec.2023.107126.</w:t>
      </w:r>
    </w:p>
    <w:p w14:paraId="12F3503F"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Carlos F.A. Arranz, </w:t>
      </w:r>
      <w:proofErr w:type="spellStart"/>
      <w:r w:rsidRPr="008261A1">
        <w:rPr>
          <w:rFonts w:ascii="Times New Roman" w:hAnsi="Times New Roman" w:cs="Times New Roman" w:hint="eastAsia"/>
          <w:sz w:val="24"/>
        </w:rPr>
        <w:t>Marta.F</w:t>
      </w:r>
      <w:proofErr w:type="spellEnd"/>
      <w:r w:rsidRPr="008261A1">
        <w:rPr>
          <w:rFonts w:ascii="Times New Roman" w:hAnsi="Times New Roman" w:cs="Times New Roman" w:hint="eastAsia"/>
          <w:sz w:val="24"/>
        </w:rPr>
        <w:t xml:space="preserve">. </w:t>
      </w:r>
      <w:proofErr w:type="spellStart"/>
      <w:r w:rsidRPr="008261A1">
        <w:rPr>
          <w:rFonts w:ascii="Times New Roman" w:hAnsi="Times New Roman" w:cs="Times New Roman" w:hint="eastAsia"/>
          <w:sz w:val="24"/>
        </w:rPr>
        <w:t>Arroyabe</w:t>
      </w:r>
      <w:proofErr w:type="spellEnd"/>
      <w:r w:rsidRPr="008261A1">
        <w:rPr>
          <w:rFonts w:ascii="Times New Roman" w:hAnsi="Times New Roman" w:cs="Times New Roman" w:hint="eastAsia"/>
          <w:sz w:val="24"/>
        </w:rPr>
        <w:t xml:space="preserve"> and Carlos, J. (2024). </w:t>
      </w:r>
      <w:proofErr w:type="spellStart"/>
      <w:r w:rsidRPr="008261A1">
        <w:rPr>
          <w:rFonts w:ascii="Times New Roman" w:hAnsi="Times New Roman" w:cs="Times New Roman" w:hint="eastAsia"/>
          <w:sz w:val="24"/>
        </w:rPr>
        <w:t>Organisational</w:t>
      </w:r>
      <w:proofErr w:type="spellEnd"/>
      <w:r w:rsidRPr="008261A1">
        <w:rPr>
          <w:rFonts w:ascii="Times New Roman" w:hAnsi="Times New Roman" w:cs="Times New Roman" w:hint="eastAsia"/>
          <w:sz w:val="24"/>
        </w:rPr>
        <w:t xml:space="preserve"> transformation toward circular economy in SMEs. The effect of internal barriers. Journal of cleaner production, 456, pp.142307</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142307.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://doi.org/10.1016/j.jclepro.2024.142307.</w:t>
      </w:r>
    </w:p>
    <w:p w14:paraId="1B5A3111"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Chaudhuri, A., Subramanian, N. and Dora, M. (2022). Circular economy and digital capabilities of SMEs for providing value to customers: Combined resource-based view and ambidexterity perspective. Journal of Business Research, 142, pp.32</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44.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://doi.org/10.1016/j.jbusres.2021.12.039.</w:t>
      </w:r>
    </w:p>
    <w:p w14:paraId="6E192B25" w14:textId="77777777" w:rsid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Chowdhury, M.F. (2014). Interpretivism in Aiding Our Understanding of the Contemporary Social World. Open Journal of Philosophy, [online] 4(3), pp.432</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438.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://doi.org/10.4236/ojpp.2014.43047.</w:t>
      </w:r>
    </w:p>
    <w:p w14:paraId="47D6307A" w14:textId="77777777" w:rsidR="008261A1" w:rsidRPr="008261A1" w:rsidRDefault="008261A1" w:rsidP="00060596">
      <w:pPr>
        <w:widowControl/>
        <w:spacing w:line="360" w:lineRule="auto"/>
        <w:rPr>
          <w:rFonts w:ascii="Times New Roman" w:hAnsi="Times New Roman" w:cs="Times New Roman"/>
          <w:sz w:val="24"/>
        </w:rPr>
      </w:pPr>
      <w:r w:rsidRPr="008261A1">
        <w:rPr>
          <w:rFonts w:ascii="Times New Roman" w:hAnsi="Times New Roman" w:cs="Times New Roman"/>
          <w:sz w:val="24"/>
        </w:rPr>
        <w:t xml:space="preserve">Chowdhury, N.R., Paul, S.K., Sarker, T. and Shi, Y. (2023) 'Implementing smart waste management system for a sustainable circular economy in the textile industry', </w:t>
      </w:r>
      <w:r w:rsidRPr="008261A1">
        <w:rPr>
          <w:rFonts w:ascii="Times New Roman" w:hAnsi="Times New Roman" w:cs="Times New Roman"/>
          <w:i/>
          <w:iCs/>
          <w:sz w:val="24"/>
        </w:rPr>
        <w:t>International Journal of Production Economics</w:t>
      </w:r>
      <w:r w:rsidRPr="008261A1">
        <w:rPr>
          <w:rFonts w:ascii="Times New Roman" w:hAnsi="Times New Roman" w:cs="Times New Roman"/>
          <w:sz w:val="24"/>
        </w:rPr>
        <w:t>, 262, p.108876.</w:t>
      </w:r>
    </w:p>
    <w:p w14:paraId="0A039E22" w14:textId="7003BE4B"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sz w:val="24"/>
        </w:rPr>
        <w:t xml:space="preserve">Creswell, J.W. and Poth, C.N. (2018) </w:t>
      </w:r>
      <w:r w:rsidRPr="008261A1">
        <w:rPr>
          <w:rFonts w:ascii="Times New Roman" w:hAnsi="Times New Roman" w:cs="Times New Roman"/>
          <w:i/>
          <w:iCs/>
          <w:sz w:val="24"/>
        </w:rPr>
        <w:t>Qualitative inquiry and research design: choosing among five approaches</w:t>
      </w:r>
      <w:r w:rsidRPr="008261A1">
        <w:rPr>
          <w:rFonts w:ascii="Times New Roman" w:hAnsi="Times New Roman" w:cs="Times New Roman"/>
          <w:sz w:val="24"/>
        </w:rPr>
        <w:t xml:space="preserve">. 5th </w:t>
      </w:r>
      <w:proofErr w:type="spellStart"/>
      <w:r w:rsidRPr="008261A1">
        <w:rPr>
          <w:rFonts w:ascii="Times New Roman" w:hAnsi="Times New Roman" w:cs="Times New Roman"/>
          <w:sz w:val="24"/>
        </w:rPr>
        <w:t>edn</w:t>
      </w:r>
      <w:proofErr w:type="spellEnd"/>
      <w:r w:rsidRPr="008261A1">
        <w:rPr>
          <w:rFonts w:ascii="Times New Roman" w:hAnsi="Times New Roman" w:cs="Times New Roman"/>
          <w:sz w:val="24"/>
        </w:rPr>
        <w:t>. Thousand Oaks, CA: SAGE Publications.</w:t>
      </w:r>
    </w:p>
    <w:p w14:paraId="56991FB4" w14:textId="77777777" w:rsid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Fischer, J., Manning, A.D., Steffen, W., Rose, D.B., Daniell, K., Felton, A., Garnett, S., </w:t>
      </w:r>
      <w:proofErr w:type="spellStart"/>
      <w:r w:rsidRPr="008261A1">
        <w:rPr>
          <w:rFonts w:ascii="Times New Roman" w:hAnsi="Times New Roman" w:cs="Times New Roman" w:hint="eastAsia"/>
          <w:sz w:val="24"/>
        </w:rPr>
        <w:t>Gilna</w:t>
      </w:r>
      <w:proofErr w:type="spellEnd"/>
      <w:r w:rsidRPr="008261A1">
        <w:rPr>
          <w:rFonts w:ascii="Times New Roman" w:hAnsi="Times New Roman" w:cs="Times New Roman" w:hint="eastAsia"/>
          <w:sz w:val="24"/>
        </w:rPr>
        <w:t>, B., Heinsohn, R., Lindenmayer, D.B., MacDonald, B., Mills, F., Newell, B., Reid, J., Robin, L., Sherren, K. and Wade, A. (2007). Mind the sustainability gap. Trends in Ecology &amp; Evolution, 22(12), pp.621</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624. </w:t>
      </w:r>
      <w:proofErr w:type="spellStart"/>
      <w:r w:rsidRPr="008261A1">
        <w:rPr>
          <w:rFonts w:ascii="Times New Roman" w:hAnsi="Times New Roman" w:cs="Times New Roman" w:hint="eastAsia"/>
          <w:sz w:val="24"/>
        </w:rPr>
        <w:lastRenderedPageBreak/>
        <w:t>doi:https</w:t>
      </w:r>
      <w:proofErr w:type="spellEnd"/>
      <w:r w:rsidRPr="008261A1">
        <w:rPr>
          <w:rFonts w:ascii="Times New Roman" w:hAnsi="Times New Roman" w:cs="Times New Roman" w:hint="eastAsia"/>
          <w:sz w:val="24"/>
        </w:rPr>
        <w:t>://doi.org/10.1016/j.tree.2007.08.016.</w:t>
      </w:r>
    </w:p>
    <w:p w14:paraId="3723EFE5" w14:textId="1D06040F" w:rsidR="009D7F1F" w:rsidRPr="008261A1" w:rsidRDefault="009D7F1F" w:rsidP="00060596">
      <w:pPr>
        <w:spacing w:line="360" w:lineRule="auto"/>
        <w:rPr>
          <w:rFonts w:ascii="Times New Roman" w:hAnsi="Times New Roman" w:cs="Times New Roman"/>
          <w:sz w:val="24"/>
        </w:rPr>
      </w:pPr>
      <w:r w:rsidRPr="009D7F1F">
        <w:rPr>
          <w:rFonts w:ascii="Times New Roman" w:hAnsi="Times New Roman" w:cs="Times New Roman"/>
          <w:sz w:val="24"/>
        </w:rPr>
        <w:t xml:space="preserve">Freeman, R.E. (1984) </w:t>
      </w:r>
      <w:r w:rsidRPr="009D7F1F">
        <w:rPr>
          <w:rFonts w:ascii="Times New Roman" w:hAnsi="Times New Roman" w:cs="Times New Roman"/>
          <w:i/>
          <w:iCs/>
          <w:sz w:val="24"/>
        </w:rPr>
        <w:t>Strategic management: a stakeholder approach</w:t>
      </w:r>
      <w:r w:rsidRPr="009D7F1F">
        <w:rPr>
          <w:rFonts w:ascii="Times New Roman" w:hAnsi="Times New Roman" w:cs="Times New Roman"/>
          <w:sz w:val="24"/>
        </w:rPr>
        <w:t>. Boston, MA: Pitman.</w:t>
      </w:r>
    </w:p>
    <w:p w14:paraId="4B622092"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Garriga, E. (2014). Beyond Stakeholder Utility Function: Stakeholder Capability in the Value Creation Process. Journal of Business Ethics, 120(4), pp.489</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507.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://doi.org/10.1007/s10551-013-2001-y.</w:t>
      </w:r>
    </w:p>
    <w:p w14:paraId="0E885543"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Gazzola, P. (2026). SMEs: carriers of innovation, the European model. Economia </w:t>
      </w:r>
      <w:proofErr w:type="spellStart"/>
      <w:r w:rsidRPr="008261A1">
        <w:rPr>
          <w:rFonts w:ascii="Times New Roman" w:hAnsi="Times New Roman" w:cs="Times New Roman" w:hint="eastAsia"/>
          <w:sz w:val="24"/>
        </w:rPr>
        <w:t>Aziendale</w:t>
      </w:r>
      <w:proofErr w:type="spellEnd"/>
      <w:r w:rsidRPr="008261A1">
        <w:rPr>
          <w:rFonts w:ascii="Times New Roman" w:hAnsi="Times New Roman" w:cs="Times New Roman" w:hint="eastAsia"/>
          <w:sz w:val="24"/>
        </w:rPr>
        <w:t xml:space="preserve"> Online -, [online] 0(3), pp.1</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23.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://doi.org/10.13132/2038-5498/2003.3.1-23.</w:t>
      </w:r>
    </w:p>
    <w:p w14:paraId="1F3BA51D"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Guidance on Social and Environmental Due Diligence for China</w:t>
      </w:r>
      <w:r w:rsidRPr="008261A1">
        <w:rPr>
          <w:rFonts w:ascii="Times New Roman" w:hAnsi="Times New Roman" w:cs="Times New Roman" w:hint="eastAsia"/>
          <w:sz w:val="24"/>
        </w:rPr>
        <w:t>’</w:t>
      </w:r>
      <w:r w:rsidRPr="008261A1">
        <w:rPr>
          <w:rFonts w:ascii="Times New Roman" w:hAnsi="Times New Roman" w:cs="Times New Roman" w:hint="eastAsia"/>
          <w:sz w:val="24"/>
        </w:rPr>
        <w:t>s Textile and Apparel Enterprises. (n.d.). Available at: https://www.csc9000.org.cn/d/file/p/2023/02-16/50bc0d6c4e0476650c98e88a213718dc.pdf [Accessed 29 Jan. 2026].</w:t>
      </w:r>
    </w:p>
    <w:p w14:paraId="4E39FEBC"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Hartley, K., Roosendaal, J. and Kirchherr, J. (2021). Barriers to the circular economy: The case of the Dutch technical and interior textiles industries. Journal of Industrial Ecology, 26(2).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://doi.org/10.1111/jiec.13196.</w:t>
      </w:r>
    </w:p>
    <w:p w14:paraId="21EE4ACA"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Howard, M., Yan, X., Mustafee, N., Charnley, F., Böhm, S. and Pascucci, S. (2022). Going beyond waste reduction: Exploring tools and methods for circular economy adoption in small-medium enterprises. Resources, Conservation and Recycling, [online] 182, p.106345.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://doi.org/10.1016/j.resconrec.2022.106345.</w:t>
      </w:r>
    </w:p>
    <w:p w14:paraId="4DB7EEB7" w14:textId="77777777" w:rsidR="008261A1" w:rsidRPr="008261A1" w:rsidRDefault="008261A1" w:rsidP="00060596">
      <w:pPr>
        <w:spacing w:line="360" w:lineRule="auto"/>
        <w:rPr>
          <w:rFonts w:ascii="Times New Roman" w:hAnsi="Times New Roman" w:cs="Times New Roman"/>
          <w:sz w:val="24"/>
        </w:rPr>
      </w:pPr>
      <w:proofErr w:type="spellStart"/>
      <w:r w:rsidRPr="008261A1">
        <w:rPr>
          <w:rFonts w:ascii="Times New Roman" w:hAnsi="Times New Roman" w:cs="Times New Roman" w:hint="eastAsia"/>
          <w:sz w:val="24"/>
        </w:rPr>
        <w:t>Imenda</w:t>
      </w:r>
      <w:proofErr w:type="spellEnd"/>
      <w:r w:rsidRPr="008261A1">
        <w:rPr>
          <w:rFonts w:ascii="Times New Roman" w:hAnsi="Times New Roman" w:cs="Times New Roman" w:hint="eastAsia"/>
          <w:sz w:val="24"/>
        </w:rPr>
        <w:t>, S. (2014). Is There a Conceptual Difference between Theoretical and Conceptual Frameworks? Journal of Social Sciences, 38(2), pp.185</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195.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://doi.org/10.1080/09718923.2014.11893249.</w:t>
      </w:r>
    </w:p>
    <w:p w14:paraId="244DB953" w14:textId="77777777" w:rsidR="008261A1" w:rsidRPr="008261A1" w:rsidRDefault="008261A1" w:rsidP="00060596">
      <w:pPr>
        <w:spacing w:line="360" w:lineRule="auto"/>
        <w:rPr>
          <w:rFonts w:ascii="Times New Roman" w:hAnsi="Times New Roman" w:cs="Times New Roman"/>
          <w:sz w:val="24"/>
        </w:rPr>
      </w:pPr>
      <w:proofErr w:type="spellStart"/>
      <w:r w:rsidRPr="008261A1">
        <w:rPr>
          <w:rFonts w:ascii="Times New Roman" w:hAnsi="Times New Roman" w:cs="Times New Roman" w:hint="eastAsia"/>
          <w:sz w:val="24"/>
        </w:rPr>
        <w:t>Iofrida</w:t>
      </w:r>
      <w:proofErr w:type="spellEnd"/>
      <w:r w:rsidRPr="008261A1">
        <w:rPr>
          <w:rFonts w:ascii="Times New Roman" w:hAnsi="Times New Roman" w:cs="Times New Roman" w:hint="eastAsia"/>
          <w:sz w:val="24"/>
        </w:rPr>
        <w:t xml:space="preserve">, N., Spada, E., Gulisano, G., Irene, A. and Falcone, G. (2024). The social impacts of circular economy: disclosing epistemological stances and methodological practices. Environment Development and Sustainability. </w:t>
      </w:r>
      <w:proofErr w:type="spellStart"/>
      <w:r w:rsidRPr="008261A1">
        <w:rPr>
          <w:rFonts w:ascii="Times New Roman" w:hAnsi="Times New Roman" w:cs="Times New Roman" w:hint="eastAsia"/>
          <w:sz w:val="24"/>
        </w:rPr>
        <w:lastRenderedPageBreak/>
        <w:t>doi:https</w:t>
      </w:r>
      <w:proofErr w:type="spellEnd"/>
      <w:r w:rsidRPr="008261A1">
        <w:rPr>
          <w:rFonts w:ascii="Times New Roman" w:hAnsi="Times New Roman" w:cs="Times New Roman" w:hint="eastAsia"/>
          <w:sz w:val="24"/>
        </w:rPr>
        <w:t>://doi.org/10.1007/s10668-024-05438-z.</w:t>
      </w:r>
    </w:p>
    <w:p w14:paraId="54CB6CA2"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Konietzko, J., </w:t>
      </w:r>
      <w:proofErr w:type="spellStart"/>
      <w:r w:rsidRPr="008261A1">
        <w:rPr>
          <w:rFonts w:ascii="Times New Roman" w:hAnsi="Times New Roman" w:cs="Times New Roman" w:hint="eastAsia"/>
          <w:sz w:val="24"/>
        </w:rPr>
        <w:t>Bocken</w:t>
      </w:r>
      <w:proofErr w:type="spellEnd"/>
      <w:r w:rsidRPr="008261A1">
        <w:rPr>
          <w:rFonts w:ascii="Times New Roman" w:hAnsi="Times New Roman" w:cs="Times New Roman" w:hint="eastAsia"/>
          <w:sz w:val="24"/>
        </w:rPr>
        <w:t xml:space="preserve">, N. and </w:t>
      </w:r>
      <w:proofErr w:type="spellStart"/>
      <w:r w:rsidRPr="008261A1">
        <w:rPr>
          <w:rFonts w:ascii="Times New Roman" w:hAnsi="Times New Roman" w:cs="Times New Roman" w:hint="eastAsia"/>
          <w:sz w:val="24"/>
        </w:rPr>
        <w:t>Hultink</w:t>
      </w:r>
      <w:proofErr w:type="spellEnd"/>
      <w:r w:rsidRPr="008261A1">
        <w:rPr>
          <w:rFonts w:ascii="Times New Roman" w:hAnsi="Times New Roman" w:cs="Times New Roman" w:hint="eastAsia"/>
          <w:sz w:val="24"/>
        </w:rPr>
        <w:t xml:space="preserve">, E.J. (2020). Circular ecosystem innovation: An initial set of principles. Journal of Cleaner Production, 253, p.119942.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://doi.org/10.1016/j.jclepro.2019.119942.</w:t>
      </w:r>
    </w:p>
    <w:p w14:paraId="1B1367A2"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Korhonen, J., </w:t>
      </w:r>
      <w:proofErr w:type="spellStart"/>
      <w:r w:rsidRPr="008261A1">
        <w:rPr>
          <w:rFonts w:ascii="Times New Roman" w:hAnsi="Times New Roman" w:cs="Times New Roman" w:hint="eastAsia"/>
          <w:sz w:val="24"/>
        </w:rPr>
        <w:t>Honkasalo</w:t>
      </w:r>
      <w:proofErr w:type="spellEnd"/>
      <w:r w:rsidRPr="008261A1">
        <w:rPr>
          <w:rFonts w:ascii="Times New Roman" w:hAnsi="Times New Roman" w:cs="Times New Roman" w:hint="eastAsia"/>
          <w:sz w:val="24"/>
        </w:rPr>
        <w:t>, A. and Seppälä, J. (2018). Circular Economy: the Concept and Its Limitations. Ecological Economics, [online] 143(143), pp.37</w:t>
      </w:r>
      <w:r w:rsidRPr="008261A1">
        <w:rPr>
          <w:rFonts w:ascii="Times New Roman" w:hAnsi="Times New Roman" w:cs="Times New Roman" w:hint="eastAsia"/>
          <w:sz w:val="24"/>
        </w:rPr>
        <w:t>–</w:t>
      </w:r>
      <w:r w:rsidRPr="008261A1">
        <w:rPr>
          <w:rFonts w:ascii="Times New Roman" w:hAnsi="Times New Roman" w:cs="Times New Roman" w:hint="eastAsia"/>
          <w:sz w:val="24"/>
        </w:rPr>
        <w:t>46. Available at: https://www.sciencedirect.com/science/article/pii/S0921800916300325.</w:t>
      </w:r>
    </w:p>
    <w:p w14:paraId="527B7117"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Laplume, A.O., </w:t>
      </w:r>
      <w:proofErr w:type="spellStart"/>
      <w:r w:rsidRPr="008261A1">
        <w:rPr>
          <w:rFonts w:ascii="Times New Roman" w:hAnsi="Times New Roman" w:cs="Times New Roman" w:hint="eastAsia"/>
          <w:sz w:val="24"/>
        </w:rPr>
        <w:t>Sonpar</w:t>
      </w:r>
      <w:proofErr w:type="spellEnd"/>
      <w:r w:rsidRPr="008261A1">
        <w:rPr>
          <w:rFonts w:ascii="Times New Roman" w:hAnsi="Times New Roman" w:cs="Times New Roman" w:hint="eastAsia"/>
          <w:sz w:val="24"/>
        </w:rPr>
        <w:t>, K. and Litz, R.A. (2008). Stakeholder Theory: Reviewing a Theory That Moves Us. Journal of Management, [online] 34(6), pp.1152</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1189.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://doi.org/10.1177/0149206308324322.</w:t>
      </w:r>
    </w:p>
    <w:p w14:paraId="64AE64E2"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Maher, R., Yarnold, J. and N.N.C. </w:t>
      </w:r>
      <w:proofErr w:type="spellStart"/>
      <w:r w:rsidRPr="008261A1">
        <w:rPr>
          <w:rFonts w:ascii="Times New Roman" w:hAnsi="Times New Roman" w:cs="Times New Roman" w:hint="eastAsia"/>
          <w:sz w:val="24"/>
        </w:rPr>
        <w:t>Pushpamali</w:t>
      </w:r>
      <w:proofErr w:type="spellEnd"/>
      <w:r w:rsidRPr="008261A1">
        <w:rPr>
          <w:rFonts w:ascii="Times New Roman" w:hAnsi="Times New Roman" w:cs="Times New Roman" w:hint="eastAsia"/>
          <w:sz w:val="24"/>
        </w:rPr>
        <w:t xml:space="preserve"> (2023). Circular economy 4 business: A program and framework for small-to-medium enterprises (SMEs) with three case studies. Journal of Cleaner Production, 412, pp.137114</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137114.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://doi.org/10.1016/j.jclepro.2023.137114.</w:t>
      </w:r>
    </w:p>
    <w:p w14:paraId="116110AA"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Manen, M. van (2016). Researching Lived Experience, Second Edition. [online] Routledge.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://doi.org/10.4324/9781315421056.</w:t>
      </w:r>
    </w:p>
    <w:p w14:paraId="116077C9" w14:textId="6B92F10D" w:rsidR="009D7F1F" w:rsidRPr="009D7F1F"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Millar, N., McLaughlin, E. and </w:t>
      </w:r>
      <w:proofErr w:type="spellStart"/>
      <w:r w:rsidRPr="008261A1">
        <w:rPr>
          <w:rFonts w:ascii="Times New Roman" w:hAnsi="Times New Roman" w:cs="Times New Roman" w:hint="eastAsia"/>
          <w:sz w:val="24"/>
        </w:rPr>
        <w:t>Börger</w:t>
      </w:r>
      <w:proofErr w:type="spellEnd"/>
      <w:r w:rsidRPr="008261A1">
        <w:rPr>
          <w:rFonts w:ascii="Times New Roman" w:hAnsi="Times New Roman" w:cs="Times New Roman" w:hint="eastAsia"/>
          <w:sz w:val="24"/>
        </w:rPr>
        <w:t>, T. (2019). The Circular Economy: Swings and Roundabouts? Ecological Economics, 158, pp.11</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19.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://doi.org/10.1016/j.ecolecon.2018.12.012.</w:t>
      </w:r>
    </w:p>
    <w:p w14:paraId="2DB5FFD8" w14:textId="3CE016A3" w:rsidR="009D7F1F" w:rsidRPr="008261A1" w:rsidRDefault="009D7F1F" w:rsidP="00060596">
      <w:pPr>
        <w:spacing w:line="360" w:lineRule="auto"/>
        <w:rPr>
          <w:rFonts w:ascii="Times New Roman" w:hAnsi="Times New Roman" w:cs="Times New Roman"/>
          <w:sz w:val="24"/>
        </w:rPr>
      </w:pPr>
      <w:r w:rsidRPr="009D7F1F">
        <w:rPr>
          <w:rFonts w:ascii="Times New Roman" w:hAnsi="Times New Roman" w:cs="Times New Roman" w:hint="eastAsia"/>
          <w:sz w:val="24"/>
        </w:rPr>
        <w:t>Mackenzie, N. and Knipe, S. (2006) 'Research dilemmas: Paradigms, methods and methodology', Issues In Educational Research, 16(2), pp.193</w:t>
      </w:r>
      <w:r w:rsidRPr="009D7F1F">
        <w:rPr>
          <w:rFonts w:ascii="Times New Roman" w:hAnsi="Times New Roman" w:cs="Times New Roman" w:hint="eastAsia"/>
          <w:sz w:val="24"/>
        </w:rPr>
        <w:t>–</w:t>
      </w:r>
      <w:r w:rsidRPr="009D7F1F">
        <w:rPr>
          <w:rFonts w:ascii="Times New Roman" w:hAnsi="Times New Roman" w:cs="Times New Roman" w:hint="eastAsia"/>
          <w:sz w:val="24"/>
        </w:rPr>
        <w:t>205.</w:t>
      </w:r>
    </w:p>
    <w:p w14:paraId="61FAE935"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Nath, S., Syed Sharaf </w:t>
      </w:r>
      <w:proofErr w:type="spellStart"/>
      <w:r w:rsidRPr="008261A1">
        <w:rPr>
          <w:rFonts w:ascii="Times New Roman" w:hAnsi="Times New Roman" w:cs="Times New Roman" w:hint="eastAsia"/>
          <w:sz w:val="24"/>
        </w:rPr>
        <w:t>Mustayin</w:t>
      </w:r>
      <w:proofErr w:type="spellEnd"/>
      <w:r w:rsidRPr="008261A1">
        <w:rPr>
          <w:rFonts w:ascii="Times New Roman" w:hAnsi="Times New Roman" w:cs="Times New Roman" w:hint="eastAsia"/>
          <w:sz w:val="24"/>
        </w:rPr>
        <w:t xml:space="preserve"> and </w:t>
      </w:r>
      <w:proofErr w:type="spellStart"/>
      <w:r w:rsidRPr="008261A1">
        <w:rPr>
          <w:rFonts w:ascii="Times New Roman" w:hAnsi="Times New Roman" w:cs="Times New Roman" w:hint="eastAsia"/>
          <w:sz w:val="24"/>
        </w:rPr>
        <w:t>Eweje</w:t>
      </w:r>
      <w:proofErr w:type="spellEnd"/>
      <w:r w:rsidRPr="008261A1">
        <w:rPr>
          <w:rFonts w:ascii="Times New Roman" w:hAnsi="Times New Roman" w:cs="Times New Roman" w:hint="eastAsia"/>
          <w:sz w:val="24"/>
        </w:rPr>
        <w:t>, G. (2025). Circular Economy in a Developing Country</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s Textile and Apparel Industry: Managerial Perspectives on Challenges and Motivators. Business Strategy and the Environment.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://doi.org/10.1002/bse.4169.</w:t>
      </w:r>
    </w:p>
    <w:p w14:paraId="71D17C14"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lastRenderedPageBreak/>
        <w:t xml:space="preserve">Ndrc.gov.cn. (2022). </w:t>
      </w:r>
      <w:r w:rsidRPr="008261A1">
        <w:rPr>
          <w:rFonts w:ascii="Times New Roman" w:hAnsi="Times New Roman" w:cs="Times New Roman" w:hint="eastAsia"/>
          <w:sz w:val="24"/>
        </w:rPr>
        <w:t>【关于加快推进废旧纺织品循环利用的实施意见</w:t>
      </w:r>
      <w:r w:rsidRPr="008261A1">
        <w:rPr>
          <w:rFonts w:ascii="Times New Roman" w:hAnsi="Times New Roman" w:cs="Times New Roman" w:hint="eastAsia"/>
          <w:sz w:val="24"/>
        </w:rPr>
        <w:t>(</w:t>
      </w:r>
      <w:r w:rsidRPr="008261A1">
        <w:rPr>
          <w:rFonts w:ascii="Times New Roman" w:hAnsi="Times New Roman" w:cs="Times New Roman" w:hint="eastAsia"/>
          <w:sz w:val="24"/>
        </w:rPr>
        <w:t>发改环资〔</w:t>
      </w:r>
      <w:r w:rsidRPr="008261A1">
        <w:rPr>
          <w:rFonts w:ascii="Times New Roman" w:hAnsi="Times New Roman" w:cs="Times New Roman" w:hint="eastAsia"/>
          <w:sz w:val="24"/>
        </w:rPr>
        <w:t>2022</w:t>
      </w:r>
      <w:r w:rsidRPr="008261A1">
        <w:rPr>
          <w:rFonts w:ascii="Times New Roman" w:hAnsi="Times New Roman" w:cs="Times New Roman" w:hint="eastAsia"/>
          <w:sz w:val="24"/>
        </w:rPr>
        <w:t>〕</w:t>
      </w:r>
      <w:r w:rsidRPr="008261A1">
        <w:rPr>
          <w:rFonts w:ascii="Times New Roman" w:hAnsi="Times New Roman" w:cs="Times New Roman" w:hint="eastAsia"/>
          <w:sz w:val="24"/>
        </w:rPr>
        <w:t>526</w:t>
      </w:r>
      <w:r w:rsidRPr="008261A1">
        <w:rPr>
          <w:rFonts w:ascii="Times New Roman" w:hAnsi="Times New Roman" w:cs="Times New Roman" w:hint="eastAsia"/>
          <w:sz w:val="24"/>
        </w:rPr>
        <w:t>号</w:t>
      </w:r>
      <w:r w:rsidRPr="008261A1">
        <w:rPr>
          <w:rFonts w:ascii="Times New Roman" w:hAnsi="Times New Roman" w:cs="Times New Roman" w:hint="eastAsia"/>
          <w:sz w:val="24"/>
        </w:rPr>
        <w:t>)</w:t>
      </w:r>
      <w:r w:rsidRPr="008261A1">
        <w:rPr>
          <w:rFonts w:ascii="Times New Roman" w:hAnsi="Times New Roman" w:cs="Times New Roman" w:hint="eastAsia"/>
          <w:sz w:val="24"/>
        </w:rPr>
        <w:t>】</w:t>
      </w:r>
      <w:r w:rsidRPr="008261A1">
        <w:rPr>
          <w:rFonts w:ascii="Times New Roman" w:hAnsi="Times New Roman" w:cs="Times New Roman" w:hint="eastAsia"/>
          <w:sz w:val="24"/>
        </w:rPr>
        <w:t>-</w:t>
      </w:r>
      <w:r w:rsidRPr="008261A1">
        <w:rPr>
          <w:rFonts w:ascii="Times New Roman" w:hAnsi="Times New Roman" w:cs="Times New Roman" w:hint="eastAsia"/>
          <w:sz w:val="24"/>
        </w:rPr>
        <w:t>国家发展和改革委员会</w:t>
      </w:r>
      <w:r w:rsidRPr="008261A1">
        <w:rPr>
          <w:rFonts w:ascii="Times New Roman" w:hAnsi="Times New Roman" w:cs="Times New Roman" w:hint="eastAsia"/>
          <w:sz w:val="24"/>
        </w:rPr>
        <w:t>. [online] Available at: https://www.ndrc.gov.cn/xxgk/zcfb/tz/202204/t20220411_1321822.html.</w:t>
      </w:r>
    </w:p>
    <w:p w14:paraId="0C9205B4" w14:textId="77777777" w:rsid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News.cn. (2025). </w:t>
      </w:r>
      <w:r w:rsidRPr="008261A1">
        <w:rPr>
          <w:rFonts w:ascii="Times New Roman" w:hAnsi="Times New Roman" w:cs="Times New Roman" w:hint="eastAsia"/>
          <w:sz w:val="24"/>
        </w:rPr>
        <w:t>纺织业铺展循环发展新图景</w:t>
      </w:r>
      <w:r w:rsidRPr="008261A1">
        <w:rPr>
          <w:rFonts w:ascii="Times New Roman" w:hAnsi="Times New Roman" w:cs="Times New Roman" w:hint="eastAsia"/>
          <w:sz w:val="24"/>
        </w:rPr>
        <w:t>-</w:t>
      </w:r>
      <w:r w:rsidRPr="008261A1">
        <w:rPr>
          <w:rFonts w:ascii="Times New Roman" w:hAnsi="Times New Roman" w:cs="Times New Roman" w:hint="eastAsia"/>
          <w:sz w:val="24"/>
        </w:rPr>
        <w:t>新华网</w:t>
      </w:r>
      <w:r w:rsidRPr="008261A1">
        <w:rPr>
          <w:rFonts w:ascii="Times New Roman" w:hAnsi="Times New Roman" w:cs="Times New Roman" w:hint="eastAsia"/>
          <w:sz w:val="24"/>
        </w:rPr>
        <w:t>. [online] Available at: https://www.news.cn/fortune/20250916/3ea7f3f4a8d24483898ec28c760a93cf/c.html [Accessed 29 Jan. 2026].</w:t>
      </w:r>
    </w:p>
    <w:p w14:paraId="78B5BA40" w14:textId="03A43A21"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sz w:val="24"/>
        </w:rPr>
        <w:t xml:space="preserve">National Bureau of Statistics of the People's Republic of China (2017) </w:t>
      </w:r>
      <w:r w:rsidRPr="008261A1">
        <w:rPr>
          <w:rFonts w:ascii="Times New Roman" w:hAnsi="Times New Roman" w:cs="Times New Roman"/>
          <w:i/>
          <w:iCs/>
          <w:sz w:val="24"/>
        </w:rPr>
        <w:t>National economic industry classification (GB/T 4754-2017)</w:t>
      </w:r>
      <w:r w:rsidRPr="008261A1">
        <w:rPr>
          <w:rFonts w:ascii="Times New Roman" w:hAnsi="Times New Roman" w:cs="Times New Roman"/>
          <w:sz w:val="24"/>
        </w:rPr>
        <w:t>. Beijing: China Statistics Press.</w:t>
      </w:r>
    </w:p>
    <w:p w14:paraId="58F1765F"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Painter-Morland, M. and Dobie, K. (2014). Ethics and sustainability within SMEs in sub-Saharan Africa: Enabling, constraining and contaminating relationships. African Journal of Business Ethics, 4(4).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://doi.org/10.15249/4-2-66.</w:t>
      </w:r>
    </w:p>
    <w:p w14:paraId="42570C41"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Pinheiro, M.A.P., </w:t>
      </w:r>
      <w:proofErr w:type="spellStart"/>
      <w:r w:rsidRPr="008261A1">
        <w:rPr>
          <w:rFonts w:ascii="Times New Roman" w:hAnsi="Times New Roman" w:cs="Times New Roman" w:hint="eastAsia"/>
          <w:sz w:val="24"/>
        </w:rPr>
        <w:t>Jugend</w:t>
      </w:r>
      <w:proofErr w:type="spellEnd"/>
      <w:r w:rsidRPr="008261A1">
        <w:rPr>
          <w:rFonts w:ascii="Times New Roman" w:hAnsi="Times New Roman" w:cs="Times New Roman" w:hint="eastAsia"/>
          <w:sz w:val="24"/>
        </w:rPr>
        <w:t>, D., Lopes de Sousa Jabbour, A.B., Chiappetta Jabbour, C.J. and Latan, H. (2021). Circular economy</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based new products and company performance: The role of stakeholders and Industry 4.0 technologies. Business Strategy and the Environment, 31(1).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://doi.org/10.1002/bse.2905.</w:t>
      </w:r>
    </w:p>
    <w:p w14:paraId="207DE91D"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R  Edward Freeman (2010). Stakeholder theory : the state of the art. Cambridge: Cambridge Univ. Press.</w:t>
      </w:r>
    </w:p>
    <w:p w14:paraId="1964CCAA" w14:textId="77777777" w:rsidR="008261A1" w:rsidRPr="008261A1" w:rsidRDefault="008261A1" w:rsidP="00060596">
      <w:pPr>
        <w:spacing w:line="360" w:lineRule="auto"/>
        <w:rPr>
          <w:rFonts w:ascii="Times New Roman" w:hAnsi="Times New Roman" w:cs="Times New Roman"/>
          <w:sz w:val="24"/>
        </w:rPr>
      </w:pPr>
      <w:proofErr w:type="spellStart"/>
      <w:r w:rsidRPr="008261A1">
        <w:rPr>
          <w:rFonts w:ascii="Times New Roman" w:hAnsi="Times New Roman" w:cs="Times New Roman" w:hint="eastAsia"/>
          <w:sz w:val="24"/>
        </w:rPr>
        <w:t>Reike</w:t>
      </w:r>
      <w:proofErr w:type="spellEnd"/>
      <w:r w:rsidRPr="008261A1">
        <w:rPr>
          <w:rFonts w:ascii="Times New Roman" w:hAnsi="Times New Roman" w:cs="Times New Roman" w:hint="eastAsia"/>
          <w:sz w:val="24"/>
        </w:rPr>
        <w:t>, D., Hekkert, M.P. and Negro, S.O. (2022). Understanding circular economy transitions: The case of circular textiles. Business Strategy and the Environment, 32(3), pp.1032</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1058.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://doi.org/10.1002/bse.3114.</w:t>
      </w:r>
    </w:p>
    <w:p w14:paraId="4B0C420A"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Rizos, V., </w:t>
      </w:r>
      <w:proofErr w:type="spellStart"/>
      <w:r w:rsidRPr="008261A1">
        <w:rPr>
          <w:rFonts w:ascii="Times New Roman" w:hAnsi="Times New Roman" w:cs="Times New Roman" w:hint="eastAsia"/>
          <w:sz w:val="24"/>
        </w:rPr>
        <w:t>Tuokko</w:t>
      </w:r>
      <w:proofErr w:type="spellEnd"/>
      <w:r w:rsidRPr="008261A1">
        <w:rPr>
          <w:rFonts w:ascii="Times New Roman" w:hAnsi="Times New Roman" w:cs="Times New Roman" w:hint="eastAsia"/>
          <w:sz w:val="24"/>
        </w:rPr>
        <w:t>, K. and Behrens, A. (2017). The Circular Economy: A review of definitions, processes and impacts. [online] ideas.repec.org. Available at: https://ideas.repec.org/p/eps/cepswp/12440.html.</w:t>
      </w:r>
    </w:p>
    <w:p w14:paraId="304E60E3"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Saunders, B., Sim, J., Kingstone, T., Baker, S., Waterfield, J., Bartlam, B., Burroughs, H. and Jinks, C. (2018). Saturation in Qualitative Research: Exploring Its </w:t>
      </w:r>
      <w:r w:rsidRPr="008261A1">
        <w:rPr>
          <w:rFonts w:ascii="Times New Roman" w:hAnsi="Times New Roman" w:cs="Times New Roman" w:hint="eastAsia"/>
          <w:sz w:val="24"/>
        </w:rPr>
        <w:lastRenderedPageBreak/>
        <w:t>Conceptualization and Operationalization. Quality &amp; Quantity, 52(4), pp.1893</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1907.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://doi.org/10.1007/s11135-017-0574-8.</w:t>
      </w:r>
    </w:p>
    <w:p w14:paraId="49E7A37B"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Seedhouse, D. (2008). Ethics : the heart of health care. Hoboken, Nj: Wiley-Blackwell, pp.81</w:t>
      </w:r>
      <w:r w:rsidRPr="008261A1">
        <w:rPr>
          <w:rFonts w:ascii="Times New Roman" w:hAnsi="Times New Roman" w:cs="Times New Roman" w:hint="eastAsia"/>
          <w:sz w:val="24"/>
        </w:rPr>
        <w:t>–</w:t>
      </w:r>
      <w:r w:rsidRPr="008261A1">
        <w:rPr>
          <w:rFonts w:ascii="Times New Roman" w:hAnsi="Times New Roman" w:cs="Times New Roman" w:hint="eastAsia"/>
          <w:sz w:val="24"/>
        </w:rPr>
        <w:t>103.</w:t>
      </w:r>
    </w:p>
    <w:p w14:paraId="5677764E"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Sharma, M., Joshi, S., Prasad, M. and Bartwal, S. (2023). Overcoming barriers to circular economy implementation in the oil &amp; gas industry: Environmental and social implications. Journal of Cleaner Production, 391, p.136133.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://doi.org/10.1016/j.jclepro.2023.136133.</w:t>
      </w:r>
    </w:p>
    <w:p w14:paraId="40027942" w14:textId="77777777" w:rsidR="008261A1" w:rsidRPr="008261A1" w:rsidRDefault="008261A1" w:rsidP="00060596">
      <w:pPr>
        <w:spacing w:line="360" w:lineRule="auto"/>
        <w:rPr>
          <w:rFonts w:ascii="Times New Roman" w:hAnsi="Times New Roman" w:cs="Times New Roman"/>
          <w:sz w:val="24"/>
        </w:rPr>
      </w:pPr>
      <w:proofErr w:type="spellStart"/>
      <w:r w:rsidRPr="008261A1">
        <w:rPr>
          <w:rFonts w:ascii="Times New Roman" w:hAnsi="Times New Roman" w:cs="Times New Roman" w:hint="eastAsia"/>
          <w:sz w:val="24"/>
        </w:rPr>
        <w:t>Skawi</w:t>
      </w:r>
      <w:proofErr w:type="spellEnd"/>
      <w:r w:rsidRPr="008261A1">
        <w:rPr>
          <w:rFonts w:ascii="Times New Roman" w:hAnsi="Times New Roman" w:cs="Times New Roman" w:hint="eastAsia"/>
          <w:sz w:val="24"/>
        </w:rPr>
        <w:t>ń</w:t>
      </w:r>
      <w:r w:rsidRPr="008261A1">
        <w:rPr>
          <w:rFonts w:ascii="Times New Roman" w:hAnsi="Times New Roman" w:cs="Times New Roman" w:hint="eastAsia"/>
          <w:sz w:val="24"/>
        </w:rPr>
        <w:t xml:space="preserve">ska, E. and Zalewski, R. (2018). PATENT ACTIVITY OF THE AGRARIAN SECTOR IN THE CONTEXT OF ITS DEVELOPMENT IN GLOBAL ECONOMY. Acta </w:t>
      </w:r>
      <w:proofErr w:type="spellStart"/>
      <w:r w:rsidRPr="008261A1">
        <w:rPr>
          <w:rFonts w:ascii="Times New Roman" w:hAnsi="Times New Roman" w:cs="Times New Roman" w:hint="eastAsia"/>
          <w:sz w:val="24"/>
        </w:rPr>
        <w:t>Scientiarum</w:t>
      </w:r>
      <w:proofErr w:type="spellEnd"/>
      <w:r w:rsidRPr="008261A1">
        <w:rPr>
          <w:rFonts w:ascii="Times New Roman" w:hAnsi="Times New Roman" w:cs="Times New Roman" w:hint="eastAsia"/>
          <w:sz w:val="24"/>
        </w:rPr>
        <w:t xml:space="preserve"> </w:t>
      </w:r>
      <w:proofErr w:type="spellStart"/>
      <w:r w:rsidRPr="008261A1">
        <w:rPr>
          <w:rFonts w:ascii="Times New Roman" w:hAnsi="Times New Roman" w:cs="Times New Roman" w:hint="eastAsia"/>
          <w:sz w:val="24"/>
        </w:rPr>
        <w:t>Polonorum</w:t>
      </w:r>
      <w:proofErr w:type="spellEnd"/>
      <w:r w:rsidRPr="008261A1">
        <w:rPr>
          <w:rFonts w:ascii="Times New Roman" w:hAnsi="Times New Roman" w:cs="Times New Roman" w:hint="eastAsia"/>
          <w:sz w:val="24"/>
        </w:rPr>
        <w:t xml:space="preserve">. </w:t>
      </w:r>
      <w:proofErr w:type="spellStart"/>
      <w:r w:rsidRPr="008261A1">
        <w:rPr>
          <w:rFonts w:ascii="Times New Roman" w:hAnsi="Times New Roman" w:cs="Times New Roman" w:hint="eastAsia"/>
          <w:sz w:val="24"/>
        </w:rPr>
        <w:t>Oeconomia</w:t>
      </w:r>
      <w:proofErr w:type="spellEnd"/>
      <w:r w:rsidRPr="008261A1">
        <w:rPr>
          <w:rFonts w:ascii="Times New Roman" w:hAnsi="Times New Roman" w:cs="Times New Roman" w:hint="eastAsia"/>
          <w:sz w:val="24"/>
        </w:rPr>
        <w:t>, 17(2), pp.89</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96.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://doi.org/10.22630/aspe.2018.17.2.24.</w:t>
      </w:r>
    </w:p>
    <w:p w14:paraId="39F2BA89" w14:textId="77777777" w:rsid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Stats.gov.cn. (2026). </w:t>
      </w:r>
      <w:r w:rsidRPr="008261A1">
        <w:rPr>
          <w:rFonts w:ascii="Times New Roman" w:hAnsi="Times New Roman" w:cs="Times New Roman" w:hint="eastAsia"/>
          <w:sz w:val="24"/>
        </w:rPr>
        <w:t>国家统计局信息公开</w:t>
      </w:r>
      <w:r w:rsidRPr="008261A1">
        <w:rPr>
          <w:rFonts w:ascii="Times New Roman" w:hAnsi="Times New Roman" w:cs="Times New Roman" w:hint="eastAsia"/>
          <w:sz w:val="24"/>
        </w:rPr>
        <w:t>. [online] Available at: https://www.stats.gov.cn/xxgk/tjbz/gjtjbz/201310/t20131031_1758901.html [Accessed 29 Jan. 2026].</w:t>
      </w:r>
    </w:p>
    <w:p w14:paraId="39D7A6F9" w14:textId="1B0C5AE8" w:rsidR="00D743D7" w:rsidRPr="008261A1" w:rsidRDefault="00D743D7" w:rsidP="00060596">
      <w:pPr>
        <w:spacing w:line="360" w:lineRule="auto"/>
        <w:rPr>
          <w:rFonts w:ascii="Times New Roman" w:hAnsi="Times New Roman" w:cs="Times New Roman"/>
          <w:sz w:val="24"/>
        </w:rPr>
      </w:pPr>
      <w:r w:rsidRPr="00D743D7">
        <w:rPr>
          <w:rFonts w:ascii="Times New Roman" w:hAnsi="Times New Roman" w:cs="Times New Roman"/>
          <w:sz w:val="24"/>
        </w:rPr>
        <w:t>Slote, M. (1985). Utilitarianism, Moral Dilemmas, and Moral Cost. American Philosophical Quarterly, [online] 22(2), pp.161–168. Available at: https://www.jstor.org/stable/20014092.</w:t>
      </w:r>
    </w:p>
    <w:p w14:paraId="2FEAE047"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Swanson, R.A. (2007). Theory Framework for Applied Disciplines: Boundaries, Contributing, Core, Useful, Novel, and Irrelevant Components. Human Resource Development Review, 6(3), pp.321</w:t>
      </w:r>
      <w:r w:rsidRPr="008261A1">
        <w:rPr>
          <w:rFonts w:ascii="Times New Roman" w:hAnsi="Times New Roman" w:cs="Times New Roman" w:hint="eastAsia"/>
          <w:sz w:val="24"/>
        </w:rPr>
        <w:t>–</w:t>
      </w:r>
      <w:r w:rsidRPr="008261A1">
        <w:rPr>
          <w:rFonts w:ascii="Times New Roman" w:hAnsi="Times New Roman" w:cs="Times New Roman" w:hint="eastAsia"/>
          <w:sz w:val="24"/>
        </w:rPr>
        <w:t xml:space="preserve">339.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://doi.org/10.1177/1534484307303770.</w:t>
      </w:r>
    </w:p>
    <w:p w14:paraId="60AADAB5" w14:textId="77777777" w:rsidR="008261A1" w:rsidRPr="008261A1" w:rsidRDefault="008261A1" w:rsidP="00060596">
      <w:pPr>
        <w:spacing w:line="360" w:lineRule="auto"/>
        <w:rPr>
          <w:rFonts w:ascii="Times New Roman" w:hAnsi="Times New Roman" w:cs="Times New Roman"/>
          <w:sz w:val="24"/>
        </w:rPr>
      </w:pPr>
      <w:proofErr w:type="spellStart"/>
      <w:r w:rsidRPr="008261A1">
        <w:rPr>
          <w:rFonts w:ascii="Times New Roman" w:hAnsi="Times New Roman" w:cs="Times New Roman" w:hint="eastAsia"/>
          <w:sz w:val="24"/>
        </w:rPr>
        <w:t>Tapaninaho</w:t>
      </w:r>
      <w:proofErr w:type="spellEnd"/>
      <w:r w:rsidRPr="008261A1">
        <w:rPr>
          <w:rFonts w:ascii="Times New Roman" w:hAnsi="Times New Roman" w:cs="Times New Roman" w:hint="eastAsia"/>
          <w:sz w:val="24"/>
        </w:rPr>
        <w:t xml:space="preserve">, R. and Heikkinen, A. (2022). Value creation in circular economy business for sustainability: A stakeholder relationship perspective. Business Strategy and the Environment, 31(6).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://doi.org/10.1002/bse.3002.</w:t>
      </w:r>
    </w:p>
    <w:p w14:paraId="15954692" w14:textId="77777777" w:rsidR="008261A1" w:rsidRPr="008261A1"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lastRenderedPageBreak/>
        <w:t>TOWARDS A CIRCULAR ECONOMY: BUSINESS RATIONALE FOR AN ACCELERATED TRANSITION. (n.d.). Available at: https://content.ellenmacarthurfoundation.org/m/4384c08da576329c/original/Towards-a-circular-economy-Business-rationale-for-an-accelerated-transition.pdf.</w:t>
      </w:r>
    </w:p>
    <w:p w14:paraId="6B78BBFB" w14:textId="1AC10956" w:rsidR="007926D5" w:rsidRPr="007A673A" w:rsidRDefault="008261A1" w:rsidP="00060596">
      <w:pPr>
        <w:spacing w:line="360" w:lineRule="auto"/>
        <w:rPr>
          <w:rFonts w:ascii="Times New Roman" w:hAnsi="Times New Roman" w:cs="Times New Roman"/>
          <w:sz w:val="24"/>
        </w:rPr>
      </w:pPr>
      <w:r w:rsidRPr="008261A1">
        <w:rPr>
          <w:rFonts w:ascii="Times New Roman" w:hAnsi="Times New Roman" w:cs="Times New Roman" w:hint="eastAsia"/>
          <w:sz w:val="24"/>
        </w:rPr>
        <w:t xml:space="preserve">Yu, Z., Khan, S.A.R. and Umar, M. (2021). Circular economy practices and industry 4.0 technologies: A strategic move of automobile industry. Business Strategy and the Environment, [online] 31(3). </w:t>
      </w:r>
      <w:proofErr w:type="spellStart"/>
      <w:r w:rsidRPr="008261A1">
        <w:rPr>
          <w:rFonts w:ascii="Times New Roman" w:hAnsi="Times New Roman" w:cs="Times New Roman" w:hint="eastAsia"/>
          <w:sz w:val="24"/>
        </w:rPr>
        <w:t>doi:https</w:t>
      </w:r>
      <w:proofErr w:type="spellEnd"/>
      <w:r w:rsidRPr="008261A1">
        <w:rPr>
          <w:rFonts w:ascii="Times New Roman" w:hAnsi="Times New Roman" w:cs="Times New Roman" w:hint="eastAsia"/>
          <w:sz w:val="24"/>
        </w:rPr>
        <w:t>://doi.org/10.1002/bse.2918</w:t>
      </w:r>
    </w:p>
    <w:p w14:paraId="5888E0FB" w14:textId="6DC71963" w:rsidR="008261A1" w:rsidRPr="00060596" w:rsidRDefault="008261A1" w:rsidP="00060596">
      <w:pPr>
        <w:spacing w:line="360" w:lineRule="auto"/>
        <w:rPr>
          <w:rFonts w:ascii="Times New Roman" w:hAnsi="Times New Roman" w:cs="Times New Roman" w:hint="eastAsia"/>
          <w:sz w:val="24"/>
        </w:rPr>
      </w:pPr>
      <w:r w:rsidRPr="008261A1">
        <w:rPr>
          <w:rFonts w:ascii="Times New Roman" w:hAnsi="Times New Roman" w:cs="Times New Roman"/>
          <w:sz w:val="24"/>
        </w:rPr>
        <w:t xml:space="preserve">Zhang, Y. and Halim, H.A. (2024) 'The relationship between ethical leadership, environmental transformational leadership, environmental concern, and pro-environmental behavior in Chinese manufacturing textile SME', </w:t>
      </w:r>
      <w:r w:rsidRPr="008261A1">
        <w:rPr>
          <w:rFonts w:ascii="Times New Roman" w:hAnsi="Times New Roman" w:cs="Times New Roman"/>
          <w:i/>
          <w:iCs/>
          <w:sz w:val="24"/>
        </w:rPr>
        <w:t>International Journal of Business and Social Science</w:t>
      </w:r>
      <w:r w:rsidRPr="008261A1">
        <w:rPr>
          <w:rFonts w:ascii="Times New Roman" w:hAnsi="Times New Roman" w:cs="Times New Roman"/>
          <w:sz w:val="24"/>
        </w:rPr>
        <w:t>, 15(2), pp.45–56.</w:t>
      </w:r>
    </w:p>
    <w:sectPr w:rsidR="008261A1" w:rsidRPr="0006059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F48FC" w14:textId="77777777" w:rsidR="0014563A" w:rsidRDefault="0014563A">
      <w:pPr>
        <w:spacing w:after="0" w:line="240" w:lineRule="auto"/>
        <w:rPr>
          <w:rFonts w:hint="eastAsia"/>
        </w:rPr>
      </w:pPr>
      <w:r>
        <w:separator/>
      </w:r>
    </w:p>
  </w:endnote>
  <w:endnote w:type="continuationSeparator" w:id="0">
    <w:p w14:paraId="31336724" w14:textId="77777777" w:rsidR="0014563A" w:rsidRDefault="0014563A">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B37A73" w14:textId="77777777" w:rsidR="007926D5" w:rsidRDefault="007926D5">
    <w:pPr>
      <w:pStyle w:val="af0"/>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E4B649" w14:textId="77777777" w:rsidR="007926D5" w:rsidRDefault="007926D5">
    <w:pPr>
      <w:pStyle w:val="af0"/>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EE6F8" w14:textId="77777777" w:rsidR="007926D5" w:rsidRDefault="007926D5">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0450E" w14:textId="77777777" w:rsidR="0014563A" w:rsidRDefault="0014563A">
      <w:pPr>
        <w:spacing w:after="0" w:line="240" w:lineRule="auto"/>
        <w:rPr>
          <w:rFonts w:hint="eastAsia"/>
        </w:rPr>
      </w:pPr>
      <w:r>
        <w:separator/>
      </w:r>
    </w:p>
  </w:footnote>
  <w:footnote w:type="continuationSeparator" w:id="0">
    <w:p w14:paraId="694EF478" w14:textId="77777777" w:rsidR="0014563A" w:rsidRDefault="0014563A">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FA5058" w14:textId="77777777" w:rsidR="007926D5" w:rsidRDefault="007926D5">
    <w:pPr>
      <w:pStyle w:val="ae"/>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1600BC" w14:textId="77777777" w:rsidR="007926D5" w:rsidRDefault="007926D5">
    <w:pPr>
      <w:pStyle w:val="ae"/>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19A0B7" w14:textId="77777777" w:rsidR="007926D5" w:rsidRDefault="007926D5">
    <w:pPr>
      <w:pStyle w:val="ae"/>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583007"/>
    <w:multiLevelType w:val="hybridMultilevel"/>
    <w:tmpl w:val="FF4824F2"/>
    <w:lvl w:ilvl="0" w:tplc="C28AC3A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030912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6D5"/>
    <w:rsid w:val="000217F6"/>
    <w:rsid w:val="0003557D"/>
    <w:rsid w:val="00052F18"/>
    <w:rsid w:val="00060596"/>
    <w:rsid w:val="000D6E39"/>
    <w:rsid w:val="001207C4"/>
    <w:rsid w:val="0014563A"/>
    <w:rsid w:val="001D06D9"/>
    <w:rsid w:val="00283BA7"/>
    <w:rsid w:val="002A5A55"/>
    <w:rsid w:val="00315A58"/>
    <w:rsid w:val="0043313D"/>
    <w:rsid w:val="00447E45"/>
    <w:rsid w:val="00483B92"/>
    <w:rsid w:val="00495217"/>
    <w:rsid w:val="005A1527"/>
    <w:rsid w:val="006002D8"/>
    <w:rsid w:val="00677310"/>
    <w:rsid w:val="00704955"/>
    <w:rsid w:val="007521CD"/>
    <w:rsid w:val="00785391"/>
    <w:rsid w:val="007926D5"/>
    <w:rsid w:val="007A673A"/>
    <w:rsid w:val="008261A1"/>
    <w:rsid w:val="008B03C4"/>
    <w:rsid w:val="009A60C1"/>
    <w:rsid w:val="009D7F1F"/>
    <w:rsid w:val="00BA5EF4"/>
    <w:rsid w:val="00C43C37"/>
    <w:rsid w:val="00C80A2A"/>
    <w:rsid w:val="00D42775"/>
    <w:rsid w:val="00D52F62"/>
    <w:rsid w:val="00D743D7"/>
    <w:rsid w:val="00DA42B7"/>
    <w:rsid w:val="00DE2EE2"/>
    <w:rsid w:val="00E77277"/>
    <w:rsid w:val="00EA2615"/>
    <w:rsid w:val="00EF2D51"/>
    <w:rsid w:val="00FE65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462712"/>
  <w15:chartTrackingRefBased/>
  <w15:docId w15:val="{D5521C89-B907-434A-9622-D7DFDD1BB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261A1"/>
    <w:pPr>
      <w:widowControl w:val="0"/>
    </w:pPr>
  </w:style>
  <w:style w:type="paragraph" w:styleId="1">
    <w:name w:val="heading 1"/>
    <w:basedOn w:val="a"/>
    <w:next w:val="a"/>
    <w:link w:val="10"/>
    <w:uiPriority w:val="9"/>
    <w:qFormat/>
    <w:rsid w:val="007926D5"/>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7926D5"/>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7926D5"/>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7926D5"/>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7926D5"/>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7926D5"/>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7926D5"/>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926D5"/>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7926D5"/>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926D5"/>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7926D5"/>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7926D5"/>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7926D5"/>
    <w:rPr>
      <w:rFonts w:cstheme="majorBidi"/>
      <w:color w:val="0F4761" w:themeColor="accent1" w:themeShade="BF"/>
      <w:sz w:val="28"/>
      <w:szCs w:val="28"/>
    </w:rPr>
  </w:style>
  <w:style w:type="character" w:customStyle="1" w:styleId="50">
    <w:name w:val="标题 5 字符"/>
    <w:basedOn w:val="a0"/>
    <w:link w:val="5"/>
    <w:uiPriority w:val="9"/>
    <w:semiHidden/>
    <w:rsid w:val="007926D5"/>
    <w:rPr>
      <w:rFonts w:cstheme="majorBidi"/>
      <w:color w:val="0F4761" w:themeColor="accent1" w:themeShade="BF"/>
      <w:sz w:val="24"/>
    </w:rPr>
  </w:style>
  <w:style w:type="character" w:customStyle="1" w:styleId="60">
    <w:name w:val="标题 6 字符"/>
    <w:basedOn w:val="a0"/>
    <w:link w:val="6"/>
    <w:uiPriority w:val="9"/>
    <w:semiHidden/>
    <w:rsid w:val="007926D5"/>
    <w:rPr>
      <w:rFonts w:cstheme="majorBidi"/>
      <w:b/>
      <w:bCs/>
      <w:color w:val="0F4761" w:themeColor="accent1" w:themeShade="BF"/>
    </w:rPr>
  </w:style>
  <w:style w:type="character" w:customStyle="1" w:styleId="70">
    <w:name w:val="标题 7 字符"/>
    <w:basedOn w:val="a0"/>
    <w:link w:val="7"/>
    <w:uiPriority w:val="9"/>
    <w:semiHidden/>
    <w:rsid w:val="007926D5"/>
    <w:rPr>
      <w:rFonts w:cstheme="majorBidi"/>
      <w:b/>
      <w:bCs/>
      <w:color w:val="595959" w:themeColor="text1" w:themeTint="A6"/>
    </w:rPr>
  </w:style>
  <w:style w:type="character" w:customStyle="1" w:styleId="80">
    <w:name w:val="标题 8 字符"/>
    <w:basedOn w:val="a0"/>
    <w:link w:val="8"/>
    <w:uiPriority w:val="9"/>
    <w:semiHidden/>
    <w:rsid w:val="007926D5"/>
    <w:rPr>
      <w:rFonts w:cstheme="majorBidi"/>
      <w:color w:val="595959" w:themeColor="text1" w:themeTint="A6"/>
    </w:rPr>
  </w:style>
  <w:style w:type="character" w:customStyle="1" w:styleId="90">
    <w:name w:val="标题 9 字符"/>
    <w:basedOn w:val="a0"/>
    <w:link w:val="9"/>
    <w:uiPriority w:val="9"/>
    <w:semiHidden/>
    <w:rsid w:val="007926D5"/>
    <w:rPr>
      <w:rFonts w:eastAsiaTheme="majorEastAsia" w:cstheme="majorBidi"/>
      <w:color w:val="595959" w:themeColor="text1" w:themeTint="A6"/>
    </w:rPr>
  </w:style>
  <w:style w:type="paragraph" w:styleId="a3">
    <w:name w:val="Title"/>
    <w:basedOn w:val="a"/>
    <w:next w:val="a"/>
    <w:link w:val="a4"/>
    <w:uiPriority w:val="10"/>
    <w:qFormat/>
    <w:rsid w:val="007926D5"/>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926D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926D5"/>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926D5"/>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926D5"/>
    <w:pPr>
      <w:spacing w:before="160"/>
      <w:jc w:val="center"/>
    </w:pPr>
    <w:rPr>
      <w:i/>
      <w:iCs/>
      <w:color w:val="404040" w:themeColor="text1" w:themeTint="BF"/>
    </w:rPr>
  </w:style>
  <w:style w:type="character" w:customStyle="1" w:styleId="a8">
    <w:name w:val="引用 字符"/>
    <w:basedOn w:val="a0"/>
    <w:link w:val="a7"/>
    <w:uiPriority w:val="29"/>
    <w:rsid w:val="007926D5"/>
    <w:rPr>
      <w:i/>
      <w:iCs/>
      <w:color w:val="404040" w:themeColor="text1" w:themeTint="BF"/>
    </w:rPr>
  </w:style>
  <w:style w:type="paragraph" w:styleId="a9">
    <w:name w:val="List Paragraph"/>
    <w:basedOn w:val="a"/>
    <w:uiPriority w:val="34"/>
    <w:qFormat/>
    <w:rsid w:val="007926D5"/>
    <w:pPr>
      <w:ind w:left="720"/>
      <w:contextualSpacing/>
    </w:pPr>
  </w:style>
  <w:style w:type="character" w:styleId="aa">
    <w:name w:val="Intense Emphasis"/>
    <w:basedOn w:val="a0"/>
    <w:uiPriority w:val="21"/>
    <w:qFormat/>
    <w:rsid w:val="007926D5"/>
    <w:rPr>
      <w:i/>
      <w:iCs/>
      <w:color w:val="0F4761" w:themeColor="accent1" w:themeShade="BF"/>
    </w:rPr>
  </w:style>
  <w:style w:type="paragraph" w:styleId="ab">
    <w:name w:val="Intense Quote"/>
    <w:basedOn w:val="a"/>
    <w:next w:val="a"/>
    <w:link w:val="ac"/>
    <w:uiPriority w:val="30"/>
    <w:qFormat/>
    <w:rsid w:val="007926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7926D5"/>
    <w:rPr>
      <w:i/>
      <w:iCs/>
      <w:color w:val="0F4761" w:themeColor="accent1" w:themeShade="BF"/>
    </w:rPr>
  </w:style>
  <w:style w:type="character" w:styleId="ad">
    <w:name w:val="Intense Reference"/>
    <w:basedOn w:val="a0"/>
    <w:uiPriority w:val="32"/>
    <w:qFormat/>
    <w:rsid w:val="007926D5"/>
    <w:rPr>
      <w:b/>
      <w:bCs/>
      <w:smallCaps/>
      <w:color w:val="0F4761" w:themeColor="accent1" w:themeShade="BF"/>
      <w:spacing w:val="5"/>
    </w:rPr>
  </w:style>
  <w:style w:type="paragraph" w:styleId="ae">
    <w:name w:val="header"/>
    <w:basedOn w:val="a"/>
    <w:link w:val="af"/>
    <w:uiPriority w:val="99"/>
    <w:unhideWhenUsed/>
    <w:rsid w:val="007926D5"/>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7926D5"/>
    <w:rPr>
      <w:sz w:val="18"/>
      <w:szCs w:val="18"/>
    </w:rPr>
  </w:style>
  <w:style w:type="paragraph" w:styleId="af0">
    <w:name w:val="footer"/>
    <w:basedOn w:val="a"/>
    <w:link w:val="af1"/>
    <w:uiPriority w:val="99"/>
    <w:unhideWhenUsed/>
    <w:rsid w:val="007926D5"/>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7926D5"/>
    <w:rPr>
      <w:sz w:val="18"/>
      <w:szCs w:val="18"/>
    </w:rPr>
  </w:style>
  <w:style w:type="character" w:styleId="af2">
    <w:name w:val="Hyperlink"/>
    <w:basedOn w:val="a0"/>
    <w:uiPriority w:val="99"/>
    <w:unhideWhenUsed/>
    <w:rsid w:val="007926D5"/>
    <w:rPr>
      <w:color w:val="467886" w:themeColor="hyperlink"/>
      <w:u w:val="single"/>
    </w:rPr>
  </w:style>
  <w:style w:type="table" w:styleId="af3">
    <w:name w:val="Table Grid"/>
    <w:basedOn w:val="a1"/>
    <w:uiPriority w:val="39"/>
    <w:rsid w:val="007926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4">
    <w:name w:val="Unresolved Mention"/>
    <w:basedOn w:val="a0"/>
    <w:uiPriority w:val="99"/>
    <w:semiHidden/>
    <w:unhideWhenUsed/>
    <w:rsid w:val="00DE2E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diagramLayout" Target="diagrams/layout1.xm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11CF17-0F87-434A-B628-7BB98CBCAADB}" type="doc">
      <dgm:prSet loTypeId="urn:microsoft.com/office/officeart/2005/8/layout/process1" loCatId="process" qsTypeId="urn:microsoft.com/office/officeart/2005/8/quickstyle/simple1" qsCatId="simple" csTypeId="urn:microsoft.com/office/officeart/2005/8/colors/accent1_2" csCatId="accent1" phldr="1"/>
      <dgm:spPr/>
    </dgm:pt>
    <dgm:pt modelId="{BCEFC005-E62B-4684-BF37-DACA053C5B52}">
      <dgm:prSet phldrT="[文本]"/>
      <dgm:spPr/>
      <dgm:t>
        <a:bodyPr/>
        <a:lstStyle/>
        <a:p>
          <a:r>
            <a:rPr lang="en-US" altLang="en-US"/>
            <a:t>Stage 1: Interview Preparation &amp; Sampling                            ▫️Purposive sampling: 5–7 textile SMEs in Jiangsu &amp; Zhejiang, 15–20 core stakeholders         ▫️Develop interview guide and prepare informed consent forms   ▫️Sample size aligns with Creswell's data saturation recommendation]</a:t>
          </a:r>
          <a:endParaRPr lang="zh-CN" altLang="en-US"/>
        </a:p>
      </dgm:t>
    </dgm:pt>
    <dgm:pt modelId="{A0002D7F-5749-49EF-916E-2EF9DDE10C36}" type="parTrans" cxnId="{B7CD0B37-74EA-4B7A-8451-0FA55FEA5BE8}">
      <dgm:prSet/>
      <dgm:spPr/>
    </dgm:pt>
    <dgm:pt modelId="{5E89BC1B-9624-42CE-B26A-816361688E57}" type="sibTrans" cxnId="{B7CD0B37-74EA-4B7A-8451-0FA55FEA5BE8}">
      <dgm:prSet/>
      <dgm:spPr/>
      <dgm:t>
        <a:bodyPr/>
        <a:lstStyle/>
        <a:p>
          <a:endParaRPr lang="zh-CN" altLang="en-US"/>
        </a:p>
      </dgm:t>
    </dgm:pt>
    <dgm:pt modelId="{5CC43289-0F79-4C58-84AD-D46E2C5E2028}">
      <dgm:prSet phldrT="[文本]"/>
      <dgm:spPr/>
      <dgm:t>
        <a:bodyPr/>
        <a:lstStyle/>
        <a:p>
          <a:r>
            <a:rPr lang="en-US" altLang="en-US"/>
            <a:t>[Stage 2: Interview Implementation &amp; Transcription         ▫️45–60 min Mandarin interviews: face-to-face/video, venue chosen by participants  ▫️Full audio-recording with participants' written consent  ▫️Verbatim transcription of recordings into Chinese texts]</a:t>
          </a:r>
          <a:endParaRPr lang="zh-CN" altLang="en-US"/>
        </a:p>
      </dgm:t>
    </dgm:pt>
    <dgm:pt modelId="{274F72E1-16CA-47D5-A7DC-C1296F1F5EAB}" type="parTrans" cxnId="{EAF1B58E-66E9-47A3-A461-5A5D763DB904}">
      <dgm:prSet/>
      <dgm:spPr/>
    </dgm:pt>
    <dgm:pt modelId="{F47AD870-E6A2-4DDF-AC52-C35AF49EF738}" type="sibTrans" cxnId="{EAF1B58E-66E9-47A3-A461-5A5D763DB904}">
      <dgm:prSet/>
      <dgm:spPr/>
      <dgm:t>
        <a:bodyPr/>
        <a:lstStyle/>
        <a:p>
          <a:endParaRPr lang="zh-CN" altLang="en-US"/>
        </a:p>
      </dgm:t>
    </dgm:pt>
    <dgm:pt modelId="{E4021ED6-0220-469C-B842-BF99A452CDDF}">
      <dgm:prSet phldrT="[文本]"/>
      <dgm:spPr/>
      <dgm:t>
        <a:bodyPr/>
        <a:lstStyle/>
        <a:p>
          <a:r>
            <a:rPr lang="en-US" altLang="en-US"/>
            <a:t>[Stage 3: Text Verification &amp; Archiving   ▫️Chinese-English-Chinese back-translation by bilingual researchers             ▫️Verify translation accuracy to ensure data integrity  ▫️Archive validated texts for subsequent thematic analysis]</a:t>
          </a:r>
          <a:endParaRPr lang="zh-CN" altLang="en-US"/>
        </a:p>
      </dgm:t>
    </dgm:pt>
    <dgm:pt modelId="{62FEE8EB-EDFB-4C62-ABDA-D6BBDC01BC7B}" type="parTrans" cxnId="{A9C258F0-33E3-41AB-BE94-0AD8C1D73140}">
      <dgm:prSet/>
      <dgm:spPr/>
    </dgm:pt>
    <dgm:pt modelId="{BEA51AD3-F9FF-45C4-BDA9-3872DB17A2DC}" type="sibTrans" cxnId="{A9C258F0-33E3-41AB-BE94-0AD8C1D73140}">
      <dgm:prSet/>
      <dgm:spPr/>
    </dgm:pt>
    <dgm:pt modelId="{C288D227-1999-4554-85E0-0CDADE5AF622}" type="pres">
      <dgm:prSet presAssocID="{8611CF17-0F87-434A-B628-7BB98CBCAADB}" presName="Name0" presStyleCnt="0">
        <dgm:presLayoutVars>
          <dgm:dir/>
          <dgm:resizeHandles val="exact"/>
        </dgm:presLayoutVars>
      </dgm:prSet>
      <dgm:spPr/>
    </dgm:pt>
    <dgm:pt modelId="{73E7C8A1-EF27-4715-9CCA-774EB7F9E15B}" type="pres">
      <dgm:prSet presAssocID="{BCEFC005-E62B-4684-BF37-DACA053C5B52}" presName="node" presStyleLbl="node1" presStyleIdx="0" presStyleCnt="3">
        <dgm:presLayoutVars>
          <dgm:bulletEnabled val="1"/>
        </dgm:presLayoutVars>
      </dgm:prSet>
      <dgm:spPr/>
    </dgm:pt>
    <dgm:pt modelId="{EFEB1272-9E27-4805-BFF5-58988A463D04}" type="pres">
      <dgm:prSet presAssocID="{5E89BC1B-9624-42CE-B26A-816361688E57}" presName="sibTrans" presStyleLbl="sibTrans2D1" presStyleIdx="0" presStyleCnt="2"/>
      <dgm:spPr/>
    </dgm:pt>
    <dgm:pt modelId="{B5B0C42F-69C6-4D5D-BD5F-CA3AF09C8122}" type="pres">
      <dgm:prSet presAssocID="{5E89BC1B-9624-42CE-B26A-816361688E57}" presName="connectorText" presStyleLbl="sibTrans2D1" presStyleIdx="0" presStyleCnt="2"/>
      <dgm:spPr/>
    </dgm:pt>
    <dgm:pt modelId="{5C6F81A2-7985-4322-822A-06BA00C763A6}" type="pres">
      <dgm:prSet presAssocID="{5CC43289-0F79-4C58-84AD-D46E2C5E2028}" presName="node" presStyleLbl="node1" presStyleIdx="1" presStyleCnt="3">
        <dgm:presLayoutVars>
          <dgm:bulletEnabled val="1"/>
        </dgm:presLayoutVars>
      </dgm:prSet>
      <dgm:spPr/>
    </dgm:pt>
    <dgm:pt modelId="{0CD8CB7E-289E-4046-A72A-2E047F442581}" type="pres">
      <dgm:prSet presAssocID="{F47AD870-E6A2-4DDF-AC52-C35AF49EF738}" presName="sibTrans" presStyleLbl="sibTrans2D1" presStyleIdx="1" presStyleCnt="2"/>
      <dgm:spPr/>
    </dgm:pt>
    <dgm:pt modelId="{25B15F18-58E4-44D3-8516-4DCA8B940445}" type="pres">
      <dgm:prSet presAssocID="{F47AD870-E6A2-4DDF-AC52-C35AF49EF738}" presName="connectorText" presStyleLbl="sibTrans2D1" presStyleIdx="1" presStyleCnt="2"/>
      <dgm:spPr/>
    </dgm:pt>
    <dgm:pt modelId="{18E5637B-4956-43B5-830F-3377B585BC71}" type="pres">
      <dgm:prSet presAssocID="{E4021ED6-0220-469C-B842-BF99A452CDDF}" presName="node" presStyleLbl="node1" presStyleIdx="2" presStyleCnt="3">
        <dgm:presLayoutVars>
          <dgm:bulletEnabled val="1"/>
        </dgm:presLayoutVars>
      </dgm:prSet>
      <dgm:spPr/>
    </dgm:pt>
  </dgm:ptLst>
  <dgm:cxnLst>
    <dgm:cxn modelId="{7CA9050C-6153-48CD-BACB-CDAB6A59D4BD}" type="presOf" srcId="{5E89BC1B-9624-42CE-B26A-816361688E57}" destId="{B5B0C42F-69C6-4D5D-BD5F-CA3AF09C8122}" srcOrd="1" destOrd="0" presId="urn:microsoft.com/office/officeart/2005/8/layout/process1"/>
    <dgm:cxn modelId="{C992BF0F-4279-4EB8-A894-90E173D780B8}" type="presOf" srcId="{5CC43289-0F79-4C58-84AD-D46E2C5E2028}" destId="{5C6F81A2-7985-4322-822A-06BA00C763A6}" srcOrd="0" destOrd="0" presId="urn:microsoft.com/office/officeart/2005/8/layout/process1"/>
    <dgm:cxn modelId="{426C3712-CAC2-4181-9E41-ACC71561B55F}" type="presOf" srcId="{F47AD870-E6A2-4DDF-AC52-C35AF49EF738}" destId="{25B15F18-58E4-44D3-8516-4DCA8B940445}" srcOrd="1" destOrd="0" presId="urn:microsoft.com/office/officeart/2005/8/layout/process1"/>
    <dgm:cxn modelId="{B7CD0B37-74EA-4B7A-8451-0FA55FEA5BE8}" srcId="{8611CF17-0F87-434A-B628-7BB98CBCAADB}" destId="{BCEFC005-E62B-4684-BF37-DACA053C5B52}" srcOrd="0" destOrd="0" parTransId="{A0002D7F-5749-49EF-916E-2EF9DDE10C36}" sibTransId="{5E89BC1B-9624-42CE-B26A-816361688E57}"/>
    <dgm:cxn modelId="{EAF1B58E-66E9-47A3-A461-5A5D763DB904}" srcId="{8611CF17-0F87-434A-B628-7BB98CBCAADB}" destId="{5CC43289-0F79-4C58-84AD-D46E2C5E2028}" srcOrd="1" destOrd="0" parTransId="{274F72E1-16CA-47D5-A7DC-C1296F1F5EAB}" sibTransId="{F47AD870-E6A2-4DDF-AC52-C35AF49EF738}"/>
    <dgm:cxn modelId="{98970697-C42C-4AE4-B149-10C436C48C73}" type="presOf" srcId="{8611CF17-0F87-434A-B628-7BB98CBCAADB}" destId="{C288D227-1999-4554-85E0-0CDADE5AF622}" srcOrd="0" destOrd="0" presId="urn:microsoft.com/office/officeart/2005/8/layout/process1"/>
    <dgm:cxn modelId="{6014A5BA-E144-42CE-8055-FD1FF387FF37}" type="presOf" srcId="{F47AD870-E6A2-4DDF-AC52-C35AF49EF738}" destId="{0CD8CB7E-289E-4046-A72A-2E047F442581}" srcOrd="0" destOrd="0" presId="urn:microsoft.com/office/officeart/2005/8/layout/process1"/>
    <dgm:cxn modelId="{696101ED-88D0-4DB0-B1BC-2822F9476442}" type="presOf" srcId="{BCEFC005-E62B-4684-BF37-DACA053C5B52}" destId="{73E7C8A1-EF27-4715-9CCA-774EB7F9E15B}" srcOrd="0" destOrd="0" presId="urn:microsoft.com/office/officeart/2005/8/layout/process1"/>
    <dgm:cxn modelId="{A9C258F0-33E3-41AB-BE94-0AD8C1D73140}" srcId="{8611CF17-0F87-434A-B628-7BB98CBCAADB}" destId="{E4021ED6-0220-469C-B842-BF99A452CDDF}" srcOrd="2" destOrd="0" parTransId="{62FEE8EB-EDFB-4C62-ABDA-D6BBDC01BC7B}" sibTransId="{BEA51AD3-F9FF-45C4-BDA9-3872DB17A2DC}"/>
    <dgm:cxn modelId="{D0C883F1-FF4F-476E-BC4E-29CB0CF1C926}" type="presOf" srcId="{E4021ED6-0220-469C-B842-BF99A452CDDF}" destId="{18E5637B-4956-43B5-830F-3377B585BC71}" srcOrd="0" destOrd="0" presId="urn:microsoft.com/office/officeart/2005/8/layout/process1"/>
    <dgm:cxn modelId="{C52625F9-D2D5-4362-87EB-A58B354EA46E}" type="presOf" srcId="{5E89BC1B-9624-42CE-B26A-816361688E57}" destId="{EFEB1272-9E27-4805-BFF5-58988A463D04}" srcOrd="0" destOrd="0" presId="urn:microsoft.com/office/officeart/2005/8/layout/process1"/>
    <dgm:cxn modelId="{C2D56965-BE26-4B7E-AAFF-EAA1456019C1}" type="presParOf" srcId="{C288D227-1999-4554-85E0-0CDADE5AF622}" destId="{73E7C8A1-EF27-4715-9CCA-774EB7F9E15B}" srcOrd="0" destOrd="0" presId="urn:microsoft.com/office/officeart/2005/8/layout/process1"/>
    <dgm:cxn modelId="{6ADA8186-34A7-411C-9844-57DF76565388}" type="presParOf" srcId="{C288D227-1999-4554-85E0-0CDADE5AF622}" destId="{EFEB1272-9E27-4805-BFF5-58988A463D04}" srcOrd="1" destOrd="0" presId="urn:microsoft.com/office/officeart/2005/8/layout/process1"/>
    <dgm:cxn modelId="{D533E591-4E5D-41D7-B977-F9DB2E2A3AC6}" type="presParOf" srcId="{EFEB1272-9E27-4805-BFF5-58988A463D04}" destId="{B5B0C42F-69C6-4D5D-BD5F-CA3AF09C8122}" srcOrd="0" destOrd="0" presId="urn:microsoft.com/office/officeart/2005/8/layout/process1"/>
    <dgm:cxn modelId="{E58A3D31-D5AD-4956-9042-0A5C96C058D1}" type="presParOf" srcId="{C288D227-1999-4554-85E0-0CDADE5AF622}" destId="{5C6F81A2-7985-4322-822A-06BA00C763A6}" srcOrd="2" destOrd="0" presId="urn:microsoft.com/office/officeart/2005/8/layout/process1"/>
    <dgm:cxn modelId="{AC060296-A206-4FD4-B1FC-075A3ECA26D9}" type="presParOf" srcId="{C288D227-1999-4554-85E0-0CDADE5AF622}" destId="{0CD8CB7E-289E-4046-A72A-2E047F442581}" srcOrd="3" destOrd="0" presId="urn:microsoft.com/office/officeart/2005/8/layout/process1"/>
    <dgm:cxn modelId="{04CBB2B7-0699-4FEC-AFDC-12125D42E9E9}" type="presParOf" srcId="{0CD8CB7E-289E-4046-A72A-2E047F442581}" destId="{25B15F18-58E4-44D3-8516-4DCA8B940445}" srcOrd="0" destOrd="0" presId="urn:microsoft.com/office/officeart/2005/8/layout/process1"/>
    <dgm:cxn modelId="{56061EE9-203D-4E35-B02E-1B112A8D67BC}" type="presParOf" srcId="{C288D227-1999-4554-85E0-0CDADE5AF622}" destId="{18E5637B-4956-43B5-830F-3377B585BC71}" srcOrd="4"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E7C8A1-EF27-4715-9CCA-774EB7F9E15B}">
      <dsp:nvSpPr>
        <dsp:cNvPr id="0" name=""/>
        <dsp:cNvSpPr/>
      </dsp:nvSpPr>
      <dsp:spPr>
        <a:xfrm>
          <a:off x="4635" y="538103"/>
          <a:ext cx="1385536" cy="20003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Stage 1: Interview Preparation &amp; Sampling                            ▫️Purposive sampling: 5–7 textile SMEs in Jiangsu &amp; Zhejiang, 15–20 core stakeholders         ▫️Develop interview guide and prepare informed consent forms   ▫️Sample size aligns with Creswell's data saturation recommendation]</a:t>
          </a:r>
          <a:endParaRPr lang="zh-CN" altLang="en-US" sz="900" kern="1200"/>
        </a:p>
      </dsp:txBody>
      <dsp:txXfrm>
        <a:off x="45216" y="578684"/>
        <a:ext cx="1304374" cy="1919206"/>
      </dsp:txXfrm>
    </dsp:sp>
    <dsp:sp modelId="{EFEB1272-9E27-4805-BFF5-58988A463D04}">
      <dsp:nvSpPr>
        <dsp:cNvPr id="0" name=""/>
        <dsp:cNvSpPr/>
      </dsp:nvSpPr>
      <dsp:spPr>
        <a:xfrm>
          <a:off x="1528725" y="1366480"/>
          <a:ext cx="293733" cy="34361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zh-CN" altLang="en-US" sz="700" kern="1200"/>
        </a:p>
      </dsp:txBody>
      <dsp:txXfrm>
        <a:off x="1528725" y="1435203"/>
        <a:ext cx="205613" cy="206167"/>
      </dsp:txXfrm>
    </dsp:sp>
    <dsp:sp modelId="{5C6F81A2-7985-4322-822A-06BA00C763A6}">
      <dsp:nvSpPr>
        <dsp:cNvPr id="0" name=""/>
        <dsp:cNvSpPr/>
      </dsp:nvSpPr>
      <dsp:spPr>
        <a:xfrm>
          <a:off x="1944386" y="538103"/>
          <a:ext cx="1385536" cy="20003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[Stage 2: Interview Implementation &amp; Transcription         ▫️45–60 min Mandarin interviews: face-to-face/video, venue chosen by participants  ▫️Full audio-recording with participants' written consent  ▫️Verbatim transcription of recordings into Chinese texts]</a:t>
          </a:r>
          <a:endParaRPr lang="zh-CN" altLang="en-US" sz="900" kern="1200"/>
        </a:p>
      </dsp:txBody>
      <dsp:txXfrm>
        <a:off x="1984967" y="578684"/>
        <a:ext cx="1304374" cy="1919206"/>
      </dsp:txXfrm>
    </dsp:sp>
    <dsp:sp modelId="{0CD8CB7E-289E-4046-A72A-2E047F442581}">
      <dsp:nvSpPr>
        <dsp:cNvPr id="0" name=""/>
        <dsp:cNvSpPr/>
      </dsp:nvSpPr>
      <dsp:spPr>
        <a:xfrm>
          <a:off x="3468476" y="1366480"/>
          <a:ext cx="293733" cy="34361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zh-CN" altLang="en-US" sz="700" kern="1200"/>
        </a:p>
      </dsp:txBody>
      <dsp:txXfrm>
        <a:off x="3468476" y="1435203"/>
        <a:ext cx="205613" cy="206167"/>
      </dsp:txXfrm>
    </dsp:sp>
    <dsp:sp modelId="{18E5637B-4956-43B5-830F-3377B585BC71}">
      <dsp:nvSpPr>
        <dsp:cNvPr id="0" name=""/>
        <dsp:cNvSpPr/>
      </dsp:nvSpPr>
      <dsp:spPr>
        <a:xfrm>
          <a:off x="3884137" y="538103"/>
          <a:ext cx="1385536" cy="20003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altLang="en-US" sz="900" kern="1200"/>
            <a:t>[Stage 3: Text Verification &amp; Archiving   ▫️Chinese-English-Chinese back-translation by bilingual researchers             ▫️Verify translation accuracy to ensure data integrity  ▫️Archive validated texts for subsequent thematic analysis]</a:t>
          </a:r>
          <a:endParaRPr lang="zh-CN" altLang="en-US" sz="900" kern="1200"/>
        </a:p>
      </dsp:txBody>
      <dsp:txXfrm>
        <a:off x="3924718" y="578684"/>
        <a:ext cx="1304374" cy="191920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534</TotalTime>
  <Pages>41</Pages>
  <Words>9651</Words>
  <Characters>61677</Characters>
  <Application>Microsoft Office Word</Application>
  <DocSecurity>0</DocSecurity>
  <Lines>1312</Lines>
  <Paragraphs>275</Paragraphs>
  <ScaleCrop>false</ScaleCrop>
  <Company/>
  <LinksUpToDate>false</LinksUpToDate>
  <CharactersWithSpaces>71053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Guangzheng Wu (2501013)</dc:creator>
  <cp:keywords/>
  <dc:description/>
  <cp:lastModifiedBy>Guangzheng Wu (2501013)</cp:lastModifiedBy>
  <cp:revision>14</cp:revision>
  <dcterms:created xsi:type="dcterms:W3CDTF">2026-01-29T09:53:00Z</dcterms:created>
  <dcterms:modified xsi:type="dcterms:W3CDTF">2026-01-29T22:15:00Z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efef509b-b2ba-4bd2-9895-b9e0c20ee3f1</vt:lpwstr>
  </property>
</Properties>
</file>