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7E3A5" w14:textId="77777777" w:rsidR="00C03A3B" w:rsidRPr="00C03A3B" w:rsidRDefault="00C03A3B" w:rsidP="00C03A3B">
      <w:pPr>
        <w:pStyle w:val="NormalWeb"/>
        <w:shd w:val="clear" w:color="auto" w:fill="FFFFFF"/>
        <w:spacing w:before="0" w:beforeAutospacing="0" w:after="0" w:afterAutospacing="0"/>
        <w:rPr>
          <w:rFonts w:asciiTheme="minorHAnsi" w:hAnsiTheme="minorHAnsi" w:cstheme="minorHAnsi"/>
        </w:rPr>
      </w:pPr>
      <w:r w:rsidRPr="00C03A3B">
        <w:rPr>
          <w:rFonts w:asciiTheme="minorHAnsi" w:hAnsiTheme="minorHAnsi" w:cstheme="minorHAnsi"/>
        </w:rPr>
        <w:t> </w:t>
      </w:r>
    </w:p>
    <w:p w14:paraId="5FD5223B" w14:textId="77777777" w:rsidR="00C03A3B" w:rsidRPr="00C03A3B" w:rsidRDefault="00C03A3B" w:rsidP="00C03A3B">
      <w:pPr>
        <w:pStyle w:val="NormalWeb"/>
        <w:shd w:val="clear" w:color="auto" w:fill="FFFFFF"/>
        <w:spacing w:before="0" w:beforeAutospacing="0" w:after="0" w:afterAutospacing="0"/>
        <w:rPr>
          <w:rFonts w:asciiTheme="minorHAnsi" w:hAnsiTheme="minorHAnsi" w:cstheme="minorHAnsi"/>
        </w:rPr>
      </w:pPr>
      <w:r w:rsidRPr="00C03A3B">
        <w:rPr>
          <w:rFonts w:asciiTheme="minorHAnsi" w:hAnsiTheme="minorHAnsi" w:cstheme="minorHAnsi"/>
        </w:rPr>
        <w:t> </w:t>
      </w:r>
    </w:p>
    <w:p w14:paraId="0E8F23DA"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Dear Ffion and Kieran,</w:t>
      </w:r>
      <w:r w:rsidRPr="00C03A3B">
        <w:rPr>
          <w:rFonts w:asciiTheme="minorHAnsi" w:hAnsiTheme="minorHAnsi" w:cstheme="minorHAnsi"/>
        </w:rPr>
        <w:t> </w:t>
      </w:r>
    </w:p>
    <w:p w14:paraId="70E8C0F8" w14:textId="45CA7CF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This situation would appear to be deformation. Defamation occurs when someone's reputation is harmed by something stated or published about them that is not true. In your case, it is possible to bring legal action against Juan, the person responsible for defamatory statements. </w:t>
      </w:r>
      <w:r w:rsidRPr="00C03A3B">
        <w:rPr>
          <w:rFonts w:asciiTheme="minorHAnsi" w:hAnsiTheme="minorHAnsi" w:cstheme="minorHAnsi"/>
          <w:lang w:val="en-US"/>
        </w:rPr>
        <w:t xml:space="preserve"> </w:t>
      </w:r>
      <w:r w:rsidRPr="00C03A3B">
        <w:rPr>
          <w:rFonts w:asciiTheme="minorHAnsi" w:hAnsiTheme="minorHAnsi" w:cstheme="minorHAnsi"/>
          <w:lang w:val="en-US"/>
        </w:rPr>
        <w:t>The Defamation Act 2013 is an Act of the Parliament of the United Kingdom, which reformed English defamation law on issues of the right to freedom of expression and the protection of reputation. </w:t>
      </w:r>
    </w:p>
    <w:p w14:paraId="2C3FE67A"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1 – Serious harm</w:t>
      </w:r>
      <w:r w:rsidRPr="00C03A3B">
        <w:rPr>
          <w:rFonts w:asciiTheme="minorHAnsi" w:hAnsiTheme="minorHAnsi" w:cstheme="minorHAnsi"/>
        </w:rPr>
        <w:t> </w:t>
      </w:r>
    </w:p>
    <w:p w14:paraId="2A799DE1" w14:textId="6DCDD3FA"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The provision under section 1(1) of the Act. A statement is not defamatory unless the claimant, you, can show that “...its publication has caused or is likely to cause serious harm to [his/her] reputation</w:t>
      </w:r>
      <w:proofErr w:type="gramStart"/>
      <w:r w:rsidRPr="00C03A3B">
        <w:rPr>
          <w:rFonts w:asciiTheme="minorHAnsi" w:hAnsiTheme="minorHAnsi" w:cstheme="minorHAnsi"/>
          <w:lang w:val="en-US"/>
        </w:rPr>
        <w:t>...“</w:t>
      </w:r>
      <w:proofErr w:type="gramEnd"/>
      <w:r w:rsidRPr="00C03A3B">
        <w:rPr>
          <w:rFonts w:asciiTheme="minorHAnsi" w:hAnsiTheme="minorHAnsi" w:cstheme="minorHAnsi"/>
          <w:lang w:val="en-US"/>
        </w:rPr>
        <w:t>.  The case of Sim v Stretch (1946) helped to define this section. In   In your case, the words used against you were more significant than ordinary malice, hence constituting defamation.</w:t>
      </w:r>
      <w:r w:rsidRPr="00C03A3B">
        <w:rPr>
          <w:rFonts w:asciiTheme="minorHAnsi" w:hAnsiTheme="minorHAnsi" w:cstheme="minorHAnsi"/>
        </w:rPr>
        <w:t> </w:t>
      </w:r>
    </w:p>
    <w:p w14:paraId="16AA8620"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2 – Truth</w:t>
      </w:r>
      <w:r w:rsidRPr="00C03A3B">
        <w:rPr>
          <w:rFonts w:asciiTheme="minorHAnsi" w:hAnsiTheme="minorHAnsi" w:cstheme="minorHAnsi"/>
        </w:rPr>
        <w:t> </w:t>
      </w:r>
    </w:p>
    <w:p w14:paraId="26E834BF" w14:textId="0C4A0812"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In this section, truth is defined as being able to prove that the defamatory allegation is substantially true. Truth is a new statutory defense to an action to libel (introduced by the Defamation Act 2013) which replaces the old common law of justification. The case of Thornton v Telegraph Media Group (2010) defines this further.  In your case, the statements slandering you were false. This further proves your right to claim deformation. </w:t>
      </w:r>
      <w:r w:rsidRPr="00C03A3B">
        <w:rPr>
          <w:rFonts w:asciiTheme="minorHAnsi" w:hAnsiTheme="minorHAnsi" w:cstheme="minorHAnsi"/>
        </w:rPr>
        <w:t> </w:t>
      </w:r>
    </w:p>
    <w:p w14:paraId="353C42ED"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3 – The defense of honest opinion</w:t>
      </w:r>
      <w:r w:rsidRPr="00C03A3B">
        <w:rPr>
          <w:rFonts w:asciiTheme="minorHAnsi" w:hAnsiTheme="minorHAnsi" w:cstheme="minorHAnsi"/>
        </w:rPr>
        <w:t> </w:t>
      </w:r>
    </w:p>
    <w:p w14:paraId="63E05922"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Section 3 replaced the common law defense of ‘fair comment’ with a new statutory defense of ‘honest opinion’.  The case of Butt v Secretary of State for the Home Department [2017] helps to define this. In your case, Juan was posting slanderous comments and passing them off as fact, not opinion. </w:t>
      </w:r>
      <w:r w:rsidRPr="00C03A3B">
        <w:rPr>
          <w:rFonts w:asciiTheme="minorHAnsi" w:hAnsiTheme="minorHAnsi" w:cstheme="minorHAnsi"/>
        </w:rPr>
        <w:t> </w:t>
      </w:r>
    </w:p>
    <w:p w14:paraId="30C861CB"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4 – The defense of publication on a matter of public interest</w:t>
      </w:r>
      <w:r w:rsidRPr="00C03A3B">
        <w:rPr>
          <w:rFonts w:asciiTheme="minorHAnsi" w:hAnsiTheme="minorHAnsi" w:cstheme="minorHAnsi"/>
        </w:rPr>
        <w:t> </w:t>
      </w:r>
    </w:p>
    <w:p w14:paraId="125C6691" w14:textId="183B8A1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Section 4 abolished the common law defense of ‘Reynolds qualified privilege/journalistic qualified privilege’ and replaced it with a new statutory defense of ‘publication on a matter of public interest’. The case of Economou v de Freitas [2016] defines this further.  in your case, there was nothing to do with public interest.</w:t>
      </w:r>
      <w:r w:rsidRPr="00C03A3B">
        <w:rPr>
          <w:rFonts w:asciiTheme="minorHAnsi" w:hAnsiTheme="minorHAnsi" w:cstheme="minorHAnsi"/>
        </w:rPr>
        <w:t> </w:t>
      </w:r>
    </w:p>
    <w:p w14:paraId="7DD77687"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5 – A defense for operators of websites</w:t>
      </w:r>
      <w:r w:rsidRPr="00C03A3B">
        <w:rPr>
          <w:rFonts w:asciiTheme="minorHAnsi" w:hAnsiTheme="minorHAnsi" w:cstheme="minorHAnsi"/>
        </w:rPr>
        <w:t> </w:t>
      </w:r>
    </w:p>
    <w:p w14:paraId="4DEB1F8A"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Section 5, in conjunction with the Defamation (Operators of Websites) Regulations 2013, can grant total immunity to website operators who follow a protocol for responding to defamation allegations concerning third party content.  This may include contacting the third party to request that their personal details be passed to the claimant. Upon extensive research, I couldn’t find any reported case in which section 5 has been heard at court. As for your case, there is no mention of a website so I shall not be discussing it further. </w:t>
      </w:r>
      <w:r w:rsidRPr="00C03A3B">
        <w:rPr>
          <w:rFonts w:asciiTheme="minorHAnsi" w:hAnsiTheme="minorHAnsi" w:cstheme="minorHAnsi"/>
        </w:rPr>
        <w:t> </w:t>
      </w:r>
    </w:p>
    <w:p w14:paraId="5025CCC5"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6 – Peer-reviewed statements in scientific or academic journals.</w:t>
      </w:r>
      <w:r w:rsidRPr="00C03A3B">
        <w:rPr>
          <w:rFonts w:asciiTheme="minorHAnsi" w:hAnsiTheme="minorHAnsi" w:cstheme="minorHAnsi"/>
        </w:rPr>
        <w:t> </w:t>
      </w:r>
    </w:p>
    <w:p w14:paraId="552D8106" w14:textId="02191B5E"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Section 6 offers a specialized category of the qualified privilege defense to individuals publishing in a scientific or academic publication, provided that the statement is related to a scientific or academic matter and had been subjected to an independent evaluation as to its scientific/academic value, either by the editor of the journal or by one or more additional experts in the issue involved. The publishing of a fair and correct copy, extract from, or summary of the statement is likewise privileged when the privilege is found. If the claimant can establish that the statement was made with malice, the defense is lost. This is seen further in British Chiropractic Association v Singh [2010</w:t>
      </w:r>
      <w:proofErr w:type="gramStart"/>
      <w:r w:rsidRPr="00C03A3B">
        <w:rPr>
          <w:rFonts w:asciiTheme="minorHAnsi" w:hAnsiTheme="minorHAnsi" w:cstheme="minorHAnsi"/>
          <w:lang w:val="en-US"/>
        </w:rPr>
        <w:t>] </w:t>
      </w:r>
      <w:r w:rsidRPr="00C03A3B">
        <w:rPr>
          <w:rFonts w:asciiTheme="minorHAnsi" w:hAnsiTheme="minorHAnsi" w:cstheme="minorHAnsi"/>
          <w:lang w:val="en-US"/>
        </w:rPr>
        <w:t xml:space="preserve"> </w:t>
      </w:r>
      <w:r w:rsidRPr="00C03A3B">
        <w:rPr>
          <w:rFonts w:asciiTheme="minorHAnsi" w:hAnsiTheme="minorHAnsi" w:cstheme="minorHAnsi"/>
          <w:lang w:val="en-US"/>
        </w:rPr>
        <w:t>in</w:t>
      </w:r>
      <w:proofErr w:type="gramEnd"/>
      <w:r w:rsidRPr="00C03A3B">
        <w:rPr>
          <w:rFonts w:asciiTheme="minorHAnsi" w:hAnsiTheme="minorHAnsi" w:cstheme="minorHAnsi"/>
          <w:lang w:val="en-US"/>
        </w:rPr>
        <w:t xml:space="preserve"> which a science </w:t>
      </w:r>
      <w:r w:rsidRPr="00C03A3B">
        <w:rPr>
          <w:rFonts w:asciiTheme="minorHAnsi" w:hAnsiTheme="minorHAnsi" w:cstheme="minorHAnsi"/>
          <w:lang w:val="en-US"/>
        </w:rPr>
        <w:lastRenderedPageBreak/>
        <w:t>writer/scientist was sued for accusing the claimant of promoting spurious treatments. In your case, there was not anything of significant academia so section 6 would not be of importance. </w:t>
      </w:r>
      <w:r w:rsidRPr="00C03A3B">
        <w:rPr>
          <w:rFonts w:asciiTheme="minorHAnsi" w:hAnsiTheme="minorHAnsi" w:cstheme="minorHAnsi"/>
        </w:rPr>
        <w:t> </w:t>
      </w:r>
    </w:p>
    <w:p w14:paraId="4DBBACC1"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7 – Court and other reports protected by privilege</w:t>
      </w:r>
      <w:r w:rsidRPr="00C03A3B">
        <w:rPr>
          <w:rFonts w:asciiTheme="minorHAnsi" w:hAnsiTheme="minorHAnsi" w:cstheme="minorHAnsi"/>
        </w:rPr>
        <w:t> </w:t>
      </w:r>
    </w:p>
    <w:p w14:paraId="33DF3F55"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Section 7(1) expanded the scope of section 14 of the Defamation Act 1996 so that it would provide fair and accurate reporting of legal proceedings in any court. Section 7 also extended the scope of section 15 of the Defamation Act 1996 to cover reports of scientific and academic conferences with qualified privilege. In addition, it internationalized the qualified privilege protection previously afforded to meetings of UK listed public businesses to apply to listed businesses worldwide and extended qualified privilege to cover summaries of (as well as copies of/extracts from) various documents circulated to members of listed companies by the board, directors, </w:t>
      </w:r>
      <w:proofErr w:type="gramStart"/>
      <w:r w:rsidRPr="00C03A3B">
        <w:rPr>
          <w:rFonts w:asciiTheme="minorHAnsi" w:hAnsiTheme="minorHAnsi" w:cstheme="minorHAnsi"/>
          <w:lang w:val="en-US"/>
        </w:rPr>
        <w:t>auditors</w:t>
      </w:r>
      <w:proofErr w:type="gramEnd"/>
      <w:r w:rsidRPr="00C03A3B">
        <w:rPr>
          <w:rFonts w:asciiTheme="minorHAnsi" w:hAnsiTheme="minorHAnsi" w:cstheme="minorHAnsi"/>
          <w:lang w:val="en-US"/>
        </w:rPr>
        <w:t> or other members (important stakeholders).  Shakil-Ur-Rahman v ARY Network Ltd [2016] explains this further. In your case, deformation would apply because you are in the UK and your case would be heard in the UK court. </w:t>
      </w:r>
      <w:r w:rsidRPr="00C03A3B">
        <w:rPr>
          <w:rFonts w:asciiTheme="minorHAnsi" w:hAnsiTheme="minorHAnsi" w:cstheme="minorHAnsi"/>
        </w:rPr>
        <w:t> </w:t>
      </w:r>
    </w:p>
    <w:p w14:paraId="168D63D7"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8 – The single publication rule</w:t>
      </w:r>
      <w:r w:rsidRPr="00C03A3B">
        <w:rPr>
          <w:rFonts w:asciiTheme="minorHAnsi" w:hAnsiTheme="minorHAnsi" w:cstheme="minorHAnsi"/>
        </w:rPr>
        <w:t> </w:t>
      </w:r>
    </w:p>
    <w:p w14:paraId="493BFF47"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The single publication rule states that the 12-month limitation period begins on the date of first public disclosure, regardless of any subsequent public disclosure of a substantially similar statement. It effectively ended indefinite liability for online publications that are 'published' each time they are accessed (previously, the limitation period was 'reset' each time they were accessed). Section 8 is seen in the cases of Richardson v Facebook, Google (UK) Limited [2015] and </w:t>
      </w:r>
      <w:proofErr w:type="spellStart"/>
      <w:r w:rsidRPr="00C03A3B">
        <w:rPr>
          <w:rFonts w:asciiTheme="minorHAnsi" w:hAnsiTheme="minorHAnsi" w:cstheme="minorHAnsi"/>
          <w:lang w:val="en-US"/>
        </w:rPr>
        <w:t>Deman</w:t>
      </w:r>
      <w:proofErr w:type="spellEnd"/>
      <w:r w:rsidRPr="00C03A3B">
        <w:rPr>
          <w:rFonts w:asciiTheme="minorHAnsi" w:hAnsiTheme="minorHAnsi" w:cstheme="minorHAnsi"/>
          <w:lang w:val="en-US"/>
        </w:rPr>
        <w:t xml:space="preserve"> v Associated Newspapers Ltd [2016]. This would apply to your case because the defendant, Juan, published a false statement to the public</w:t>
      </w:r>
      <w:r w:rsidRPr="00C03A3B">
        <w:rPr>
          <w:rFonts w:asciiTheme="minorHAnsi" w:hAnsiTheme="minorHAnsi" w:cstheme="minorHAnsi"/>
        </w:rPr>
        <w:t> </w:t>
      </w:r>
    </w:p>
    <w:p w14:paraId="1DBD2E45"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9 – Action against persons not domiciled in the UK or an EU/Lugano Convention State</w:t>
      </w:r>
      <w:r w:rsidRPr="00C03A3B">
        <w:rPr>
          <w:rFonts w:asciiTheme="minorHAnsi" w:hAnsiTheme="minorHAnsi" w:cstheme="minorHAnsi"/>
        </w:rPr>
        <w:t> </w:t>
      </w:r>
    </w:p>
    <w:p w14:paraId="7DA4E0FC"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The court will not have jurisdiction to hear a defamation claim if the prospective defendant lives outside of the United Kingdom, the European Union, or the Lugano Convention states (Norway, Switzerland, and Denmark), unless the court is satisfied that England and Wales </w:t>
      </w:r>
      <w:proofErr w:type="gramStart"/>
      <w:r w:rsidRPr="00C03A3B">
        <w:rPr>
          <w:rFonts w:asciiTheme="minorHAnsi" w:hAnsiTheme="minorHAnsi" w:cstheme="minorHAnsi"/>
          <w:lang w:val="en-US"/>
        </w:rPr>
        <w:t>is</w:t>
      </w:r>
      <w:proofErr w:type="gramEnd"/>
      <w:r w:rsidRPr="00C03A3B">
        <w:rPr>
          <w:rFonts w:asciiTheme="minorHAnsi" w:hAnsiTheme="minorHAnsi" w:cstheme="minorHAnsi"/>
          <w:lang w:val="en-US"/>
        </w:rPr>
        <w:t xml:space="preserve"> clearly the most appropriate place to bring the action. Parliament enacted this provision to address (somewhat exaggerated) concerns about ‘libel tourism’: foreign litigants using the courts of England and Wales to recover damages for libel from foreign publishers where the libel was more widely published in other jurisdictions.  Section 9 in fact goes beyond that because it applies equally to British citizens and UK residents (complaining about publication from abroad) as it does those outside the UK. The first case in which this provision came to be considered was Ahuja v </w:t>
      </w:r>
      <w:proofErr w:type="spellStart"/>
      <w:r w:rsidRPr="00C03A3B">
        <w:rPr>
          <w:rFonts w:asciiTheme="minorHAnsi" w:hAnsiTheme="minorHAnsi" w:cstheme="minorHAnsi"/>
          <w:lang w:val="en-US"/>
        </w:rPr>
        <w:t>Politika</w:t>
      </w:r>
      <w:proofErr w:type="spellEnd"/>
      <w:r w:rsidRPr="00C03A3B">
        <w:rPr>
          <w:rFonts w:asciiTheme="minorHAnsi" w:hAnsiTheme="minorHAnsi" w:cstheme="minorHAnsi"/>
          <w:lang w:val="en-US"/>
        </w:rPr>
        <w:t xml:space="preserve"> Novine I </w:t>
      </w:r>
      <w:proofErr w:type="spellStart"/>
      <w:r w:rsidRPr="00C03A3B">
        <w:rPr>
          <w:rFonts w:asciiTheme="minorHAnsi" w:hAnsiTheme="minorHAnsi" w:cstheme="minorHAnsi"/>
          <w:lang w:val="en-US"/>
        </w:rPr>
        <w:t>Magazini</w:t>
      </w:r>
      <w:proofErr w:type="spellEnd"/>
      <w:r w:rsidRPr="00C03A3B">
        <w:rPr>
          <w:rFonts w:asciiTheme="minorHAnsi" w:hAnsiTheme="minorHAnsi" w:cstheme="minorHAnsi"/>
          <w:lang w:val="en-US"/>
        </w:rPr>
        <w:t xml:space="preserve"> D.O.O &amp; </w:t>
      </w:r>
      <w:proofErr w:type="spellStart"/>
      <w:r w:rsidRPr="00C03A3B">
        <w:rPr>
          <w:rFonts w:asciiTheme="minorHAnsi" w:hAnsiTheme="minorHAnsi" w:cstheme="minorHAnsi"/>
          <w:lang w:val="en-US"/>
        </w:rPr>
        <w:t>Ors</w:t>
      </w:r>
      <w:proofErr w:type="spellEnd"/>
      <w:r w:rsidRPr="00C03A3B">
        <w:rPr>
          <w:rFonts w:asciiTheme="minorHAnsi" w:hAnsiTheme="minorHAnsi" w:cstheme="minorHAnsi"/>
          <w:lang w:val="en-US"/>
        </w:rPr>
        <w:t> [2015]. it should be noted that following the UK’s expected departure from the European Union, section 9 will be amended to apply in respect of all defendants who are not domiciled in the UK, which includes all the parties involved in your case. </w:t>
      </w:r>
      <w:r w:rsidRPr="00C03A3B">
        <w:rPr>
          <w:rFonts w:asciiTheme="minorHAnsi" w:hAnsiTheme="minorHAnsi" w:cstheme="minorHAnsi"/>
        </w:rPr>
        <w:t> </w:t>
      </w:r>
    </w:p>
    <w:p w14:paraId="39580E2C"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10 – Secondary publishers</w:t>
      </w:r>
      <w:r w:rsidRPr="00C03A3B">
        <w:rPr>
          <w:rFonts w:asciiTheme="minorHAnsi" w:hAnsiTheme="minorHAnsi" w:cstheme="minorHAnsi"/>
        </w:rPr>
        <w:t> </w:t>
      </w:r>
    </w:p>
    <w:p w14:paraId="022473BF"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The court does not have jurisdiction to hear a defamation claim against someone who was not the "author, editor, or publisher" of the statement complained of unless it is satisfied that bringing an action against the author, editor, or publisher is not reasonably practicable. </w:t>
      </w:r>
      <w:proofErr w:type="gramStart"/>
      <w:r w:rsidRPr="00C03A3B">
        <w:rPr>
          <w:rFonts w:asciiTheme="minorHAnsi" w:hAnsiTheme="minorHAnsi" w:cstheme="minorHAnsi"/>
          <w:lang w:val="en-US"/>
        </w:rPr>
        <w:t>So</w:t>
      </w:r>
      <w:proofErr w:type="gramEnd"/>
      <w:r w:rsidRPr="00C03A3B">
        <w:rPr>
          <w:rFonts w:asciiTheme="minorHAnsi" w:hAnsiTheme="minorHAnsi" w:cstheme="minorHAnsi"/>
          <w:lang w:val="en-US"/>
        </w:rPr>
        <w:t> you would only be able to make a claim against Luan and Luan alone. This provision would normally preclude a claimant from suing Facebook over user postings on its platform (assuming the poster were identifiable). Although the provision has undoubtedly saved Internet intermediaries a great deal of grief, it does not apply to other causes of action, leaving them vulnerable to suit (most notably data protection and privacy claims). The role of intermediaries, of course, is not always black and white. In Brett Wilson LLP is a law firm based in New York City. </w:t>
      </w:r>
      <w:r w:rsidRPr="00C03A3B">
        <w:rPr>
          <w:rFonts w:asciiTheme="minorHAnsi" w:hAnsiTheme="minorHAnsi" w:cstheme="minorHAnsi"/>
        </w:rPr>
        <w:t> </w:t>
      </w:r>
    </w:p>
    <w:p w14:paraId="4B791DFC"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lastRenderedPageBreak/>
        <w:t>Section 11 – Jury trials</w:t>
      </w:r>
      <w:r w:rsidRPr="00C03A3B">
        <w:rPr>
          <w:rFonts w:asciiTheme="minorHAnsi" w:hAnsiTheme="minorHAnsi" w:cstheme="minorHAnsi"/>
        </w:rPr>
        <w:t> </w:t>
      </w:r>
    </w:p>
    <w:p w14:paraId="00801DDA" w14:textId="77777777" w:rsidR="00C03A3B" w:rsidRPr="00C03A3B" w:rsidRDefault="00C03A3B" w:rsidP="00C03A3B">
      <w:pPr>
        <w:pStyle w:val="NormalWeb"/>
        <w:shd w:val="clear" w:color="auto" w:fill="FFFFFF"/>
        <w:spacing w:before="0" w:beforeAutospacing="0" w:after="0" w:afterAutospacing="0"/>
        <w:rPr>
          <w:rFonts w:asciiTheme="minorHAnsi" w:hAnsiTheme="minorHAnsi" w:cstheme="minorHAnsi"/>
        </w:rPr>
      </w:pPr>
      <w:r w:rsidRPr="00C03A3B">
        <w:rPr>
          <w:rFonts w:asciiTheme="minorHAnsi" w:hAnsiTheme="minorHAnsi" w:cstheme="minorHAnsi"/>
          <w:lang w:val="en-US"/>
        </w:rPr>
        <w:t>Section 11 reversed the presumption that defamation cases be tried by jury.  Yeo v Times Newspapers [2014] was the first case after the Act came into force in which a party applied for a jury trial.  </w:t>
      </w:r>
      <w:proofErr w:type="spellStart"/>
      <w:r w:rsidRPr="00C03A3B">
        <w:rPr>
          <w:rFonts w:asciiTheme="minorHAnsi" w:hAnsiTheme="minorHAnsi" w:cstheme="minorHAnsi"/>
          <w:lang w:val="en-US"/>
        </w:rPr>
        <w:t>Warby</w:t>
      </w:r>
      <w:proofErr w:type="spellEnd"/>
      <w:r w:rsidRPr="00C03A3B">
        <w:rPr>
          <w:rFonts w:asciiTheme="minorHAnsi" w:hAnsiTheme="minorHAnsi" w:cstheme="minorHAnsi"/>
          <w:lang w:val="en-US"/>
        </w:rPr>
        <w:t xml:space="preserve"> J dismissed The Times’ application and remarked that the greater the public interest in the issues in the case, the greater the need for trial without a jury as this would provide for a reasoned judgment.  There has been no jury trial since the inception of the Act and, indeed, Yeo aside, we are unaware of the Court having considered any further applications. In your case Trial is to be without a jury unless the court orders otherwise.</w:t>
      </w:r>
      <w:r w:rsidRPr="00C03A3B">
        <w:rPr>
          <w:rFonts w:asciiTheme="minorHAnsi" w:hAnsiTheme="minorHAnsi" w:cstheme="minorHAnsi"/>
        </w:rPr>
        <w:t> </w:t>
      </w:r>
    </w:p>
    <w:p w14:paraId="4E05DB62"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lang w:val="en-US"/>
        </w:rPr>
      </w:pPr>
      <w:r w:rsidRPr="00C03A3B">
        <w:rPr>
          <w:rFonts w:asciiTheme="minorHAnsi" w:hAnsiTheme="minorHAnsi" w:cstheme="minorHAnsi"/>
          <w:lang w:val="en-US"/>
        </w:rPr>
        <w:t> </w:t>
      </w:r>
    </w:p>
    <w:p w14:paraId="51BE185E"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12 – Power to order defendant to publish a summary of judgment</w:t>
      </w:r>
      <w:r w:rsidRPr="00C03A3B">
        <w:rPr>
          <w:rFonts w:asciiTheme="minorHAnsi" w:hAnsiTheme="minorHAnsi" w:cstheme="minorHAnsi"/>
        </w:rPr>
        <w:t> </w:t>
      </w:r>
    </w:p>
    <w:p w14:paraId="04B9A452"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 xml:space="preserve">Section 12 provides that where the court gives judgment for a claimant, it may order the defendant to publish a summary of the judgment and, if necessary, to decide upon wording and give directions as to the time, manner, </w:t>
      </w:r>
      <w:proofErr w:type="gramStart"/>
      <w:r w:rsidRPr="00C03A3B">
        <w:rPr>
          <w:rFonts w:asciiTheme="minorHAnsi" w:hAnsiTheme="minorHAnsi" w:cstheme="minorHAnsi"/>
          <w:lang w:val="en-US"/>
        </w:rPr>
        <w:t>form</w:t>
      </w:r>
      <w:proofErr w:type="gramEnd"/>
      <w:r w:rsidRPr="00C03A3B">
        <w:rPr>
          <w:rFonts w:asciiTheme="minorHAnsi" w:hAnsiTheme="minorHAnsi" w:cstheme="minorHAnsi"/>
          <w:lang w:val="en-US"/>
        </w:rPr>
        <w:t xml:space="preserve"> or place of publication. So far, I'm only aware of one order made under this section, which was made against the unsuccessful defendants in Rahman by Sir David </w:t>
      </w:r>
      <w:proofErr w:type="spellStart"/>
      <w:r w:rsidRPr="00C03A3B">
        <w:rPr>
          <w:rFonts w:asciiTheme="minorHAnsi" w:hAnsiTheme="minorHAnsi" w:cstheme="minorHAnsi"/>
          <w:lang w:val="en-US"/>
        </w:rPr>
        <w:t>Eady</w:t>
      </w:r>
      <w:proofErr w:type="spellEnd"/>
      <w:r w:rsidRPr="00C03A3B">
        <w:rPr>
          <w:rFonts w:asciiTheme="minorHAnsi" w:hAnsiTheme="minorHAnsi" w:cstheme="minorHAnsi"/>
          <w:lang w:val="en-US"/>
        </w:rPr>
        <w:t>. He explained that, while a large award of damages is usually sufficient to restore the claimant's reputation, this only works if the original libel's readers or viewers are made aware of it. He determined that the viewers of the Defendant's news programmed needed to be explicitly informed in that case.</w:t>
      </w:r>
      <w:r w:rsidRPr="00C03A3B">
        <w:rPr>
          <w:rFonts w:asciiTheme="minorHAnsi" w:hAnsiTheme="minorHAnsi" w:cstheme="minorHAnsi"/>
        </w:rPr>
        <w:t> </w:t>
      </w:r>
    </w:p>
    <w:p w14:paraId="60E18CEB"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13 – Power to place orders against third parties</w:t>
      </w:r>
      <w:r w:rsidRPr="00C03A3B">
        <w:rPr>
          <w:rFonts w:asciiTheme="minorHAnsi" w:hAnsiTheme="minorHAnsi" w:cstheme="minorHAnsi"/>
        </w:rPr>
        <w:t> </w:t>
      </w:r>
    </w:p>
    <w:p w14:paraId="47E7F6E0"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Section 13 provides that where the court gives judgment for a claimant it may order the operator of a website to remove the statement, or any person who was not the author, editor, or publisher of the statement to stop distributing, </w:t>
      </w:r>
      <w:proofErr w:type="gramStart"/>
      <w:r w:rsidRPr="00C03A3B">
        <w:rPr>
          <w:rFonts w:asciiTheme="minorHAnsi" w:hAnsiTheme="minorHAnsi" w:cstheme="minorHAnsi"/>
          <w:lang w:val="en-US"/>
        </w:rPr>
        <w:t>selling</w:t>
      </w:r>
      <w:proofErr w:type="gramEnd"/>
      <w:r w:rsidRPr="00C03A3B">
        <w:rPr>
          <w:rFonts w:asciiTheme="minorHAnsi" w:hAnsiTheme="minorHAnsi" w:cstheme="minorHAnsi"/>
          <w:lang w:val="en-US"/>
        </w:rPr>
        <w:t> or exhibiting it.  We are not aware of the court making such an order in a reported case.  This is perhaps not surprising.  Section 13 is effectively a sibling provision of section </w:t>
      </w:r>
      <w:proofErr w:type="gramStart"/>
      <w:r w:rsidRPr="00C03A3B">
        <w:rPr>
          <w:rFonts w:asciiTheme="minorHAnsi" w:hAnsiTheme="minorHAnsi" w:cstheme="minorHAnsi"/>
          <w:lang w:val="en-US"/>
        </w:rPr>
        <w:t>10</w:t>
      </w:r>
      <w:proofErr w:type="gramEnd"/>
      <w:r w:rsidRPr="00C03A3B">
        <w:rPr>
          <w:rFonts w:asciiTheme="minorHAnsi" w:hAnsiTheme="minorHAnsi" w:cstheme="minorHAnsi"/>
          <w:lang w:val="en-US"/>
        </w:rPr>
        <w:t> and such an order might be useful or necessary where a defendant does not engage with proceedings or comply with an injunction requiring them to remove material.  In practice, Google and many of the leading social media platforms have voluntary procedures by which they will tend to remove material which is subject of a court order (even if the order does not touch upon them directly).</w:t>
      </w:r>
      <w:r w:rsidRPr="00C03A3B">
        <w:rPr>
          <w:rFonts w:asciiTheme="minorHAnsi" w:hAnsiTheme="minorHAnsi" w:cstheme="minorHAnsi"/>
        </w:rPr>
        <w:t> </w:t>
      </w:r>
    </w:p>
    <w:p w14:paraId="28F6D19C"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14 – Special damages</w:t>
      </w:r>
      <w:r w:rsidRPr="00C03A3B">
        <w:rPr>
          <w:rFonts w:asciiTheme="minorHAnsi" w:hAnsiTheme="minorHAnsi" w:cstheme="minorHAnsi"/>
        </w:rPr>
        <w:t> </w:t>
      </w:r>
    </w:p>
    <w:p w14:paraId="1FD4062C"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Section 14 repealed section 14(1) of the Slander of Women Act 1891 </w:t>
      </w:r>
      <w:proofErr w:type="gramStart"/>
      <w:r w:rsidRPr="00C03A3B">
        <w:rPr>
          <w:rFonts w:asciiTheme="minorHAnsi" w:hAnsiTheme="minorHAnsi" w:cstheme="minorHAnsi"/>
          <w:lang w:val="en-US"/>
        </w:rPr>
        <w:t>and also</w:t>
      </w:r>
      <w:proofErr w:type="gramEnd"/>
      <w:r w:rsidRPr="00C03A3B">
        <w:rPr>
          <w:rFonts w:asciiTheme="minorHAnsi" w:hAnsiTheme="minorHAnsi" w:cstheme="minorHAnsi"/>
          <w:lang w:val="en-US"/>
        </w:rPr>
        <w:t> provides that a statement implying that a person has a contagious or infectious disease does not give rise to a cause of action in slander unless the publication causes that person special damage.</w:t>
      </w:r>
      <w:r w:rsidRPr="00C03A3B">
        <w:rPr>
          <w:rFonts w:asciiTheme="minorHAnsi" w:hAnsiTheme="minorHAnsi" w:cstheme="minorHAnsi"/>
        </w:rPr>
        <w:t> </w:t>
      </w:r>
    </w:p>
    <w:p w14:paraId="23FD77D0"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15 Meaning of “publish” and “statement”</w:t>
      </w:r>
      <w:r w:rsidRPr="00C03A3B">
        <w:rPr>
          <w:rFonts w:asciiTheme="minorHAnsi" w:hAnsiTheme="minorHAnsi" w:cstheme="minorHAnsi"/>
        </w:rPr>
        <w:t> </w:t>
      </w:r>
    </w:p>
    <w:p w14:paraId="4DEA3862"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In this Act “publish” and “publication”, in relation to a statement, have the meaning they have for the purposes of the law of defamation generally; “statement” means words, pictures, visual images, gestures or any other method of signifying meaning.</w:t>
      </w:r>
      <w:r w:rsidRPr="00C03A3B">
        <w:rPr>
          <w:rFonts w:asciiTheme="minorHAnsi" w:hAnsiTheme="minorHAnsi" w:cstheme="minorHAnsi"/>
        </w:rPr>
        <w:t> </w:t>
      </w:r>
    </w:p>
    <w:p w14:paraId="2D81EEEE"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16 – Consequential amendments and savings </w:t>
      </w:r>
      <w:r w:rsidRPr="00C03A3B">
        <w:rPr>
          <w:rFonts w:asciiTheme="minorHAnsi" w:hAnsiTheme="minorHAnsi" w:cstheme="minorHAnsi"/>
        </w:rPr>
        <w:t> </w:t>
      </w:r>
    </w:p>
    <w:p w14:paraId="6CB7E671"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lang w:val="en-US"/>
        </w:rPr>
      </w:pPr>
      <w:r w:rsidRPr="00C03A3B">
        <w:rPr>
          <w:rFonts w:asciiTheme="minorHAnsi" w:hAnsiTheme="minorHAnsi" w:cstheme="minorHAnsi"/>
          <w:lang w:val="en-US"/>
        </w:rPr>
        <w:t>Any publication made before the beginning of the section is not to be taken into consideration when deciding whether section 8 applies. (7) Nothing in sections 9 or 11 applies to a defamation action filed prior to the beginning of the section in issue. (8) The operation of subsection (5) of this section is to be ignored in evaluating whether a person would have a defense under section 4 to any action for defamation for the purposes of subsection (7)(a) of section 3. I18S. 16 is partially in effect; s. 16(4)-(8) is in effect at the time of Royal Assent. </w:t>
      </w:r>
    </w:p>
    <w:p w14:paraId="66106FEA"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 xml:space="preserve">Section 17 – Short title, </w:t>
      </w:r>
      <w:proofErr w:type="gramStart"/>
      <w:r w:rsidRPr="00C03A3B">
        <w:rPr>
          <w:rFonts w:asciiTheme="minorHAnsi" w:hAnsiTheme="minorHAnsi" w:cstheme="minorHAnsi"/>
          <w:u w:val="single"/>
          <w:lang w:val="en-US"/>
        </w:rPr>
        <w:t>extent</w:t>
      </w:r>
      <w:proofErr w:type="gramEnd"/>
      <w:r w:rsidRPr="00C03A3B">
        <w:rPr>
          <w:rFonts w:asciiTheme="minorHAnsi" w:hAnsiTheme="minorHAnsi" w:cstheme="minorHAnsi"/>
          <w:u w:val="single"/>
          <w:lang w:val="en-US"/>
        </w:rPr>
        <w:t xml:space="preserve"> and commencement</w:t>
      </w:r>
      <w:r w:rsidRPr="00C03A3B">
        <w:rPr>
          <w:rFonts w:asciiTheme="minorHAnsi" w:hAnsiTheme="minorHAnsi" w:cstheme="minorHAnsi"/>
        </w:rPr>
        <w:t> </w:t>
      </w:r>
    </w:p>
    <w:p w14:paraId="1FA24F62"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lang w:val="en-US"/>
        </w:rPr>
      </w:pPr>
      <w:r w:rsidRPr="00C03A3B">
        <w:rPr>
          <w:rFonts w:asciiTheme="minorHAnsi" w:hAnsiTheme="minorHAnsi" w:cstheme="minorHAnsi"/>
          <w:lang w:val="en-US"/>
        </w:rPr>
        <w:t>The Defamation Act of 2013 may be referred to as the Defamation Act of 2013. (2) This Act only applies to England and Wales, subject to subsection (3). Section nine is similar. </w:t>
      </w:r>
    </w:p>
    <w:p w14:paraId="494FF834" w14:textId="3F2D5CE4"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lastRenderedPageBreak/>
        <w:t>as though you do have the right to claim deformation and have a high chance (almost certainty) of being successful in that claim. </w:t>
      </w:r>
      <w:r w:rsidRPr="00C03A3B">
        <w:rPr>
          <w:rFonts w:asciiTheme="minorHAnsi" w:hAnsiTheme="minorHAnsi" w:cstheme="minorHAnsi"/>
        </w:rPr>
        <w:t> </w:t>
      </w:r>
    </w:p>
    <w:p w14:paraId="1BF1BB02" w14:textId="77777777" w:rsidR="00C03A3B" w:rsidRPr="00C03A3B" w:rsidRDefault="00C03A3B" w:rsidP="00C03A3B">
      <w:pPr>
        <w:pStyle w:val="NormalWeb"/>
        <w:shd w:val="clear" w:color="auto" w:fill="FFFFFF"/>
        <w:spacing w:before="0" w:beforeAutospacing="0" w:after="0" w:afterAutospacing="0"/>
        <w:ind w:left="7200"/>
        <w:jc w:val="both"/>
        <w:rPr>
          <w:rFonts w:asciiTheme="minorHAnsi" w:hAnsiTheme="minorHAnsi" w:cstheme="minorHAnsi"/>
        </w:rPr>
      </w:pPr>
      <w:r w:rsidRPr="00C03A3B">
        <w:rPr>
          <w:rFonts w:asciiTheme="minorHAnsi" w:hAnsiTheme="minorHAnsi" w:cstheme="minorHAnsi"/>
        </w:rPr>
        <w:t> </w:t>
      </w:r>
    </w:p>
    <w:p w14:paraId="23A00695" w14:textId="77777777" w:rsidR="00C03A3B" w:rsidRPr="00C03A3B" w:rsidRDefault="00C03A3B" w:rsidP="00C03A3B">
      <w:pPr>
        <w:pStyle w:val="NormalWeb"/>
        <w:shd w:val="clear" w:color="auto" w:fill="FFFFFF"/>
        <w:spacing w:before="0" w:beforeAutospacing="0" w:after="0" w:afterAutospacing="0"/>
        <w:ind w:left="7200"/>
        <w:jc w:val="both"/>
        <w:rPr>
          <w:rFonts w:asciiTheme="minorHAnsi" w:hAnsiTheme="minorHAnsi" w:cstheme="minorHAnsi"/>
        </w:rPr>
      </w:pPr>
      <w:r w:rsidRPr="00C03A3B">
        <w:rPr>
          <w:rFonts w:asciiTheme="minorHAnsi" w:hAnsiTheme="minorHAnsi" w:cstheme="minorHAnsi"/>
          <w:lang w:val="en-US"/>
        </w:rPr>
        <w:t>Yours sincerely,</w:t>
      </w:r>
      <w:r w:rsidRPr="00C03A3B">
        <w:rPr>
          <w:rFonts w:asciiTheme="minorHAnsi" w:hAnsiTheme="minorHAnsi" w:cstheme="minorHAnsi"/>
        </w:rPr>
        <w:t> </w:t>
      </w:r>
    </w:p>
    <w:p w14:paraId="4D294736" w14:textId="77777777" w:rsidR="00C03A3B" w:rsidRPr="00C03A3B" w:rsidRDefault="00C03A3B" w:rsidP="00C03A3B">
      <w:pPr>
        <w:pStyle w:val="NormalWeb"/>
        <w:shd w:val="clear" w:color="auto" w:fill="FFFFFF"/>
        <w:spacing w:before="0" w:beforeAutospacing="0" w:after="0" w:afterAutospacing="0"/>
        <w:ind w:left="7200"/>
        <w:jc w:val="both"/>
        <w:rPr>
          <w:rFonts w:asciiTheme="minorHAnsi" w:hAnsiTheme="minorHAnsi" w:cstheme="minorHAnsi"/>
        </w:rPr>
      </w:pPr>
      <w:r w:rsidRPr="00C03A3B">
        <w:rPr>
          <w:rFonts w:asciiTheme="minorHAnsi" w:hAnsiTheme="minorHAnsi" w:cstheme="minorHAnsi"/>
          <w:lang w:val="en-US"/>
        </w:rPr>
        <w:t>Hermela Tecleab</w:t>
      </w:r>
      <w:r w:rsidRPr="00C03A3B">
        <w:rPr>
          <w:rFonts w:asciiTheme="minorHAnsi" w:hAnsiTheme="minorHAnsi" w:cstheme="minorHAnsi"/>
        </w:rPr>
        <w:t> </w:t>
      </w:r>
    </w:p>
    <w:p w14:paraId="14A7FA37" w14:textId="77777777" w:rsidR="00C03A3B" w:rsidRDefault="00C03A3B"/>
    <w:p w14:paraId="4DB61F88" w14:textId="77777777" w:rsidR="00C03A3B" w:rsidRDefault="00C03A3B"/>
    <w:p w14:paraId="7E4AAE60" w14:textId="77777777" w:rsidR="00C03A3B" w:rsidRDefault="00C03A3B"/>
    <w:p w14:paraId="409245F8" w14:textId="16CD900F" w:rsidR="00C03A3B" w:rsidRDefault="00C03A3B">
      <w:pPr>
        <w:sectPr w:rsidR="00C03A3B" w:rsidSect="00C03A3B">
          <w:pgSz w:w="11906" w:h="16838"/>
          <w:pgMar w:top="1440" w:right="1440" w:bottom="1440" w:left="1440" w:header="708" w:footer="708" w:gutter="0"/>
          <w:cols w:space="708"/>
          <w:docGrid w:linePitch="360"/>
        </w:sectPr>
      </w:pPr>
      <w:r>
        <w:t xml:space="preserve">JUST CHECKING PLAGARISM </w:t>
      </w:r>
    </w:p>
    <w:p w14:paraId="0FAB6F51" w14:textId="77777777" w:rsidR="00FA6055" w:rsidRDefault="00FA6055"/>
    <w:sectPr w:rsidR="00FA6055" w:rsidSect="00C03A3B">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A3B"/>
    <w:rsid w:val="004D436B"/>
    <w:rsid w:val="007C21E0"/>
    <w:rsid w:val="00C03A3B"/>
    <w:rsid w:val="00FA6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2357F"/>
  <w15:chartTrackingRefBased/>
  <w15:docId w15:val="{B3F2E698-210E-4BF9-B871-CA10D1AD0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03A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03A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277728">
      <w:bodyDiv w:val="1"/>
      <w:marLeft w:val="0"/>
      <w:marRight w:val="0"/>
      <w:marTop w:val="0"/>
      <w:marBottom w:val="0"/>
      <w:divBdr>
        <w:top w:val="none" w:sz="0" w:space="0" w:color="auto"/>
        <w:left w:val="none" w:sz="0" w:space="0" w:color="auto"/>
        <w:bottom w:val="none" w:sz="0" w:space="0" w:color="auto"/>
        <w:right w:val="none" w:sz="0" w:space="0" w:color="auto"/>
      </w:divBdr>
      <w:divsChild>
        <w:div w:id="269514823">
          <w:marLeft w:val="0"/>
          <w:marRight w:val="0"/>
          <w:marTop w:val="0"/>
          <w:marBottom w:val="0"/>
          <w:divBdr>
            <w:top w:val="none" w:sz="0" w:space="0" w:color="auto"/>
            <w:left w:val="none" w:sz="0" w:space="0" w:color="auto"/>
            <w:bottom w:val="none" w:sz="0" w:space="0" w:color="auto"/>
            <w:right w:val="none" w:sz="0" w:space="0" w:color="auto"/>
          </w:divBdr>
        </w:div>
        <w:div w:id="1558542041">
          <w:marLeft w:val="0"/>
          <w:marRight w:val="0"/>
          <w:marTop w:val="0"/>
          <w:marBottom w:val="0"/>
          <w:divBdr>
            <w:top w:val="none" w:sz="0" w:space="0" w:color="auto"/>
            <w:left w:val="none" w:sz="0" w:space="0" w:color="auto"/>
            <w:bottom w:val="none" w:sz="0" w:space="0" w:color="auto"/>
            <w:right w:val="none" w:sz="0" w:space="0" w:color="auto"/>
          </w:divBdr>
        </w:div>
        <w:div w:id="2140300947">
          <w:marLeft w:val="0"/>
          <w:marRight w:val="0"/>
          <w:marTop w:val="0"/>
          <w:marBottom w:val="0"/>
          <w:divBdr>
            <w:top w:val="none" w:sz="0" w:space="0" w:color="auto"/>
            <w:left w:val="none" w:sz="0" w:space="0" w:color="auto"/>
            <w:bottom w:val="none" w:sz="0" w:space="0" w:color="auto"/>
            <w:right w:val="none" w:sz="0" w:space="0" w:color="auto"/>
          </w:divBdr>
        </w:div>
        <w:div w:id="743574132">
          <w:marLeft w:val="0"/>
          <w:marRight w:val="0"/>
          <w:marTop w:val="0"/>
          <w:marBottom w:val="0"/>
          <w:divBdr>
            <w:top w:val="none" w:sz="0" w:space="0" w:color="auto"/>
            <w:left w:val="none" w:sz="0" w:space="0" w:color="auto"/>
            <w:bottom w:val="none" w:sz="0" w:space="0" w:color="auto"/>
            <w:right w:val="none" w:sz="0" w:space="0" w:color="auto"/>
          </w:divBdr>
        </w:div>
        <w:div w:id="100926162">
          <w:marLeft w:val="0"/>
          <w:marRight w:val="0"/>
          <w:marTop w:val="0"/>
          <w:marBottom w:val="0"/>
          <w:divBdr>
            <w:top w:val="none" w:sz="0" w:space="0" w:color="auto"/>
            <w:left w:val="none" w:sz="0" w:space="0" w:color="auto"/>
            <w:bottom w:val="none" w:sz="0" w:space="0" w:color="auto"/>
            <w:right w:val="none" w:sz="0" w:space="0" w:color="auto"/>
          </w:divBdr>
        </w:div>
        <w:div w:id="942767091">
          <w:marLeft w:val="0"/>
          <w:marRight w:val="0"/>
          <w:marTop w:val="0"/>
          <w:marBottom w:val="0"/>
          <w:divBdr>
            <w:top w:val="none" w:sz="0" w:space="0" w:color="auto"/>
            <w:left w:val="none" w:sz="0" w:space="0" w:color="auto"/>
            <w:bottom w:val="none" w:sz="0" w:space="0" w:color="auto"/>
            <w:right w:val="none" w:sz="0" w:space="0" w:color="auto"/>
          </w:divBdr>
        </w:div>
        <w:div w:id="1484397385">
          <w:marLeft w:val="0"/>
          <w:marRight w:val="0"/>
          <w:marTop w:val="0"/>
          <w:marBottom w:val="0"/>
          <w:divBdr>
            <w:top w:val="none" w:sz="0" w:space="0" w:color="auto"/>
            <w:left w:val="none" w:sz="0" w:space="0" w:color="auto"/>
            <w:bottom w:val="none" w:sz="0" w:space="0" w:color="auto"/>
            <w:right w:val="none" w:sz="0" w:space="0" w:color="auto"/>
          </w:divBdr>
        </w:div>
        <w:div w:id="1359695096">
          <w:marLeft w:val="0"/>
          <w:marRight w:val="0"/>
          <w:marTop w:val="0"/>
          <w:marBottom w:val="0"/>
          <w:divBdr>
            <w:top w:val="none" w:sz="0" w:space="0" w:color="auto"/>
            <w:left w:val="none" w:sz="0" w:space="0" w:color="auto"/>
            <w:bottom w:val="none" w:sz="0" w:space="0" w:color="auto"/>
            <w:right w:val="none" w:sz="0" w:space="0" w:color="auto"/>
          </w:divBdr>
        </w:div>
        <w:div w:id="1661494171">
          <w:marLeft w:val="0"/>
          <w:marRight w:val="0"/>
          <w:marTop w:val="0"/>
          <w:marBottom w:val="0"/>
          <w:divBdr>
            <w:top w:val="none" w:sz="0" w:space="0" w:color="auto"/>
            <w:left w:val="none" w:sz="0" w:space="0" w:color="auto"/>
            <w:bottom w:val="none" w:sz="0" w:space="0" w:color="auto"/>
            <w:right w:val="none" w:sz="0" w:space="0" w:color="auto"/>
          </w:divBdr>
        </w:div>
        <w:div w:id="1572697813">
          <w:marLeft w:val="0"/>
          <w:marRight w:val="0"/>
          <w:marTop w:val="0"/>
          <w:marBottom w:val="0"/>
          <w:divBdr>
            <w:top w:val="none" w:sz="0" w:space="0" w:color="auto"/>
            <w:left w:val="none" w:sz="0" w:space="0" w:color="auto"/>
            <w:bottom w:val="none" w:sz="0" w:space="0" w:color="auto"/>
            <w:right w:val="none" w:sz="0" w:space="0" w:color="auto"/>
          </w:divBdr>
        </w:div>
        <w:div w:id="1942180580">
          <w:marLeft w:val="0"/>
          <w:marRight w:val="0"/>
          <w:marTop w:val="0"/>
          <w:marBottom w:val="0"/>
          <w:divBdr>
            <w:top w:val="none" w:sz="0" w:space="0" w:color="auto"/>
            <w:left w:val="none" w:sz="0" w:space="0" w:color="auto"/>
            <w:bottom w:val="none" w:sz="0" w:space="0" w:color="auto"/>
            <w:right w:val="none" w:sz="0" w:space="0" w:color="auto"/>
          </w:divBdr>
        </w:div>
        <w:div w:id="225723328">
          <w:marLeft w:val="0"/>
          <w:marRight w:val="0"/>
          <w:marTop w:val="0"/>
          <w:marBottom w:val="0"/>
          <w:divBdr>
            <w:top w:val="none" w:sz="0" w:space="0" w:color="auto"/>
            <w:left w:val="none" w:sz="0" w:space="0" w:color="auto"/>
            <w:bottom w:val="none" w:sz="0" w:space="0" w:color="auto"/>
            <w:right w:val="none" w:sz="0" w:space="0" w:color="auto"/>
          </w:divBdr>
        </w:div>
        <w:div w:id="837036262">
          <w:marLeft w:val="0"/>
          <w:marRight w:val="0"/>
          <w:marTop w:val="0"/>
          <w:marBottom w:val="0"/>
          <w:divBdr>
            <w:top w:val="none" w:sz="0" w:space="0" w:color="auto"/>
            <w:left w:val="none" w:sz="0" w:space="0" w:color="auto"/>
            <w:bottom w:val="none" w:sz="0" w:space="0" w:color="auto"/>
            <w:right w:val="none" w:sz="0" w:space="0" w:color="auto"/>
          </w:divBdr>
        </w:div>
        <w:div w:id="319624959">
          <w:marLeft w:val="0"/>
          <w:marRight w:val="0"/>
          <w:marTop w:val="0"/>
          <w:marBottom w:val="0"/>
          <w:divBdr>
            <w:top w:val="none" w:sz="0" w:space="0" w:color="auto"/>
            <w:left w:val="none" w:sz="0" w:space="0" w:color="auto"/>
            <w:bottom w:val="none" w:sz="0" w:space="0" w:color="auto"/>
            <w:right w:val="none" w:sz="0" w:space="0" w:color="auto"/>
          </w:divBdr>
        </w:div>
        <w:div w:id="1110468869">
          <w:marLeft w:val="0"/>
          <w:marRight w:val="0"/>
          <w:marTop w:val="0"/>
          <w:marBottom w:val="0"/>
          <w:divBdr>
            <w:top w:val="none" w:sz="0" w:space="0" w:color="auto"/>
            <w:left w:val="none" w:sz="0" w:space="0" w:color="auto"/>
            <w:bottom w:val="none" w:sz="0" w:space="0" w:color="auto"/>
            <w:right w:val="none" w:sz="0" w:space="0" w:color="auto"/>
          </w:divBdr>
        </w:div>
        <w:div w:id="222378844">
          <w:marLeft w:val="0"/>
          <w:marRight w:val="0"/>
          <w:marTop w:val="0"/>
          <w:marBottom w:val="0"/>
          <w:divBdr>
            <w:top w:val="none" w:sz="0" w:space="0" w:color="auto"/>
            <w:left w:val="none" w:sz="0" w:space="0" w:color="auto"/>
            <w:bottom w:val="none" w:sz="0" w:space="0" w:color="auto"/>
            <w:right w:val="none" w:sz="0" w:space="0" w:color="auto"/>
          </w:divBdr>
        </w:div>
        <w:div w:id="1240141026">
          <w:marLeft w:val="0"/>
          <w:marRight w:val="0"/>
          <w:marTop w:val="0"/>
          <w:marBottom w:val="0"/>
          <w:divBdr>
            <w:top w:val="none" w:sz="0" w:space="0" w:color="auto"/>
            <w:left w:val="none" w:sz="0" w:space="0" w:color="auto"/>
            <w:bottom w:val="none" w:sz="0" w:space="0" w:color="auto"/>
            <w:right w:val="none" w:sz="0" w:space="0" w:color="auto"/>
          </w:divBdr>
        </w:div>
        <w:div w:id="1262646802">
          <w:marLeft w:val="0"/>
          <w:marRight w:val="0"/>
          <w:marTop w:val="0"/>
          <w:marBottom w:val="0"/>
          <w:divBdr>
            <w:top w:val="none" w:sz="0" w:space="0" w:color="auto"/>
            <w:left w:val="none" w:sz="0" w:space="0" w:color="auto"/>
            <w:bottom w:val="none" w:sz="0" w:space="0" w:color="auto"/>
            <w:right w:val="none" w:sz="0" w:space="0" w:color="auto"/>
          </w:divBdr>
        </w:div>
        <w:div w:id="1077244148">
          <w:marLeft w:val="0"/>
          <w:marRight w:val="0"/>
          <w:marTop w:val="0"/>
          <w:marBottom w:val="0"/>
          <w:divBdr>
            <w:top w:val="none" w:sz="0" w:space="0" w:color="auto"/>
            <w:left w:val="none" w:sz="0" w:space="0" w:color="auto"/>
            <w:bottom w:val="none" w:sz="0" w:space="0" w:color="auto"/>
            <w:right w:val="none" w:sz="0" w:space="0" w:color="auto"/>
          </w:divBdr>
        </w:div>
        <w:div w:id="1802768532">
          <w:marLeft w:val="0"/>
          <w:marRight w:val="0"/>
          <w:marTop w:val="0"/>
          <w:marBottom w:val="0"/>
          <w:divBdr>
            <w:top w:val="none" w:sz="0" w:space="0" w:color="auto"/>
            <w:left w:val="none" w:sz="0" w:space="0" w:color="auto"/>
            <w:bottom w:val="none" w:sz="0" w:space="0" w:color="auto"/>
            <w:right w:val="none" w:sz="0" w:space="0" w:color="auto"/>
          </w:divBdr>
        </w:div>
        <w:div w:id="2074616154">
          <w:marLeft w:val="0"/>
          <w:marRight w:val="0"/>
          <w:marTop w:val="0"/>
          <w:marBottom w:val="0"/>
          <w:divBdr>
            <w:top w:val="none" w:sz="0" w:space="0" w:color="auto"/>
            <w:left w:val="none" w:sz="0" w:space="0" w:color="auto"/>
            <w:bottom w:val="none" w:sz="0" w:space="0" w:color="auto"/>
            <w:right w:val="none" w:sz="0" w:space="0" w:color="auto"/>
          </w:divBdr>
        </w:div>
        <w:div w:id="2023240750">
          <w:marLeft w:val="0"/>
          <w:marRight w:val="0"/>
          <w:marTop w:val="0"/>
          <w:marBottom w:val="0"/>
          <w:divBdr>
            <w:top w:val="none" w:sz="0" w:space="0" w:color="auto"/>
            <w:left w:val="none" w:sz="0" w:space="0" w:color="auto"/>
            <w:bottom w:val="none" w:sz="0" w:space="0" w:color="auto"/>
            <w:right w:val="none" w:sz="0" w:space="0" w:color="auto"/>
          </w:divBdr>
        </w:div>
        <w:div w:id="1516459034">
          <w:marLeft w:val="0"/>
          <w:marRight w:val="0"/>
          <w:marTop w:val="0"/>
          <w:marBottom w:val="0"/>
          <w:divBdr>
            <w:top w:val="none" w:sz="0" w:space="0" w:color="auto"/>
            <w:left w:val="none" w:sz="0" w:space="0" w:color="auto"/>
            <w:bottom w:val="none" w:sz="0" w:space="0" w:color="auto"/>
            <w:right w:val="none" w:sz="0" w:space="0" w:color="auto"/>
          </w:divBdr>
        </w:div>
        <w:div w:id="2089768872">
          <w:marLeft w:val="0"/>
          <w:marRight w:val="0"/>
          <w:marTop w:val="0"/>
          <w:marBottom w:val="0"/>
          <w:divBdr>
            <w:top w:val="none" w:sz="0" w:space="0" w:color="auto"/>
            <w:left w:val="none" w:sz="0" w:space="0" w:color="auto"/>
            <w:bottom w:val="none" w:sz="0" w:space="0" w:color="auto"/>
            <w:right w:val="none" w:sz="0" w:space="0" w:color="auto"/>
          </w:divBdr>
        </w:div>
        <w:div w:id="2039623208">
          <w:marLeft w:val="0"/>
          <w:marRight w:val="0"/>
          <w:marTop w:val="0"/>
          <w:marBottom w:val="0"/>
          <w:divBdr>
            <w:top w:val="none" w:sz="0" w:space="0" w:color="auto"/>
            <w:left w:val="none" w:sz="0" w:space="0" w:color="auto"/>
            <w:bottom w:val="none" w:sz="0" w:space="0" w:color="auto"/>
            <w:right w:val="none" w:sz="0" w:space="0" w:color="auto"/>
          </w:divBdr>
        </w:div>
        <w:div w:id="1213149193">
          <w:marLeft w:val="0"/>
          <w:marRight w:val="0"/>
          <w:marTop w:val="0"/>
          <w:marBottom w:val="0"/>
          <w:divBdr>
            <w:top w:val="none" w:sz="0" w:space="0" w:color="auto"/>
            <w:left w:val="none" w:sz="0" w:space="0" w:color="auto"/>
            <w:bottom w:val="none" w:sz="0" w:space="0" w:color="auto"/>
            <w:right w:val="none" w:sz="0" w:space="0" w:color="auto"/>
          </w:divBdr>
        </w:div>
        <w:div w:id="1305625559">
          <w:marLeft w:val="0"/>
          <w:marRight w:val="0"/>
          <w:marTop w:val="0"/>
          <w:marBottom w:val="0"/>
          <w:divBdr>
            <w:top w:val="none" w:sz="0" w:space="0" w:color="auto"/>
            <w:left w:val="none" w:sz="0" w:space="0" w:color="auto"/>
            <w:bottom w:val="none" w:sz="0" w:space="0" w:color="auto"/>
            <w:right w:val="none" w:sz="0" w:space="0" w:color="auto"/>
          </w:divBdr>
        </w:div>
        <w:div w:id="449130228">
          <w:marLeft w:val="0"/>
          <w:marRight w:val="0"/>
          <w:marTop w:val="0"/>
          <w:marBottom w:val="0"/>
          <w:divBdr>
            <w:top w:val="none" w:sz="0" w:space="0" w:color="auto"/>
            <w:left w:val="none" w:sz="0" w:space="0" w:color="auto"/>
            <w:bottom w:val="none" w:sz="0" w:space="0" w:color="auto"/>
            <w:right w:val="none" w:sz="0" w:space="0" w:color="auto"/>
          </w:divBdr>
        </w:div>
        <w:div w:id="1338772775">
          <w:marLeft w:val="0"/>
          <w:marRight w:val="0"/>
          <w:marTop w:val="0"/>
          <w:marBottom w:val="0"/>
          <w:divBdr>
            <w:top w:val="none" w:sz="0" w:space="0" w:color="auto"/>
            <w:left w:val="none" w:sz="0" w:space="0" w:color="auto"/>
            <w:bottom w:val="none" w:sz="0" w:space="0" w:color="auto"/>
            <w:right w:val="none" w:sz="0" w:space="0" w:color="auto"/>
          </w:divBdr>
        </w:div>
        <w:div w:id="499320836">
          <w:marLeft w:val="0"/>
          <w:marRight w:val="0"/>
          <w:marTop w:val="0"/>
          <w:marBottom w:val="0"/>
          <w:divBdr>
            <w:top w:val="none" w:sz="0" w:space="0" w:color="auto"/>
            <w:left w:val="none" w:sz="0" w:space="0" w:color="auto"/>
            <w:bottom w:val="none" w:sz="0" w:space="0" w:color="auto"/>
            <w:right w:val="none" w:sz="0" w:space="0" w:color="auto"/>
          </w:divBdr>
        </w:div>
        <w:div w:id="208735077">
          <w:marLeft w:val="0"/>
          <w:marRight w:val="0"/>
          <w:marTop w:val="0"/>
          <w:marBottom w:val="0"/>
          <w:divBdr>
            <w:top w:val="none" w:sz="0" w:space="0" w:color="auto"/>
            <w:left w:val="none" w:sz="0" w:space="0" w:color="auto"/>
            <w:bottom w:val="none" w:sz="0" w:space="0" w:color="auto"/>
            <w:right w:val="none" w:sz="0" w:space="0" w:color="auto"/>
          </w:divBdr>
        </w:div>
        <w:div w:id="1004745452">
          <w:marLeft w:val="0"/>
          <w:marRight w:val="0"/>
          <w:marTop w:val="0"/>
          <w:marBottom w:val="0"/>
          <w:divBdr>
            <w:top w:val="none" w:sz="0" w:space="0" w:color="auto"/>
            <w:left w:val="none" w:sz="0" w:space="0" w:color="auto"/>
            <w:bottom w:val="none" w:sz="0" w:space="0" w:color="auto"/>
            <w:right w:val="none" w:sz="0" w:space="0" w:color="auto"/>
          </w:divBdr>
        </w:div>
        <w:div w:id="241181311">
          <w:marLeft w:val="0"/>
          <w:marRight w:val="0"/>
          <w:marTop w:val="0"/>
          <w:marBottom w:val="0"/>
          <w:divBdr>
            <w:top w:val="none" w:sz="0" w:space="0" w:color="auto"/>
            <w:left w:val="none" w:sz="0" w:space="0" w:color="auto"/>
            <w:bottom w:val="none" w:sz="0" w:space="0" w:color="auto"/>
            <w:right w:val="none" w:sz="0" w:space="0" w:color="auto"/>
          </w:divBdr>
        </w:div>
        <w:div w:id="1799642581">
          <w:marLeft w:val="0"/>
          <w:marRight w:val="0"/>
          <w:marTop w:val="0"/>
          <w:marBottom w:val="0"/>
          <w:divBdr>
            <w:top w:val="none" w:sz="0" w:space="0" w:color="auto"/>
            <w:left w:val="none" w:sz="0" w:space="0" w:color="auto"/>
            <w:bottom w:val="none" w:sz="0" w:space="0" w:color="auto"/>
            <w:right w:val="none" w:sz="0" w:space="0" w:color="auto"/>
          </w:divBdr>
        </w:div>
        <w:div w:id="1449273282">
          <w:marLeft w:val="0"/>
          <w:marRight w:val="0"/>
          <w:marTop w:val="0"/>
          <w:marBottom w:val="0"/>
          <w:divBdr>
            <w:top w:val="none" w:sz="0" w:space="0" w:color="auto"/>
            <w:left w:val="none" w:sz="0" w:space="0" w:color="auto"/>
            <w:bottom w:val="none" w:sz="0" w:space="0" w:color="auto"/>
            <w:right w:val="none" w:sz="0" w:space="0" w:color="auto"/>
          </w:divBdr>
        </w:div>
        <w:div w:id="1125999007">
          <w:marLeft w:val="0"/>
          <w:marRight w:val="0"/>
          <w:marTop w:val="0"/>
          <w:marBottom w:val="0"/>
          <w:divBdr>
            <w:top w:val="none" w:sz="0" w:space="0" w:color="auto"/>
            <w:left w:val="none" w:sz="0" w:space="0" w:color="auto"/>
            <w:bottom w:val="none" w:sz="0" w:space="0" w:color="auto"/>
            <w:right w:val="none" w:sz="0" w:space="0" w:color="auto"/>
          </w:divBdr>
        </w:div>
        <w:div w:id="1206600932">
          <w:marLeft w:val="0"/>
          <w:marRight w:val="0"/>
          <w:marTop w:val="0"/>
          <w:marBottom w:val="0"/>
          <w:divBdr>
            <w:top w:val="none" w:sz="0" w:space="0" w:color="auto"/>
            <w:left w:val="none" w:sz="0" w:space="0" w:color="auto"/>
            <w:bottom w:val="none" w:sz="0" w:space="0" w:color="auto"/>
            <w:right w:val="none" w:sz="0" w:space="0" w:color="auto"/>
          </w:divBdr>
        </w:div>
        <w:div w:id="90930937">
          <w:marLeft w:val="0"/>
          <w:marRight w:val="0"/>
          <w:marTop w:val="0"/>
          <w:marBottom w:val="0"/>
          <w:divBdr>
            <w:top w:val="none" w:sz="0" w:space="0" w:color="auto"/>
            <w:left w:val="none" w:sz="0" w:space="0" w:color="auto"/>
            <w:bottom w:val="none" w:sz="0" w:space="0" w:color="auto"/>
            <w:right w:val="none" w:sz="0" w:space="0" w:color="auto"/>
          </w:divBdr>
        </w:div>
        <w:div w:id="1036783038">
          <w:marLeft w:val="0"/>
          <w:marRight w:val="0"/>
          <w:marTop w:val="0"/>
          <w:marBottom w:val="0"/>
          <w:divBdr>
            <w:top w:val="none" w:sz="0" w:space="0" w:color="auto"/>
            <w:left w:val="none" w:sz="0" w:space="0" w:color="auto"/>
            <w:bottom w:val="none" w:sz="0" w:space="0" w:color="auto"/>
            <w:right w:val="none" w:sz="0" w:space="0" w:color="auto"/>
          </w:divBdr>
        </w:div>
        <w:div w:id="1055739363">
          <w:marLeft w:val="0"/>
          <w:marRight w:val="0"/>
          <w:marTop w:val="0"/>
          <w:marBottom w:val="0"/>
          <w:divBdr>
            <w:top w:val="none" w:sz="0" w:space="0" w:color="auto"/>
            <w:left w:val="none" w:sz="0" w:space="0" w:color="auto"/>
            <w:bottom w:val="none" w:sz="0" w:space="0" w:color="auto"/>
            <w:right w:val="none" w:sz="0" w:space="0" w:color="auto"/>
          </w:divBdr>
        </w:div>
        <w:div w:id="385572254">
          <w:marLeft w:val="0"/>
          <w:marRight w:val="0"/>
          <w:marTop w:val="0"/>
          <w:marBottom w:val="0"/>
          <w:divBdr>
            <w:top w:val="none" w:sz="0" w:space="0" w:color="auto"/>
            <w:left w:val="none" w:sz="0" w:space="0" w:color="auto"/>
            <w:bottom w:val="none" w:sz="0" w:space="0" w:color="auto"/>
            <w:right w:val="none" w:sz="0" w:space="0" w:color="auto"/>
          </w:divBdr>
        </w:div>
        <w:div w:id="635182899">
          <w:marLeft w:val="0"/>
          <w:marRight w:val="0"/>
          <w:marTop w:val="0"/>
          <w:marBottom w:val="0"/>
          <w:divBdr>
            <w:top w:val="none" w:sz="0" w:space="0" w:color="auto"/>
            <w:left w:val="none" w:sz="0" w:space="0" w:color="auto"/>
            <w:bottom w:val="none" w:sz="0" w:space="0" w:color="auto"/>
            <w:right w:val="none" w:sz="0" w:space="0" w:color="auto"/>
          </w:divBdr>
        </w:div>
        <w:div w:id="163859651">
          <w:marLeft w:val="0"/>
          <w:marRight w:val="0"/>
          <w:marTop w:val="0"/>
          <w:marBottom w:val="0"/>
          <w:divBdr>
            <w:top w:val="none" w:sz="0" w:space="0" w:color="auto"/>
            <w:left w:val="none" w:sz="0" w:space="0" w:color="auto"/>
            <w:bottom w:val="none" w:sz="0" w:space="0" w:color="auto"/>
            <w:right w:val="none" w:sz="0" w:space="0" w:color="auto"/>
          </w:divBdr>
        </w:div>
        <w:div w:id="1908564558">
          <w:marLeft w:val="0"/>
          <w:marRight w:val="0"/>
          <w:marTop w:val="0"/>
          <w:marBottom w:val="0"/>
          <w:divBdr>
            <w:top w:val="none" w:sz="0" w:space="0" w:color="auto"/>
            <w:left w:val="none" w:sz="0" w:space="0" w:color="auto"/>
            <w:bottom w:val="none" w:sz="0" w:space="0" w:color="auto"/>
            <w:right w:val="none" w:sz="0" w:space="0" w:color="auto"/>
          </w:divBdr>
        </w:div>
        <w:div w:id="1972788354">
          <w:marLeft w:val="0"/>
          <w:marRight w:val="0"/>
          <w:marTop w:val="0"/>
          <w:marBottom w:val="0"/>
          <w:divBdr>
            <w:top w:val="none" w:sz="0" w:space="0" w:color="auto"/>
            <w:left w:val="none" w:sz="0" w:space="0" w:color="auto"/>
            <w:bottom w:val="none" w:sz="0" w:space="0" w:color="auto"/>
            <w:right w:val="none" w:sz="0" w:space="0" w:color="auto"/>
          </w:divBdr>
        </w:div>
        <w:div w:id="46296531">
          <w:marLeft w:val="0"/>
          <w:marRight w:val="0"/>
          <w:marTop w:val="0"/>
          <w:marBottom w:val="0"/>
          <w:divBdr>
            <w:top w:val="none" w:sz="0" w:space="0" w:color="auto"/>
            <w:left w:val="none" w:sz="0" w:space="0" w:color="auto"/>
            <w:bottom w:val="none" w:sz="0" w:space="0" w:color="auto"/>
            <w:right w:val="none" w:sz="0" w:space="0" w:color="auto"/>
          </w:divBdr>
        </w:div>
        <w:div w:id="14081854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1701</Words>
  <Characters>9702</Characters>
  <Application>Microsoft Office Word</Application>
  <DocSecurity>0</DocSecurity>
  <Lines>80</Lines>
  <Paragraphs>22</Paragraphs>
  <ScaleCrop>false</ScaleCrop>
  <Company/>
  <LinksUpToDate>false</LinksUpToDate>
  <CharactersWithSpaces>11381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hermela tecleab</dc:creator>
  <cp:keywords/>
  <dc:description/>
  <cp:lastModifiedBy>hermela tecleab</cp:lastModifiedBy>
  <cp:revision>1</cp:revision>
  <dcterms:created xsi:type="dcterms:W3CDTF">2022-04-29T11:50:00Z</dcterms:created>
  <dcterms:modified xsi:type="dcterms:W3CDTF">2022-04-29T11:53:00Z</dcterms:modified>
</cp:coreProperties>
</file>