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23113C" w14:textId="77777777" w:rsidR="009939FC" w:rsidRPr="00B93F19" w:rsidRDefault="00000000" w:rsidP="009939FC">
      <w:pPr>
        <w:jc w:val="center"/>
        <w:rPr>
          <w:rStyle w:val="Strong"/>
          <w:sz w:val="32"/>
          <w:szCs w:val="32"/>
        </w:rPr>
      </w:pPr>
      <w:r w:rsidRPr="00B93F19">
        <w:rPr>
          <w:rStyle w:val="Strong"/>
          <w:sz w:val="32"/>
          <w:szCs w:val="32"/>
        </w:rPr>
        <w:t>University of Wales Trinity Saint David</w:t>
      </w:r>
    </w:p>
    <w:p w14:paraId="5758F9CF" w14:textId="77777777" w:rsidR="009939FC" w:rsidRPr="00B93F19" w:rsidRDefault="00000000" w:rsidP="009939FC">
      <w:pPr>
        <w:jc w:val="center"/>
        <w:rPr>
          <w:rStyle w:val="Strong"/>
          <w:sz w:val="32"/>
          <w:szCs w:val="32"/>
        </w:rPr>
      </w:pPr>
      <w:r>
        <w:rPr>
          <w:rStyle w:val="Strong"/>
          <w:sz w:val="32"/>
          <w:szCs w:val="32"/>
        </w:rPr>
        <w:t>Nursing Studies and Professional Healthcare</w:t>
      </w:r>
    </w:p>
    <w:p w14:paraId="0B74559E" w14:textId="77777777" w:rsidR="009939FC" w:rsidRPr="00B93F19" w:rsidRDefault="009939FC" w:rsidP="009939FC">
      <w:pPr>
        <w:jc w:val="center"/>
        <w:rPr>
          <w:rStyle w:val="Strong"/>
          <w:sz w:val="32"/>
          <w:szCs w:val="32"/>
        </w:rPr>
      </w:pPr>
    </w:p>
    <w:p w14:paraId="09053298" w14:textId="77777777" w:rsidR="009939FC" w:rsidRDefault="00000000" w:rsidP="009939FC">
      <w:pPr>
        <w:jc w:val="center"/>
        <w:rPr>
          <w:rStyle w:val="Strong"/>
          <w:sz w:val="32"/>
          <w:szCs w:val="32"/>
        </w:rPr>
      </w:pPr>
      <w:r>
        <w:rPr>
          <w:noProof/>
        </w:rPr>
        <w:drawing>
          <wp:inline distT="0" distB="0" distL="0" distR="0" wp14:anchorId="70392E81" wp14:editId="5CB9EF57">
            <wp:extent cx="2855595" cy="1125220"/>
            <wp:effectExtent l="0" t="0" r="1905" b="0"/>
            <wp:docPr id="5" name="Picture 5" descr="TSD_corp_logo2013_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TSD_corp_logo2013_0"/>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855595" cy="1125220"/>
                    </a:xfrm>
                    <a:prstGeom prst="rect">
                      <a:avLst/>
                    </a:prstGeom>
                    <a:noFill/>
                    <a:ln>
                      <a:noFill/>
                    </a:ln>
                  </pic:spPr>
                </pic:pic>
              </a:graphicData>
            </a:graphic>
          </wp:inline>
        </w:drawing>
      </w:r>
    </w:p>
    <w:p w14:paraId="27729A6E" w14:textId="77777777" w:rsidR="009939FC" w:rsidRDefault="009939FC" w:rsidP="009939FC">
      <w:pPr>
        <w:jc w:val="center"/>
        <w:rPr>
          <w:rStyle w:val="Strong"/>
          <w:sz w:val="32"/>
          <w:szCs w:val="32"/>
        </w:rPr>
      </w:pPr>
    </w:p>
    <w:p w14:paraId="729B440D" w14:textId="77777777" w:rsidR="009939FC" w:rsidRPr="00B93F19" w:rsidRDefault="00000000" w:rsidP="009939FC">
      <w:pPr>
        <w:jc w:val="center"/>
        <w:rPr>
          <w:rStyle w:val="Strong"/>
          <w:sz w:val="32"/>
          <w:szCs w:val="32"/>
        </w:rPr>
      </w:pPr>
      <w:r>
        <w:rPr>
          <w:rStyle w:val="Strong"/>
          <w:sz w:val="32"/>
          <w:szCs w:val="32"/>
        </w:rPr>
        <w:t>Fundamentals of Care</w:t>
      </w:r>
    </w:p>
    <w:p w14:paraId="498E9B9C" w14:textId="77777777" w:rsidR="009939FC" w:rsidRPr="00B93F19" w:rsidRDefault="00000000" w:rsidP="009939FC">
      <w:pPr>
        <w:jc w:val="center"/>
        <w:rPr>
          <w:rStyle w:val="Strong"/>
          <w:sz w:val="32"/>
          <w:szCs w:val="32"/>
        </w:rPr>
      </w:pPr>
      <w:r>
        <w:rPr>
          <w:rStyle w:val="Strong"/>
          <w:sz w:val="32"/>
          <w:szCs w:val="32"/>
        </w:rPr>
        <w:t>BMNS4004</w:t>
      </w:r>
    </w:p>
    <w:p w14:paraId="7EF4974B" w14:textId="77777777" w:rsidR="009939FC" w:rsidRPr="00B93F19" w:rsidRDefault="009939FC" w:rsidP="009939FC">
      <w:pPr>
        <w:jc w:val="center"/>
        <w:rPr>
          <w:rStyle w:val="Strong"/>
          <w:sz w:val="32"/>
          <w:szCs w:val="32"/>
        </w:rPr>
      </w:pPr>
    </w:p>
    <w:p w14:paraId="085D2078" w14:textId="77777777" w:rsidR="009939FC" w:rsidRDefault="009939FC" w:rsidP="009939FC">
      <w:pPr>
        <w:jc w:val="center"/>
        <w:rPr>
          <w:rStyle w:val="Strong"/>
          <w:sz w:val="32"/>
          <w:szCs w:val="32"/>
        </w:rPr>
      </w:pPr>
    </w:p>
    <w:p w14:paraId="77B357C2" w14:textId="77777777" w:rsidR="009939FC" w:rsidRPr="00B93F19" w:rsidRDefault="00000000" w:rsidP="009939FC">
      <w:pPr>
        <w:jc w:val="center"/>
        <w:rPr>
          <w:rStyle w:val="Strong"/>
          <w:sz w:val="32"/>
          <w:szCs w:val="32"/>
        </w:rPr>
      </w:pPr>
      <w:r w:rsidRPr="00B93F19">
        <w:rPr>
          <w:rStyle w:val="Strong"/>
          <w:sz w:val="32"/>
          <w:szCs w:val="32"/>
        </w:rPr>
        <w:t>C</w:t>
      </w:r>
      <w:r>
        <w:rPr>
          <w:rStyle w:val="Strong"/>
          <w:sz w:val="32"/>
          <w:szCs w:val="32"/>
        </w:rPr>
        <w:t xml:space="preserve">arly </w:t>
      </w:r>
      <w:r w:rsidRPr="00B93F19">
        <w:rPr>
          <w:rStyle w:val="Strong"/>
          <w:sz w:val="32"/>
          <w:szCs w:val="32"/>
        </w:rPr>
        <w:t>Davies</w:t>
      </w:r>
    </w:p>
    <w:p w14:paraId="363AA836" w14:textId="77777777" w:rsidR="009939FC" w:rsidRPr="00B93F19" w:rsidRDefault="00000000" w:rsidP="009939FC">
      <w:pPr>
        <w:jc w:val="center"/>
        <w:rPr>
          <w:rStyle w:val="Strong"/>
          <w:sz w:val="32"/>
          <w:szCs w:val="32"/>
        </w:rPr>
      </w:pPr>
      <w:r>
        <w:rPr>
          <w:rStyle w:val="Strong"/>
          <w:sz w:val="32"/>
          <w:szCs w:val="32"/>
        </w:rPr>
        <w:t>2319545</w:t>
      </w:r>
    </w:p>
    <w:p w14:paraId="0353E77A" w14:textId="77777777" w:rsidR="009939FC" w:rsidRPr="00B93F19" w:rsidRDefault="00000000" w:rsidP="009939FC">
      <w:pPr>
        <w:jc w:val="center"/>
        <w:rPr>
          <w:rStyle w:val="Strong"/>
          <w:sz w:val="32"/>
          <w:szCs w:val="32"/>
        </w:rPr>
      </w:pPr>
      <w:r>
        <w:rPr>
          <w:rStyle w:val="Strong"/>
          <w:sz w:val="32"/>
          <w:szCs w:val="32"/>
        </w:rPr>
        <w:t>08/03/24</w:t>
      </w:r>
    </w:p>
    <w:p w14:paraId="44E3EE37" w14:textId="77777777" w:rsidR="009939FC" w:rsidRDefault="009939FC"/>
    <w:p w14:paraId="773684FA" w14:textId="77777777" w:rsidR="009939FC" w:rsidRDefault="00000000">
      <w:pPr>
        <w:spacing w:line="259" w:lineRule="auto"/>
      </w:pPr>
      <w:r>
        <w:br w:type="page"/>
      </w:r>
    </w:p>
    <w:p w14:paraId="0198693A" w14:textId="77777777" w:rsidR="00621E48" w:rsidRPr="00D67B1A" w:rsidRDefault="00000000" w:rsidP="00D67B1A">
      <w:pPr>
        <w:rPr>
          <w:b/>
          <w:bCs/>
          <w:sz w:val="32"/>
          <w:szCs w:val="32"/>
          <w:u w:val="single"/>
        </w:rPr>
      </w:pPr>
      <w:r w:rsidRPr="00D67B1A">
        <w:rPr>
          <w:b/>
          <w:bCs/>
          <w:sz w:val="32"/>
          <w:szCs w:val="32"/>
          <w:u w:val="single"/>
        </w:rPr>
        <w:lastRenderedPageBreak/>
        <w:t xml:space="preserve">Introduction </w:t>
      </w:r>
    </w:p>
    <w:p w14:paraId="4F099A08" w14:textId="596FC910" w:rsidR="009939FC" w:rsidRPr="00D67B1A" w:rsidRDefault="00000000" w:rsidP="00D67B1A">
      <w:pPr>
        <w:rPr>
          <w:rFonts w:cs="Arial"/>
          <w:sz w:val="24"/>
          <w:szCs w:val="24"/>
        </w:rPr>
      </w:pPr>
      <w:r w:rsidRPr="00D67B1A">
        <w:rPr>
          <w:rFonts w:cs="Arial"/>
          <w:sz w:val="24"/>
          <w:szCs w:val="24"/>
        </w:rPr>
        <w:t xml:space="preserve">This write-up delves into communication challenges faced by Theatre Practitioner Nurses in healthcare operating theatres. This will specifically examine the critical role communication plays in ensuring proper patient care and the potential issues that can arise when communication is not adequately optimised. This will also explore the communication aspects essential for effective healthcare delivery, including verbal and non-verbal communication, active listening, and feedback. This write-up aims to raise awareness among healthcare professionals and encourage them to prioritise effective communication in their daily practice by providing a comprehensive analysis of the importance of communication in healthcare. Effective communication has multiple factors and is a mutual agreement between nurses and patients. This mutual agreement impacts the nursing process, clinical reasoning, and decision-making. As a result, it promotes high-quality nursing care, positive patient outcomes, and patient and nurse satisfaction regarding the care </w:t>
      </w:r>
      <w:r w:rsidRPr="00D2417D">
        <w:rPr>
          <w:rFonts w:cs="Arial"/>
          <w:sz w:val="24"/>
          <w:szCs w:val="24"/>
        </w:rPr>
        <w:t>given</w:t>
      </w:r>
      <w:r w:rsidRPr="005875DF">
        <w:rPr>
          <w:rFonts w:cs="Arial"/>
          <w:sz w:val="24"/>
          <w:szCs w:val="24"/>
        </w:rPr>
        <w:t xml:space="preserve">. </w:t>
      </w:r>
      <w:sdt>
        <w:sdtPr>
          <w:rPr>
            <w:rFonts w:cs="Arial"/>
            <w:sz w:val="24"/>
            <w:szCs w:val="24"/>
            <w:shd w:val="clear" w:color="auto" w:fill="F3F4F6"/>
          </w:rPr>
          <w:id w:val="537243338"/>
          <w:citation/>
        </w:sdtPr>
        <w:sdtContent>
          <w:r w:rsidR="002A39C6" w:rsidRPr="005875DF">
            <w:rPr>
              <w:rFonts w:cs="Arial"/>
              <w:sz w:val="24"/>
              <w:szCs w:val="24"/>
              <w:shd w:val="clear" w:color="auto" w:fill="F3F4F6"/>
            </w:rPr>
            <w:fldChar w:fldCharType="begin"/>
          </w:r>
          <w:r w:rsidR="002A39C6" w:rsidRPr="005875DF">
            <w:rPr>
              <w:rFonts w:cs="Arial"/>
              <w:sz w:val="24"/>
              <w:szCs w:val="24"/>
              <w:shd w:val="clear" w:color="auto" w:fill="F3F4F6"/>
            </w:rPr>
            <w:instrText xml:space="preserve"> CITATION Bri20 \l 2057 </w:instrText>
          </w:r>
          <w:r w:rsidR="002A39C6" w:rsidRPr="005875DF">
            <w:rPr>
              <w:rFonts w:cs="Arial"/>
              <w:sz w:val="24"/>
              <w:szCs w:val="24"/>
              <w:shd w:val="clear" w:color="auto" w:fill="F3F4F6"/>
            </w:rPr>
            <w:fldChar w:fldCharType="separate"/>
          </w:r>
          <w:r w:rsidR="00D2417D" w:rsidRPr="005875DF">
            <w:rPr>
              <w:rFonts w:cs="Arial"/>
              <w:noProof/>
              <w:sz w:val="24"/>
              <w:szCs w:val="24"/>
              <w:shd w:val="clear" w:color="auto" w:fill="F3F4F6"/>
            </w:rPr>
            <w:t>(British Journal of Community Nursing , 2020</w:t>
          </w:r>
          <w:r w:rsidR="00D2417D" w:rsidRPr="005875DF">
            <w:rPr>
              <w:rFonts w:cs="Arial"/>
              <w:noProof/>
              <w:sz w:val="24"/>
              <w:szCs w:val="24"/>
            </w:rPr>
            <w:t>)</w:t>
          </w:r>
          <w:r w:rsidR="002A39C6" w:rsidRPr="005875DF">
            <w:rPr>
              <w:rFonts w:cs="Arial"/>
              <w:sz w:val="24"/>
              <w:szCs w:val="24"/>
              <w:shd w:val="clear" w:color="auto" w:fill="F3F4F6"/>
            </w:rPr>
            <w:fldChar w:fldCharType="end"/>
          </w:r>
        </w:sdtContent>
      </w:sdt>
    </w:p>
    <w:p w14:paraId="3E66F515" w14:textId="77777777" w:rsidR="00994413" w:rsidRPr="00030BD1" w:rsidRDefault="00994413" w:rsidP="00D67B1A">
      <w:pPr>
        <w:rPr>
          <w:rFonts w:cs="Arial"/>
          <w:sz w:val="28"/>
          <w:szCs w:val="28"/>
        </w:rPr>
      </w:pPr>
    </w:p>
    <w:p w14:paraId="0ED4F335" w14:textId="77777777" w:rsidR="00D67B1A" w:rsidRPr="00D67B1A" w:rsidRDefault="00000000" w:rsidP="00D67B1A">
      <w:pPr>
        <w:rPr>
          <w:b/>
          <w:bCs/>
          <w:sz w:val="32"/>
          <w:szCs w:val="32"/>
          <w:u w:val="single"/>
        </w:rPr>
      </w:pPr>
      <w:r w:rsidRPr="00D67B1A">
        <w:rPr>
          <w:b/>
          <w:bCs/>
          <w:sz w:val="32"/>
          <w:szCs w:val="32"/>
          <w:u w:val="single"/>
        </w:rPr>
        <w:t xml:space="preserve">Main Body </w:t>
      </w:r>
    </w:p>
    <w:p w14:paraId="1A830429" w14:textId="77777777" w:rsidR="00CF5407" w:rsidRPr="00D67B1A" w:rsidRDefault="00000000" w:rsidP="00D67B1A">
      <w:pPr>
        <w:jc w:val="both"/>
        <w:rPr>
          <w:rFonts w:cs="Arial"/>
          <w:sz w:val="24"/>
          <w:szCs w:val="24"/>
        </w:rPr>
      </w:pPr>
      <w:r w:rsidRPr="00D67B1A">
        <w:rPr>
          <w:rFonts w:cs="Arial"/>
          <w:sz w:val="24"/>
          <w:szCs w:val="24"/>
        </w:rPr>
        <w:t xml:space="preserve">According to the Nursing and Midwifery Council, </w:t>
      </w:r>
      <w:r w:rsidR="00D67B1A" w:rsidRPr="00D67B1A">
        <w:rPr>
          <w:rFonts w:cs="Arial"/>
          <w:sz w:val="24"/>
          <w:szCs w:val="24"/>
        </w:rPr>
        <w:t>all</w:t>
      </w:r>
      <w:r w:rsidRPr="00D67B1A">
        <w:rPr>
          <w:rFonts w:cs="Arial"/>
          <w:sz w:val="24"/>
          <w:szCs w:val="24"/>
        </w:rPr>
        <w:t xml:space="preserve"> nurses must possess excellent communication and interpersonal skills. This means that their communications must always be respectful, effective, compassionate, and safe, and they must use various strategies and interventions, including communication technologies, to communicate effectively. When working with people who have disabilities, nurses must be capable of collaborating with service users and others to obtain the necessary information to make reasonable adjustments that promote optimal health and equal access to services. They must use a range of communication skills and technologies to support person-centred care, promote quality and safety, and ensure that people receive all the information they need in a language and manner that permits them to make informed choices and share decision-making. They should also recognise when language interpretation or other communication support is needed and know how to obtain it. Nurses must use verbal, non-verbal, and written communication methods to acquire, interpret, and record their knowledge and understanding of people's needs.</w:t>
      </w:r>
    </w:p>
    <w:p w14:paraId="2F434C72" w14:textId="7B000A98" w:rsidR="00CF5407" w:rsidRPr="00D67B1A" w:rsidRDefault="005875DF" w:rsidP="00D67B1A">
      <w:pPr>
        <w:jc w:val="both"/>
        <w:rPr>
          <w:rFonts w:cs="Arial"/>
          <w:sz w:val="24"/>
          <w:szCs w:val="24"/>
        </w:rPr>
      </w:pPr>
      <w:r>
        <w:rPr>
          <w:rFonts w:cs="Arial"/>
          <w:sz w:val="24"/>
          <w:szCs w:val="24"/>
        </w:rPr>
        <w:lastRenderedPageBreak/>
        <w:t>Additionally</w:t>
      </w:r>
      <w:r w:rsidR="00000000" w:rsidRPr="00D67B1A">
        <w:rPr>
          <w:rFonts w:cs="Arial"/>
          <w:sz w:val="24"/>
          <w:szCs w:val="24"/>
        </w:rPr>
        <w:t xml:space="preserve">, </w:t>
      </w:r>
      <w:r>
        <w:rPr>
          <w:rFonts w:cs="Arial"/>
          <w:sz w:val="24"/>
          <w:szCs w:val="24"/>
        </w:rPr>
        <w:t>n</w:t>
      </w:r>
      <w:r w:rsidRPr="005875DF">
        <w:rPr>
          <w:rFonts w:cs="Arial"/>
          <w:sz w:val="24"/>
          <w:szCs w:val="24"/>
        </w:rPr>
        <w:t>urses should be aware of their own values and beliefs, and how they may affect their communication with others. They should consider how illnesses, disabilities, and other factors can impact communication, and respond appropriately when someone has difficulty communicating. They should be able to recognize when someone is anxious or distressed, and use therapeutic principles to promote well-being, manage personal safety, and resolve conflicts. Nurses should use effective communication strategies and negotiation techniques to achieve the best outcomes, while respecting the dignity and human rights of everyone involved. They should know when to seek help from a third party and how to make referrals for advocacy, mediation, or arbitration. They should use therapeutic principles to establish, maintain, and, when necessary, terminate professional, caring relationships and always respect professional boundaries.</w:t>
      </w:r>
    </w:p>
    <w:p w14:paraId="43D88A0E" w14:textId="2701C20C" w:rsidR="00B03887" w:rsidRPr="00D67B1A" w:rsidRDefault="005875DF" w:rsidP="00D67B1A">
      <w:pPr>
        <w:jc w:val="both"/>
        <w:rPr>
          <w:rFonts w:cs="Arial"/>
          <w:sz w:val="24"/>
          <w:szCs w:val="24"/>
        </w:rPr>
      </w:pPr>
      <w:r>
        <w:rPr>
          <w:rFonts w:cs="Arial"/>
          <w:sz w:val="24"/>
          <w:szCs w:val="24"/>
        </w:rPr>
        <w:t>Furthermore</w:t>
      </w:r>
      <w:r w:rsidR="00000000" w:rsidRPr="00D67B1A">
        <w:rPr>
          <w:rFonts w:cs="Arial"/>
          <w:sz w:val="24"/>
          <w:szCs w:val="24"/>
        </w:rPr>
        <w:t xml:space="preserve">, </w:t>
      </w:r>
      <w:r>
        <w:rPr>
          <w:rFonts w:cs="Arial"/>
          <w:sz w:val="24"/>
          <w:szCs w:val="24"/>
        </w:rPr>
        <w:t>n</w:t>
      </w:r>
      <w:r w:rsidRPr="005875DF">
        <w:rPr>
          <w:rFonts w:cs="Arial"/>
          <w:sz w:val="24"/>
          <w:szCs w:val="24"/>
        </w:rPr>
        <w:t xml:space="preserve">urses must promote healthy </w:t>
      </w:r>
      <w:r w:rsidRPr="005875DF">
        <w:rPr>
          <w:rFonts w:cs="Arial"/>
          <w:sz w:val="24"/>
          <w:szCs w:val="24"/>
        </w:rPr>
        <w:t>behaviour</w:t>
      </w:r>
      <w:r w:rsidRPr="005875DF">
        <w:rPr>
          <w:rFonts w:cs="Arial"/>
          <w:sz w:val="24"/>
          <w:szCs w:val="24"/>
        </w:rPr>
        <w:t>, maintain accurate records, respect patients' confidentiality, and share personal information when necessary for safety.</w:t>
      </w:r>
      <w:sdt>
        <w:sdtPr>
          <w:rPr>
            <w:rFonts w:cs="Arial"/>
            <w:sz w:val="24"/>
            <w:szCs w:val="24"/>
          </w:rPr>
          <w:id w:val="1772659957"/>
          <w:citation/>
        </w:sdtPr>
        <w:sdtContent>
          <w:r w:rsidR="00000000" w:rsidRPr="00D67B1A">
            <w:rPr>
              <w:rFonts w:cs="Arial"/>
              <w:sz w:val="24"/>
              <w:szCs w:val="24"/>
            </w:rPr>
            <w:fldChar w:fldCharType="begin"/>
          </w:r>
          <w:r w:rsidR="00000000" w:rsidRPr="00D67B1A">
            <w:rPr>
              <w:rFonts w:cs="Arial"/>
              <w:sz w:val="24"/>
              <w:szCs w:val="24"/>
            </w:rPr>
            <w:instrText xml:space="preserve">CITATION Nur101 \l 2057 </w:instrText>
          </w:r>
          <w:r w:rsidR="00000000" w:rsidRPr="00D67B1A">
            <w:rPr>
              <w:rFonts w:cs="Arial"/>
              <w:sz w:val="24"/>
              <w:szCs w:val="24"/>
            </w:rPr>
            <w:fldChar w:fldCharType="separate"/>
          </w:r>
          <w:r w:rsidR="00D2417D">
            <w:rPr>
              <w:rFonts w:cs="Arial"/>
              <w:noProof/>
              <w:sz w:val="24"/>
              <w:szCs w:val="24"/>
            </w:rPr>
            <w:t xml:space="preserve"> </w:t>
          </w:r>
          <w:r w:rsidR="00D2417D" w:rsidRPr="00D2417D">
            <w:rPr>
              <w:rFonts w:cs="Arial"/>
              <w:noProof/>
              <w:sz w:val="24"/>
              <w:szCs w:val="24"/>
            </w:rPr>
            <w:t>(Nursing and Midwifery Council , 2010)</w:t>
          </w:r>
          <w:r w:rsidR="00000000" w:rsidRPr="00D67B1A">
            <w:rPr>
              <w:rFonts w:cs="Arial"/>
              <w:sz w:val="24"/>
              <w:szCs w:val="24"/>
            </w:rPr>
            <w:fldChar w:fldCharType="end"/>
          </w:r>
        </w:sdtContent>
      </w:sdt>
    </w:p>
    <w:p w14:paraId="6535105A" w14:textId="32E9EBBE" w:rsidR="00D67B1A" w:rsidRPr="00D67B1A" w:rsidRDefault="00000000" w:rsidP="00D67B1A">
      <w:pPr>
        <w:rPr>
          <w:rFonts w:cs="Arial"/>
          <w:sz w:val="24"/>
          <w:szCs w:val="24"/>
        </w:rPr>
      </w:pPr>
      <w:r w:rsidRPr="00D67B1A">
        <w:rPr>
          <w:rFonts w:cs="Arial"/>
          <w:sz w:val="24"/>
          <w:szCs w:val="24"/>
        </w:rPr>
        <w:t xml:space="preserve">Effective communication is essential for a successful perioperative experience. This is especially important for patients feeling anxious or uncertain about their surgical procedures. Clear communication can help patients understand what to expect and alleviate any concerns. It is equally essential for healthcare professionals to maintain open lines of communication with their colleagues in the operating theatre, as well as with the wider multidisciplinary team and other departments. When everyone is on the same page, technical excellence can be achieved, and patient-centred care can be delivered comprehensively. This requires a high level of coordination and collaboration from all involved parties. Managers, surgeons, anaesthetists, preoperative assessment personnel, wards, and bed managers must work together to communicate clearly and effectively. </w:t>
      </w:r>
      <w:proofErr w:type="gramStart"/>
      <w:r w:rsidRPr="00D67B1A">
        <w:rPr>
          <w:rFonts w:cs="Arial"/>
          <w:sz w:val="24"/>
          <w:szCs w:val="24"/>
        </w:rPr>
        <w:t>In order for</w:t>
      </w:r>
      <w:proofErr w:type="gramEnd"/>
      <w:r w:rsidRPr="00D67B1A">
        <w:rPr>
          <w:rFonts w:cs="Arial"/>
          <w:sz w:val="24"/>
          <w:szCs w:val="24"/>
        </w:rPr>
        <w:t xml:space="preserve"> the operating theatre to function seamlessly, communication and coordination are crucial. This includes everything from ensuring that equipment is properly sterilised and ready for use to coordinating patient flow and bed management. Healthcare professionals can deliver the best possible patient outcomes by communicating clearly and working together. </w:t>
      </w:r>
      <w:sdt>
        <w:sdtPr>
          <w:rPr>
            <w:rFonts w:cs="Arial"/>
            <w:sz w:val="24"/>
            <w:szCs w:val="24"/>
          </w:rPr>
          <w:id w:val="1676839445"/>
          <w:citation/>
        </w:sdtPr>
        <w:sdtContent>
          <w:r w:rsidR="00B03887" w:rsidRPr="00D67B1A">
            <w:rPr>
              <w:rFonts w:cs="Arial"/>
              <w:sz w:val="24"/>
              <w:szCs w:val="24"/>
            </w:rPr>
            <w:fldChar w:fldCharType="begin"/>
          </w:r>
          <w:r w:rsidR="00B03887" w:rsidRPr="00D67B1A">
            <w:rPr>
              <w:rFonts w:cs="Arial"/>
              <w:sz w:val="24"/>
              <w:szCs w:val="24"/>
            </w:rPr>
            <w:instrText xml:space="preserve"> CITATION Sau04 \l 2057 </w:instrText>
          </w:r>
          <w:r w:rsidR="00B03887" w:rsidRPr="00D67B1A">
            <w:rPr>
              <w:rFonts w:cs="Arial"/>
              <w:sz w:val="24"/>
              <w:szCs w:val="24"/>
            </w:rPr>
            <w:fldChar w:fldCharType="separate"/>
          </w:r>
          <w:r w:rsidR="00D2417D" w:rsidRPr="00D2417D">
            <w:rPr>
              <w:rFonts w:cs="Arial"/>
              <w:noProof/>
              <w:sz w:val="24"/>
              <w:szCs w:val="24"/>
            </w:rPr>
            <w:t>(Saunders, 2004)</w:t>
          </w:r>
          <w:r w:rsidR="00B03887" w:rsidRPr="00D67B1A">
            <w:rPr>
              <w:rFonts w:cs="Arial"/>
              <w:sz w:val="24"/>
              <w:szCs w:val="24"/>
            </w:rPr>
            <w:fldChar w:fldCharType="end"/>
          </w:r>
        </w:sdtContent>
      </w:sdt>
      <w:r w:rsidR="00B03887" w:rsidRPr="00D67B1A">
        <w:rPr>
          <w:rFonts w:cs="Arial"/>
          <w:sz w:val="24"/>
          <w:szCs w:val="24"/>
        </w:rPr>
        <w:t xml:space="preserve">. </w:t>
      </w:r>
    </w:p>
    <w:p w14:paraId="3FC141A9" w14:textId="18CC66BC" w:rsidR="00D67B1A" w:rsidRPr="00D67B1A" w:rsidRDefault="00000000" w:rsidP="00D67B1A">
      <w:pPr>
        <w:rPr>
          <w:rFonts w:cs="Arial"/>
          <w:sz w:val="24"/>
          <w:szCs w:val="24"/>
        </w:rPr>
      </w:pPr>
      <w:r w:rsidRPr="00D67B1A">
        <w:rPr>
          <w:rFonts w:cs="Arial"/>
          <w:sz w:val="24"/>
          <w:szCs w:val="24"/>
        </w:rPr>
        <w:lastRenderedPageBreak/>
        <w:t>Effective communication and collaboration are of utmost importance in the operating theatre. Every surgical team member has a specific role and is responsible for carrying out specific duties to ensure the safe and efficient conduct of the procedure. It is vital for everyone involved, from the anaesthetist to the scrub nurse, to have a clear understanding of their responsibilities and to work in harmony with each other to achieve the best possible outcome for the patient. This level of coordination and cooperation fosters a positive and supportive environment that enables everyone to perform at their best, resulting in improved patient outcomes and reduced risks. Effective communication is an indispensable aspect of any professional environment, but it holds even greater significance in healthcare. Failure to communicate vital information accurately and promptly in the medical field can lead to severe, life-threatening consequences. Such miscommunication can result in harm to patients and complications within the department. For instance, if a patient with a latex allergy is not correctly identified and the team is not informed, it can lead to the patient being exposed to latex during the operation, which can cause severe allergic reactions and complications. The situation can be further aggravated if the medical staff fails to recognise the symptoms or promptly provide the necessary treatment. Therefore, it is crucial to ensure that all relevant information regarding the patient's medical history, allergies, medications, and other relevant details are communicated clearly and promptly to ensure communication is correct. Effective communication helps build trust among patients and medical staff and ensures the smooth and safe functioning of the healthcare system. Latex is composed of numerous proteins, natural rubber materials, and enzymes, which play a role in the production of rubber molecules. The protein fractions present in latex are the cause of anaphylaxis, an allergic reaction that can result in death. Allergic reactions involve the immune system, where an antigen interacts with antibodies and causes a significant release of histamine either locally or throughout the body. In the case of latex reactions, the antigen is the latex protein.</w:t>
      </w:r>
      <w:sdt>
        <w:sdtPr>
          <w:rPr>
            <w:rFonts w:cs="Arial"/>
            <w:sz w:val="24"/>
            <w:szCs w:val="24"/>
            <w:shd w:val="clear" w:color="auto" w:fill="FFFFFF"/>
          </w:rPr>
          <w:id w:val="-542982864"/>
          <w:citation/>
        </w:sdtPr>
        <w:sdtContent>
          <w:r w:rsidR="00292451" w:rsidRPr="00D67B1A">
            <w:rPr>
              <w:rFonts w:cs="Arial"/>
              <w:sz w:val="24"/>
              <w:szCs w:val="24"/>
              <w:shd w:val="clear" w:color="auto" w:fill="FFFFFF"/>
            </w:rPr>
            <w:fldChar w:fldCharType="begin"/>
          </w:r>
          <w:r w:rsidR="00292451" w:rsidRPr="00D67B1A">
            <w:rPr>
              <w:rFonts w:cs="Arial"/>
              <w:sz w:val="24"/>
              <w:szCs w:val="24"/>
              <w:shd w:val="clear" w:color="auto" w:fill="FFFFFF"/>
            </w:rPr>
            <w:instrText xml:space="preserve"> CITATION Bla00 \l 2057 </w:instrText>
          </w:r>
          <w:r w:rsidR="00292451" w:rsidRPr="00D67B1A">
            <w:rPr>
              <w:rFonts w:cs="Arial"/>
              <w:sz w:val="24"/>
              <w:szCs w:val="24"/>
              <w:shd w:val="clear" w:color="auto" w:fill="FFFFFF"/>
            </w:rPr>
            <w:fldChar w:fldCharType="separate"/>
          </w:r>
          <w:r w:rsidR="00D2417D">
            <w:rPr>
              <w:rFonts w:cs="Arial"/>
              <w:noProof/>
              <w:sz w:val="24"/>
              <w:szCs w:val="24"/>
              <w:shd w:val="clear" w:color="auto" w:fill="FFFFFF"/>
            </w:rPr>
            <w:t xml:space="preserve"> </w:t>
          </w:r>
          <w:r w:rsidR="00D2417D" w:rsidRPr="00D2417D">
            <w:rPr>
              <w:rFonts w:cs="Arial"/>
              <w:noProof/>
              <w:sz w:val="24"/>
              <w:szCs w:val="24"/>
              <w:shd w:val="clear" w:color="auto" w:fill="FFFFFF"/>
            </w:rPr>
            <w:t>(Davies, 2000)</w:t>
          </w:r>
          <w:r w:rsidR="00292451" w:rsidRPr="00D67B1A">
            <w:rPr>
              <w:rFonts w:cs="Arial"/>
              <w:sz w:val="24"/>
              <w:szCs w:val="24"/>
              <w:shd w:val="clear" w:color="auto" w:fill="FFFFFF"/>
            </w:rPr>
            <w:fldChar w:fldCharType="end"/>
          </w:r>
        </w:sdtContent>
      </w:sdt>
      <w:r w:rsidR="00B03887" w:rsidRPr="00D67B1A">
        <w:rPr>
          <w:rFonts w:cs="Arial"/>
          <w:sz w:val="24"/>
          <w:szCs w:val="24"/>
        </w:rPr>
        <w:t xml:space="preserve"> </w:t>
      </w:r>
    </w:p>
    <w:p w14:paraId="7400B89F" w14:textId="1E840906" w:rsidR="00462434" w:rsidRPr="00D67B1A" w:rsidRDefault="00000000" w:rsidP="00D67B1A">
      <w:pPr>
        <w:rPr>
          <w:rFonts w:cs="Arial"/>
          <w:sz w:val="24"/>
          <w:szCs w:val="24"/>
        </w:rPr>
      </w:pPr>
      <w:r w:rsidRPr="00D67B1A">
        <w:rPr>
          <w:rFonts w:cs="Arial"/>
          <w:sz w:val="24"/>
          <w:szCs w:val="24"/>
        </w:rPr>
        <w:t xml:space="preserve">When a patient is admitted to the hospital, the admitting team will carefully record any allergies that the patient may have, including allergies to latex. This information will be documented in the patient's medical notes and communicated to the nursing staff on the ward. The nursing staff will then take the necessary steps to ensure that the patient receives care that is free of latex. In the surgical area, the patient's allergy </w:t>
      </w:r>
      <w:r w:rsidRPr="00D67B1A">
        <w:rPr>
          <w:rFonts w:cs="Arial"/>
          <w:sz w:val="24"/>
          <w:szCs w:val="24"/>
        </w:rPr>
        <w:lastRenderedPageBreak/>
        <w:t>to latex will be considered when prioriti</w:t>
      </w:r>
      <w:r w:rsidR="00D67B1A" w:rsidRPr="00D67B1A">
        <w:rPr>
          <w:rFonts w:cs="Arial"/>
          <w:sz w:val="24"/>
          <w:szCs w:val="24"/>
        </w:rPr>
        <w:t>s</w:t>
      </w:r>
      <w:r w:rsidRPr="00D67B1A">
        <w:rPr>
          <w:rFonts w:cs="Arial"/>
          <w:sz w:val="24"/>
          <w:szCs w:val="24"/>
        </w:rPr>
        <w:t>ing the surgical list to ensure that no latex procedures are performed before the patient's scheduled surgery. This is done to prevent the patient from being exposed to any allergens that could cause harm or discomfort during the procedure. It is important to note that effective communication between all healthcare team members is crucial in ensuring that the patient receives the best possible care and treatment. By working together and sharing vital information, healthcare professionals can ensure that all patients are treated safely and with the utmost care.</w:t>
      </w:r>
      <w:r w:rsidR="003F7D4F" w:rsidRPr="00D67B1A">
        <w:rPr>
          <w:rFonts w:cs="Arial"/>
          <w:sz w:val="24"/>
          <w:szCs w:val="24"/>
        </w:rPr>
        <w:t xml:space="preserve"> Doctor's Community Hospital has a policy in place for patients who are at risk for latex sensitivity. According to this policy, surgeries for latex-sensitive patients should be scheduled as the first procedure of the day. By doing so, the OR can be prepared according to the latex protocol, which helps to minimi</w:t>
      </w:r>
      <w:r w:rsidR="00D67B1A" w:rsidRPr="00D67B1A">
        <w:rPr>
          <w:rFonts w:cs="Arial"/>
          <w:sz w:val="24"/>
          <w:szCs w:val="24"/>
        </w:rPr>
        <w:t>s</w:t>
      </w:r>
      <w:r w:rsidR="003F7D4F" w:rsidRPr="00D67B1A">
        <w:rPr>
          <w:rFonts w:cs="Arial"/>
          <w:sz w:val="24"/>
          <w:szCs w:val="24"/>
        </w:rPr>
        <w:t>e the amount of latex in the environment. Doctor's Community Hospital has a policy in place for patients who are at risk for latex sensitivity. According to this policy, surgeries for latex-sensitive patients should be scheduled as the first procedure of the day. By doing so, the OR can be prepared according to the latex protocol, which helps to minimise the amount of latex in the environment</w:t>
      </w:r>
      <w:r w:rsidRPr="00D67B1A">
        <w:rPr>
          <w:rFonts w:cs="Arial"/>
          <w:sz w:val="24"/>
          <w:szCs w:val="24"/>
          <w:shd w:val="clear" w:color="auto" w:fill="FFFFFF"/>
        </w:rPr>
        <w:t>.</w:t>
      </w:r>
      <w:sdt>
        <w:sdtPr>
          <w:rPr>
            <w:rFonts w:cs="Arial"/>
            <w:sz w:val="24"/>
            <w:szCs w:val="24"/>
            <w:shd w:val="clear" w:color="auto" w:fill="FFFFFF"/>
          </w:rPr>
          <w:id w:val="-1792895559"/>
          <w:citation/>
        </w:sdtPr>
        <w:sdtContent>
          <w:r w:rsidR="00902AA9" w:rsidRPr="00D67B1A">
            <w:rPr>
              <w:rFonts w:cs="Arial"/>
              <w:sz w:val="24"/>
              <w:szCs w:val="24"/>
              <w:shd w:val="clear" w:color="auto" w:fill="FFFFFF"/>
            </w:rPr>
            <w:fldChar w:fldCharType="begin"/>
          </w:r>
          <w:r w:rsidR="00902AA9" w:rsidRPr="00D67B1A">
            <w:rPr>
              <w:rFonts w:cs="Arial"/>
              <w:sz w:val="24"/>
              <w:szCs w:val="24"/>
              <w:shd w:val="clear" w:color="auto" w:fill="FFFFFF"/>
            </w:rPr>
            <w:instrText xml:space="preserve"> CITATION Bla00 \l 2057 </w:instrText>
          </w:r>
          <w:r w:rsidR="00902AA9" w:rsidRPr="00D67B1A">
            <w:rPr>
              <w:rFonts w:cs="Arial"/>
              <w:sz w:val="24"/>
              <w:szCs w:val="24"/>
              <w:shd w:val="clear" w:color="auto" w:fill="FFFFFF"/>
            </w:rPr>
            <w:fldChar w:fldCharType="separate"/>
          </w:r>
          <w:r w:rsidR="00D2417D">
            <w:rPr>
              <w:rFonts w:cs="Arial"/>
              <w:noProof/>
              <w:sz w:val="24"/>
              <w:szCs w:val="24"/>
              <w:shd w:val="clear" w:color="auto" w:fill="FFFFFF"/>
            </w:rPr>
            <w:t xml:space="preserve"> </w:t>
          </w:r>
          <w:r w:rsidR="00D2417D" w:rsidRPr="00D2417D">
            <w:rPr>
              <w:rFonts w:cs="Arial"/>
              <w:noProof/>
              <w:sz w:val="24"/>
              <w:szCs w:val="24"/>
              <w:shd w:val="clear" w:color="auto" w:fill="FFFFFF"/>
            </w:rPr>
            <w:t>(Davies, 2000)</w:t>
          </w:r>
          <w:r w:rsidR="00902AA9" w:rsidRPr="00D67B1A">
            <w:rPr>
              <w:rFonts w:cs="Arial"/>
              <w:sz w:val="24"/>
              <w:szCs w:val="24"/>
              <w:shd w:val="clear" w:color="auto" w:fill="FFFFFF"/>
            </w:rPr>
            <w:fldChar w:fldCharType="end"/>
          </w:r>
        </w:sdtContent>
      </w:sdt>
      <w:r w:rsidRPr="00D67B1A">
        <w:rPr>
          <w:rFonts w:cs="Arial"/>
          <w:sz w:val="24"/>
          <w:szCs w:val="24"/>
        </w:rPr>
        <w:t xml:space="preserve"> </w:t>
      </w:r>
    </w:p>
    <w:p w14:paraId="5AB7AFDC" w14:textId="77777777" w:rsidR="005A3D9F" w:rsidRPr="00D67B1A" w:rsidRDefault="00000000" w:rsidP="00D67B1A">
      <w:pPr>
        <w:rPr>
          <w:rFonts w:cs="Arial"/>
          <w:sz w:val="24"/>
          <w:szCs w:val="24"/>
          <w:shd w:val="clear" w:color="auto" w:fill="FFFFFF"/>
        </w:rPr>
      </w:pPr>
      <w:r w:rsidRPr="00D67B1A">
        <w:rPr>
          <w:rFonts w:cs="Arial"/>
          <w:sz w:val="24"/>
          <w:szCs w:val="24"/>
          <w:shd w:val="clear" w:color="auto" w:fill="FFFFFF"/>
        </w:rPr>
        <w:t>Nurses play a crucial role in providing care to patients and their families. One of the most critical aspects of their job is effective communication. Communication involves much more than just talking—it encompasses a range of verbal and nonverbal cues that nurses must be mindful of to provide quality care. Verbal communication involves using clear and concise language to convey information in a way that is easy to understand. Effective verbal communication also involves showing empathy and respect for the patient, which can help build trust and foster a positive relationship.</w:t>
      </w:r>
    </w:p>
    <w:p w14:paraId="53E26DC0" w14:textId="77777777" w:rsidR="005A3D9F" w:rsidRPr="00D67B1A" w:rsidRDefault="00000000" w:rsidP="00D67B1A">
      <w:pPr>
        <w:rPr>
          <w:rFonts w:cs="Arial"/>
          <w:sz w:val="24"/>
          <w:szCs w:val="24"/>
          <w:shd w:val="clear" w:color="auto" w:fill="FFFFFF"/>
        </w:rPr>
      </w:pPr>
      <w:r w:rsidRPr="00D67B1A">
        <w:rPr>
          <w:rFonts w:cs="Arial"/>
          <w:sz w:val="24"/>
          <w:szCs w:val="24"/>
          <w:shd w:val="clear" w:color="auto" w:fill="FFFFFF"/>
        </w:rPr>
        <w:t>In addition to verbal communication, nurses must be aware of nonverbal cues. Nonverbal communication can include body language, facial expressions, tone of voice, and conversational pace. These cues can be potent, as they convey emotions and attitudes not always expressed through words. For example, a nurse who maintains a calm and reassuring tone of voice can help alleviate a patient's anxiety, even if they do not say anything explicitly. Similarly, a nurse who shows empathy through nonverbal cues can help build rapport with the patient and demonstrate that they care about their well-being.</w:t>
      </w:r>
    </w:p>
    <w:p w14:paraId="30994EFE" w14:textId="3E5EDE4E" w:rsidR="00462434" w:rsidRPr="00D67B1A" w:rsidRDefault="00000000" w:rsidP="00D67B1A">
      <w:pPr>
        <w:rPr>
          <w:rFonts w:cs="Arial"/>
          <w:sz w:val="24"/>
          <w:szCs w:val="24"/>
        </w:rPr>
      </w:pPr>
      <w:r w:rsidRPr="00D67B1A">
        <w:rPr>
          <w:rFonts w:cs="Arial"/>
          <w:sz w:val="24"/>
          <w:szCs w:val="24"/>
          <w:shd w:val="clear" w:color="auto" w:fill="FFFFFF"/>
        </w:rPr>
        <w:lastRenderedPageBreak/>
        <w:t>Overall, effective communication is an essential component of quality care. Nurses who communicate effectively using verbal and nonverbal cues can help patients and their families better understand their health needs, feel more comfortable and at ease during their care, and ultimately improve outcomes.</w:t>
      </w:r>
      <w:r w:rsidR="00BE5509" w:rsidRPr="00D67B1A">
        <w:rPr>
          <w:rFonts w:cs="Arial"/>
          <w:sz w:val="24"/>
          <w:szCs w:val="24"/>
          <w:shd w:val="clear" w:color="auto" w:fill="FFFFFF"/>
        </w:rPr>
        <w:t xml:space="preserve"> </w:t>
      </w:r>
      <w:sdt>
        <w:sdtPr>
          <w:rPr>
            <w:rFonts w:cs="Arial"/>
            <w:sz w:val="24"/>
            <w:szCs w:val="24"/>
            <w:shd w:val="clear" w:color="auto" w:fill="FFFFFF"/>
          </w:rPr>
          <w:id w:val="-1525943376"/>
          <w:citation/>
        </w:sdtPr>
        <w:sdtContent>
          <w:r w:rsidR="00BE5509" w:rsidRPr="00D67B1A">
            <w:rPr>
              <w:rFonts w:cs="Arial"/>
              <w:sz w:val="24"/>
              <w:szCs w:val="24"/>
              <w:shd w:val="clear" w:color="auto" w:fill="FFFFFF"/>
            </w:rPr>
            <w:fldChar w:fldCharType="begin"/>
          </w:r>
          <w:r w:rsidR="00BE5509" w:rsidRPr="00D67B1A">
            <w:rPr>
              <w:rFonts w:cs="Arial"/>
              <w:sz w:val="24"/>
              <w:szCs w:val="24"/>
              <w:shd w:val="clear" w:color="auto" w:fill="FFFFFF"/>
            </w:rPr>
            <w:instrText xml:space="preserve"> CITATION Ern21 \l 2057 </w:instrText>
          </w:r>
          <w:r w:rsidR="00BE5509" w:rsidRPr="00D67B1A">
            <w:rPr>
              <w:rFonts w:cs="Arial"/>
              <w:sz w:val="24"/>
              <w:szCs w:val="24"/>
              <w:shd w:val="clear" w:color="auto" w:fill="FFFFFF"/>
            </w:rPr>
            <w:fldChar w:fldCharType="separate"/>
          </w:r>
          <w:r w:rsidR="00D2417D" w:rsidRPr="00D2417D">
            <w:rPr>
              <w:rFonts w:cs="Arial"/>
              <w:noProof/>
              <w:sz w:val="24"/>
              <w:szCs w:val="24"/>
              <w:shd w:val="clear" w:color="auto" w:fill="FFFFFF"/>
            </w:rPr>
            <w:t>(Ernstmeyer K, 2021)</w:t>
          </w:r>
          <w:r w:rsidR="00BE5509" w:rsidRPr="00D67B1A">
            <w:rPr>
              <w:rFonts w:cs="Arial"/>
              <w:sz w:val="24"/>
              <w:szCs w:val="24"/>
              <w:shd w:val="clear" w:color="auto" w:fill="FFFFFF"/>
            </w:rPr>
            <w:fldChar w:fldCharType="end"/>
          </w:r>
        </w:sdtContent>
      </w:sdt>
      <w:r w:rsidR="00994413" w:rsidRPr="00D67B1A">
        <w:rPr>
          <w:rFonts w:cs="Arial"/>
          <w:sz w:val="24"/>
          <w:szCs w:val="24"/>
          <w:shd w:val="clear" w:color="auto" w:fill="FFFFFF"/>
        </w:rPr>
        <w:t xml:space="preserve"> </w:t>
      </w:r>
    </w:p>
    <w:p w14:paraId="047843DD" w14:textId="77777777" w:rsidR="003F7D4F" w:rsidRPr="00D67B1A" w:rsidRDefault="00000000" w:rsidP="00D67B1A">
      <w:pPr>
        <w:rPr>
          <w:rFonts w:cs="Arial"/>
          <w:sz w:val="24"/>
          <w:szCs w:val="24"/>
          <w:shd w:val="clear" w:color="auto" w:fill="FFFFFF"/>
        </w:rPr>
      </w:pPr>
      <w:r w:rsidRPr="00D67B1A">
        <w:rPr>
          <w:rFonts w:cs="Arial"/>
          <w:sz w:val="24"/>
          <w:szCs w:val="24"/>
          <w:shd w:val="clear" w:color="auto" w:fill="FFFFFF"/>
        </w:rPr>
        <w:t xml:space="preserve">Psychological support and empathy that target interventions to alleviate anxiety and stress by understanding the patient's perspective are crucial aspects of patient-centred care. Empathetic communication that centres around the patient may reduce preoperative anxiety, improve surgical </w:t>
      </w:r>
      <w:proofErr w:type="gramStart"/>
      <w:r w:rsidRPr="00D67B1A">
        <w:rPr>
          <w:rFonts w:cs="Arial"/>
          <w:sz w:val="24"/>
          <w:szCs w:val="24"/>
          <w:shd w:val="clear" w:color="auto" w:fill="FFFFFF"/>
        </w:rPr>
        <w:t>recovery</w:t>
      </w:r>
      <w:proofErr w:type="gramEnd"/>
      <w:r w:rsidRPr="00D67B1A">
        <w:rPr>
          <w:rFonts w:cs="Arial"/>
          <w:sz w:val="24"/>
          <w:szCs w:val="24"/>
          <w:shd w:val="clear" w:color="auto" w:fill="FFFFFF"/>
        </w:rPr>
        <w:t xml:space="preserve"> and wound healing, and increase patient satisfaction. When surgery is performed using local anaesthesia, the patient can be awake. This can be a daunting experience for the patient, and healthcare professionals must communicate effectively to ensure their safety and comfort. In such cases, the healthcare professionals must work diligently to make the patient feel comfortable and at ease. This involves using clear and concise language and taking the time to explain the procedure and answer any questions the patient may have.</w:t>
      </w:r>
    </w:p>
    <w:p w14:paraId="14D023BE" w14:textId="04755297" w:rsidR="00994413" w:rsidRPr="00D67B1A" w:rsidRDefault="00000000" w:rsidP="00D67B1A">
      <w:pPr>
        <w:rPr>
          <w:rFonts w:cs="Arial"/>
          <w:sz w:val="24"/>
          <w:szCs w:val="24"/>
        </w:rPr>
      </w:pPr>
      <w:r w:rsidRPr="00D67B1A">
        <w:rPr>
          <w:rFonts w:cs="Arial"/>
          <w:sz w:val="24"/>
          <w:szCs w:val="24"/>
          <w:shd w:val="clear" w:color="auto" w:fill="FFFFFF"/>
        </w:rPr>
        <w:t>When performing surgical procedures, healthcare professionals must focus on the technical aspects of the procedure and pay close attention to the patient's well-being. Healthcare professionals must be aware of the patient's body language and nonverbal cues to ensure they are not experiencing discomfort or pain during the procedure. This includes taking note of any signs of distress or anxiety the patient may display. By providing attentive care and communication, healthcare professionals can help patients feel more at ease during surgical procedures. This approach that focuses on the patient involves promoting the patient's communication of emotions, worries, and experiences in a private setting, where the patient can feel comfortable discussing any concerns they have. By creating a safe and private space for patients to express themselves, healthcare professionals can better understand and address their needs, leading to better patient outcomes and overall satisfaction with their care</w:t>
      </w:r>
      <w:r w:rsidR="003F7D4F" w:rsidRPr="00D67B1A">
        <w:rPr>
          <w:rFonts w:cs="Arial"/>
          <w:sz w:val="24"/>
          <w:szCs w:val="24"/>
          <w:shd w:val="clear" w:color="auto" w:fill="FFFFFF"/>
        </w:rPr>
        <w:t>.</w:t>
      </w:r>
      <w:r w:rsidR="00A0092D" w:rsidRPr="00D67B1A">
        <w:rPr>
          <w:rFonts w:cs="Arial"/>
          <w:sz w:val="24"/>
          <w:szCs w:val="24"/>
          <w:shd w:val="clear" w:color="auto" w:fill="FFFFFF"/>
        </w:rPr>
        <w:t xml:space="preserve"> </w:t>
      </w:r>
      <w:sdt>
        <w:sdtPr>
          <w:rPr>
            <w:rFonts w:cs="Arial"/>
            <w:sz w:val="24"/>
            <w:szCs w:val="24"/>
            <w:shd w:val="clear" w:color="auto" w:fill="FFFFFF"/>
          </w:rPr>
          <w:id w:val="1541168525"/>
          <w:citation/>
        </w:sdtPr>
        <w:sdtContent>
          <w:r w:rsidR="00A0092D" w:rsidRPr="00D67B1A">
            <w:rPr>
              <w:rFonts w:cs="Arial"/>
              <w:sz w:val="24"/>
              <w:szCs w:val="24"/>
              <w:shd w:val="clear" w:color="auto" w:fill="FFFFFF"/>
            </w:rPr>
            <w:fldChar w:fldCharType="begin"/>
          </w:r>
          <w:r w:rsidR="00A0092D" w:rsidRPr="00D67B1A">
            <w:rPr>
              <w:rFonts w:cs="Arial"/>
              <w:sz w:val="24"/>
              <w:szCs w:val="24"/>
              <w:shd w:val="clear" w:color="auto" w:fill="FFFFFF"/>
            </w:rPr>
            <w:instrText xml:space="preserve"> CITATION Chr22 \l 2057 </w:instrText>
          </w:r>
          <w:r w:rsidR="00A0092D" w:rsidRPr="00D67B1A">
            <w:rPr>
              <w:rFonts w:cs="Arial"/>
              <w:sz w:val="24"/>
              <w:szCs w:val="24"/>
              <w:shd w:val="clear" w:color="auto" w:fill="FFFFFF"/>
            </w:rPr>
            <w:fldChar w:fldCharType="separate"/>
          </w:r>
          <w:r w:rsidR="00D2417D" w:rsidRPr="00D2417D">
            <w:rPr>
              <w:rFonts w:cs="Arial"/>
              <w:noProof/>
              <w:sz w:val="24"/>
              <w:szCs w:val="24"/>
              <w:shd w:val="clear" w:color="auto" w:fill="FFFFFF"/>
            </w:rPr>
            <w:t>(Stucky, 2022)</w:t>
          </w:r>
          <w:r w:rsidR="00A0092D" w:rsidRPr="00D67B1A">
            <w:rPr>
              <w:rFonts w:cs="Arial"/>
              <w:sz w:val="24"/>
              <w:szCs w:val="24"/>
              <w:shd w:val="clear" w:color="auto" w:fill="FFFFFF"/>
            </w:rPr>
            <w:fldChar w:fldCharType="end"/>
          </w:r>
        </w:sdtContent>
      </w:sdt>
    </w:p>
    <w:p w14:paraId="0FF7FB2E" w14:textId="77777777" w:rsidR="00D67B1A" w:rsidRDefault="00D67B1A" w:rsidP="00D67B1A">
      <w:pPr>
        <w:rPr>
          <w:b/>
          <w:bCs/>
          <w:sz w:val="36"/>
          <w:szCs w:val="36"/>
          <w:u w:val="single"/>
          <w:shd w:val="clear" w:color="auto" w:fill="FFFFFF"/>
        </w:rPr>
      </w:pPr>
    </w:p>
    <w:p w14:paraId="376BCE4E" w14:textId="77777777" w:rsidR="00994413" w:rsidRPr="00D67B1A" w:rsidRDefault="00000000" w:rsidP="00D67B1A">
      <w:pPr>
        <w:rPr>
          <w:b/>
          <w:bCs/>
          <w:sz w:val="32"/>
          <w:szCs w:val="32"/>
          <w:u w:val="single"/>
          <w:shd w:val="clear" w:color="auto" w:fill="FFFFFF"/>
        </w:rPr>
      </w:pPr>
      <w:r w:rsidRPr="00D67B1A">
        <w:rPr>
          <w:b/>
          <w:bCs/>
          <w:sz w:val="32"/>
          <w:szCs w:val="32"/>
          <w:u w:val="single"/>
          <w:shd w:val="clear" w:color="auto" w:fill="FFFFFF"/>
        </w:rPr>
        <w:t xml:space="preserve">Conclusion </w:t>
      </w:r>
    </w:p>
    <w:p w14:paraId="3DD661D3" w14:textId="77777777" w:rsidR="00B03887" w:rsidRPr="00D67B1A" w:rsidRDefault="00000000" w:rsidP="00D67B1A">
      <w:pPr>
        <w:rPr>
          <w:rFonts w:cs="Arial"/>
          <w:b/>
          <w:bCs/>
          <w:sz w:val="24"/>
          <w:szCs w:val="24"/>
          <w:u w:val="single"/>
        </w:rPr>
      </w:pPr>
      <w:r w:rsidRPr="00D67B1A">
        <w:rPr>
          <w:sz w:val="24"/>
          <w:szCs w:val="24"/>
        </w:rPr>
        <w:lastRenderedPageBreak/>
        <w:t>In conclusion, effective communication is essential in healthcare, especially for Theatre Practitioner Nurses working in operating theatres. Nurses should develop excellent communication and interpersonal skills to provide patients with the best care. This write-up has highlighted the various communication aspects necessary for effective healthcare delivery, including verbal and non-verbal communication, active listening, and feedback. It has also discussed the potential challenges that can arise when communication is not adequately optimised, such as language barriers and hierarchy in the workplace. By prioritising effective communication, healthcare professionals can promote high-quality nursing care, positive patient outcomes, and patient and nurse satisfaction. All healthcare professionals must collaborate with service users and use various strategies and interventions to communicate effectively, regardless of disabilities or language barriers. Patients can receive comprehensive and optimal care when everyone collaborates to prioritise effective communication.</w:t>
      </w:r>
    </w:p>
    <w:p w14:paraId="6473AD2C" w14:textId="77777777" w:rsidR="00D67B1A" w:rsidRDefault="00D67B1A" w:rsidP="00D67B1A">
      <w:pPr>
        <w:rPr>
          <w:rFonts w:cs="Arial"/>
          <w:b/>
          <w:bCs/>
          <w:sz w:val="36"/>
          <w:szCs w:val="36"/>
          <w:u w:val="single"/>
        </w:rPr>
      </w:pPr>
    </w:p>
    <w:p w14:paraId="44C762CD" w14:textId="77777777" w:rsidR="00D67B1A" w:rsidRDefault="00D67B1A" w:rsidP="00D67B1A">
      <w:pPr>
        <w:rPr>
          <w:rFonts w:cs="Arial"/>
          <w:b/>
          <w:bCs/>
          <w:sz w:val="36"/>
          <w:szCs w:val="36"/>
          <w:u w:val="single"/>
        </w:rPr>
      </w:pPr>
    </w:p>
    <w:p w14:paraId="302628F1" w14:textId="77777777" w:rsidR="00D67B1A" w:rsidRDefault="00D67B1A" w:rsidP="00D67B1A">
      <w:pPr>
        <w:rPr>
          <w:rFonts w:cs="Arial"/>
          <w:b/>
          <w:bCs/>
          <w:sz w:val="36"/>
          <w:szCs w:val="36"/>
          <w:u w:val="single"/>
        </w:rPr>
      </w:pPr>
    </w:p>
    <w:p w14:paraId="42FD708E" w14:textId="77777777" w:rsidR="00D67B1A" w:rsidRDefault="00D67B1A" w:rsidP="00D67B1A">
      <w:pPr>
        <w:rPr>
          <w:rFonts w:cs="Arial"/>
          <w:b/>
          <w:bCs/>
          <w:sz w:val="36"/>
          <w:szCs w:val="36"/>
          <w:u w:val="single"/>
        </w:rPr>
      </w:pPr>
    </w:p>
    <w:p w14:paraId="0FD3CA9C" w14:textId="77777777" w:rsidR="00D67B1A" w:rsidRDefault="00D67B1A" w:rsidP="00D67B1A">
      <w:pPr>
        <w:rPr>
          <w:rFonts w:cs="Arial"/>
          <w:b/>
          <w:bCs/>
          <w:sz w:val="36"/>
          <w:szCs w:val="36"/>
          <w:u w:val="single"/>
        </w:rPr>
      </w:pPr>
    </w:p>
    <w:p w14:paraId="4B10800A" w14:textId="77777777" w:rsidR="00D67B1A" w:rsidRDefault="00D67B1A" w:rsidP="00D67B1A">
      <w:pPr>
        <w:rPr>
          <w:rFonts w:cs="Arial"/>
          <w:b/>
          <w:bCs/>
          <w:sz w:val="36"/>
          <w:szCs w:val="36"/>
          <w:u w:val="single"/>
        </w:rPr>
      </w:pPr>
    </w:p>
    <w:p w14:paraId="530CD068" w14:textId="77777777" w:rsidR="00D67B1A" w:rsidRDefault="00D67B1A" w:rsidP="00D67B1A">
      <w:pPr>
        <w:rPr>
          <w:rFonts w:cs="Arial"/>
          <w:b/>
          <w:bCs/>
          <w:sz w:val="36"/>
          <w:szCs w:val="36"/>
          <w:u w:val="single"/>
        </w:rPr>
      </w:pPr>
    </w:p>
    <w:p w14:paraId="2DA3F847" w14:textId="77777777" w:rsidR="00D67B1A" w:rsidRDefault="00D67B1A" w:rsidP="00D67B1A">
      <w:pPr>
        <w:rPr>
          <w:rFonts w:cs="Arial"/>
          <w:b/>
          <w:bCs/>
          <w:sz w:val="36"/>
          <w:szCs w:val="36"/>
          <w:u w:val="single"/>
        </w:rPr>
      </w:pPr>
    </w:p>
    <w:p w14:paraId="0678951D" w14:textId="77777777" w:rsidR="00D67B1A" w:rsidRDefault="00D67B1A" w:rsidP="00D67B1A">
      <w:pPr>
        <w:rPr>
          <w:rFonts w:cs="Arial"/>
          <w:b/>
          <w:bCs/>
          <w:sz w:val="36"/>
          <w:szCs w:val="36"/>
          <w:u w:val="single"/>
        </w:rPr>
      </w:pPr>
    </w:p>
    <w:p w14:paraId="5AFD1A6D" w14:textId="77777777" w:rsidR="009939FC" w:rsidRDefault="00000000" w:rsidP="00D67B1A">
      <w:pPr>
        <w:rPr>
          <w:rFonts w:cs="Arial"/>
          <w:b/>
          <w:bCs/>
          <w:sz w:val="36"/>
          <w:szCs w:val="36"/>
          <w:u w:val="single"/>
        </w:rPr>
      </w:pPr>
      <w:r w:rsidRPr="00D67B1A">
        <w:rPr>
          <w:rFonts w:cs="Arial"/>
          <w:b/>
          <w:bCs/>
          <w:sz w:val="32"/>
          <w:szCs w:val="32"/>
          <w:u w:val="single"/>
        </w:rPr>
        <w:t xml:space="preserve">References </w:t>
      </w:r>
    </w:p>
    <w:p w14:paraId="12924A80" w14:textId="77777777" w:rsidR="00D2417D" w:rsidRDefault="00000000" w:rsidP="00D2417D">
      <w:pPr>
        <w:pStyle w:val="Bibliography"/>
        <w:rPr>
          <w:noProof/>
          <w:sz w:val="24"/>
          <w:szCs w:val="24"/>
        </w:rPr>
      </w:pPr>
      <w:r w:rsidRPr="00D67B1A">
        <w:rPr>
          <w:rFonts w:cs="Arial"/>
          <w:b/>
          <w:bCs/>
          <w:sz w:val="24"/>
          <w:szCs w:val="24"/>
          <w:u w:val="single"/>
        </w:rPr>
        <w:lastRenderedPageBreak/>
        <w:fldChar w:fldCharType="begin"/>
      </w:r>
      <w:r w:rsidRPr="00D67B1A">
        <w:rPr>
          <w:rFonts w:cs="Arial"/>
          <w:b/>
          <w:bCs/>
          <w:sz w:val="24"/>
          <w:szCs w:val="24"/>
          <w:u w:val="single"/>
        </w:rPr>
        <w:instrText xml:space="preserve"> BIBLIOGRAPHY  \l 2057 </w:instrText>
      </w:r>
      <w:r w:rsidRPr="00D67B1A">
        <w:rPr>
          <w:rFonts w:cs="Arial"/>
          <w:b/>
          <w:bCs/>
          <w:sz w:val="24"/>
          <w:szCs w:val="24"/>
          <w:u w:val="single"/>
        </w:rPr>
        <w:fldChar w:fldCharType="separate"/>
      </w:r>
      <w:r w:rsidR="00D2417D">
        <w:rPr>
          <w:noProof/>
        </w:rPr>
        <w:t xml:space="preserve">British Journal of Community Nursing , 2020. Saftey huddles in community nursing. </w:t>
      </w:r>
      <w:r w:rsidR="00D2417D">
        <w:rPr>
          <w:i/>
          <w:iCs/>
          <w:noProof/>
        </w:rPr>
        <w:t xml:space="preserve">British Journal of Community Nursing , </w:t>
      </w:r>
      <w:r w:rsidR="00D2417D">
        <w:rPr>
          <w:noProof/>
        </w:rPr>
        <w:t>25(9).</w:t>
      </w:r>
    </w:p>
    <w:p w14:paraId="1140BB4A" w14:textId="77777777" w:rsidR="00D2417D" w:rsidRDefault="00D2417D" w:rsidP="00D2417D">
      <w:pPr>
        <w:pStyle w:val="Bibliography"/>
        <w:rPr>
          <w:noProof/>
        </w:rPr>
      </w:pPr>
      <w:r>
        <w:rPr>
          <w:noProof/>
        </w:rPr>
        <w:t xml:space="preserve">Davies, B. R., 2000. Perioperative Care of patients with latex allergy. </w:t>
      </w:r>
      <w:r>
        <w:rPr>
          <w:i/>
          <w:iCs/>
          <w:noProof/>
        </w:rPr>
        <w:t xml:space="preserve">Aorn Journal , </w:t>
      </w:r>
      <w:r>
        <w:rPr>
          <w:noProof/>
        </w:rPr>
        <w:t>72(1), pp. 47-54.</w:t>
      </w:r>
    </w:p>
    <w:p w14:paraId="7B5DAE7E" w14:textId="77777777" w:rsidR="00D2417D" w:rsidRDefault="00D2417D" w:rsidP="00D2417D">
      <w:pPr>
        <w:pStyle w:val="Bibliography"/>
        <w:rPr>
          <w:noProof/>
        </w:rPr>
      </w:pPr>
      <w:r>
        <w:rPr>
          <w:noProof/>
        </w:rPr>
        <w:t xml:space="preserve">Davies, B. R., n.d. P. </w:t>
      </w:r>
    </w:p>
    <w:p w14:paraId="53FC02D8" w14:textId="77777777" w:rsidR="00D2417D" w:rsidRDefault="00D2417D" w:rsidP="00D2417D">
      <w:pPr>
        <w:pStyle w:val="Bibliography"/>
        <w:rPr>
          <w:noProof/>
        </w:rPr>
      </w:pPr>
      <w:r>
        <w:rPr>
          <w:noProof/>
        </w:rPr>
        <w:t xml:space="preserve">Ernstmeyer K, C. E., 2021. </w:t>
      </w:r>
      <w:r>
        <w:rPr>
          <w:i/>
          <w:iCs/>
          <w:noProof/>
        </w:rPr>
        <w:t xml:space="preserve">Nursing Fundamentals. </w:t>
      </w:r>
      <w:r>
        <w:rPr>
          <w:noProof/>
        </w:rPr>
        <w:t xml:space="preserve">[Online] </w:t>
      </w:r>
      <w:r>
        <w:rPr>
          <w:noProof/>
        </w:rPr>
        <w:br/>
        <w:t xml:space="preserve">Available at: </w:t>
      </w:r>
      <w:r>
        <w:rPr>
          <w:noProof/>
          <w:u w:val="single"/>
        </w:rPr>
        <w:t>https://www.ncbi.nlm.nih.gov/books/NBK591817/</w:t>
      </w:r>
      <w:r>
        <w:rPr>
          <w:noProof/>
        </w:rPr>
        <w:br/>
        <w:t>[Accessed 25 Feburary 2024].</w:t>
      </w:r>
    </w:p>
    <w:p w14:paraId="0606080A" w14:textId="77777777" w:rsidR="00D2417D" w:rsidRDefault="00D2417D" w:rsidP="00D2417D">
      <w:pPr>
        <w:pStyle w:val="Bibliography"/>
        <w:rPr>
          <w:noProof/>
        </w:rPr>
      </w:pPr>
      <w:r>
        <w:rPr>
          <w:noProof/>
        </w:rPr>
        <w:t xml:space="preserve">Nursing and Midwifery Council , 2010. </w:t>
      </w:r>
      <w:r>
        <w:rPr>
          <w:i/>
          <w:iCs/>
          <w:noProof/>
        </w:rPr>
        <w:t xml:space="preserve">Standards for competence for registered nurses. </w:t>
      </w:r>
      <w:r>
        <w:rPr>
          <w:noProof/>
        </w:rPr>
        <w:t xml:space="preserve">[Online] </w:t>
      </w:r>
      <w:r>
        <w:rPr>
          <w:noProof/>
        </w:rPr>
        <w:br/>
        <w:t xml:space="preserve">Available at: </w:t>
      </w:r>
      <w:r>
        <w:rPr>
          <w:noProof/>
          <w:u w:val="single"/>
        </w:rPr>
        <w:t>https://www.nmc.org.uk/globalassets/sitedocuments/standards/nmc-standards-for-competence-for-registered-nurses.pdf</w:t>
      </w:r>
      <w:r>
        <w:rPr>
          <w:noProof/>
        </w:rPr>
        <w:br/>
        <w:t>[Accessed 25 Feburary 2024].</w:t>
      </w:r>
    </w:p>
    <w:p w14:paraId="306F2CDE" w14:textId="77777777" w:rsidR="00D2417D" w:rsidRDefault="00D2417D" w:rsidP="00D2417D">
      <w:pPr>
        <w:pStyle w:val="Bibliography"/>
        <w:rPr>
          <w:noProof/>
        </w:rPr>
      </w:pPr>
      <w:r>
        <w:rPr>
          <w:noProof/>
        </w:rPr>
        <w:t xml:space="preserve">Saunders, S., 2004. Clinical Advanced. </w:t>
      </w:r>
      <w:r>
        <w:rPr>
          <w:i/>
          <w:iCs/>
          <w:noProof/>
        </w:rPr>
        <w:t xml:space="preserve">Nursing Times , </w:t>
      </w:r>
      <w:r>
        <w:rPr>
          <w:noProof/>
        </w:rPr>
        <w:t>100(14), pp. 42-44.</w:t>
      </w:r>
    </w:p>
    <w:p w14:paraId="34191432" w14:textId="77777777" w:rsidR="00D2417D" w:rsidRDefault="00D2417D" w:rsidP="00D2417D">
      <w:pPr>
        <w:pStyle w:val="Bibliography"/>
        <w:rPr>
          <w:noProof/>
        </w:rPr>
      </w:pPr>
      <w:r>
        <w:rPr>
          <w:noProof/>
        </w:rPr>
        <w:t xml:space="preserve">Stucky, C., 2022. Nurse-led strategies to decrease preoperative patient anxiety. </w:t>
      </w:r>
      <w:r>
        <w:rPr>
          <w:i/>
          <w:iCs/>
          <w:noProof/>
        </w:rPr>
        <w:t xml:space="preserve">Nursing 2024, </w:t>
      </w:r>
      <w:r>
        <w:rPr>
          <w:noProof/>
        </w:rPr>
        <w:t>52(12), pp. 10-11.</w:t>
      </w:r>
    </w:p>
    <w:p w14:paraId="1B69EF46" w14:textId="77777777" w:rsidR="00B03887" w:rsidRPr="00D67B1A" w:rsidRDefault="00000000" w:rsidP="00D2417D">
      <w:pPr>
        <w:rPr>
          <w:rFonts w:cs="Arial"/>
          <w:b/>
          <w:bCs/>
          <w:sz w:val="24"/>
          <w:szCs w:val="24"/>
          <w:u w:val="single"/>
        </w:rPr>
      </w:pPr>
      <w:r w:rsidRPr="00D67B1A">
        <w:rPr>
          <w:rFonts w:cs="Arial"/>
          <w:b/>
          <w:bCs/>
          <w:sz w:val="24"/>
          <w:szCs w:val="24"/>
          <w:u w:val="single"/>
        </w:rPr>
        <w:fldChar w:fldCharType="end"/>
      </w:r>
    </w:p>
    <w:p w14:paraId="4A0D0302" w14:textId="04326436" w:rsidR="00CD7BC7" w:rsidRPr="00D67B1A" w:rsidRDefault="007A11ED" w:rsidP="00D67B1A">
      <w:pPr>
        <w:rPr>
          <w:rFonts w:cs="Arial"/>
          <w:b/>
          <w:bCs/>
          <w:sz w:val="24"/>
          <w:szCs w:val="24"/>
          <w:u w:val="single"/>
        </w:rPr>
      </w:pPr>
      <w:r>
        <w:rPr>
          <w:noProof/>
          <w14:ligatures w14:val="standardContextual"/>
        </w:rPr>
        <w:drawing>
          <wp:anchor distT="0" distB="0" distL="114300" distR="114300" simplePos="0" relativeHeight="251658240" behindDoc="0" locked="0" layoutInCell="1" allowOverlap="1" wp14:anchorId="1C3B2371" wp14:editId="453EDDE6">
            <wp:simplePos x="0" y="0"/>
            <wp:positionH relativeFrom="margin">
              <wp:align>center</wp:align>
            </wp:positionH>
            <wp:positionV relativeFrom="paragraph">
              <wp:posOffset>0</wp:posOffset>
            </wp:positionV>
            <wp:extent cx="6752590" cy="3376295"/>
            <wp:effectExtent l="0" t="0" r="0" b="0"/>
            <wp:wrapSquare wrapText="bothSides"/>
            <wp:docPr id="48555703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557035" name=""/>
                    <pic:cNvPicPr/>
                  </pic:nvPicPr>
                  <pic:blipFill>
                    <a:blip r:embed="rId6" cstate="print">
                      <a:extLst>
                        <a:ext uri="{28A0092B-C50C-407E-A947-70E740481C1C}">
                          <a14:useLocalDpi xmlns:a14="http://schemas.microsoft.com/office/drawing/2010/main" val="0"/>
                        </a:ext>
                        <a:ext uri="{96DAC541-7B7A-43D3-8B79-37D633B846F1}">
                          <asvg:svgBlip xmlns:asvg="http://schemas.microsoft.com/office/drawing/2016/SVG/main" r:embed="rId7"/>
                        </a:ext>
                      </a:extLst>
                    </a:blip>
                    <a:stretch>
                      <a:fillRect/>
                    </a:stretch>
                  </pic:blipFill>
                  <pic:spPr>
                    <a:xfrm>
                      <a:off x="0" y="0"/>
                      <a:ext cx="6752590" cy="3376295"/>
                    </a:xfrm>
                    <a:prstGeom prst="rect">
                      <a:avLst/>
                    </a:prstGeom>
                  </pic:spPr>
                </pic:pic>
              </a:graphicData>
            </a:graphic>
          </wp:anchor>
        </w:drawing>
      </w:r>
    </w:p>
    <w:sectPr w:rsidR="00CD7BC7" w:rsidRPr="00D67B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9FC"/>
    <w:rsid w:val="00030BD1"/>
    <w:rsid w:val="000F6D27"/>
    <w:rsid w:val="00281EB8"/>
    <w:rsid w:val="00292451"/>
    <w:rsid w:val="002A39C6"/>
    <w:rsid w:val="002A3A32"/>
    <w:rsid w:val="002A5D94"/>
    <w:rsid w:val="003E0DA8"/>
    <w:rsid w:val="003F7D4F"/>
    <w:rsid w:val="00462434"/>
    <w:rsid w:val="004B4543"/>
    <w:rsid w:val="005875DF"/>
    <w:rsid w:val="00593673"/>
    <w:rsid w:val="005A3D9F"/>
    <w:rsid w:val="005D207F"/>
    <w:rsid w:val="0061453B"/>
    <w:rsid w:val="00621E48"/>
    <w:rsid w:val="00667DC5"/>
    <w:rsid w:val="007A11ED"/>
    <w:rsid w:val="007A4E14"/>
    <w:rsid w:val="007C4253"/>
    <w:rsid w:val="007D6A91"/>
    <w:rsid w:val="008B6A47"/>
    <w:rsid w:val="008D6C8B"/>
    <w:rsid w:val="00902AA9"/>
    <w:rsid w:val="009939FC"/>
    <w:rsid w:val="00994413"/>
    <w:rsid w:val="00A0092D"/>
    <w:rsid w:val="00A71FC8"/>
    <w:rsid w:val="00B03887"/>
    <w:rsid w:val="00B93F19"/>
    <w:rsid w:val="00BE5509"/>
    <w:rsid w:val="00CD7BC7"/>
    <w:rsid w:val="00CF5407"/>
    <w:rsid w:val="00CF570C"/>
    <w:rsid w:val="00D2417D"/>
    <w:rsid w:val="00D60B43"/>
    <w:rsid w:val="00D64237"/>
    <w:rsid w:val="00D67B1A"/>
    <w:rsid w:val="00D93CEA"/>
    <w:rsid w:val="00E4158B"/>
    <w:rsid w:val="00E61312"/>
    <w:rsid w:val="00E667DC"/>
    <w:rsid w:val="00F954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239CD"/>
  <w15:chartTrackingRefBased/>
  <w15:docId w15:val="{F7FC0B7E-76D1-4F3F-9701-A3CF451ACE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39FC"/>
    <w:pPr>
      <w:spacing w:line="360" w:lineRule="auto"/>
    </w:pPr>
    <w:rPr>
      <w:rFonts w:ascii="Arial" w:hAnsi="Arial"/>
      <w:kern w:val="0"/>
      <w14:ligatures w14:val="none"/>
    </w:rPr>
  </w:style>
  <w:style w:type="paragraph" w:styleId="Heading1">
    <w:name w:val="heading 1"/>
    <w:basedOn w:val="Normal"/>
    <w:next w:val="Normal"/>
    <w:link w:val="Heading1Char"/>
    <w:uiPriority w:val="9"/>
    <w:qFormat/>
    <w:rsid w:val="009939FC"/>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9939FC"/>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9939FC"/>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9939FC"/>
    <w:pPr>
      <w:keepNext/>
      <w:keepLines/>
      <w:spacing w:before="80" w:after="40" w:line="259"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9939FC"/>
    <w:pPr>
      <w:keepNext/>
      <w:keepLines/>
      <w:spacing w:before="80" w:after="40" w:line="259"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9939FC"/>
    <w:pPr>
      <w:keepNext/>
      <w:keepLines/>
      <w:spacing w:before="40" w:after="0" w:line="259"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9939FC"/>
    <w:pPr>
      <w:keepNext/>
      <w:keepLines/>
      <w:spacing w:before="40" w:after="0" w:line="259"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9939FC"/>
    <w:pPr>
      <w:keepNext/>
      <w:keepLines/>
      <w:spacing w:after="0" w:line="259"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9939FC"/>
    <w:pPr>
      <w:keepNext/>
      <w:keepLines/>
      <w:spacing w:after="0" w:line="259"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39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39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39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39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39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39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39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39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39FC"/>
    <w:rPr>
      <w:rFonts w:eastAsiaTheme="majorEastAsia" w:cstheme="majorBidi"/>
      <w:color w:val="272727" w:themeColor="text1" w:themeTint="D8"/>
    </w:rPr>
  </w:style>
  <w:style w:type="paragraph" w:styleId="Title">
    <w:name w:val="Title"/>
    <w:basedOn w:val="Normal"/>
    <w:next w:val="Normal"/>
    <w:link w:val="TitleChar"/>
    <w:uiPriority w:val="10"/>
    <w:qFormat/>
    <w:rsid w:val="009939FC"/>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9939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39FC"/>
    <w:pPr>
      <w:numPr>
        <w:ilvl w:val="1"/>
      </w:numPr>
      <w:spacing w:line="259"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9939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39FC"/>
    <w:pPr>
      <w:spacing w:before="160" w:line="259" w:lineRule="auto"/>
      <w:jc w:val="center"/>
    </w:pPr>
    <w:rPr>
      <w:rFonts w:asciiTheme="minorHAnsi" w:hAnsiTheme="minorHAnsi"/>
      <w:i/>
      <w:iCs/>
      <w:color w:val="404040" w:themeColor="text1" w:themeTint="BF"/>
      <w:kern w:val="2"/>
      <w14:ligatures w14:val="standardContextual"/>
    </w:rPr>
  </w:style>
  <w:style w:type="character" w:customStyle="1" w:styleId="QuoteChar">
    <w:name w:val="Quote Char"/>
    <w:basedOn w:val="DefaultParagraphFont"/>
    <w:link w:val="Quote"/>
    <w:uiPriority w:val="29"/>
    <w:rsid w:val="009939FC"/>
    <w:rPr>
      <w:i/>
      <w:iCs/>
      <w:color w:val="404040" w:themeColor="text1" w:themeTint="BF"/>
    </w:rPr>
  </w:style>
  <w:style w:type="paragraph" w:styleId="ListParagraph">
    <w:name w:val="List Paragraph"/>
    <w:basedOn w:val="Normal"/>
    <w:uiPriority w:val="34"/>
    <w:qFormat/>
    <w:rsid w:val="009939FC"/>
    <w:pPr>
      <w:spacing w:line="259" w:lineRule="auto"/>
      <w:ind w:left="720"/>
      <w:contextualSpacing/>
    </w:pPr>
    <w:rPr>
      <w:rFonts w:asciiTheme="minorHAnsi" w:hAnsiTheme="minorHAnsi"/>
      <w:kern w:val="2"/>
      <w14:ligatures w14:val="standardContextual"/>
    </w:rPr>
  </w:style>
  <w:style w:type="character" w:styleId="IntenseEmphasis">
    <w:name w:val="Intense Emphasis"/>
    <w:basedOn w:val="DefaultParagraphFont"/>
    <w:uiPriority w:val="21"/>
    <w:qFormat/>
    <w:rsid w:val="009939FC"/>
    <w:rPr>
      <w:i/>
      <w:iCs/>
      <w:color w:val="0F4761" w:themeColor="accent1" w:themeShade="BF"/>
    </w:rPr>
  </w:style>
  <w:style w:type="paragraph" w:styleId="IntenseQuote">
    <w:name w:val="Intense Quote"/>
    <w:basedOn w:val="Normal"/>
    <w:next w:val="Normal"/>
    <w:link w:val="IntenseQuoteChar"/>
    <w:uiPriority w:val="30"/>
    <w:qFormat/>
    <w:rsid w:val="009939FC"/>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9939FC"/>
    <w:rPr>
      <w:i/>
      <w:iCs/>
      <w:color w:val="0F4761" w:themeColor="accent1" w:themeShade="BF"/>
    </w:rPr>
  </w:style>
  <w:style w:type="character" w:styleId="IntenseReference">
    <w:name w:val="Intense Reference"/>
    <w:basedOn w:val="DefaultParagraphFont"/>
    <w:uiPriority w:val="32"/>
    <w:qFormat/>
    <w:rsid w:val="009939FC"/>
    <w:rPr>
      <w:b/>
      <w:bCs/>
      <w:smallCaps/>
      <w:color w:val="0F4761" w:themeColor="accent1" w:themeShade="BF"/>
      <w:spacing w:val="5"/>
    </w:rPr>
  </w:style>
  <w:style w:type="character" w:styleId="Strong">
    <w:name w:val="Strong"/>
    <w:basedOn w:val="DefaultParagraphFont"/>
    <w:uiPriority w:val="22"/>
    <w:qFormat/>
    <w:rsid w:val="009939FC"/>
    <w:rPr>
      <w:b/>
      <w:bCs/>
    </w:rPr>
  </w:style>
  <w:style w:type="paragraph" w:styleId="Bibliography">
    <w:name w:val="Bibliography"/>
    <w:basedOn w:val="Normal"/>
    <w:next w:val="Normal"/>
    <w:uiPriority w:val="37"/>
    <w:unhideWhenUsed/>
    <w:rsid w:val="00CD7BC7"/>
  </w:style>
  <w:style w:type="character" w:styleId="Hyperlink">
    <w:name w:val="Hyperlink"/>
    <w:basedOn w:val="DefaultParagraphFont"/>
    <w:uiPriority w:val="99"/>
    <w:semiHidden/>
    <w:unhideWhenUsed/>
    <w:rsid w:val="0029245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228046">
      <w:bodyDiv w:val="1"/>
      <w:marLeft w:val="0"/>
      <w:marRight w:val="0"/>
      <w:marTop w:val="0"/>
      <w:marBottom w:val="0"/>
      <w:divBdr>
        <w:top w:val="none" w:sz="0" w:space="0" w:color="auto"/>
        <w:left w:val="none" w:sz="0" w:space="0" w:color="auto"/>
        <w:bottom w:val="none" w:sz="0" w:space="0" w:color="auto"/>
        <w:right w:val="none" w:sz="0" w:space="0" w:color="auto"/>
      </w:divBdr>
    </w:div>
    <w:div w:id="152183233">
      <w:bodyDiv w:val="1"/>
      <w:marLeft w:val="0"/>
      <w:marRight w:val="0"/>
      <w:marTop w:val="0"/>
      <w:marBottom w:val="0"/>
      <w:divBdr>
        <w:top w:val="none" w:sz="0" w:space="0" w:color="auto"/>
        <w:left w:val="none" w:sz="0" w:space="0" w:color="auto"/>
        <w:bottom w:val="none" w:sz="0" w:space="0" w:color="auto"/>
        <w:right w:val="none" w:sz="0" w:space="0" w:color="auto"/>
      </w:divBdr>
    </w:div>
    <w:div w:id="404375411">
      <w:bodyDiv w:val="1"/>
      <w:marLeft w:val="0"/>
      <w:marRight w:val="0"/>
      <w:marTop w:val="0"/>
      <w:marBottom w:val="0"/>
      <w:divBdr>
        <w:top w:val="none" w:sz="0" w:space="0" w:color="auto"/>
        <w:left w:val="none" w:sz="0" w:space="0" w:color="auto"/>
        <w:bottom w:val="none" w:sz="0" w:space="0" w:color="auto"/>
        <w:right w:val="none" w:sz="0" w:space="0" w:color="auto"/>
      </w:divBdr>
    </w:div>
    <w:div w:id="443119438">
      <w:bodyDiv w:val="1"/>
      <w:marLeft w:val="0"/>
      <w:marRight w:val="0"/>
      <w:marTop w:val="0"/>
      <w:marBottom w:val="0"/>
      <w:divBdr>
        <w:top w:val="none" w:sz="0" w:space="0" w:color="auto"/>
        <w:left w:val="none" w:sz="0" w:space="0" w:color="auto"/>
        <w:bottom w:val="none" w:sz="0" w:space="0" w:color="auto"/>
        <w:right w:val="none" w:sz="0" w:space="0" w:color="auto"/>
      </w:divBdr>
    </w:div>
    <w:div w:id="533081798">
      <w:bodyDiv w:val="1"/>
      <w:marLeft w:val="0"/>
      <w:marRight w:val="0"/>
      <w:marTop w:val="0"/>
      <w:marBottom w:val="0"/>
      <w:divBdr>
        <w:top w:val="none" w:sz="0" w:space="0" w:color="auto"/>
        <w:left w:val="none" w:sz="0" w:space="0" w:color="auto"/>
        <w:bottom w:val="none" w:sz="0" w:space="0" w:color="auto"/>
        <w:right w:val="none" w:sz="0" w:space="0" w:color="auto"/>
      </w:divBdr>
    </w:div>
    <w:div w:id="1191920037">
      <w:bodyDiv w:val="1"/>
      <w:marLeft w:val="0"/>
      <w:marRight w:val="0"/>
      <w:marTop w:val="0"/>
      <w:marBottom w:val="0"/>
      <w:divBdr>
        <w:top w:val="none" w:sz="0" w:space="0" w:color="auto"/>
        <w:left w:val="none" w:sz="0" w:space="0" w:color="auto"/>
        <w:bottom w:val="none" w:sz="0" w:space="0" w:color="auto"/>
        <w:right w:val="none" w:sz="0" w:space="0" w:color="auto"/>
      </w:divBdr>
    </w:div>
    <w:div w:id="1262490457">
      <w:bodyDiv w:val="1"/>
      <w:marLeft w:val="0"/>
      <w:marRight w:val="0"/>
      <w:marTop w:val="0"/>
      <w:marBottom w:val="0"/>
      <w:divBdr>
        <w:top w:val="none" w:sz="0" w:space="0" w:color="auto"/>
        <w:left w:val="none" w:sz="0" w:space="0" w:color="auto"/>
        <w:bottom w:val="none" w:sz="0" w:space="0" w:color="auto"/>
        <w:right w:val="none" w:sz="0" w:space="0" w:color="auto"/>
      </w:divBdr>
    </w:div>
    <w:div w:id="1909534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sv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Sau04</b:Tag>
    <b:SourceType>JournalArticle</b:SourceType>
    <b:Guid>{53338D73-DBD0-458D-961D-85A45312AC77}</b:Guid>
    <b:Author>
      <b:Author>
        <b:NameList>
          <b:Person>
            <b:Last>Saunders</b:Last>
            <b:First>Sue</b:First>
          </b:Person>
        </b:NameList>
      </b:Author>
    </b:Author>
    <b:Title>Clinical Advanced</b:Title>
    <b:Year>2004</b:Year>
    <b:URL>https://s3-eu-west-1.amazonaws.com/emap-moon-prod/wp-content/uploads/sites/3/2004/04/040406Why-good-communication-skills-are-important-for-theatre-nurses.pdf</b:URL>
    <b:JournalName>Nursing Times </b:JournalName>
    <b:Pages>42-44</b:Pages>
    <b:Volume>100</b:Volume>
    <b:Issue>14</b:Issue>
    <b:RefOrder>3</b:RefOrder>
  </b:Source>
  <b:Source>
    <b:Tag>Nur101</b:Tag>
    <b:SourceType>InternetSite</b:SourceType>
    <b:Guid>{606E0DA6-2CF7-4105-B4B0-A93D4A00A50D}</b:Guid>
    <b:Author>
      <b:Author>
        <b:Corporate>Nursing and Midwifery Council </b:Corporate>
      </b:Author>
    </b:Author>
    <b:Title>Standards for competence for registered nurses</b:Title>
    <b:Year>2010</b:Year>
    <b:YearAccessed>2024</b:YearAccessed>
    <b:MonthAccessed>Feburary</b:MonthAccessed>
    <b:DayAccessed>25</b:DayAccessed>
    <b:URL>https://www.nmc.org.uk/globalassets/sitedocuments/standards/nmc-standards-for-competence-for-registered-nurses.pdf</b:URL>
    <b:RefOrder>2</b:RefOrder>
  </b:Source>
  <b:Source>
    <b:Tag>Bla</b:Tag>
    <b:SourceType>JournalArticle</b:SourceType>
    <b:Guid>{46B3DB7D-193D-4FCA-9A8B-C4C96BB4F80C}</b:Guid>
    <b:Title>P</b:Title>
    <b:Author>
      <b:Author>
        <b:NameList>
          <b:Person>
            <b:Last>Davies</b:Last>
            <b:First>Blanca</b:First>
            <b:Middle>Rosa</b:Middle>
          </b:Person>
        </b:NameList>
      </b:Author>
    </b:Author>
    <b:RefOrder>7</b:RefOrder>
  </b:Source>
  <b:Source>
    <b:Tag>Bla00</b:Tag>
    <b:SourceType>JournalArticle</b:SourceType>
    <b:Guid>{56901CC7-319D-4E3F-9BD6-33DB754A75DD}</b:Guid>
    <b:Author>
      <b:Author>
        <b:NameList>
          <b:Person>
            <b:Last>Davies</b:Last>
            <b:First>Blanca</b:First>
            <b:Middle>Rosa</b:Middle>
          </b:Person>
        </b:NameList>
      </b:Author>
    </b:Author>
    <b:Title>Perioperative Care of patients with latex allergy </b:Title>
    <b:JournalName>Aorn Journal </b:JournalName>
    <b:Year>2000</b:Year>
    <b:Pages>47-54</b:Pages>
    <b:Volume>72</b:Volume>
    <b:Issue>1</b:Issue>
    <b:RefOrder>4</b:RefOrder>
  </b:Source>
  <b:Source>
    <b:Tag>Ern21</b:Tag>
    <b:SourceType>DocumentFromInternetSite</b:SourceType>
    <b:Guid>{6867FB14-C593-4DBE-8D7D-89D71408CEB7}</b:Guid>
    <b:Title>Nursing Fundamentals</b:Title>
    <b:Year>2021</b:Year>
    <b:Author>
      <b:Author>
        <b:NameList>
          <b:Person>
            <b:Last>Ernstmeyer K</b:Last>
            <b:First>Christman</b:First>
            <b:Middle>E</b:Middle>
          </b:Person>
        </b:NameList>
      </b:Author>
    </b:Author>
    <b:Month>01</b:Month>
    <b:Day>01</b:Day>
    <b:YearAccessed>2024</b:YearAccessed>
    <b:MonthAccessed>Feburary </b:MonthAccessed>
    <b:DayAccessed>25</b:DayAccessed>
    <b:URL>https://www.ncbi.nlm.nih.gov/books/NBK591817/</b:URL>
    <b:RefOrder>5</b:RefOrder>
  </b:Source>
  <b:Source>
    <b:Tag>Chr22</b:Tag>
    <b:SourceType>JournalArticle</b:SourceType>
    <b:Guid>{8289C40E-34EE-46E1-95FF-FD0D713D3347}</b:Guid>
    <b:Title>Nurse-led strategies to decrease preoperative patient anxiety</b:Title>
    <b:Year>2022</b:Year>
    <b:Author>
      <b:Author>
        <b:NameList>
          <b:Person>
            <b:Last>Stucky</b:Last>
            <b:First>Christopher</b:First>
          </b:Person>
        </b:NameList>
      </b:Author>
    </b:Author>
    <b:JournalName>Nursing 2024</b:JournalName>
    <b:Pages>10-11</b:Pages>
    <b:Volume>52</b:Volume>
    <b:Issue>12</b:Issue>
    <b:RefOrder>6</b:RefOrder>
  </b:Source>
  <b:Source>
    <b:Tag>Bri20</b:Tag>
    <b:SourceType>JournalArticle</b:SourceType>
    <b:Guid>{5D2236C0-D319-4967-AC38-579BB665C10B}</b:Guid>
    <b:Title>Saftey huddles in community nursing </b:Title>
    <b:JournalName>British Journal of Community Nursing </b:JournalName>
    <b:Year>2020</b:Year>
    <b:Volume>25</b:Volume>
    <b:Issue>9</b:Issue>
    <b:Author>
      <b:Author>
        <b:Corporate>British Journal of Community Nursing </b:Corporate>
      </b:Author>
    </b:Author>
    <b:RefOrder>1</b:RefOrder>
  </b:Source>
</b:Sources>
</file>

<file path=customXml/itemProps1.xml><?xml version="1.0" encoding="utf-8"?>
<ds:datastoreItem xmlns:ds="http://schemas.openxmlformats.org/officeDocument/2006/customXml" ds:itemID="{11328FDA-A693-4BA2-B3AC-72240425BF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8</Pages>
  <Words>2155</Words>
  <Characters>12284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Carly Davies (2319545)</dc:creator>
  <cp:lastModifiedBy>Carly Davies (2319545)</cp:lastModifiedBy>
  <cp:revision>5</cp:revision>
  <dcterms:created xsi:type="dcterms:W3CDTF">2024-03-06T21:29:00Z</dcterms:created>
  <dcterms:modified xsi:type="dcterms:W3CDTF">2024-03-06T22:10:00Z</dcterms:modified>
</cp:coreProperties>
</file>