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1574B" w14:textId="77777777" w:rsidR="003B5729" w:rsidRDefault="003B5729" w:rsidP="003B5729">
      <w:pPr>
        <w:rPr>
          <w:b/>
          <w:bCs/>
        </w:rPr>
      </w:pPr>
    </w:p>
    <w:p w14:paraId="46840DE8" w14:textId="20D4A236" w:rsidR="003B5729" w:rsidRPr="003B5729" w:rsidRDefault="003B5729" w:rsidP="003B5729">
      <w:pPr>
        <w:rPr>
          <w:b/>
          <w:bCs/>
        </w:rPr>
      </w:pPr>
      <w:r>
        <w:rPr>
          <w:b/>
          <w:bCs/>
        </w:rPr>
        <w:t xml:space="preserve">Topic : </w:t>
      </w:r>
      <w:r w:rsidRPr="003B5729">
        <w:rPr>
          <w:b/>
          <w:bCs/>
        </w:rPr>
        <w:t>Impact of Brexit on SMEs in the UK - A Study of Changes in International Trade Dynamics</w:t>
      </w:r>
    </w:p>
    <w:p w14:paraId="5316583E" w14:textId="77777777" w:rsidR="003B5729" w:rsidRDefault="003B5729" w:rsidP="003B5729"/>
    <w:p w14:paraId="5FBB4B45" w14:textId="77777777" w:rsidR="003B5729" w:rsidRDefault="003B5729" w:rsidP="003B5729">
      <w:pPr>
        <w:spacing w:after="240"/>
        <w:rPr>
          <w:rFonts w:ascii="Times New Roman" w:eastAsia="Times New Roman" w:hAnsi="Times New Roman" w:cs="Times New Roman"/>
          <w:lang w:eastAsia="en-GB"/>
        </w:rPr>
      </w:pPr>
      <w:r w:rsidRPr="003B5729">
        <w:rPr>
          <w:rFonts w:ascii="Times New Roman" w:eastAsia="Times New Roman" w:hAnsi="Times New Roman" w:cs="Times New Roman"/>
          <w:b/>
          <w:bCs/>
          <w:i/>
          <w:iCs/>
          <w:u w:val="single"/>
          <w:lang w:eastAsia="en-GB"/>
        </w:rPr>
        <w:t>Introduction</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The process of the United Kingdom's exit from the European Union, widely known as Brexit, has presented Small and Medium Enterprises (SMEs) in the region with notable obstacles and prospects. The objective of this research is to examine the diverse consequences of Brexit on the global trade dynamics of small and medium-sized enterprises (SMEs) in the United Kingdom. Specifically, it will investigate alterations in market entry, operational adjustments, and financial approaches. (Born et al., 2019) A qualitative analysis of secondary data offers a comprehensive overview of the continuous adaptations that small and medium-sized enterprises (SMEs) need to navigate the emerging economic environment.</w:t>
      </w:r>
    </w:p>
    <w:p w14:paraId="2F418E19" w14:textId="77777777" w:rsidR="003B5729" w:rsidRDefault="003B5729" w:rsidP="003B5729">
      <w:pPr>
        <w:spacing w:after="240"/>
        <w:rPr>
          <w:rFonts w:ascii="Times New Roman" w:eastAsia="Times New Roman" w:hAnsi="Times New Roman" w:cs="Times New Roman"/>
          <w:lang w:eastAsia="en-GB"/>
        </w:rPr>
      </w:pPr>
      <w:r w:rsidRPr="003B5729">
        <w:rPr>
          <w:rFonts w:ascii="Times New Roman" w:eastAsia="Times New Roman" w:hAnsi="Times New Roman" w:cs="Times New Roman"/>
          <w:b/>
          <w:bCs/>
          <w:i/>
          <w:iCs/>
          <w:u w:val="single"/>
          <w:lang w:eastAsia="en-GB"/>
        </w:rPr>
        <w:t xml:space="preserve">Method and research question </w:t>
      </w:r>
    </w:p>
    <w:p w14:paraId="7DF68221" w14:textId="28507731" w:rsidR="003B5729" w:rsidRPr="003B5729" w:rsidRDefault="003B5729" w:rsidP="003B5729">
      <w:pPr>
        <w:rPr>
          <w:rFonts w:ascii="Times New Roman" w:eastAsia="Times New Roman" w:hAnsi="Times New Roman" w:cs="Times New Roman"/>
          <w:lang w:eastAsia="en-GB"/>
        </w:rPr>
      </w:pPr>
      <w:r w:rsidRPr="003B5729">
        <w:rPr>
          <w:rFonts w:ascii="Times New Roman" w:eastAsia="Times New Roman" w:hAnsi="Times New Roman" w:cs="Times New Roman"/>
          <w:lang w:eastAsia="en-GB"/>
        </w:rPr>
        <w:t>Data collection for this study is conducted with great attention to detail via a systematic review of secondary sources. These sources comprise academic journals, industry reports, government publications, and news articles. In addition to utilising well-established databases including JSTOR, Google Scholar, and EBSCOhost, the comprehensive search also incorporates information derived from reputable financial and trade analysis websites. This approach guarantees a comprehensive and profound comprehension of the multifaceted ramifications of Brexit on small and medium-sized enterprises (SMEs). By narrowing its scope to materials published after 2016, this study encompasses the most pertinent and up-to-date situations, offering a dynamic perspective on the continuous adaptations and tactics implemented by small and medium-sized enterprises (SMEs).</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t>Qualitative content analysis has been selected as the research methodology, facilitating an intricate examination of intricate themes and patterns that are present in the gathered data. This method is ideally adapted for answering the following research question: "To what extent has Brexit impacted the international trade strategies of United Kingdom-based SMEs?" The study seeks to elucidate the strategic reactions of small and medium-sized enterprises (SMEs) to the obstacles and prospects arising from Brexit through the analysis of qualitative data. Specifically, it investigates the operational, financial, and regulatory adjustments made by these organisations. This technique facilitates a comprehensive comprehension of the adaptability and resilience of SMEs in an ever-changing regulatory and economic environment.</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Market Entry Obstacles</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 xml:space="preserve">Brexit has significantly transformed the commercial environment for small and medium-sized enterprises (SMEs) situated in the UK. (Duarte Alonso &amp; </w:t>
      </w:r>
      <w:proofErr w:type="spellStart"/>
      <w:r w:rsidRPr="003B5729">
        <w:rPr>
          <w:rFonts w:ascii="Times New Roman" w:eastAsia="Times New Roman" w:hAnsi="Times New Roman" w:cs="Times New Roman"/>
          <w:lang w:eastAsia="en-GB"/>
        </w:rPr>
        <w:t>Kok</w:t>
      </w:r>
      <w:proofErr w:type="spellEnd"/>
      <w:r w:rsidRPr="003B5729">
        <w:rPr>
          <w:rFonts w:ascii="Times New Roman" w:eastAsia="Times New Roman" w:hAnsi="Times New Roman" w:cs="Times New Roman"/>
          <w:lang w:eastAsia="en-GB"/>
        </w:rPr>
        <w:t xml:space="preserve">, 2018) The implementation of novel tariffs and intricate customs protocols has caused a surge in operational expenditures and impeded the entry of UK SMEs into the European Union's single market, which has historically been a substantial trading ally. SME access to EU markets was devoid of tariffs prior to Brexit, enabling the organisation to offer competitive pricing and optimise logistical processes. Following Brexit, however, these benefits have waned, resulting in higher production expenses and a more onerous customs procedure that has hindered the competitiveness of small and medium-sized enterprises (SMEs) in the European Union </w:t>
      </w:r>
      <w:r w:rsidRPr="003B5729">
        <w:rPr>
          <w:rFonts w:ascii="Times New Roman" w:eastAsia="Times New Roman" w:hAnsi="Times New Roman" w:cs="Times New Roman"/>
          <w:lang w:eastAsia="en-GB"/>
        </w:rPr>
        <w:lastRenderedPageBreak/>
        <w:t>market (Daly, 2016).</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Adaptations to Operations</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 xml:space="preserve">SMBs have demonstrated exceptional adaptability in the face of disruptions in the supply chain. A considerable number of organisations have transitioned from European suppliers to domestic or non-EU sources of materials (Tetley, 2022). The objective of this transition is to alleviate the potential hazards linked to delays in customs and uncertainties in regulations. </w:t>
      </w:r>
      <w:proofErr w:type="gramStart"/>
      <w:r w:rsidRPr="003B5729">
        <w:rPr>
          <w:rFonts w:ascii="Times New Roman" w:eastAsia="Times New Roman" w:hAnsi="Times New Roman" w:cs="Times New Roman"/>
          <w:lang w:eastAsia="en-GB"/>
        </w:rPr>
        <w:t>In order to</w:t>
      </w:r>
      <w:proofErr w:type="gramEnd"/>
      <w:r w:rsidRPr="003B5729">
        <w:rPr>
          <w:rFonts w:ascii="Times New Roman" w:eastAsia="Times New Roman" w:hAnsi="Times New Roman" w:cs="Times New Roman"/>
          <w:lang w:eastAsia="en-GB"/>
        </w:rPr>
        <w:t xml:space="preserve"> ensure uninterrupted operations in the event of supply chain disruptions, small and medium-sized enterprises (SMEs) have augmented their inventory levels (</w:t>
      </w:r>
      <w:proofErr w:type="spellStart"/>
      <w:r w:rsidRPr="003B5729">
        <w:rPr>
          <w:rFonts w:ascii="Times New Roman" w:eastAsia="Times New Roman" w:hAnsi="Times New Roman" w:cs="Times New Roman"/>
          <w:lang w:eastAsia="en-GB"/>
        </w:rPr>
        <w:t>Alwan</w:t>
      </w:r>
      <w:proofErr w:type="spellEnd"/>
      <w:r w:rsidRPr="003B5729">
        <w:rPr>
          <w:rFonts w:ascii="Times New Roman" w:eastAsia="Times New Roman" w:hAnsi="Times New Roman" w:cs="Times New Roman"/>
          <w:lang w:eastAsia="en-GB"/>
        </w:rPr>
        <w:t xml:space="preserve"> et al., 2023). Although this approach improves operational resilience, it also introduces storage expenses and inventory obsolescence risks, which are especially detrimental for organisations handling perishable products (Sandford, 2022).</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Financial Strain and Adjustments to the Financial Strategy</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 xml:space="preserve">The SME financial environment has become progressively more intricate and demanding. The implementation of tariffs and the subsequent administrative demands associated with adhering to novel customs protocols have resulted in increased operational costs for small and medium-sized enterprises (SMEs). A decline in sales </w:t>
      </w:r>
      <w:proofErr w:type="gramStart"/>
      <w:r w:rsidRPr="003B5729">
        <w:rPr>
          <w:rFonts w:ascii="Times New Roman" w:eastAsia="Times New Roman" w:hAnsi="Times New Roman" w:cs="Times New Roman"/>
          <w:lang w:eastAsia="en-GB"/>
        </w:rPr>
        <w:t>as a result of</w:t>
      </w:r>
      <w:proofErr w:type="gramEnd"/>
      <w:r w:rsidRPr="003B5729">
        <w:rPr>
          <w:rFonts w:ascii="Times New Roman" w:eastAsia="Times New Roman" w:hAnsi="Times New Roman" w:cs="Times New Roman"/>
          <w:lang w:eastAsia="en-GB"/>
        </w:rPr>
        <w:t xml:space="preserve"> diminished market access and competitiveness in the European Union further compounds the financial burden (Born et al., 2019). SME owners are deferring significant investments and implementing more conservative financial strategies </w:t>
      </w:r>
      <w:proofErr w:type="gramStart"/>
      <w:r w:rsidRPr="003B5729">
        <w:rPr>
          <w:rFonts w:ascii="Times New Roman" w:eastAsia="Times New Roman" w:hAnsi="Times New Roman" w:cs="Times New Roman"/>
          <w:lang w:eastAsia="en-GB"/>
        </w:rPr>
        <w:t>in order to</w:t>
      </w:r>
      <w:proofErr w:type="gramEnd"/>
      <w:r w:rsidRPr="003B5729">
        <w:rPr>
          <w:rFonts w:ascii="Times New Roman" w:eastAsia="Times New Roman" w:hAnsi="Times New Roman" w:cs="Times New Roman"/>
          <w:lang w:eastAsia="en-GB"/>
        </w:rPr>
        <w:t xml:space="preserve"> position themselves more favourably in an uncertain market (Williams and Murphy, 2023).</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Modifying Organisational Strategies</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 xml:space="preserve">Because of Brexit, SMBs have been compelled to extensively </w:t>
      </w:r>
      <w:proofErr w:type="spellStart"/>
      <w:r w:rsidRPr="003B5729">
        <w:rPr>
          <w:rFonts w:ascii="Times New Roman" w:eastAsia="Times New Roman" w:hAnsi="Times New Roman" w:cs="Times New Roman"/>
          <w:lang w:eastAsia="en-GB"/>
        </w:rPr>
        <w:t>reevaluate</w:t>
      </w:r>
      <w:proofErr w:type="spellEnd"/>
      <w:r w:rsidRPr="003B5729">
        <w:rPr>
          <w:rFonts w:ascii="Times New Roman" w:eastAsia="Times New Roman" w:hAnsi="Times New Roman" w:cs="Times New Roman"/>
          <w:lang w:eastAsia="en-GB"/>
        </w:rPr>
        <w:t xml:space="preserve"> and modify their business strategies. Numerous small and medium-sized enterprises (SMEs) are undertaking extensive market research to gain insights into regulatory environments and emerging consumer preferences beyond the European Union (Sandford, 2022). This strategic shift is not a plain reactionary action, but rather a purposeful endeavour to identify and capitalise on fresh prospects, thereby guaranteeing expansion and longevity in the aftermath of Brexit.</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The diversification of markets</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 xml:space="preserve">There is a noticeable inclination among small and medium-sized enterprises (SMEs) to decrease their reliance on the European Union market by investigating alternative markets in Asia, Africa, and the Americas (Ates and </w:t>
      </w:r>
      <w:proofErr w:type="spellStart"/>
      <w:r w:rsidRPr="003B5729">
        <w:rPr>
          <w:rFonts w:ascii="Times New Roman" w:eastAsia="Times New Roman" w:hAnsi="Times New Roman" w:cs="Times New Roman"/>
          <w:lang w:eastAsia="en-GB"/>
        </w:rPr>
        <w:t>Acur</w:t>
      </w:r>
      <w:proofErr w:type="spellEnd"/>
      <w:r w:rsidRPr="003B5729">
        <w:rPr>
          <w:rFonts w:ascii="Times New Roman" w:eastAsia="Times New Roman" w:hAnsi="Times New Roman" w:cs="Times New Roman"/>
          <w:lang w:eastAsia="en-GB"/>
        </w:rPr>
        <w:t xml:space="preserve">, 2022). Exploring new procurement options and entering new consumer markets are examples of diversification strategies (Bloom et al., 2019). These initiatives require adjustments to be made to product and marketing strategies </w:t>
      </w:r>
      <w:proofErr w:type="gramStart"/>
      <w:r w:rsidRPr="003B5729">
        <w:rPr>
          <w:rFonts w:ascii="Times New Roman" w:eastAsia="Times New Roman" w:hAnsi="Times New Roman" w:cs="Times New Roman"/>
          <w:lang w:eastAsia="en-GB"/>
        </w:rPr>
        <w:t>in order to</w:t>
      </w:r>
      <w:proofErr w:type="gramEnd"/>
      <w:r w:rsidRPr="003B5729">
        <w:rPr>
          <w:rFonts w:ascii="Times New Roman" w:eastAsia="Times New Roman" w:hAnsi="Times New Roman" w:cs="Times New Roman"/>
          <w:lang w:eastAsia="en-GB"/>
        </w:rPr>
        <w:t xml:space="preserve"> accommodate the varying requirements of customers and comply with local regulations.</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Obstacles in Regulatory Compliance</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 xml:space="preserve">SME compliance with the dual regulatory environments of the United Kingdom and the European Union is extremely difficult. Complying with two sets of regulations necessitates significant financial investment and administrative labour, which can be especially burdensome for smaller businesses (Vu and Christian, 2023). These obstacles frequently </w:t>
      </w:r>
      <w:r w:rsidRPr="003B5729">
        <w:rPr>
          <w:rFonts w:ascii="Times New Roman" w:eastAsia="Times New Roman" w:hAnsi="Times New Roman" w:cs="Times New Roman"/>
          <w:lang w:eastAsia="en-GB"/>
        </w:rPr>
        <w:lastRenderedPageBreak/>
        <w:t>necessitate that SMBs seek outside expertise, which further depletes their financial resources.</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Financial Adaptation and Changes in Strategic Investment</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t>Notwithstanding the financial challenges they face, certain small and medium-sized enterprises (SMEs) are making strategic investments in technology and digital transformation with the aim of augmenting operational effectiveness and competitiveness. Automation and enhanced logistical system investments are considered essential for sustaining competitiveness in a business environment characterised by swift transformations (Born et al., 2019).</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Continuity and Business Resilience in the Face of Brexit Obstacles</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Amid these obstacles, small and medium-sized enterprises (SMEs) have exhibited remarkable fortitude and adaptability. The implementation of adapted business models and strategies has enabled small and medium-sized enterprises (SMEs) to sustain operations and alleviate the repercussions of Brexit. Their ability to swiftly adapt to evolving regulatory frameworks and market conditions demonstrates their robustness and potential for success in the aftermath of Brexit (Yasin and Hafeez, 2022).</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r w:rsidRPr="003B5729">
        <w:rPr>
          <w:rFonts w:ascii="Times New Roman" w:eastAsia="Times New Roman" w:hAnsi="Times New Roman" w:cs="Times New Roman"/>
          <w:b/>
          <w:bCs/>
          <w:i/>
          <w:iCs/>
          <w:u w:val="single"/>
          <w:lang w:eastAsia="en-GB"/>
        </w:rPr>
        <w:t>To conclude,</w:t>
      </w:r>
      <w:r w:rsidRPr="003B5729">
        <w:rPr>
          <w:rFonts w:ascii="Times New Roman" w:eastAsia="Times New Roman" w:hAnsi="Times New Roman" w:cs="Times New Roman"/>
          <w:b/>
          <w:bCs/>
          <w:i/>
          <w:iCs/>
          <w:u w:val="single"/>
          <w:lang w:eastAsia="en-GB"/>
        </w:rPr>
        <w:br/>
      </w:r>
      <w:r w:rsidRPr="003B5729">
        <w:rPr>
          <w:rFonts w:ascii="Times New Roman" w:eastAsia="Times New Roman" w:hAnsi="Times New Roman" w:cs="Times New Roman"/>
          <w:lang w:eastAsia="en-GB"/>
        </w:rPr>
        <w:br/>
        <w:t>This research demonstrates that although Brexit has presented considerable obstacles for small and medium-sized enterprises (SMEs) in the United Kingdom, it has also stimulated adjustments in trade methodologies and approaches. The results emphasise the crucial significance of adaptability and strategic foresight in navigating the economic environment following Brexit. The ongoing exploration and adaptation of new markets by small and medium-sized enterprises (SMEs) will presumably shape their future course in the realm of international trade.</w:t>
      </w:r>
      <w:r w:rsidRPr="003B5729">
        <w:rPr>
          <w:rFonts w:ascii="Times New Roman" w:eastAsia="Times New Roman" w:hAnsi="Times New Roman" w:cs="Times New Roman"/>
          <w:lang w:eastAsia="en-GB"/>
        </w:rPr>
        <w:br/>
      </w:r>
      <w:r w:rsidRPr="003B5729">
        <w:rPr>
          <w:rFonts w:ascii="Times New Roman" w:eastAsia="Times New Roman" w:hAnsi="Times New Roman" w:cs="Times New Roman"/>
          <w:lang w:eastAsia="en-GB"/>
        </w:rPr>
        <w:br/>
      </w:r>
    </w:p>
    <w:p w14:paraId="74EB1B1B" w14:textId="77777777" w:rsidR="003B5729" w:rsidRPr="003B5729" w:rsidRDefault="003B5729" w:rsidP="003B5729">
      <w:pPr>
        <w:rPr>
          <w:rFonts w:ascii="Times New Roman" w:eastAsia="Times New Roman" w:hAnsi="Times New Roman" w:cs="Times New Roman"/>
          <w:lang w:eastAsia="en-GB"/>
        </w:rPr>
      </w:pPr>
    </w:p>
    <w:p w14:paraId="2AF3BCDF" w14:textId="77777777" w:rsidR="003B5729" w:rsidRPr="003B5729" w:rsidRDefault="003B5729" w:rsidP="003B5729"/>
    <w:p w14:paraId="1905401B" w14:textId="77777777" w:rsidR="00AC14A9" w:rsidRDefault="00AC14A9"/>
    <w:sectPr w:rsidR="00AC1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729"/>
    <w:rsid w:val="003B5729"/>
    <w:rsid w:val="00AC14A9"/>
    <w:rsid w:val="00EF4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E3B0D5"/>
  <w15:chartTrackingRefBased/>
  <w15:docId w15:val="{BB937696-DDD8-5444-8AE4-2F5A8152E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38802">
      <w:bodyDiv w:val="1"/>
      <w:marLeft w:val="0"/>
      <w:marRight w:val="0"/>
      <w:marTop w:val="0"/>
      <w:marBottom w:val="0"/>
      <w:divBdr>
        <w:top w:val="none" w:sz="0" w:space="0" w:color="auto"/>
        <w:left w:val="none" w:sz="0" w:space="0" w:color="auto"/>
        <w:bottom w:val="none" w:sz="0" w:space="0" w:color="auto"/>
        <w:right w:val="none" w:sz="0" w:space="0" w:color="auto"/>
      </w:divBdr>
    </w:div>
    <w:div w:id="564607020">
      <w:bodyDiv w:val="1"/>
      <w:marLeft w:val="0"/>
      <w:marRight w:val="0"/>
      <w:marTop w:val="0"/>
      <w:marBottom w:val="0"/>
      <w:divBdr>
        <w:top w:val="none" w:sz="0" w:space="0" w:color="auto"/>
        <w:left w:val="none" w:sz="0" w:space="0" w:color="auto"/>
        <w:bottom w:val="none" w:sz="0" w:space="0" w:color="auto"/>
        <w:right w:val="none" w:sz="0" w:space="0" w:color="auto"/>
      </w:divBdr>
    </w:div>
    <w:div w:id="889656741">
      <w:bodyDiv w:val="1"/>
      <w:marLeft w:val="0"/>
      <w:marRight w:val="0"/>
      <w:marTop w:val="0"/>
      <w:marBottom w:val="0"/>
      <w:divBdr>
        <w:top w:val="none" w:sz="0" w:space="0" w:color="auto"/>
        <w:left w:val="none" w:sz="0" w:space="0" w:color="auto"/>
        <w:bottom w:val="none" w:sz="0" w:space="0" w:color="auto"/>
        <w:right w:val="none" w:sz="0" w:space="0" w:color="auto"/>
      </w:divBdr>
    </w:div>
    <w:div w:id="2010407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1220</Words>
  <Characters>6959</Characters>
  <Application>Microsoft Office Word</Application>
  <DocSecurity>0</DocSecurity>
  <Lines>57</Lines>
  <Paragraphs>16</Paragraphs>
  <ScaleCrop>false</ScaleCrop>
  <Company/>
  <LinksUpToDate>false</LinksUpToDate>
  <CharactersWithSpaces>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S. (2148100)</dc:creator>
  <cp:keywords/>
  <dc:description/>
  <cp:lastModifiedBy>MALIK S. (2148100)</cp:lastModifiedBy>
  <cp:revision>1</cp:revision>
  <dcterms:created xsi:type="dcterms:W3CDTF">2024-05-03T00:26:00Z</dcterms:created>
  <dcterms:modified xsi:type="dcterms:W3CDTF">2024-05-03T00:30:00Z</dcterms:modified>
</cp:coreProperties>
</file>