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5FBA8B" w14:textId="77777777" w:rsidR="00521015" w:rsidRPr="00491BB6" w:rsidRDefault="00521015" w:rsidP="00491BB6">
      <w:pPr>
        <w:spacing w:line="480" w:lineRule="auto"/>
        <w:jc w:val="center"/>
      </w:pPr>
    </w:p>
    <w:p w14:paraId="4A5FBA8C" w14:textId="77777777" w:rsidR="00521015" w:rsidRPr="00491BB6" w:rsidRDefault="00000000" w:rsidP="00491BB6">
      <w:pPr>
        <w:spacing w:after="200" w:line="480" w:lineRule="auto"/>
        <w:jc w:val="center"/>
      </w:pPr>
      <w:r w:rsidRPr="00491BB6">
        <w:rPr>
          <w:b/>
          <w:bCs/>
        </w:rPr>
        <w:t>MSc Public Health and Social Care in Practice</w:t>
      </w:r>
    </w:p>
    <w:p w14:paraId="4A5FBA8D" w14:textId="77777777" w:rsidR="00521015" w:rsidRPr="00491BB6" w:rsidRDefault="00000000" w:rsidP="00491BB6">
      <w:pPr>
        <w:spacing w:after="200" w:line="480" w:lineRule="auto"/>
        <w:jc w:val="center"/>
      </w:pPr>
      <w:r w:rsidRPr="00491BB6">
        <w:rPr>
          <w:b/>
          <w:bCs/>
        </w:rPr>
        <w:t>Service Integration and Partnership Working</w:t>
      </w:r>
    </w:p>
    <w:p w14:paraId="4A5FBA8E" w14:textId="77777777" w:rsidR="00521015" w:rsidRPr="00491BB6" w:rsidRDefault="00000000" w:rsidP="00491BB6">
      <w:pPr>
        <w:spacing w:after="400" w:line="480" w:lineRule="auto"/>
        <w:jc w:val="center"/>
      </w:pPr>
      <w:r w:rsidRPr="00491BB6">
        <w:t>LCHS7005</w:t>
      </w:r>
    </w:p>
    <w:p w14:paraId="4A5FBA8F" w14:textId="77777777" w:rsidR="00521015" w:rsidRPr="00491BB6" w:rsidRDefault="00521015" w:rsidP="00491BB6">
      <w:pPr>
        <w:spacing w:line="480" w:lineRule="auto"/>
        <w:jc w:val="center"/>
      </w:pPr>
    </w:p>
    <w:p w14:paraId="4A5FBA90" w14:textId="77777777" w:rsidR="00521015" w:rsidRPr="00491BB6" w:rsidRDefault="00521015" w:rsidP="00491BB6">
      <w:pPr>
        <w:spacing w:line="480" w:lineRule="auto"/>
        <w:jc w:val="center"/>
      </w:pPr>
    </w:p>
    <w:p w14:paraId="4A5FBA91" w14:textId="77777777" w:rsidR="00521015" w:rsidRPr="00491BB6" w:rsidRDefault="00000000" w:rsidP="00491BB6">
      <w:pPr>
        <w:spacing w:before="80" w:after="80" w:line="480" w:lineRule="auto"/>
        <w:jc w:val="center"/>
      </w:pPr>
      <w:r w:rsidRPr="00491BB6">
        <w:rPr>
          <w:b/>
          <w:bCs/>
        </w:rPr>
        <w:t xml:space="preserve">Student Name: </w:t>
      </w:r>
      <w:r w:rsidRPr="00491BB6">
        <w:t>Ronak Yusuf Sheikh</w:t>
      </w:r>
    </w:p>
    <w:p w14:paraId="4A5FBA92" w14:textId="77777777" w:rsidR="00521015" w:rsidRPr="00491BB6" w:rsidRDefault="00000000" w:rsidP="00491BB6">
      <w:pPr>
        <w:spacing w:before="80" w:after="80" w:line="480" w:lineRule="auto"/>
        <w:jc w:val="center"/>
      </w:pPr>
      <w:r w:rsidRPr="00491BB6">
        <w:rPr>
          <w:b/>
          <w:bCs/>
        </w:rPr>
        <w:t xml:space="preserve">Student Number: </w:t>
      </w:r>
      <w:r w:rsidRPr="00491BB6">
        <w:t>2436884</w:t>
      </w:r>
    </w:p>
    <w:p w14:paraId="4A5FBA93" w14:textId="77777777" w:rsidR="00521015" w:rsidRPr="00491BB6" w:rsidRDefault="00000000" w:rsidP="00491BB6">
      <w:pPr>
        <w:spacing w:before="80" w:after="80" w:line="480" w:lineRule="auto"/>
        <w:jc w:val="center"/>
      </w:pPr>
      <w:r w:rsidRPr="00491BB6">
        <w:rPr>
          <w:b/>
          <w:bCs/>
        </w:rPr>
        <w:t xml:space="preserve">Module Code: </w:t>
      </w:r>
      <w:r w:rsidRPr="00491BB6">
        <w:t>LCHS7005</w:t>
      </w:r>
    </w:p>
    <w:p w14:paraId="1114910D" w14:textId="77777777" w:rsidR="00C3200C" w:rsidRPr="00491BB6" w:rsidRDefault="00C3200C" w:rsidP="00491BB6">
      <w:pPr>
        <w:spacing w:before="80" w:after="80" w:line="480" w:lineRule="auto"/>
        <w:jc w:val="center"/>
      </w:pPr>
    </w:p>
    <w:p w14:paraId="7148EC0F" w14:textId="77777777" w:rsidR="00633812" w:rsidRPr="00491BB6" w:rsidRDefault="00633812" w:rsidP="00491BB6">
      <w:pPr>
        <w:spacing w:before="80" w:after="80" w:line="480" w:lineRule="auto"/>
        <w:jc w:val="center"/>
      </w:pPr>
    </w:p>
    <w:p w14:paraId="4A5FBA94" w14:textId="77777777" w:rsidR="00521015" w:rsidRPr="00491BB6" w:rsidRDefault="00000000" w:rsidP="00491BB6">
      <w:pPr>
        <w:spacing w:before="80" w:after="80" w:line="480" w:lineRule="auto"/>
        <w:jc w:val="center"/>
      </w:pPr>
      <w:r w:rsidRPr="00491BB6">
        <w:rPr>
          <w:b/>
          <w:bCs/>
        </w:rPr>
        <w:t xml:space="preserve">Module Title: </w:t>
      </w:r>
      <w:r w:rsidRPr="00491BB6">
        <w:t>Service Integration and Partnership Working</w:t>
      </w:r>
    </w:p>
    <w:p w14:paraId="4A5FBA95" w14:textId="77777777" w:rsidR="00521015" w:rsidRPr="00491BB6" w:rsidRDefault="00000000" w:rsidP="00491BB6">
      <w:pPr>
        <w:spacing w:before="80" w:after="80" w:line="480" w:lineRule="auto"/>
        <w:jc w:val="center"/>
      </w:pPr>
      <w:r w:rsidRPr="00491BB6">
        <w:rPr>
          <w:b/>
          <w:bCs/>
        </w:rPr>
        <w:t xml:space="preserve">Programme: </w:t>
      </w:r>
      <w:r w:rsidRPr="00491BB6">
        <w:t>MSc Public Health and Social Care in Practice</w:t>
      </w:r>
    </w:p>
    <w:p w14:paraId="4A5FBA96" w14:textId="77777777" w:rsidR="00521015" w:rsidRPr="00491BB6" w:rsidRDefault="00000000" w:rsidP="00491BB6">
      <w:pPr>
        <w:spacing w:before="80" w:after="80" w:line="480" w:lineRule="auto"/>
        <w:jc w:val="center"/>
      </w:pPr>
      <w:r w:rsidRPr="00491BB6">
        <w:rPr>
          <w:b/>
          <w:bCs/>
        </w:rPr>
        <w:t xml:space="preserve">Lecturer: </w:t>
      </w:r>
      <w:r w:rsidRPr="00491BB6">
        <w:t>Diola Bijlhout</w:t>
      </w:r>
    </w:p>
    <w:p w14:paraId="4A5FBA97" w14:textId="77777777" w:rsidR="00521015" w:rsidRPr="00491BB6" w:rsidRDefault="00000000" w:rsidP="00491BB6">
      <w:pPr>
        <w:spacing w:before="80" w:after="80" w:line="480" w:lineRule="auto"/>
        <w:jc w:val="center"/>
      </w:pPr>
      <w:r w:rsidRPr="00491BB6">
        <w:rPr>
          <w:b/>
          <w:bCs/>
        </w:rPr>
        <w:t xml:space="preserve">Assignment Title: </w:t>
      </w:r>
      <w:r w:rsidRPr="00491BB6">
        <w:t>Component 2 — Reflective Report</w:t>
      </w:r>
    </w:p>
    <w:p w14:paraId="4A5FBA98" w14:textId="77777777" w:rsidR="00521015" w:rsidRPr="00491BB6" w:rsidRDefault="00000000" w:rsidP="00491BB6">
      <w:pPr>
        <w:spacing w:before="80" w:after="80" w:line="480" w:lineRule="auto"/>
        <w:jc w:val="center"/>
      </w:pPr>
      <w:r w:rsidRPr="00491BB6">
        <w:rPr>
          <w:b/>
          <w:bCs/>
        </w:rPr>
        <w:t xml:space="preserve">Submission Date: </w:t>
      </w:r>
      <w:r w:rsidRPr="00491BB6">
        <w:t>27th April 2026</w:t>
      </w:r>
    </w:p>
    <w:p w14:paraId="4A5FBA99" w14:textId="77777777" w:rsidR="00521015" w:rsidRPr="00491BB6" w:rsidRDefault="00521015" w:rsidP="00491BB6">
      <w:pPr>
        <w:spacing w:line="480" w:lineRule="auto"/>
        <w:jc w:val="center"/>
      </w:pPr>
    </w:p>
    <w:p w14:paraId="4A5FBA9A" w14:textId="77777777" w:rsidR="00521015" w:rsidRPr="00491BB6" w:rsidRDefault="00521015" w:rsidP="00491BB6">
      <w:pPr>
        <w:spacing w:line="480" w:lineRule="auto"/>
        <w:jc w:val="center"/>
      </w:pPr>
    </w:p>
    <w:p w14:paraId="4A5FBA9E" w14:textId="77777777" w:rsidR="00521015" w:rsidRPr="00491BB6" w:rsidRDefault="00521015" w:rsidP="00491BB6">
      <w:pPr>
        <w:spacing w:line="480" w:lineRule="auto"/>
        <w:jc w:val="both"/>
        <w:sectPr w:rsidR="00521015" w:rsidRPr="00491BB6">
          <w:pgSz w:w="11906" w:h="16838"/>
          <w:pgMar w:top="1440" w:right="1440" w:bottom="1440" w:left="1440" w:header="708" w:footer="708" w:gutter="0"/>
          <w:cols w:space="720"/>
          <w:docGrid w:linePitch="360"/>
        </w:sectPr>
      </w:pPr>
    </w:p>
    <w:p w14:paraId="4A5FBA9F" w14:textId="77777777" w:rsidR="00521015" w:rsidRPr="00491BB6" w:rsidRDefault="00000000" w:rsidP="00491BB6">
      <w:pPr>
        <w:spacing w:before="320" w:after="160" w:line="480" w:lineRule="auto"/>
        <w:jc w:val="both"/>
      </w:pPr>
      <w:r w:rsidRPr="00491BB6">
        <w:rPr>
          <w:b/>
          <w:bCs/>
        </w:rPr>
        <w:lastRenderedPageBreak/>
        <w:t>INTRODUCTION</w:t>
      </w:r>
    </w:p>
    <w:p w14:paraId="4A5FBAA0" w14:textId="30FCF9F3" w:rsidR="00521015" w:rsidRPr="00491BB6" w:rsidRDefault="002905F8" w:rsidP="00491BB6">
      <w:pPr>
        <w:spacing w:after="160" w:line="480" w:lineRule="auto"/>
        <w:jc w:val="both"/>
      </w:pPr>
      <w:r w:rsidRPr="00491BB6">
        <w:t>England has never needed health and social care services integration as badly as it does currently due to increasing long-term conditions, which are continuously highlighting the structural division that has traditionally defined the relationship between NHS providers and social care arrangements companies (NHS England, 2019). It is a reflection report on my learning during the module LCHS7005: Service Integration and Partnership Working, in relation to my input in developing DiaWell LU4: a proposed integrated diabetes care and prevention centre to serve the LU4 community of Luton</w:t>
      </w:r>
      <w:r w:rsidR="00E65F65">
        <w:t>,</w:t>
      </w:r>
      <w:r w:rsidRPr="00491BB6">
        <w:t xml:space="preserve"> through a tri-sector partnership of the NHS, Luton Borough Council and </w:t>
      </w:r>
      <w:r w:rsidR="00E65F65">
        <w:t xml:space="preserve">the </w:t>
      </w:r>
      <w:r w:rsidRPr="00491BB6">
        <w:t>voluntary sector.</w:t>
      </w:r>
    </w:p>
    <w:p w14:paraId="4A5FBAA1" w14:textId="3C3D8FD4" w:rsidR="00521015" w:rsidRPr="00491BB6" w:rsidRDefault="002905F8" w:rsidP="00491BB6">
      <w:pPr>
        <w:spacing w:after="160" w:line="480" w:lineRule="auto"/>
        <w:jc w:val="both"/>
      </w:pPr>
      <w:r w:rsidRPr="00491BB6">
        <w:t>The module has fundamentally changed the way I perceive care delivery by pushing me beyond a clinical or task-oriented understanding of care to the realisation that effective integrated care is a social, political</w:t>
      </w:r>
      <w:r w:rsidR="00E65F65">
        <w:t>,</w:t>
      </w:r>
      <w:r w:rsidRPr="00491BB6">
        <w:t xml:space="preserve"> as </w:t>
      </w:r>
      <w:r w:rsidR="00E65F65">
        <w:t>well</w:t>
      </w:r>
      <w:r w:rsidRPr="00491BB6">
        <w:t xml:space="preserve"> as a professional or organisational endeavour. To </w:t>
      </w:r>
      <w:r w:rsidR="00E65F65">
        <w:t>organise</w:t>
      </w:r>
      <w:r w:rsidRPr="00491BB6">
        <w:t xml:space="preserve"> this reflection, I will use the Model of Structured Reflection created by Johns (2000), </w:t>
      </w:r>
      <w:r w:rsidR="00E65F65">
        <w:t>which</w:t>
      </w:r>
      <w:r w:rsidRPr="00491BB6">
        <w:t xml:space="preserve"> urges practitioners to not only look at what </w:t>
      </w:r>
      <w:r w:rsidR="00E65F65">
        <w:t>was done</w:t>
      </w:r>
      <w:r w:rsidRPr="00491BB6">
        <w:t xml:space="preserve"> and what was learned, but how the internal values, assumptions and professional identity influenced the experience itself. The report is structured along four areas: Context, Input, Process and Product.</w:t>
      </w:r>
    </w:p>
    <w:p w14:paraId="4A5FBAA2" w14:textId="77777777" w:rsidR="00521015" w:rsidRPr="00491BB6" w:rsidRDefault="00000000" w:rsidP="00491BB6">
      <w:pPr>
        <w:spacing w:before="320" w:after="160" w:line="480" w:lineRule="auto"/>
        <w:jc w:val="both"/>
      </w:pPr>
      <w:r w:rsidRPr="00491BB6">
        <w:rPr>
          <w:b/>
          <w:bCs/>
        </w:rPr>
        <w:t>CONTEXT</w:t>
      </w:r>
    </w:p>
    <w:p w14:paraId="4A5FBAA3" w14:textId="29AC6DE7" w:rsidR="00521015" w:rsidRPr="00491BB6" w:rsidRDefault="00CC79AF" w:rsidP="00491BB6">
      <w:pPr>
        <w:spacing w:after="160" w:line="480" w:lineRule="auto"/>
        <w:jc w:val="both"/>
      </w:pPr>
      <w:r w:rsidRPr="00491BB6">
        <w:t xml:space="preserve">Going by the model of Johns (2000), the initial question that I need to ask is: </w:t>
      </w:r>
      <w:r w:rsidRPr="00491BB6">
        <w:rPr>
          <w:i/>
          <w:iCs/>
        </w:rPr>
        <w:t xml:space="preserve">what was the situation I encountered? </w:t>
      </w:r>
      <w:r w:rsidRPr="00491BB6">
        <w:t>The response starts with data- and data, which</w:t>
      </w:r>
      <w:r w:rsidR="00E65F65">
        <w:t>,</w:t>
      </w:r>
      <w:r w:rsidRPr="00491BB6">
        <w:t xml:space="preserve"> upon my initial encounter, was truly impressive.</w:t>
      </w:r>
      <w:r w:rsidR="002905F8" w:rsidRPr="00491BB6">
        <w:t xml:space="preserve"> </w:t>
      </w:r>
    </w:p>
    <w:p w14:paraId="4A5FBAA4" w14:textId="6D228D47" w:rsidR="00521015" w:rsidRPr="00491BB6" w:rsidRDefault="00141734" w:rsidP="00491BB6">
      <w:pPr>
        <w:spacing w:after="160" w:line="480" w:lineRule="auto"/>
        <w:jc w:val="both"/>
      </w:pPr>
      <w:r w:rsidRPr="00491BB6">
        <w:t xml:space="preserve">The Luton Joint Strategic Needs Assessment (JSNA) found that the rates of diabetes among adults in the LU4 area </w:t>
      </w:r>
      <w:r w:rsidR="0017492A" w:rsidRPr="00491BB6">
        <w:t>stood at 9.6%</w:t>
      </w:r>
      <w:r w:rsidRPr="00491BB6">
        <w:t xml:space="preserve">, which is significantly higher than the 7.5% of diabetic adults nationwide and ranks Luton as the twelfth in the CIPFA nearest neighbours analysis (Luton Borough Council, 2024). At the national level, Diabetes UK (2023) estimates that there are more than 4.3 million individuals living with diabetes in the UK, and 850000 cases of </w:t>
      </w:r>
      <w:r w:rsidRPr="00491BB6">
        <w:lastRenderedPageBreak/>
        <w:t xml:space="preserve">diabetes are suspected to be undiagnosed, </w:t>
      </w:r>
      <w:r w:rsidR="007F66E2" w:rsidRPr="00491BB6">
        <w:t>a figure that underlines the systemic inadequacy of reactive, clinically-focused service models</w:t>
      </w:r>
      <w:r w:rsidRPr="00491BB6">
        <w:t xml:space="preserve">. Luton in particular, the JSNA also highlighted that </w:t>
      </w:r>
      <w:r w:rsidR="00E65F65">
        <w:t xml:space="preserve">the </w:t>
      </w:r>
      <w:r w:rsidRPr="00491BB6">
        <w:t xml:space="preserve">percentage of adults who are physically active was much lower than the national average, with childhood obesity rates in Year 6 children at Luton </w:t>
      </w:r>
      <w:r w:rsidR="0017492A" w:rsidRPr="00491BB6">
        <w:t>reaching 42.5%</w:t>
      </w:r>
      <w:r w:rsidRPr="00491BB6">
        <w:t xml:space="preserve">, which is significantly </w:t>
      </w:r>
      <w:r w:rsidR="00E65F65">
        <w:t>higher</w:t>
      </w:r>
      <w:r w:rsidRPr="00491BB6">
        <w:t xml:space="preserve"> compared to the national average of 36.6% (Luton Borough Council, 2024). </w:t>
      </w:r>
      <w:r w:rsidR="007F66E2" w:rsidRPr="00491BB6">
        <w:t>These upstream indicators conveyed something important</w:t>
      </w:r>
      <w:r w:rsidRPr="00491BB6">
        <w:t>: there was more to the population presenting with Type 2 diabetes in LU4 than a mere medical cohort - this was a community influenced by profound structural disadvantage.</w:t>
      </w:r>
    </w:p>
    <w:p w14:paraId="4A5FBAA5" w14:textId="3FD6D1CF" w:rsidR="00521015" w:rsidRPr="00491BB6" w:rsidRDefault="00057B2D" w:rsidP="00491BB6">
      <w:pPr>
        <w:spacing w:after="160" w:line="480" w:lineRule="auto"/>
        <w:jc w:val="both"/>
      </w:pPr>
      <w:r w:rsidRPr="00491BB6">
        <w:t>What I found most intellectually challenging was reconciling the clinical framing of diabetes with its social reality</w:t>
      </w:r>
      <w:r w:rsidR="00CC79AF" w:rsidRPr="00491BB6">
        <w:t xml:space="preserve">. In the ten-year review of health equity in England, Marmot et al. (2020) explicitly clarify that the conditions of birth, growth, work, and </w:t>
      </w:r>
      <w:r w:rsidR="00E65F65">
        <w:t>ageing</w:t>
      </w:r>
      <w:r w:rsidR="00CC79AF" w:rsidRPr="00491BB6">
        <w:t xml:space="preserve">- what they refer to as the social determinants of health- largely determine the health outcomes of the population. In England, Luton is the 70th most deprived local authority out of 317, and certain wards are in the most-deprived 10 </w:t>
      </w:r>
      <w:r w:rsidR="00E65F65">
        <w:t>per cent</w:t>
      </w:r>
      <w:r w:rsidR="00CC79AF" w:rsidRPr="00491BB6">
        <w:t xml:space="preserve"> in the country (Luton Borough Council, 2024). The spatial clustering of poverty, low-paid work, housing stress, and poor dietary conditions in Central and Beech Hill areas, in turn, undermined, structurally, an environment conducive to the emergence of Type 2 diabetes and its complications (Marmot et al., 2020; Dahlgren and Whitehead, 1991). </w:t>
      </w:r>
      <w:r w:rsidR="0017492A" w:rsidRPr="00491BB6">
        <w:t xml:space="preserve">Existing service provision, largely delivered through fragmented primary care with minimal social care coordination, </w:t>
      </w:r>
      <w:r w:rsidR="0041199E" w:rsidRPr="00491BB6">
        <w:t>was clearly inadequate to meet a need this deeply rooted in social context</w:t>
      </w:r>
      <w:r w:rsidR="00CC79AF" w:rsidRPr="00491BB6">
        <w:t xml:space="preserve"> (Lippman et al., 2024).</w:t>
      </w:r>
    </w:p>
    <w:p w14:paraId="4A5FBAA6" w14:textId="56605B32" w:rsidR="00521015" w:rsidRPr="00491BB6" w:rsidRDefault="00FD322E" w:rsidP="00491BB6">
      <w:pPr>
        <w:spacing w:after="160" w:line="480" w:lineRule="auto"/>
        <w:jc w:val="both"/>
      </w:pPr>
      <w:r w:rsidRPr="00491BB6">
        <w:t xml:space="preserve">This knowledge explicitly informed the goals and objectives that our group developed around DiaWell LU4: </w:t>
      </w:r>
      <w:r w:rsidR="007F66E2" w:rsidRPr="00491BB6">
        <w:t>to provide integrated care (person-centred, coordinated)</w:t>
      </w:r>
      <w:r w:rsidRPr="00491BB6">
        <w:t xml:space="preserve"> to adults aged 17 and </w:t>
      </w:r>
      <w:r w:rsidR="00E65F65">
        <w:t>older</w:t>
      </w:r>
      <w:r w:rsidRPr="00491BB6">
        <w:t xml:space="preserve">, to transition away from reactive clinical management, and, instead, community-based prevention (World Health </w:t>
      </w:r>
      <w:r w:rsidR="00E65F65">
        <w:t>Organisation</w:t>
      </w:r>
      <w:r w:rsidRPr="00491BB6">
        <w:t xml:space="preserve">, 2016). After introducing holistic, multi-agency care planning and </w:t>
      </w:r>
      <w:r w:rsidR="00E65F65">
        <w:t xml:space="preserve">a </w:t>
      </w:r>
      <w:r w:rsidRPr="00491BB6">
        <w:t xml:space="preserve">shared digital records system to eliminate service fragmentation were specific objectives. Basing these objectives on epidemiological and socioeconomic facts became, in </w:t>
      </w:r>
      <w:r w:rsidRPr="00491BB6">
        <w:lastRenderedPageBreak/>
        <w:t>my view, the lesson of this stage</w:t>
      </w:r>
      <w:r w:rsidR="00E65F65">
        <w:t>,</w:t>
      </w:r>
      <w:r w:rsidRPr="00491BB6">
        <w:t xml:space="preserve"> defining that without population intelligence service design is, at most, myopic and, at worst, out-of-step with the populations it claims to serve.</w:t>
      </w:r>
    </w:p>
    <w:p w14:paraId="4A5FBAA7" w14:textId="77777777" w:rsidR="00521015" w:rsidRPr="00491BB6" w:rsidRDefault="00000000" w:rsidP="00491BB6">
      <w:pPr>
        <w:pStyle w:val="Heading1"/>
        <w:spacing w:line="480" w:lineRule="auto"/>
        <w:rPr>
          <w:sz w:val="22"/>
          <w:szCs w:val="22"/>
        </w:rPr>
      </w:pPr>
      <w:r w:rsidRPr="00491BB6">
        <w:rPr>
          <w:sz w:val="22"/>
          <w:szCs w:val="22"/>
        </w:rPr>
        <w:t>INPUT</w:t>
      </w:r>
    </w:p>
    <w:p w14:paraId="4A5FBAA8" w14:textId="2C60A687" w:rsidR="00521015" w:rsidRPr="00491BB6" w:rsidRDefault="004642BC" w:rsidP="00491BB6">
      <w:pPr>
        <w:spacing w:after="160" w:line="480" w:lineRule="auto"/>
        <w:jc w:val="both"/>
      </w:pPr>
      <w:r w:rsidRPr="00491BB6">
        <w:t xml:space="preserve">Johns (2000) reminds the reflective practitioner: </w:t>
      </w:r>
      <w:r w:rsidRPr="00491BB6">
        <w:rPr>
          <w:i/>
          <w:iCs/>
        </w:rPr>
        <w:t xml:space="preserve">what knowledge informed my actions, and what could have informed them better? </w:t>
      </w:r>
      <w:r w:rsidRPr="00491BB6">
        <w:t>It is exactly this question that my reflection process interacts with, in the Input phase, exploring the theoretical foundations, partnership architecture, resource needs, and obstacles toward the creation of DiaWell LU4.</w:t>
      </w:r>
      <w:r w:rsidR="00FD322E" w:rsidRPr="00491BB6">
        <w:t xml:space="preserve"> </w:t>
      </w:r>
    </w:p>
    <w:p w14:paraId="4A5FBAA9" w14:textId="77777777" w:rsidR="00521015" w:rsidRPr="00491BB6" w:rsidRDefault="00000000" w:rsidP="00491BB6">
      <w:pPr>
        <w:spacing w:before="240" w:after="120" w:line="480" w:lineRule="auto"/>
        <w:jc w:val="both"/>
      </w:pPr>
      <w:r w:rsidRPr="00491BB6">
        <w:rPr>
          <w:b/>
          <w:bCs/>
        </w:rPr>
        <w:t>Frameworks and Principles</w:t>
      </w:r>
    </w:p>
    <w:p w14:paraId="4A5FBAAA" w14:textId="34F64738" w:rsidR="00521015" w:rsidRPr="00491BB6" w:rsidRDefault="0041199E" w:rsidP="00491BB6">
      <w:pPr>
        <w:spacing w:after="160" w:line="480" w:lineRule="auto"/>
        <w:jc w:val="both"/>
      </w:pPr>
      <w:r w:rsidRPr="00491BB6">
        <w:t xml:space="preserve">My contribution to the Introduction section of DiaWell LU4 required serious engagement with the epidemiological evidence base — establishing the population need, contextualising the JSNA data, and framing the rationale for integrated care for the entire presentation. It was here that my learning underwent its most significant transformation. </w:t>
      </w:r>
      <w:r w:rsidR="004642BC" w:rsidRPr="00491BB6">
        <w:t xml:space="preserve">My initial perspective on care coordination in the module was fairly clinical: the presumption that we could gain better outcomes merely by enhancing communication among current services. This was directly disputed by Kodner and Spreeuwenberg (2002) who asserted that a thorough level of integration should </w:t>
      </w:r>
      <w:r w:rsidR="00E65F65">
        <w:t xml:space="preserve">involve </w:t>
      </w:r>
      <w:r w:rsidR="004642BC" w:rsidRPr="00491BB6">
        <w:t xml:space="preserve">all five levels, funding, administrative, organisational, service delivery and clinical, to effectively intervene in the way that a complex population </w:t>
      </w:r>
      <w:r w:rsidR="00E65F65">
        <w:t>needs</w:t>
      </w:r>
      <w:r w:rsidR="004642BC" w:rsidRPr="00491BB6">
        <w:t xml:space="preserve">. </w:t>
      </w:r>
      <w:r w:rsidR="007F66E2" w:rsidRPr="00491BB6">
        <w:t>This entirely reoriented my thinking</w:t>
      </w:r>
      <w:r w:rsidR="004642BC" w:rsidRPr="00491BB6">
        <w:t>: DiaWell LU4 needed to be a fundamentally different system, not merely a better-connected one.</w:t>
      </w:r>
    </w:p>
    <w:p w14:paraId="4A5FBAAB" w14:textId="7502ADD9" w:rsidR="00521015" w:rsidRPr="00491BB6" w:rsidRDefault="004642BC" w:rsidP="00491BB6">
      <w:pPr>
        <w:spacing w:after="160" w:line="480" w:lineRule="auto"/>
        <w:jc w:val="both"/>
      </w:pPr>
      <w:r w:rsidRPr="00491BB6">
        <w:t xml:space="preserve">This was reinforced by the Framework on Integrated, People-Centred Health Services by the World Health </w:t>
      </w:r>
      <w:r w:rsidR="00E65F65">
        <w:t>Organisation</w:t>
      </w:r>
      <w:r w:rsidRPr="00491BB6">
        <w:t xml:space="preserve"> (2016), which made person-centredness the organising principle of true integration. Curry and Ham (2010) also claim that this </w:t>
      </w:r>
      <w:r w:rsidR="00E65F65">
        <w:t>person-centred</w:t>
      </w:r>
      <w:r w:rsidRPr="00491BB6">
        <w:t xml:space="preserve"> care/</w:t>
      </w:r>
      <w:r w:rsidR="00E65F65">
        <w:t>disease-centred</w:t>
      </w:r>
      <w:r w:rsidRPr="00491BB6">
        <w:t xml:space="preserve"> care change is the biggest structural problem of health systems worldwide and needs restructuring of professional values of the entire workforce, rather than organisational redesign.</w:t>
      </w:r>
    </w:p>
    <w:p w14:paraId="4A5FBAAC" w14:textId="77777777" w:rsidR="00521015" w:rsidRPr="00491BB6" w:rsidRDefault="00000000" w:rsidP="00491BB6">
      <w:pPr>
        <w:spacing w:before="240" w:after="120" w:line="480" w:lineRule="auto"/>
        <w:jc w:val="both"/>
      </w:pPr>
      <w:r w:rsidRPr="00491BB6">
        <w:rPr>
          <w:b/>
          <w:bCs/>
        </w:rPr>
        <w:lastRenderedPageBreak/>
        <w:t>Partners and Resources</w:t>
      </w:r>
    </w:p>
    <w:p w14:paraId="4A5FBAAD" w14:textId="1076FAF5" w:rsidR="00521015" w:rsidRPr="00491BB6" w:rsidRDefault="00141734" w:rsidP="00491BB6">
      <w:pPr>
        <w:spacing w:after="160" w:line="480" w:lineRule="auto"/>
        <w:jc w:val="both"/>
      </w:pPr>
      <w:r w:rsidRPr="00491BB6">
        <w:t>DiaWell LU4 model involved four key partners: LU4 GP Consortia, Luton Borough Council Public Health and Adult Social Care, Bedfordshire, Luton and Milton Keynes Integrated Care Board, and Active Luton and the voluntary sector. They were statutorily aligned to the Health and Care Act 2022</w:t>
      </w:r>
      <w:r w:rsidR="00E65F65">
        <w:t>, which</w:t>
      </w:r>
      <w:r w:rsidRPr="00491BB6">
        <w:t xml:space="preserve"> formally incorporated Integrated Care Systems as the legislative framework of place-based commissioning that applied to all </w:t>
      </w:r>
      <w:r w:rsidR="00E65F65">
        <w:t>of England</w:t>
      </w:r>
      <w:r w:rsidRPr="00491BB6">
        <w:t xml:space="preserve"> (Department of Health and Social Care, 2022). The general practitioners, Diabetes Specialist Nurses, dietitians, social workers and community wellbeing officers amounted to the biggest asset and the biggest financial threat of the service, and the estimated cost of running the operations was estimated as </w:t>
      </w:r>
      <w:r w:rsidR="00262014" w:rsidRPr="00491BB6">
        <w:t>£1.5–2.5 million</w:t>
      </w:r>
      <w:r w:rsidRPr="00491BB6">
        <w:t xml:space="preserve"> per year. Structured education, individualised care planning, and HbA1c monitoring were suggested as the key elements of service in clinical design </w:t>
      </w:r>
      <w:r w:rsidR="00057B2D" w:rsidRPr="00491BB6">
        <w:t xml:space="preserve">based on the recommendations of </w:t>
      </w:r>
      <w:r w:rsidR="00E65F65">
        <w:t xml:space="preserve">the </w:t>
      </w:r>
      <w:r w:rsidR="00057B2D" w:rsidRPr="00491BB6">
        <w:t>National Institute for Health and Care Excellence (2022)</w:t>
      </w:r>
      <w:r w:rsidR="004C256F" w:rsidRPr="00491BB6">
        <w:t>.</w:t>
      </w:r>
    </w:p>
    <w:p w14:paraId="4A5FBAAE" w14:textId="77777777" w:rsidR="00521015" w:rsidRPr="00491BB6" w:rsidRDefault="00000000" w:rsidP="00491BB6">
      <w:pPr>
        <w:spacing w:before="240" w:after="120" w:line="480" w:lineRule="auto"/>
        <w:jc w:val="both"/>
      </w:pPr>
      <w:r w:rsidRPr="00491BB6">
        <w:rPr>
          <w:b/>
          <w:bCs/>
        </w:rPr>
        <w:t>Barriers and Contrasting Perspectives</w:t>
      </w:r>
    </w:p>
    <w:p w14:paraId="4A5FBAAF" w14:textId="6DB7678B" w:rsidR="00521015" w:rsidRPr="00491BB6" w:rsidRDefault="005630C7" w:rsidP="00491BB6">
      <w:pPr>
        <w:spacing w:after="160" w:line="480" w:lineRule="auto"/>
        <w:jc w:val="both"/>
      </w:pPr>
      <w:r w:rsidRPr="00491BB6">
        <w:t>I found it one of the most challenging parts of this module, and here two opposing views came out most loudly.</w:t>
      </w:r>
    </w:p>
    <w:p w14:paraId="4A5FBAB0" w14:textId="1661EDA8" w:rsidR="00521015" w:rsidRPr="00491BB6" w:rsidRDefault="00981ACE" w:rsidP="00491BB6">
      <w:pPr>
        <w:spacing w:after="160" w:line="480" w:lineRule="auto"/>
        <w:jc w:val="both"/>
      </w:pPr>
      <w:r w:rsidRPr="00491BB6">
        <w:t xml:space="preserve">The original, based on the medical model of care, considers integration as a means of enhancing clinical efficiency, namely, lowering hospitalisation, enhancing drug compliance, and simplifying the diagnostic process (Nolte and McKee, 2008). In this perspective, the main barriers include technical ones: interoperability of data, GDPR compliance, workforce </w:t>
      </w:r>
      <w:r w:rsidR="00E65F65">
        <w:t>size</w:t>
      </w:r>
      <w:r w:rsidRPr="00491BB6">
        <w:t>, and alignment of clinical governance. These become actual at DiaWell LU4, especially with the suggested shared digital records platform that would need clearly identified data-sharing agreements between organisations, with divergent governance arrangements (Goodwin, 2016).</w:t>
      </w:r>
    </w:p>
    <w:p w14:paraId="4A5FBAB1" w14:textId="04E659E0" w:rsidR="00521015" w:rsidRPr="00491BB6" w:rsidRDefault="00981ACE" w:rsidP="00491BB6">
      <w:pPr>
        <w:spacing w:after="160" w:line="480" w:lineRule="auto"/>
        <w:jc w:val="both"/>
      </w:pPr>
      <w:r w:rsidRPr="00491BB6">
        <w:t xml:space="preserve">The framing is fundamentally challenged by the second view, which is based on the social model of health. Health outcomes, according to Dahlgren and Whitehead (1991), cannot be seriously enhanced by </w:t>
      </w:r>
      <w:r w:rsidR="00E65F65">
        <w:t>service-level</w:t>
      </w:r>
      <w:r w:rsidRPr="00491BB6">
        <w:t xml:space="preserve"> interventions without the intervention of structural factors </w:t>
      </w:r>
      <w:r w:rsidRPr="00491BB6">
        <w:lastRenderedPageBreak/>
        <w:t xml:space="preserve">such as poverty, shelter, employment, and social exclusion. In this perspective, what impedes a population as multiply deprived as LU4 is less technical than political, and entails long-running under-investment in the social infrastructure to render clinical interventions significant (Marmot et al., 2020). </w:t>
      </w:r>
      <w:r w:rsidR="00262014" w:rsidRPr="00491BB6">
        <w:t>On reflection, I find both perspectives necessary but neither sufficient in isolation</w:t>
      </w:r>
      <w:r w:rsidRPr="00491BB6">
        <w:t xml:space="preserve">. DiaWell LU4 had </w:t>
      </w:r>
      <w:r w:rsidR="00E65F65">
        <w:t xml:space="preserve">a </w:t>
      </w:r>
      <w:r w:rsidRPr="00491BB6">
        <w:t>tri-sector model as a true effort to mediate these strategies</w:t>
      </w:r>
      <w:r w:rsidR="00E65F65">
        <w:t>,</w:t>
      </w:r>
      <w:r w:rsidRPr="00491BB6">
        <w:t xml:space="preserve"> but without committed investment in the social factors that cause diabetes risk in Luton, even a </w:t>
      </w:r>
      <w:r w:rsidR="00E65F65">
        <w:t>well-modelled</w:t>
      </w:r>
      <w:r w:rsidRPr="00491BB6">
        <w:t xml:space="preserve"> integrated service has structural constraints on its possible outcomes.</w:t>
      </w:r>
    </w:p>
    <w:p w14:paraId="4A5FBAB2" w14:textId="1989AF4A" w:rsidR="00521015" w:rsidRPr="00491BB6" w:rsidRDefault="00052981" w:rsidP="00491BB6">
      <w:pPr>
        <w:spacing w:after="160" w:line="480" w:lineRule="auto"/>
        <w:jc w:val="both"/>
      </w:pPr>
      <w:r w:rsidRPr="00491BB6">
        <w:t xml:space="preserve">According to this analysis, I would advise future commissioning to directly include social prescribing pathways alongside clinical diabetes management, which have been championed in the NHS Long Term Plan (NHS England, 2019). There is evidence that Type 2 diabetes can be prevented in high-risk groups by up to 26% with properly </w:t>
      </w:r>
      <w:r w:rsidR="00E65F65">
        <w:t>organised</w:t>
      </w:r>
      <w:r w:rsidRPr="00491BB6">
        <w:t>, community-based lifestyle change initiatives undertaken in the community</w:t>
      </w:r>
      <w:r w:rsidR="00E65F65">
        <w:t>,</w:t>
      </w:r>
      <w:r w:rsidRPr="00491BB6">
        <w:t xml:space="preserve"> provided that social factors impeding participation are actively dismantled (NHS England, 2023) - which further supports the argument of a truly integrated, rather than clinically coordinated, model of care. On the best practice level, Statutory Standards: Integrated Care Partnerships (ICPs) under the Health and Care Act 2022 formally organised collaborative place-based integrated care strategies between NHS organisations with other bodies in the voluntary sector as statutory committees, with this model of governance explicitly reflected in the tri-sector model of DiaWell LU4 (The King's Fund, 2022)</w:t>
      </w:r>
    </w:p>
    <w:p w14:paraId="4A5FBAB3" w14:textId="77777777" w:rsidR="00521015" w:rsidRPr="00491BB6" w:rsidRDefault="00000000" w:rsidP="00491BB6">
      <w:pPr>
        <w:spacing w:before="320" w:after="160" w:line="480" w:lineRule="auto"/>
        <w:jc w:val="both"/>
      </w:pPr>
      <w:r w:rsidRPr="00491BB6">
        <w:rPr>
          <w:b/>
          <w:bCs/>
        </w:rPr>
        <w:t>PROCESS</w:t>
      </w:r>
    </w:p>
    <w:p w14:paraId="4A5FBAB4" w14:textId="4EAFC583" w:rsidR="00521015" w:rsidRPr="00491BB6" w:rsidRDefault="00FF4542" w:rsidP="00491BB6">
      <w:pPr>
        <w:spacing w:after="160" w:line="480" w:lineRule="auto"/>
        <w:jc w:val="both"/>
      </w:pPr>
      <w:r w:rsidRPr="00491BB6">
        <w:t xml:space="preserve">Johns (2000) poses the questions that pose the reflective practitioner to consider: </w:t>
      </w:r>
      <w:r w:rsidRPr="00491BB6">
        <w:rPr>
          <w:i/>
          <w:iCs/>
        </w:rPr>
        <w:t xml:space="preserve">how were others feeling, and what influenced how I was feeling? </w:t>
      </w:r>
      <w:r w:rsidRPr="00491BB6">
        <w:t>The most personally demanding question, the most informative of the whole module</w:t>
      </w:r>
      <w:r w:rsidR="00E65F65">
        <w:t>,</w:t>
      </w:r>
      <w:r w:rsidRPr="00491BB6">
        <w:t xml:space="preserve"> in my reflection of the group working experience that resulted in DiaWell LU4 is this one.</w:t>
      </w:r>
    </w:p>
    <w:p w14:paraId="4A5FBAB5" w14:textId="6C6EEBD0" w:rsidR="00521015" w:rsidRPr="00491BB6" w:rsidRDefault="0041199E" w:rsidP="00491BB6">
      <w:pPr>
        <w:spacing w:after="160" w:line="480" w:lineRule="auto"/>
        <w:jc w:val="both"/>
      </w:pPr>
      <w:r w:rsidRPr="00491BB6">
        <w:t xml:space="preserve">My responsibility within the group centred upon the Introduction section — establishing the epidemiological context, identifying population need through the JSNA data, and framing the </w:t>
      </w:r>
      <w:r w:rsidRPr="00491BB6">
        <w:lastRenderedPageBreak/>
        <w:t xml:space="preserve">rationale for service integration for the entire presentation. Working collaboratively on this role exposed me, perhaps for the first time, to the genuine complexity of interprofessional coordination. </w:t>
      </w:r>
      <w:r w:rsidR="00FF4542" w:rsidRPr="00491BB6">
        <w:t xml:space="preserve">According to D'Amour et al. (2005), interprofessional collaboration is a dynamic process that involves the process of structuring collective action intentionally, which is supported by shared goals, formalised interaction and recognition of professional contributions. This description was more or less what I went through in practice, but it also demonstrated how challenging </w:t>
      </w:r>
      <w:r w:rsidR="00E65F65">
        <w:t xml:space="preserve">it </w:t>
      </w:r>
      <w:r w:rsidR="00FF4542" w:rsidRPr="00491BB6">
        <w:t xml:space="preserve">is </w:t>
      </w:r>
      <w:r w:rsidR="00E65F65">
        <w:t>to structure</w:t>
      </w:r>
      <w:r w:rsidR="00FF4542" w:rsidRPr="00491BB6">
        <w:t xml:space="preserve"> to accomplish, even within a confined scholarly context.</w:t>
      </w:r>
    </w:p>
    <w:p w14:paraId="4A5FBAB6" w14:textId="2C935A2F" w:rsidR="00521015" w:rsidRPr="00491BB6" w:rsidRDefault="00FF4542" w:rsidP="00491BB6">
      <w:pPr>
        <w:spacing w:after="160" w:line="480" w:lineRule="auto"/>
        <w:jc w:val="both"/>
      </w:pPr>
      <w:r w:rsidRPr="00491BB6">
        <w:t xml:space="preserve">I soon </w:t>
      </w:r>
      <w:r w:rsidR="00E65F65">
        <w:t>realised</w:t>
      </w:r>
      <w:r w:rsidRPr="00491BB6">
        <w:t xml:space="preserve"> during the process that there were divergent visions among group members about the practical aspect of service integration. </w:t>
      </w:r>
      <w:r w:rsidR="007F66E2" w:rsidRPr="00491BB6">
        <w:t>Some members approached the task</w:t>
      </w:r>
      <w:r w:rsidRPr="00491BB6">
        <w:t xml:space="preserve"> with a clinical management view of it, and others (including me) were more and more convinced by the social determinants literature that the service design must go far beyond clinical alignment. </w:t>
      </w:r>
      <w:r w:rsidR="007F66E2" w:rsidRPr="00491BB6">
        <w:t>Navigating this intellectual tension constructively, rather than allowing it to become a source of friction, required skills in collaborative negotiation that I had not previously recognised as a professional competency</w:t>
      </w:r>
      <w:r w:rsidRPr="00491BB6">
        <w:t>. Reeves et al. (2010) state that effective interprofessional teamworking is not so much about the eradication of professional difference as about its effective channelling</w:t>
      </w:r>
      <w:r w:rsidR="00236CB5" w:rsidRPr="00491BB6">
        <w:t xml:space="preserve"> — a view supported by Bendowska and Baum (2023), whose research highlights that meaningful cooperation within interdisciplinary health care teams is central to delivering effective outcomes</w:t>
      </w:r>
      <w:r w:rsidRPr="00491BB6">
        <w:t>.</w:t>
      </w:r>
    </w:p>
    <w:p w14:paraId="4A5FBAB7" w14:textId="5B0F868B" w:rsidR="00521015" w:rsidRPr="00491BB6" w:rsidRDefault="00FF4542" w:rsidP="00491BB6">
      <w:pPr>
        <w:spacing w:after="160" w:line="480" w:lineRule="auto"/>
        <w:jc w:val="both"/>
      </w:pPr>
      <w:r w:rsidRPr="00491BB6">
        <w:t xml:space="preserve">I also, with sincerity, acknowledge that there were instances when I caved in on the views of others instead of expressing my own, more evidenced, point of view. </w:t>
      </w:r>
      <w:r w:rsidR="00E65F65">
        <w:t>John's</w:t>
      </w:r>
      <w:r w:rsidRPr="00491BB6">
        <w:t xml:space="preserve"> (2000) specifically beckons us to consider the limitations that inform the actions of practitioners</w:t>
      </w:r>
      <w:r w:rsidR="00E65F65">
        <w:t>,</w:t>
      </w:r>
      <w:r w:rsidRPr="00491BB6">
        <w:t xml:space="preserve"> and in my case, group-based professional diffidence is one of the aspects that I would consider to develop. In the future, I will focus on ensuring that I acquire the assertive communication skills described by Forman et al. (2009) to be critical to successful contribution to multidisciplinary health and social care teams</w:t>
      </w:r>
      <w:r w:rsidR="00E65F65">
        <w:t>,</w:t>
      </w:r>
      <w:r w:rsidRPr="00491BB6">
        <w:t xml:space="preserve"> and that the motivating factor is often not consensus-seeking but constructive professional challenge.</w:t>
      </w:r>
    </w:p>
    <w:p w14:paraId="4A5FBAB8" w14:textId="77777777" w:rsidR="00521015" w:rsidRPr="00491BB6" w:rsidRDefault="00000000" w:rsidP="00491BB6">
      <w:pPr>
        <w:spacing w:before="320" w:after="160" w:line="480" w:lineRule="auto"/>
        <w:jc w:val="both"/>
      </w:pPr>
      <w:r w:rsidRPr="00491BB6">
        <w:rPr>
          <w:b/>
          <w:bCs/>
        </w:rPr>
        <w:lastRenderedPageBreak/>
        <w:t>PRODUCT</w:t>
      </w:r>
    </w:p>
    <w:p w14:paraId="4A5FBAB9" w14:textId="5CA8FEE1" w:rsidR="00521015" w:rsidRPr="00491BB6" w:rsidRDefault="00994503" w:rsidP="00491BB6">
      <w:pPr>
        <w:spacing w:after="160" w:line="480" w:lineRule="auto"/>
        <w:jc w:val="both"/>
      </w:pPr>
      <w:r w:rsidRPr="00491BB6">
        <w:t xml:space="preserve">Johns (2000) ends his reflective model with a query: </w:t>
      </w:r>
      <w:r w:rsidRPr="00491BB6">
        <w:rPr>
          <w:i/>
          <w:iCs/>
        </w:rPr>
        <w:t xml:space="preserve">what would I do differently, and what have I learned? </w:t>
      </w:r>
      <w:r w:rsidRPr="00491BB6">
        <w:t>To assess the product of the DiaWell LU4 project in this light entails a truthful admission of the gains the group made and also a severe criticism of where the work did not meet the needs of what a fully realised integrated service would require.</w:t>
      </w:r>
    </w:p>
    <w:p w14:paraId="4A5FBABA" w14:textId="63A99C8A" w:rsidR="00521015" w:rsidRPr="00491BB6" w:rsidRDefault="00994503" w:rsidP="00491BB6">
      <w:pPr>
        <w:spacing w:after="160" w:line="480" w:lineRule="auto"/>
        <w:jc w:val="both"/>
      </w:pPr>
      <w:r w:rsidRPr="00491BB6">
        <w:t xml:space="preserve">Regarding what was accomplished, DiaWell LU4 has developed </w:t>
      </w:r>
      <w:r w:rsidR="007F66E2" w:rsidRPr="00491BB6">
        <w:t>a credible, evidence-based integrated care model</w:t>
      </w:r>
      <w:r w:rsidRPr="00491BB6">
        <w:t xml:space="preserve"> with </w:t>
      </w:r>
      <w:r w:rsidR="00E65F65">
        <w:t xml:space="preserve">a </w:t>
      </w:r>
      <w:r w:rsidRPr="00491BB6">
        <w:t xml:space="preserve">definite population scope, a clear partnership framework, quantifiable goals, and clear alignment with national policy frameworks such as the NHS Long Term Plan (NHS England, 2019) and the Health and Care Act 2022 (Department of Health and Social Care, 2022). In the case of a hypothetical service design created in an academic setting, this was a </w:t>
      </w:r>
      <w:r w:rsidR="00E65F65">
        <w:t>real-sized</w:t>
      </w:r>
      <w:r w:rsidRPr="00491BB6">
        <w:t xml:space="preserve"> slice of group effort. The clear evidence based on Luton JSNA information, the use of the multi-level integration theory, social prescribing and community-based prevention and clinical management</w:t>
      </w:r>
      <w:r w:rsidR="00E65F65">
        <w:t>,</w:t>
      </w:r>
      <w:r w:rsidRPr="00491BB6">
        <w:t xml:space="preserve"> all showed a degree of analytical rigour that </w:t>
      </w:r>
      <w:r w:rsidR="00F5279F" w:rsidRPr="00491BB6">
        <w:t>I believe would withstand serious scrutiny in a commissioning environment</w:t>
      </w:r>
      <w:r w:rsidRPr="00491BB6">
        <w:t>.</w:t>
      </w:r>
    </w:p>
    <w:p w14:paraId="4A5FBABB" w14:textId="67AE37FE" w:rsidR="00521015" w:rsidRPr="00491BB6" w:rsidRDefault="00994503" w:rsidP="00491BB6">
      <w:pPr>
        <w:spacing w:after="160" w:line="480" w:lineRule="auto"/>
        <w:jc w:val="both"/>
      </w:pPr>
      <w:r w:rsidRPr="00491BB6">
        <w:t>Nonetheless,</w:t>
      </w:r>
      <w:r w:rsidR="00A62FDA" w:rsidRPr="00491BB6">
        <w:t xml:space="preserve"> </w:t>
      </w:r>
      <w:r w:rsidR="00057B2D" w:rsidRPr="00491BB6">
        <w:t>critical honesty requires me to acknowledge the limitations</w:t>
      </w:r>
      <w:r w:rsidRPr="00491BB6">
        <w:t>. Nolte and Pitchforth (2014) warn that integrated care models created on either a strategic or even an academic level often overestimate the operational-level implementation hassles</w:t>
      </w:r>
      <w:r w:rsidR="00E65F65">
        <w:t>,</w:t>
      </w:r>
      <w:r w:rsidRPr="00491BB6">
        <w:t xml:space="preserve"> such as workforce behaviour, cultural resistance, and operational realities of cross-organisational working. The dynamics could not be fully explained by DiaWell LU4, which is a proposed framework and not a functional service. Considering this, I realise that </w:t>
      </w:r>
      <w:r w:rsidR="00F5279F" w:rsidRPr="00491BB6">
        <w:t>the gap between a well-designed integration model and a sustainably delivered one is not primarily a policy gap — it is a leadership, relationships, and workforce capability gap that no framework document alone can close</w:t>
      </w:r>
      <w:r w:rsidRPr="00491BB6">
        <w:t xml:space="preserve"> (Øvretveit, 2011).</w:t>
      </w:r>
    </w:p>
    <w:p w14:paraId="4A5FBABC" w14:textId="5CEEDDD6" w:rsidR="00521015" w:rsidRPr="00491BB6" w:rsidRDefault="00994503" w:rsidP="00491BB6">
      <w:pPr>
        <w:spacing w:after="160" w:line="480" w:lineRule="auto"/>
        <w:jc w:val="both"/>
      </w:pPr>
      <w:r w:rsidRPr="00491BB6">
        <w:t xml:space="preserve">This </w:t>
      </w:r>
      <w:r w:rsidR="00E65F65">
        <w:t>realisation</w:t>
      </w:r>
      <w:r w:rsidRPr="00491BB6">
        <w:t xml:space="preserve"> has significantly influenced my perception of professional competencies of effective integrated care. </w:t>
      </w:r>
      <w:r w:rsidR="00AD2787" w:rsidRPr="00491BB6">
        <w:t>According to Tazzyman et al. (2021)</w:t>
      </w:r>
      <w:r w:rsidRPr="00491BB6">
        <w:t xml:space="preserve">, the key competency of HSC professionals working in an integrated care environment </w:t>
      </w:r>
      <w:r w:rsidR="007F66E2" w:rsidRPr="00491BB6">
        <w:t xml:space="preserve">comprises systems leadership — the </w:t>
      </w:r>
      <w:r w:rsidR="007F66E2" w:rsidRPr="00491BB6">
        <w:lastRenderedPageBreak/>
        <w:t>capacity to work across</w:t>
      </w:r>
      <w:r w:rsidRPr="00491BB6">
        <w:t xml:space="preserve"> organisational and professional borders towards shared population health objectives. Together with this, I cite culturally responsive practice as a necessity due to </w:t>
      </w:r>
      <w:r w:rsidR="00E65F65">
        <w:t>Luton's</w:t>
      </w:r>
      <w:r w:rsidRPr="00491BB6">
        <w:t xml:space="preserve"> exceptionally diverse ethnic composition</w:t>
      </w:r>
      <w:r w:rsidR="00E65F65">
        <w:t>,</w:t>
      </w:r>
      <w:r w:rsidRPr="00491BB6">
        <w:t xml:space="preserve"> with an estimated 150 languages and dialects spoken throughout the borough (Luton Borough Council, 2024). According to Betancourt et al. (2003), cultural competence is never an extra professional ability, but a prerequisite of providing equitable care to the wide urban populations, and the concept that DiaWell LU4 considered structurally through its voluntary sector alliances</w:t>
      </w:r>
      <w:r w:rsidR="00E65F65">
        <w:t>,</w:t>
      </w:r>
      <w:r w:rsidRPr="00491BB6">
        <w:t xml:space="preserve"> but which I need to explore further personally.</w:t>
      </w:r>
    </w:p>
    <w:p w14:paraId="4A5FBABD" w14:textId="57DC0CAF" w:rsidR="00521015" w:rsidRPr="00491BB6" w:rsidRDefault="00994503" w:rsidP="00491BB6">
      <w:pPr>
        <w:spacing w:after="160" w:line="480" w:lineRule="auto"/>
        <w:jc w:val="both"/>
      </w:pPr>
      <w:r w:rsidRPr="00491BB6">
        <w:t xml:space="preserve">As to personal development, I will dedicate myself to continuing professional development in systems leadership and cultural competence using the NHS Leadership Academy (2013) Healthcare Leadership Model as a workable guide towards this development - that is, beyond understanding principles of integration, I will be confident and </w:t>
      </w:r>
      <w:r w:rsidR="00E65F65">
        <w:t>values-based</w:t>
      </w:r>
      <w:r w:rsidRPr="00491BB6">
        <w:t xml:space="preserve"> in </w:t>
      </w:r>
      <w:r w:rsidR="00E65F65">
        <w:t>my</w:t>
      </w:r>
      <w:r w:rsidRPr="00491BB6">
        <w:t xml:space="preserve"> employment in practice.</w:t>
      </w:r>
    </w:p>
    <w:p w14:paraId="4A5FBABE" w14:textId="77777777" w:rsidR="00521015" w:rsidRPr="00491BB6" w:rsidRDefault="00000000" w:rsidP="00491BB6">
      <w:pPr>
        <w:spacing w:before="320" w:after="160" w:line="480" w:lineRule="auto"/>
        <w:jc w:val="both"/>
      </w:pPr>
      <w:r w:rsidRPr="00491BB6">
        <w:rPr>
          <w:b/>
          <w:bCs/>
        </w:rPr>
        <w:t>CONCLUSION</w:t>
      </w:r>
    </w:p>
    <w:p w14:paraId="4A5FBABF" w14:textId="2E4C5A23" w:rsidR="00521015" w:rsidRPr="00491BB6" w:rsidRDefault="007352AF" w:rsidP="00491BB6">
      <w:pPr>
        <w:spacing w:after="160" w:line="480" w:lineRule="auto"/>
        <w:jc w:val="both"/>
      </w:pPr>
      <w:r w:rsidRPr="00491BB6">
        <w:t>This reflective report has critically examined my learning throughout the LCHS7005 module, structured through Johns' (2000) Model of Structured Reflection across four domains</w:t>
      </w:r>
      <w:r w:rsidR="004A3794" w:rsidRPr="00491BB6">
        <w:t>: Context, Input, Process, and Product. By working with DiaWell LU4</w:t>
      </w:r>
      <w:r w:rsidR="00E65F65">
        <w:t>,</w:t>
      </w:r>
      <w:r w:rsidR="004A3794" w:rsidRPr="00491BB6">
        <w:t xml:space="preserve"> I have gained a significantly more critical and informed perspective of what service integration actually requires - much more than policy alignment or organisational restructuring into the social, relational and cultural dimensions that ultimately lead to the success or failure of integrated care in practice.</w:t>
      </w:r>
    </w:p>
    <w:p w14:paraId="4A5FBAC0" w14:textId="5A859F0D" w:rsidR="00521015" w:rsidRPr="00491BB6" w:rsidRDefault="004A3794" w:rsidP="00491BB6">
      <w:pPr>
        <w:spacing w:after="160" w:line="480" w:lineRule="auto"/>
        <w:jc w:val="both"/>
      </w:pPr>
      <w:r w:rsidRPr="00491BB6">
        <w:t xml:space="preserve">The greatest lesson I am taking with me is that </w:t>
      </w:r>
      <w:r w:rsidR="009D7780" w:rsidRPr="00491BB6">
        <w:t>integrated care is not something achieved through legislation or framework design alone</w:t>
      </w:r>
      <w:r w:rsidRPr="00491BB6">
        <w:t xml:space="preserve">, but an </w:t>
      </w:r>
      <w:r w:rsidR="00E65F65">
        <w:t>ongoing</w:t>
      </w:r>
      <w:r w:rsidRPr="00491BB6">
        <w:t xml:space="preserve"> negotiation between professional identities, organisational interests and population needs (Kodner and Spreeuwenberg, 2002; Curry and Ham, 2010). The Health and Care Act 2022 offers much-needed statutory regulation, but the ingrained disparities behind the prevalence of diabetes in populations such as LU4 require integration to extend into the social determinants of health to </w:t>
      </w:r>
      <w:r w:rsidRPr="00491BB6">
        <w:lastRenderedPageBreak/>
        <w:t>which no clinical model alone can claim solutions (Marmot et al., 2020; Dahlgren and Whitehead, 1991).</w:t>
      </w:r>
    </w:p>
    <w:p w14:paraId="4A5FBAC1" w14:textId="0FD88158" w:rsidR="00521015" w:rsidRPr="00491BB6" w:rsidRDefault="004A3794" w:rsidP="00491BB6">
      <w:pPr>
        <w:spacing w:after="160" w:line="480" w:lineRule="auto"/>
        <w:jc w:val="both"/>
      </w:pPr>
      <w:r w:rsidRPr="00491BB6">
        <w:t>In the future, my aim is to acquire both systems leadership capacity and culturally responsive practice as the professional grounding within which I will enact the learning of this module, confidently, critically, and with genuine dedication to person-centred, equitable care.</w:t>
      </w:r>
    </w:p>
    <w:p w14:paraId="2E80C20C" w14:textId="77777777" w:rsidR="00C3200C" w:rsidRPr="00491BB6" w:rsidRDefault="00C3200C" w:rsidP="00491BB6">
      <w:pPr>
        <w:spacing w:line="480" w:lineRule="auto"/>
        <w:jc w:val="both"/>
        <w:rPr>
          <w:b/>
          <w:bCs/>
        </w:rPr>
      </w:pPr>
      <w:r w:rsidRPr="00491BB6">
        <w:rPr>
          <w:b/>
          <w:bCs/>
        </w:rPr>
        <w:br w:type="page"/>
      </w:r>
    </w:p>
    <w:p w14:paraId="4A5FBAC2" w14:textId="1906A1FA" w:rsidR="00521015" w:rsidRPr="00491BB6" w:rsidRDefault="00000000" w:rsidP="00491BB6">
      <w:pPr>
        <w:spacing w:before="320" w:after="160" w:line="480" w:lineRule="auto"/>
        <w:jc w:val="both"/>
      </w:pPr>
      <w:r w:rsidRPr="00491BB6">
        <w:rPr>
          <w:b/>
          <w:bCs/>
        </w:rPr>
        <w:lastRenderedPageBreak/>
        <w:t>REFERENCES</w:t>
      </w:r>
    </w:p>
    <w:p w14:paraId="7683A613" w14:textId="77777777" w:rsidR="006A1FD8" w:rsidRPr="006A1FD8" w:rsidRDefault="006A1FD8" w:rsidP="006A1FD8">
      <w:pPr>
        <w:spacing w:after="160" w:line="480" w:lineRule="auto"/>
        <w:rPr>
          <w:lang w:val="en-GB"/>
        </w:rPr>
      </w:pPr>
      <w:r w:rsidRPr="006A1FD8">
        <w:rPr>
          <w:lang w:val="en-GB"/>
        </w:rPr>
        <w:t>Bendowska, A. and Baum, E. (2023) 'The significance of cooperation in interdisciplinary health care teams as perceived by Polish physicians and nurses', </w:t>
      </w:r>
      <w:r w:rsidRPr="006A1FD8">
        <w:rPr>
          <w:i/>
          <w:iCs/>
          <w:lang w:val="en-GB"/>
        </w:rPr>
        <w:t>International Journal of Environmental Research and Public Health</w:t>
      </w:r>
      <w:r w:rsidRPr="006A1FD8">
        <w:rPr>
          <w:lang w:val="en-GB"/>
        </w:rPr>
        <w:t>, 20(1), p. 954.</w:t>
      </w:r>
    </w:p>
    <w:p w14:paraId="338712BA" w14:textId="77777777" w:rsidR="006A1FD8" w:rsidRPr="006A1FD8" w:rsidRDefault="006A1FD8" w:rsidP="006A1FD8">
      <w:pPr>
        <w:spacing w:after="160" w:line="480" w:lineRule="auto"/>
        <w:rPr>
          <w:lang w:val="en-GB"/>
        </w:rPr>
      </w:pPr>
      <w:r w:rsidRPr="006A1FD8">
        <w:rPr>
          <w:lang w:val="en-GB"/>
        </w:rPr>
        <w:t>Betancourt, J.R., Green, A.R., Carrillo, J.E. and Ananeh-Firempong, O. (2003) 'Defining cultural competence: a practical framework for addressing racial/ethnic disparities in health and health care', </w:t>
      </w:r>
      <w:r w:rsidRPr="006A1FD8">
        <w:rPr>
          <w:i/>
          <w:iCs/>
          <w:lang w:val="en-GB"/>
        </w:rPr>
        <w:t>Public Health Reports</w:t>
      </w:r>
      <w:r w:rsidRPr="006A1FD8">
        <w:rPr>
          <w:lang w:val="en-GB"/>
        </w:rPr>
        <w:t>, 118(4), pp. 293–302.</w:t>
      </w:r>
    </w:p>
    <w:p w14:paraId="5FE62BBB" w14:textId="77777777" w:rsidR="006A1FD8" w:rsidRPr="006A1FD8" w:rsidRDefault="006A1FD8" w:rsidP="006A1FD8">
      <w:pPr>
        <w:spacing w:after="160" w:line="480" w:lineRule="auto"/>
        <w:rPr>
          <w:lang w:val="en-GB"/>
        </w:rPr>
      </w:pPr>
      <w:r w:rsidRPr="006A1FD8">
        <w:rPr>
          <w:lang w:val="en-GB"/>
        </w:rPr>
        <w:t>Curry, N. and Ham, C. (2010) </w:t>
      </w:r>
      <w:r w:rsidRPr="006A1FD8">
        <w:rPr>
          <w:i/>
          <w:iCs/>
          <w:lang w:val="en-GB"/>
        </w:rPr>
        <w:t>Clinical and service integration: the route to improved outcomes</w:t>
      </w:r>
      <w:r w:rsidRPr="006A1FD8">
        <w:rPr>
          <w:lang w:val="en-GB"/>
        </w:rPr>
        <w:t>. London: The King's Fund.</w:t>
      </w:r>
    </w:p>
    <w:p w14:paraId="1C288DB0" w14:textId="77777777" w:rsidR="006A1FD8" w:rsidRPr="006A1FD8" w:rsidRDefault="006A1FD8" w:rsidP="006A1FD8">
      <w:pPr>
        <w:spacing w:after="160" w:line="480" w:lineRule="auto"/>
        <w:rPr>
          <w:lang w:val="en-GB"/>
        </w:rPr>
      </w:pPr>
      <w:r w:rsidRPr="006A1FD8">
        <w:rPr>
          <w:lang w:val="en-GB"/>
        </w:rPr>
        <w:t>D’Amour, D., Ferrada-Videla, M., San Martin Rodriguez, L. and Beaulieu, M.D. (2005) 'The conceptual basis for interprofessional collaboration: core concepts and theoretical frameworks', </w:t>
      </w:r>
      <w:r w:rsidRPr="006A1FD8">
        <w:rPr>
          <w:i/>
          <w:iCs/>
          <w:lang w:val="en-GB"/>
        </w:rPr>
        <w:t>Journal of Interprofessional Care</w:t>
      </w:r>
      <w:r w:rsidRPr="006A1FD8">
        <w:rPr>
          <w:lang w:val="en-GB"/>
        </w:rPr>
        <w:t>, 19(S1), pp. 116–131.</w:t>
      </w:r>
    </w:p>
    <w:p w14:paraId="5AD049DD" w14:textId="77777777" w:rsidR="006A1FD8" w:rsidRPr="006A1FD8" w:rsidRDefault="006A1FD8" w:rsidP="006A1FD8">
      <w:pPr>
        <w:spacing w:after="160" w:line="480" w:lineRule="auto"/>
        <w:rPr>
          <w:lang w:val="en-GB"/>
        </w:rPr>
      </w:pPr>
      <w:r w:rsidRPr="006A1FD8">
        <w:rPr>
          <w:lang w:val="en-GB"/>
        </w:rPr>
        <w:t>Dahlgren, G. and Whitehead, M. (1991) </w:t>
      </w:r>
      <w:r w:rsidRPr="006A1FD8">
        <w:rPr>
          <w:i/>
          <w:iCs/>
          <w:lang w:val="en-GB"/>
        </w:rPr>
        <w:t>Policies and strategies to promote social equity in health</w:t>
      </w:r>
      <w:r w:rsidRPr="006A1FD8">
        <w:rPr>
          <w:lang w:val="en-GB"/>
        </w:rPr>
        <w:t>. Stockholm: Institute for Future Studies.</w:t>
      </w:r>
    </w:p>
    <w:p w14:paraId="03AE9495" w14:textId="44C96EF3" w:rsidR="006A1FD8" w:rsidRPr="006A1FD8" w:rsidRDefault="006A1FD8" w:rsidP="006A1FD8">
      <w:pPr>
        <w:spacing w:after="160" w:line="480" w:lineRule="auto"/>
        <w:rPr>
          <w:lang w:val="en-GB"/>
        </w:rPr>
      </w:pPr>
      <w:r w:rsidRPr="006A1FD8">
        <w:rPr>
          <w:lang w:val="en-GB"/>
        </w:rPr>
        <w:t>Department of Health and Social Care (2022) </w:t>
      </w:r>
      <w:r w:rsidRPr="006A1FD8">
        <w:rPr>
          <w:i/>
          <w:iCs/>
          <w:lang w:val="en-GB"/>
        </w:rPr>
        <w:t>Health and Care Act 2022</w:t>
      </w:r>
      <w:r w:rsidRPr="006A1FD8">
        <w:rPr>
          <w:lang w:val="en-GB"/>
        </w:rPr>
        <w:t xml:space="preserve">. Available at: </w:t>
      </w:r>
      <w:hyperlink r:id="rId7" w:history="1">
        <w:r w:rsidRPr="00700ADD">
          <w:rPr>
            <w:rStyle w:val="Hyperlink"/>
            <w:lang w:val="en-GB"/>
          </w:rPr>
          <w:t>https://www.legislation.gov.uk/ukpga/2022/31</w:t>
        </w:r>
      </w:hyperlink>
      <w:r>
        <w:rPr>
          <w:lang w:val="en-GB"/>
        </w:rPr>
        <w:t xml:space="preserve"> </w:t>
      </w:r>
      <w:r w:rsidRPr="006A1FD8">
        <w:rPr>
          <w:lang w:val="en-GB"/>
        </w:rPr>
        <w:t xml:space="preserve">(Accessed: </w:t>
      </w:r>
      <w:r>
        <w:rPr>
          <w:lang w:val="en-GB"/>
        </w:rPr>
        <w:t>28</w:t>
      </w:r>
      <w:r w:rsidRPr="006A1FD8">
        <w:rPr>
          <w:lang w:val="en-GB"/>
        </w:rPr>
        <w:t xml:space="preserve"> March 2026).</w:t>
      </w:r>
    </w:p>
    <w:p w14:paraId="5B86BDD1" w14:textId="77777777" w:rsidR="006A1FD8" w:rsidRPr="006A1FD8" w:rsidRDefault="006A1FD8" w:rsidP="006A1FD8">
      <w:pPr>
        <w:spacing w:after="160" w:line="480" w:lineRule="auto"/>
        <w:rPr>
          <w:lang w:val="en-GB"/>
        </w:rPr>
      </w:pPr>
      <w:r w:rsidRPr="006A1FD8">
        <w:rPr>
          <w:lang w:val="en-GB"/>
        </w:rPr>
        <w:t>Diabetes UK (2023) </w:t>
      </w:r>
      <w:r w:rsidRPr="006A1FD8">
        <w:rPr>
          <w:i/>
          <w:iCs/>
          <w:lang w:val="en-GB"/>
        </w:rPr>
        <w:t>How many people in the UK have diabetes?</w:t>
      </w:r>
      <w:r w:rsidRPr="006A1FD8">
        <w:rPr>
          <w:lang w:val="en-GB"/>
        </w:rPr>
        <w:t> Available at: https://www.diabetes.org.uk/about-us/about-the-charity/our-strategy/statistics (Accessed: 19 March 2026).</w:t>
      </w:r>
    </w:p>
    <w:p w14:paraId="5B2CE2C6" w14:textId="77777777" w:rsidR="006A1FD8" w:rsidRPr="006A1FD8" w:rsidRDefault="006A1FD8" w:rsidP="006A1FD8">
      <w:pPr>
        <w:spacing w:after="160" w:line="480" w:lineRule="auto"/>
        <w:rPr>
          <w:lang w:val="en-GB"/>
        </w:rPr>
      </w:pPr>
      <w:r w:rsidRPr="006A1FD8">
        <w:rPr>
          <w:lang w:val="en-GB"/>
        </w:rPr>
        <w:t>Forman, D., Jones, M. and Thistlethwaite, J. (eds.) (2009) </w:t>
      </w:r>
      <w:r w:rsidRPr="006A1FD8">
        <w:rPr>
          <w:i/>
          <w:iCs/>
          <w:lang w:val="en-GB"/>
        </w:rPr>
        <w:t>Leadership development for interprofessional education and collaborative practice</w:t>
      </w:r>
      <w:r w:rsidRPr="006A1FD8">
        <w:rPr>
          <w:lang w:val="en-GB"/>
        </w:rPr>
        <w:t>. Basingstoke: Palgrave Macmillan.</w:t>
      </w:r>
    </w:p>
    <w:p w14:paraId="6404BCB0" w14:textId="77777777" w:rsidR="006A1FD8" w:rsidRPr="006A1FD8" w:rsidRDefault="006A1FD8" w:rsidP="006A1FD8">
      <w:pPr>
        <w:spacing w:after="160" w:line="480" w:lineRule="auto"/>
        <w:rPr>
          <w:lang w:val="en-GB"/>
        </w:rPr>
      </w:pPr>
      <w:r w:rsidRPr="006A1FD8">
        <w:rPr>
          <w:lang w:val="en-GB"/>
        </w:rPr>
        <w:t>Goodwin, N. (2016) 'Understanding integrated care: a complex process, a fundamental principle', </w:t>
      </w:r>
      <w:r w:rsidRPr="006A1FD8">
        <w:rPr>
          <w:i/>
          <w:iCs/>
          <w:lang w:val="en-GB"/>
        </w:rPr>
        <w:t>International Journal of Integrated Care</w:t>
      </w:r>
      <w:r w:rsidRPr="006A1FD8">
        <w:rPr>
          <w:lang w:val="en-GB"/>
        </w:rPr>
        <w:t>, 16(4), pp. 1–4.</w:t>
      </w:r>
    </w:p>
    <w:p w14:paraId="24C7A852" w14:textId="77777777" w:rsidR="006A1FD8" w:rsidRPr="006A1FD8" w:rsidRDefault="006A1FD8" w:rsidP="006A1FD8">
      <w:pPr>
        <w:spacing w:after="160" w:line="480" w:lineRule="auto"/>
        <w:rPr>
          <w:lang w:val="en-GB"/>
        </w:rPr>
      </w:pPr>
      <w:r w:rsidRPr="006A1FD8">
        <w:rPr>
          <w:lang w:val="en-GB"/>
        </w:rPr>
        <w:t>Johns, C. (2000) </w:t>
      </w:r>
      <w:r w:rsidRPr="006A1FD8">
        <w:rPr>
          <w:i/>
          <w:iCs/>
          <w:lang w:val="en-GB"/>
        </w:rPr>
        <w:t>Becoming a reflective practitioner</w:t>
      </w:r>
      <w:r w:rsidRPr="006A1FD8">
        <w:rPr>
          <w:lang w:val="en-GB"/>
        </w:rPr>
        <w:t>. Oxford: Blackwell Science.</w:t>
      </w:r>
    </w:p>
    <w:p w14:paraId="1A911959" w14:textId="77777777" w:rsidR="006A1FD8" w:rsidRPr="006A1FD8" w:rsidRDefault="006A1FD8" w:rsidP="006A1FD8">
      <w:pPr>
        <w:spacing w:after="160" w:line="480" w:lineRule="auto"/>
        <w:rPr>
          <w:lang w:val="en-GB"/>
        </w:rPr>
      </w:pPr>
      <w:r w:rsidRPr="006A1FD8">
        <w:rPr>
          <w:lang w:val="en-GB"/>
        </w:rPr>
        <w:lastRenderedPageBreak/>
        <w:t>Kodner, D.L. and Spreeuwenberg, C. (2002) 'Integrated care: meaning, logic, applications, and implications — a discussion paper', </w:t>
      </w:r>
      <w:r w:rsidRPr="006A1FD8">
        <w:rPr>
          <w:i/>
          <w:iCs/>
          <w:lang w:val="en-GB"/>
        </w:rPr>
        <w:t>International Journal of Integrated Care</w:t>
      </w:r>
      <w:r w:rsidRPr="006A1FD8">
        <w:rPr>
          <w:lang w:val="en-GB"/>
        </w:rPr>
        <w:t>, 2(4), p. e12.</w:t>
      </w:r>
    </w:p>
    <w:p w14:paraId="4B8630B7" w14:textId="77777777" w:rsidR="006A1FD8" w:rsidRPr="006A1FD8" w:rsidRDefault="006A1FD8" w:rsidP="006A1FD8">
      <w:pPr>
        <w:spacing w:after="160" w:line="480" w:lineRule="auto"/>
        <w:rPr>
          <w:lang w:val="en-GB"/>
        </w:rPr>
      </w:pPr>
      <w:r w:rsidRPr="006A1FD8">
        <w:rPr>
          <w:lang w:val="en-GB"/>
        </w:rPr>
        <w:t>Lippman, D., Stump, M., Veazey, E., Guimarães, S.T., Rosenfeld, R., Kelly, J.H., Ornish, D. and Katz, D.L. (2024) 'Foundations of lifestyle medicine and its evolution', </w:t>
      </w:r>
      <w:r w:rsidRPr="006A1FD8">
        <w:rPr>
          <w:i/>
          <w:iCs/>
          <w:lang w:val="en-GB"/>
        </w:rPr>
        <w:t>Mayo Clinic Proceedings: Innovations, Quality and Outcomes</w:t>
      </w:r>
      <w:r w:rsidRPr="006A1FD8">
        <w:rPr>
          <w:lang w:val="en-GB"/>
        </w:rPr>
        <w:t>, 8(1), pp. 97–111.</w:t>
      </w:r>
    </w:p>
    <w:p w14:paraId="7607BDF6" w14:textId="2A43907A" w:rsidR="006A1FD8" w:rsidRPr="006A1FD8" w:rsidRDefault="006A1FD8" w:rsidP="006A1FD8">
      <w:pPr>
        <w:spacing w:after="160" w:line="480" w:lineRule="auto"/>
        <w:rPr>
          <w:lang w:val="en-GB"/>
        </w:rPr>
      </w:pPr>
      <w:r w:rsidRPr="006A1FD8">
        <w:rPr>
          <w:lang w:val="en-GB"/>
        </w:rPr>
        <w:t>Luton Borough Council (2024) </w:t>
      </w:r>
      <w:r w:rsidRPr="006A1FD8">
        <w:rPr>
          <w:i/>
          <w:iCs/>
          <w:lang w:val="en-GB"/>
        </w:rPr>
        <w:t>Joint strategic overview of health and wider determinants in Luton 2024</w:t>
      </w:r>
      <w:r w:rsidRPr="006A1FD8">
        <w:rPr>
          <w:lang w:val="en-GB"/>
        </w:rPr>
        <w:t xml:space="preserve">. Version 1.3. Luton: Luton Borough Council. Available at: </w:t>
      </w:r>
      <w:hyperlink r:id="rId8" w:history="1">
        <w:r w:rsidRPr="00700ADD">
          <w:rPr>
            <w:rStyle w:val="Hyperlink"/>
            <w:lang w:val="en-GB"/>
          </w:rPr>
          <w:t>https://www.luton.gov.uk</w:t>
        </w:r>
      </w:hyperlink>
      <w:r>
        <w:rPr>
          <w:lang w:val="en-GB"/>
        </w:rPr>
        <w:t xml:space="preserve"> </w:t>
      </w:r>
      <w:r w:rsidRPr="006A1FD8">
        <w:rPr>
          <w:lang w:val="en-GB"/>
        </w:rPr>
        <w:t xml:space="preserve"> (Accessed: 11 March 2026).</w:t>
      </w:r>
    </w:p>
    <w:p w14:paraId="220F6C46" w14:textId="77777777" w:rsidR="006A1FD8" w:rsidRPr="006A1FD8" w:rsidRDefault="006A1FD8" w:rsidP="006A1FD8">
      <w:pPr>
        <w:spacing w:after="160" w:line="480" w:lineRule="auto"/>
        <w:rPr>
          <w:lang w:val="en-GB"/>
        </w:rPr>
      </w:pPr>
      <w:r w:rsidRPr="006A1FD8">
        <w:rPr>
          <w:lang w:val="en-GB"/>
        </w:rPr>
        <w:t>Marmot, M., Allen, J., Boyce, T., Goldblatt, P. and Morrison, J. (2020) </w:t>
      </w:r>
      <w:r w:rsidRPr="006A1FD8">
        <w:rPr>
          <w:i/>
          <w:iCs/>
          <w:lang w:val="en-GB"/>
        </w:rPr>
        <w:t>Health equity in England: the Marmot Review 10 years on</w:t>
      </w:r>
      <w:r w:rsidRPr="006A1FD8">
        <w:rPr>
          <w:lang w:val="en-GB"/>
        </w:rPr>
        <w:t>. London: Institute of Health Equity.</w:t>
      </w:r>
    </w:p>
    <w:p w14:paraId="44B96E1B" w14:textId="5B8FA3E0" w:rsidR="006A1FD8" w:rsidRPr="006A1FD8" w:rsidRDefault="006A1FD8" w:rsidP="006A1FD8">
      <w:pPr>
        <w:spacing w:after="160" w:line="480" w:lineRule="auto"/>
        <w:rPr>
          <w:lang w:val="en-GB"/>
        </w:rPr>
      </w:pPr>
      <w:r w:rsidRPr="006A1FD8">
        <w:rPr>
          <w:lang w:val="en-GB"/>
        </w:rPr>
        <w:t>National Institute for Health and Care Excellence (2022) </w:t>
      </w:r>
      <w:r w:rsidRPr="006A1FD8">
        <w:rPr>
          <w:i/>
          <w:iCs/>
          <w:lang w:val="en-GB"/>
        </w:rPr>
        <w:t>Type 2 diabetes in adults: management (NG28)</w:t>
      </w:r>
      <w:r w:rsidRPr="006A1FD8">
        <w:rPr>
          <w:lang w:val="en-GB"/>
        </w:rPr>
        <w:t xml:space="preserve">. Available at: </w:t>
      </w:r>
      <w:hyperlink r:id="rId9" w:history="1">
        <w:r w:rsidRPr="00700ADD">
          <w:rPr>
            <w:rStyle w:val="Hyperlink"/>
            <w:lang w:val="en-GB"/>
          </w:rPr>
          <w:t>https://www.nice.org.uk/guidance/ng28</w:t>
        </w:r>
      </w:hyperlink>
      <w:r>
        <w:rPr>
          <w:lang w:val="en-GB"/>
        </w:rPr>
        <w:t xml:space="preserve"> </w:t>
      </w:r>
      <w:r w:rsidRPr="006A1FD8">
        <w:rPr>
          <w:lang w:val="en-GB"/>
        </w:rPr>
        <w:t xml:space="preserve">(Accessed: </w:t>
      </w:r>
      <w:r>
        <w:rPr>
          <w:lang w:val="en-GB"/>
        </w:rPr>
        <w:t>25</w:t>
      </w:r>
      <w:r w:rsidRPr="006A1FD8">
        <w:rPr>
          <w:lang w:val="en-GB"/>
        </w:rPr>
        <w:t xml:space="preserve"> March 2026).</w:t>
      </w:r>
    </w:p>
    <w:p w14:paraId="18C1CFE3" w14:textId="76B30F04" w:rsidR="006A1FD8" w:rsidRPr="006A1FD8" w:rsidRDefault="006A1FD8" w:rsidP="006A1FD8">
      <w:pPr>
        <w:spacing w:after="160" w:line="480" w:lineRule="auto"/>
        <w:rPr>
          <w:lang w:val="en-GB"/>
        </w:rPr>
      </w:pPr>
      <w:r w:rsidRPr="006A1FD8">
        <w:rPr>
          <w:lang w:val="en-GB"/>
        </w:rPr>
        <w:t>NHS England (2019) </w:t>
      </w:r>
      <w:r w:rsidRPr="006A1FD8">
        <w:rPr>
          <w:i/>
          <w:iCs/>
          <w:lang w:val="en-GB"/>
        </w:rPr>
        <w:t>The NHS Long Term Plan</w:t>
      </w:r>
      <w:r w:rsidRPr="006A1FD8">
        <w:rPr>
          <w:lang w:val="en-GB"/>
        </w:rPr>
        <w:t xml:space="preserve">. Available at: </w:t>
      </w:r>
      <w:hyperlink r:id="rId10" w:history="1">
        <w:r w:rsidRPr="00700ADD">
          <w:rPr>
            <w:rStyle w:val="Hyperlink"/>
            <w:lang w:val="en-GB"/>
          </w:rPr>
          <w:t>https://www.longtermplan.nhs.uk</w:t>
        </w:r>
      </w:hyperlink>
      <w:r>
        <w:rPr>
          <w:lang w:val="en-GB"/>
        </w:rPr>
        <w:t xml:space="preserve"> </w:t>
      </w:r>
      <w:r w:rsidRPr="006A1FD8">
        <w:rPr>
          <w:lang w:val="en-GB"/>
        </w:rPr>
        <w:t>(Accessed: 11 March 2026).</w:t>
      </w:r>
    </w:p>
    <w:p w14:paraId="5E50F547" w14:textId="6BCD01C8" w:rsidR="006A1FD8" w:rsidRPr="006A1FD8" w:rsidRDefault="006A1FD8" w:rsidP="006A1FD8">
      <w:pPr>
        <w:spacing w:after="160" w:line="480" w:lineRule="auto"/>
        <w:rPr>
          <w:lang w:val="en-GB"/>
        </w:rPr>
      </w:pPr>
      <w:r w:rsidRPr="006A1FD8">
        <w:rPr>
          <w:lang w:val="en-GB"/>
        </w:rPr>
        <w:t>NHS England (2023) </w:t>
      </w:r>
      <w:r w:rsidRPr="006A1FD8">
        <w:rPr>
          <w:i/>
          <w:iCs/>
          <w:lang w:val="en-GB"/>
        </w:rPr>
        <w:t>NHS Diabetes Prevention Programme</w:t>
      </w:r>
      <w:r w:rsidRPr="006A1FD8">
        <w:rPr>
          <w:lang w:val="en-GB"/>
        </w:rPr>
        <w:t xml:space="preserve">. Available at: </w:t>
      </w:r>
      <w:hyperlink r:id="rId11" w:history="1">
        <w:r w:rsidRPr="00700ADD">
          <w:rPr>
            <w:rStyle w:val="Hyperlink"/>
            <w:lang w:val="en-GB"/>
          </w:rPr>
          <w:t>https://www.england.nhs.uk/diabetes/diabetes-prevention/</w:t>
        </w:r>
      </w:hyperlink>
      <w:r>
        <w:rPr>
          <w:lang w:val="en-GB"/>
        </w:rPr>
        <w:t xml:space="preserve"> </w:t>
      </w:r>
      <w:r w:rsidRPr="006A1FD8">
        <w:rPr>
          <w:lang w:val="en-GB"/>
        </w:rPr>
        <w:t>(Accessed: 19 March 2026).</w:t>
      </w:r>
    </w:p>
    <w:p w14:paraId="62DE9F60" w14:textId="1968E060" w:rsidR="006A1FD8" w:rsidRPr="006A1FD8" w:rsidRDefault="006A1FD8" w:rsidP="006A1FD8">
      <w:pPr>
        <w:spacing w:after="160" w:line="480" w:lineRule="auto"/>
        <w:rPr>
          <w:lang w:val="en-GB"/>
        </w:rPr>
      </w:pPr>
      <w:r w:rsidRPr="006A1FD8">
        <w:rPr>
          <w:lang w:val="en-GB"/>
        </w:rPr>
        <w:t>NHS Leadership Academy (2013) </w:t>
      </w:r>
      <w:r w:rsidRPr="006A1FD8">
        <w:rPr>
          <w:i/>
          <w:iCs/>
          <w:lang w:val="en-GB"/>
        </w:rPr>
        <w:t>Healthcare Leadership Model</w:t>
      </w:r>
      <w:r w:rsidRPr="006A1FD8">
        <w:rPr>
          <w:lang w:val="en-GB"/>
        </w:rPr>
        <w:t xml:space="preserve">. Leeds: NHS Leadership Academy. Available at: </w:t>
      </w:r>
      <w:hyperlink r:id="rId12" w:history="1">
        <w:r w:rsidRPr="00700ADD">
          <w:rPr>
            <w:rStyle w:val="Hyperlink"/>
            <w:lang w:val="en-GB"/>
          </w:rPr>
          <w:t>https://www.leadershipacademy.nhs.uk</w:t>
        </w:r>
      </w:hyperlink>
      <w:r>
        <w:rPr>
          <w:lang w:val="en-GB"/>
        </w:rPr>
        <w:t xml:space="preserve"> </w:t>
      </w:r>
      <w:r w:rsidRPr="006A1FD8">
        <w:rPr>
          <w:lang w:val="en-GB"/>
        </w:rPr>
        <w:t xml:space="preserve">(Accessed: </w:t>
      </w:r>
      <w:r>
        <w:rPr>
          <w:lang w:val="en-GB"/>
        </w:rPr>
        <w:t>24</w:t>
      </w:r>
      <w:r w:rsidRPr="006A1FD8">
        <w:rPr>
          <w:lang w:val="en-GB"/>
        </w:rPr>
        <w:t xml:space="preserve"> March 2026).</w:t>
      </w:r>
    </w:p>
    <w:p w14:paraId="11950603" w14:textId="77777777" w:rsidR="006A1FD8" w:rsidRPr="006A1FD8" w:rsidRDefault="006A1FD8" w:rsidP="006A1FD8">
      <w:pPr>
        <w:spacing w:after="160" w:line="480" w:lineRule="auto"/>
        <w:rPr>
          <w:lang w:val="en-GB"/>
        </w:rPr>
      </w:pPr>
      <w:r w:rsidRPr="006A1FD8">
        <w:rPr>
          <w:lang w:val="en-GB"/>
        </w:rPr>
        <w:t>Nolte, E. and McKee, M. (eds.) (2008) </w:t>
      </w:r>
      <w:r w:rsidRPr="006A1FD8">
        <w:rPr>
          <w:i/>
          <w:iCs/>
          <w:lang w:val="en-GB"/>
        </w:rPr>
        <w:t>Caring for people with chronic conditions: a health system perspective</w:t>
      </w:r>
      <w:r w:rsidRPr="006A1FD8">
        <w:rPr>
          <w:lang w:val="en-GB"/>
        </w:rPr>
        <w:t>. Maidenhead: Open University Press.</w:t>
      </w:r>
    </w:p>
    <w:p w14:paraId="1D14564B" w14:textId="77777777" w:rsidR="006A1FD8" w:rsidRPr="006A1FD8" w:rsidRDefault="006A1FD8" w:rsidP="006A1FD8">
      <w:pPr>
        <w:spacing w:after="160" w:line="480" w:lineRule="auto"/>
        <w:rPr>
          <w:lang w:val="en-GB"/>
        </w:rPr>
      </w:pPr>
      <w:r w:rsidRPr="006A1FD8">
        <w:rPr>
          <w:lang w:val="en-GB"/>
        </w:rPr>
        <w:t>Nolte, E. and Pitchforth, E. (2014) </w:t>
      </w:r>
      <w:r w:rsidRPr="006A1FD8">
        <w:rPr>
          <w:i/>
          <w:iCs/>
          <w:lang w:val="en-GB"/>
        </w:rPr>
        <w:t>What is the evidence on the economic arguments for integration of care?</w:t>
      </w:r>
      <w:r w:rsidRPr="006A1FD8">
        <w:rPr>
          <w:lang w:val="en-GB"/>
        </w:rPr>
        <w:t> Copenhagen: WHO Regional Office for Europe.</w:t>
      </w:r>
    </w:p>
    <w:p w14:paraId="303F2D60" w14:textId="77777777" w:rsidR="006A1FD8" w:rsidRPr="006A1FD8" w:rsidRDefault="006A1FD8" w:rsidP="006A1FD8">
      <w:pPr>
        <w:spacing w:after="160" w:line="480" w:lineRule="auto"/>
        <w:rPr>
          <w:lang w:val="en-GB"/>
        </w:rPr>
      </w:pPr>
      <w:r w:rsidRPr="006A1FD8">
        <w:rPr>
          <w:lang w:val="en-GB"/>
        </w:rPr>
        <w:lastRenderedPageBreak/>
        <w:t>Øvretveit, J. (2011) </w:t>
      </w:r>
      <w:r w:rsidRPr="006A1FD8">
        <w:rPr>
          <w:i/>
          <w:iCs/>
          <w:lang w:val="en-GB"/>
        </w:rPr>
        <w:t>Does clinical coordination improve quality and save money? A summary review of the evidence</w:t>
      </w:r>
      <w:r w:rsidRPr="006A1FD8">
        <w:rPr>
          <w:lang w:val="en-GB"/>
        </w:rPr>
        <w:t>. London: The Health Foundation.</w:t>
      </w:r>
    </w:p>
    <w:p w14:paraId="02BC8336" w14:textId="77777777" w:rsidR="006A1FD8" w:rsidRPr="006A1FD8" w:rsidRDefault="006A1FD8" w:rsidP="006A1FD8">
      <w:pPr>
        <w:spacing w:after="160" w:line="480" w:lineRule="auto"/>
        <w:rPr>
          <w:lang w:val="en-GB"/>
        </w:rPr>
      </w:pPr>
      <w:r w:rsidRPr="006A1FD8">
        <w:rPr>
          <w:lang w:val="en-GB"/>
        </w:rPr>
        <w:t>Reeves, S., Lewin, S., Espin, S. and Zwarenstein, M. (2010) </w:t>
      </w:r>
      <w:r w:rsidRPr="006A1FD8">
        <w:rPr>
          <w:i/>
          <w:iCs/>
          <w:lang w:val="en-GB"/>
        </w:rPr>
        <w:t>Interprofessional teamwork for health and social care</w:t>
      </w:r>
      <w:r w:rsidRPr="006A1FD8">
        <w:rPr>
          <w:lang w:val="en-GB"/>
        </w:rPr>
        <w:t>. Oxford: Wiley-Blackwell.</w:t>
      </w:r>
    </w:p>
    <w:p w14:paraId="15025F19" w14:textId="77777777" w:rsidR="006A1FD8" w:rsidRPr="006A1FD8" w:rsidRDefault="006A1FD8" w:rsidP="006A1FD8">
      <w:pPr>
        <w:spacing w:after="160" w:line="480" w:lineRule="auto"/>
        <w:rPr>
          <w:lang w:val="en-GB"/>
        </w:rPr>
      </w:pPr>
      <w:r w:rsidRPr="006A1FD8">
        <w:rPr>
          <w:lang w:val="en-GB"/>
        </w:rPr>
        <w:t>Tazzyman, A., Bryce, M., Ferguson, J., Walshe, K. and Chambers, N. (2021) 'The development of medical leadership in integrated care systems', </w:t>
      </w:r>
      <w:r w:rsidRPr="006A1FD8">
        <w:rPr>
          <w:i/>
          <w:iCs/>
          <w:lang w:val="en-GB"/>
        </w:rPr>
        <w:t>BMJ Leader</w:t>
      </w:r>
      <w:r w:rsidRPr="006A1FD8">
        <w:rPr>
          <w:lang w:val="en-GB"/>
        </w:rPr>
        <w:t>, 5(3), pp. 175–180.</w:t>
      </w:r>
    </w:p>
    <w:p w14:paraId="17070992" w14:textId="4E38B940" w:rsidR="006A1FD8" w:rsidRPr="006A1FD8" w:rsidRDefault="006A1FD8" w:rsidP="006A1FD8">
      <w:pPr>
        <w:spacing w:after="160" w:line="480" w:lineRule="auto"/>
        <w:rPr>
          <w:lang w:val="en-GB"/>
        </w:rPr>
      </w:pPr>
      <w:r w:rsidRPr="006A1FD8">
        <w:rPr>
          <w:lang w:val="en-GB"/>
        </w:rPr>
        <w:t>The King's Fund (2022) </w:t>
      </w:r>
      <w:r w:rsidRPr="006A1FD8">
        <w:rPr>
          <w:i/>
          <w:iCs/>
          <w:lang w:val="en-GB"/>
        </w:rPr>
        <w:t>Integrated care systems explained: making sense of the new NHS structure</w:t>
      </w:r>
      <w:r w:rsidRPr="006A1FD8">
        <w:rPr>
          <w:lang w:val="en-GB"/>
        </w:rPr>
        <w:t xml:space="preserve">. Available at: </w:t>
      </w:r>
      <w:hyperlink r:id="rId13" w:history="1">
        <w:r w:rsidRPr="00700ADD">
          <w:rPr>
            <w:rStyle w:val="Hyperlink"/>
            <w:lang w:val="en-GB"/>
          </w:rPr>
          <w:t>https://www.kingsfund.org.uk</w:t>
        </w:r>
      </w:hyperlink>
      <w:r>
        <w:rPr>
          <w:lang w:val="en-GB"/>
        </w:rPr>
        <w:t xml:space="preserve"> </w:t>
      </w:r>
      <w:r w:rsidRPr="006A1FD8">
        <w:rPr>
          <w:lang w:val="en-GB"/>
        </w:rPr>
        <w:t xml:space="preserve"> (Accessed: 19 March 2026).</w:t>
      </w:r>
    </w:p>
    <w:p w14:paraId="0406D519" w14:textId="77777777" w:rsidR="006A1FD8" w:rsidRPr="006A1FD8" w:rsidRDefault="006A1FD8" w:rsidP="006A1FD8">
      <w:pPr>
        <w:spacing w:after="160" w:line="480" w:lineRule="auto"/>
        <w:rPr>
          <w:lang w:val="en-GB"/>
        </w:rPr>
      </w:pPr>
      <w:r w:rsidRPr="006A1FD8">
        <w:rPr>
          <w:lang w:val="en-GB"/>
        </w:rPr>
        <w:t>World Health Organization (2016) </w:t>
      </w:r>
      <w:r w:rsidRPr="006A1FD8">
        <w:rPr>
          <w:i/>
          <w:iCs/>
          <w:lang w:val="en-GB"/>
        </w:rPr>
        <w:t>Framework on integrated, people-centred health services</w:t>
      </w:r>
      <w:r w:rsidRPr="006A1FD8">
        <w:rPr>
          <w:lang w:val="en-GB"/>
        </w:rPr>
        <w:t>. Geneva: World Health Organization.</w:t>
      </w:r>
    </w:p>
    <w:p w14:paraId="4A5FBADC" w14:textId="6ED95B5F" w:rsidR="00521015" w:rsidRPr="00491BB6" w:rsidRDefault="00521015" w:rsidP="006A1FD8">
      <w:pPr>
        <w:spacing w:after="160" w:line="480" w:lineRule="auto"/>
      </w:pPr>
    </w:p>
    <w:sectPr w:rsidR="00521015" w:rsidRPr="00491BB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6F191" w14:textId="77777777" w:rsidR="00291CC1" w:rsidRDefault="00291CC1" w:rsidP="00CD02DB">
      <w:r>
        <w:separator/>
      </w:r>
    </w:p>
  </w:endnote>
  <w:endnote w:type="continuationSeparator" w:id="0">
    <w:p w14:paraId="21E29AF9" w14:textId="77777777" w:rsidR="00291CC1" w:rsidRDefault="00291CC1" w:rsidP="00CD02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0E01EC" w14:textId="77777777" w:rsidR="00291CC1" w:rsidRDefault="00291CC1" w:rsidP="00CD02DB">
      <w:r>
        <w:separator/>
      </w:r>
    </w:p>
  </w:footnote>
  <w:footnote w:type="continuationSeparator" w:id="0">
    <w:p w14:paraId="6EF1388C" w14:textId="77777777" w:rsidR="00291CC1" w:rsidRDefault="00291CC1" w:rsidP="00CD02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833D90"/>
    <w:multiLevelType w:val="hybridMultilevel"/>
    <w:tmpl w:val="B27478EE"/>
    <w:lvl w:ilvl="0" w:tplc="E5405A74">
      <w:start w:val="1"/>
      <w:numFmt w:val="bullet"/>
      <w:lvlText w:val="●"/>
      <w:lvlJc w:val="left"/>
      <w:pPr>
        <w:ind w:left="720" w:hanging="360"/>
      </w:pPr>
    </w:lvl>
    <w:lvl w:ilvl="1" w:tplc="A0182274">
      <w:start w:val="1"/>
      <w:numFmt w:val="bullet"/>
      <w:lvlText w:val="○"/>
      <w:lvlJc w:val="left"/>
      <w:pPr>
        <w:ind w:left="1440" w:hanging="360"/>
      </w:pPr>
    </w:lvl>
    <w:lvl w:ilvl="2" w:tplc="2AEADE40">
      <w:start w:val="1"/>
      <w:numFmt w:val="bullet"/>
      <w:lvlText w:val="■"/>
      <w:lvlJc w:val="left"/>
      <w:pPr>
        <w:ind w:left="2160" w:hanging="360"/>
      </w:pPr>
    </w:lvl>
    <w:lvl w:ilvl="3" w:tplc="D9308D16">
      <w:start w:val="1"/>
      <w:numFmt w:val="bullet"/>
      <w:lvlText w:val="●"/>
      <w:lvlJc w:val="left"/>
      <w:pPr>
        <w:ind w:left="2880" w:hanging="360"/>
      </w:pPr>
    </w:lvl>
    <w:lvl w:ilvl="4" w:tplc="1752167A">
      <w:start w:val="1"/>
      <w:numFmt w:val="bullet"/>
      <w:lvlText w:val="○"/>
      <w:lvlJc w:val="left"/>
      <w:pPr>
        <w:ind w:left="3600" w:hanging="360"/>
      </w:pPr>
    </w:lvl>
    <w:lvl w:ilvl="5" w:tplc="AE1CD442">
      <w:start w:val="1"/>
      <w:numFmt w:val="bullet"/>
      <w:lvlText w:val="■"/>
      <w:lvlJc w:val="left"/>
      <w:pPr>
        <w:ind w:left="4320" w:hanging="360"/>
      </w:pPr>
    </w:lvl>
    <w:lvl w:ilvl="6" w:tplc="966082B0">
      <w:start w:val="1"/>
      <w:numFmt w:val="bullet"/>
      <w:lvlText w:val="●"/>
      <w:lvlJc w:val="left"/>
      <w:pPr>
        <w:ind w:left="5040" w:hanging="360"/>
      </w:pPr>
    </w:lvl>
    <w:lvl w:ilvl="7" w:tplc="FB4C2618">
      <w:start w:val="1"/>
      <w:numFmt w:val="bullet"/>
      <w:lvlText w:val="●"/>
      <w:lvlJc w:val="left"/>
      <w:pPr>
        <w:ind w:left="5760" w:hanging="360"/>
      </w:pPr>
    </w:lvl>
    <w:lvl w:ilvl="8" w:tplc="D0AE3930">
      <w:start w:val="1"/>
      <w:numFmt w:val="bullet"/>
      <w:lvlText w:val="●"/>
      <w:lvlJc w:val="left"/>
      <w:pPr>
        <w:ind w:left="6480" w:hanging="360"/>
      </w:pPr>
    </w:lvl>
  </w:abstractNum>
  <w:abstractNum w:abstractNumId="1" w15:restartNumberingAfterBreak="0">
    <w:nsid w:val="72805F03"/>
    <w:multiLevelType w:val="hybridMultilevel"/>
    <w:tmpl w:val="735E7B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673724632">
    <w:abstractNumId w:val="0"/>
    <w:lvlOverride w:ilvl="0">
      <w:startOverride w:val="1"/>
    </w:lvlOverride>
  </w:num>
  <w:num w:numId="2" w16cid:durableId="276763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1015"/>
    <w:rsid w:val="00033119"/>
    <w:rsid w:val="00052981"/>
    <w:rsid w:val="00057B2D"/>
    <w:rsid w:val="00141734"/>
    <w:rsid w:val="0017492A"/>
    <w:rsid w:val="00236CB5"/>
    <w:rsid w:val="00262014"/>
    <w:rsid w:val="002905F8"/>
    <w:rsid w:val="00291CC1"/>
    <w:rsid w:val="0041199E"/>
    <w:rsid w:val="004642BC"/>
    <w:rsid w:val="00491BB6"/>
    <w:rsid w:val="004A3794"/>
    <w:rsid w:val="004C256F"/>
    <w:rsid w:val="00521015"/>
    <w:rsid w:val="005630C7"/>
    <w:rsid w:val="005B70E4"/>
    <w:rsid w:val="005E6F0D"/>
    <w:rsid w:val="00633812"/>
    <w:rsid w:val="006A1FD8"/>
    <w:rsid w:val="007352AF"/>
    <w:rsid w:val="007F66E2"/>
    <w:rsid w:val="008E4DC4"/>
    <w:rsid w:val="00981ACE"/>
    <w:rsid w:val="00994503"/>
    <w:rsid w:val="009D7780"/>
    <w:rsid w:val="00A62FDA"/>
    <w:rsid w:val="00A75A43"/>
    <w:rsid w:val="00AD2787"/>
    <w:rsid w:val="00B733B1"/>
    <w:rsid w:val="00C3200C"/>
    <w:rsid w:val="00CC79AF"/>
    <w:rsid w:val="00CD02DB"/>
    <w:rsid w:val="00D1336B"/>
    <w:rsid w:val="00D70879"/>
    <w:rsid w:val="00E65F65"/>
    <w:rsid w:val="00E67E14"/>
    <w:rsid w:val="00EE1537"/>
    <w:rsid w:val="00F14197"/>
    <w:rsid w:val="00F5279F"/>
    <w:rsid w:val="00FD322E"/>
    <w:rsid w:val="00FF454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5FBA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633812"/>
    <w:pPr>
      <w:spacing w:before="320" w:after="160" w:line="360" w:lineRule="auto"/>
      <w:jc w:val="both"/>
      <w:outlineLvl w:val="0"/>
    </w:pPr>
    <w:rPr>
      <w:b/>
      <w:bCs/>
      <w:sz w:val="26"/>
      <w:szCs w:val="26"/>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B733B1"/>
    <w:rPr>
      <w:color w:val="605E5C"/>
      <w:shd w:val="clear" w:color="auto" w:fill="E1DFDD"/>
    </w:rPr>
  </w:style>
  <w:style w:type="character" w:styleId="Emphasis">
    <w:name w:val="Emphasis"/>
    <w:basedOn w:val="DefaultParagraphFont"/>
    <w:uiPriority w:val="20"/>
    <w:qFormat/>
    <w:rsid w:val="00AD2787"/>
    <w:rPr>
      <w:i/>
      <w:iCs/>
    </w:rPr>
  </w:style>
  <w:style w:type="paragraph" w:styleId="Header">
    <w:name w:val="header"/>
    <w:basedOn w:val="Normal"/>
    <w:link w:val="HeaderChar"/>
    <w:uiPriority w:val="99"/>
    <w:unhideWhenUsed/>
    <w:rsid w:val="00CD02DB"/>
    <w:pPr>
      <w:tabs>
        <w:tab w:val="center" w:pos="4513"/>
        <w:tab w:val="right" w:pos="9026"/>
      </w:tabs>
    </w:pPr>
  </w:style>
  <w:style w:type="character" w:customStyle="1" w:styleId="HeaderChar">
    <w:name w:val="Header Char"/>
    <w:basedOn w:val="DefaultParagraphFont"/>
    <w:link w:val="Header"/>
    <w:uiPriority w:val="99"/>
    <w:rsid w:val="00CD02DB"/>
  </w:style>
  <w:style w:type="paragraph" w:styleId="Footer">
    <w:name w:val="footer"/>
    <w:basedOn w:val="Normal"/>
    <w:link w:val="FooterChar"/>
    <w:uiPriority w:val="99"/>
    <w:unhideWhenUsed/>
    <w:rsid w:val="00CD02DB"/>
    <w:pPr>
      <w:tabs>
        <w:tab w:val="center" w:pos="4513"/>
        <w:tab w:val="right" w:pos="9026"/>
      </w:tabs>
    </w:pPr>
  </w:style>
  <w:style w:type="character" w:customStyle="1" w:styleId="FooterChar">
    <w:name w:val="Footer Char"/>
    <w:basedOn w:val="DefaultParagraphFont"/>
    <w:link w:val="Footer"/>
    <w:uiPriority w:val="99"/>
    <w:rsid w:val="00CD02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6888590">
      <w:bodyDiv w:val="1"/>
      <w:marLeft w:val="0"/>
      <w:marRight w:val="0"/>
      <w:marTop w:val="0"/>
      <w:marBottom w:val="0"/>
      <w:divBdr>
        <w:top w:val="none" w:sz="0" w:space="0" w:color="auto"/>
        <w:left w:val="none" w:sz="0" w:space="0" w:color="auto"/>
        <w:bottom w:val="none" w:sz="0" w:space="0" w:color="auto"/>
        <w:right w:val="none" w:sz="0" w:space="0" w:color="auto"/>
      </w:divBdr>
      <w:divsChild>
        <w:div w:id="767966891">
          <w:marLeft w:val="0"/>
          <w:marRight w:val="0"/>
          <w:marTop w:val="0"/>
          <w:marBottom w:val="0"/>
          <w:divBdr>
            <w:top w:val="none" w:sz="0" w:space="0" w:color="auto"/>
            <w:left w:val="none" w:sz="0" w:space="0" w:color="auto"/>
            <w:bottom w:val="none" w:sz="0" w:space="0" w:color="auto"/>
            <w:right w:val="none" w:sz="0" w:space="0" w:color="auto"/>
          </w:divBdr>
          <w:divsChild>
            <w:div w:id="1545288342">
              <w:marLeft w:val="0"/>
              <w:marRight w:val="0"/>
              <w:marTop w:val="0"/>
              <w:marBottom w:val="0"/>
              <w:divBdr>
                <w:top w:val="none" w:sz="0" w:space="0" w:color="auto"/>
                <w:left w:val="none" w:sz="0" w:space="0" w:color="auto"/>
                <w:bottom w:val="none" w:sz="0" w:space="0" w:color="auto"/>
                <w:right w:val="none" w:sz="0" w:space="0" w:color="auto"/>
              </w:divBdr>
              <w:divsChild>
                <w:div w:id="1210188459">
                  <w:marLeft w:val="0"/>
                  <w:marRight w:val="0"/>
                  <w:marTop w:val="0"/>
                  <w:marBottom w:val="0"/>
                  <w:divBdr>
                    <w:top w:val="none" w:sz="0" w:space="0" w:color="auto"/>
                    <w:left w:val="none" w:sz="0" w:space="0" w:color="auto"/>
                    <w:bottom w:val="none" w:sz="0" w:space="0" w:color="auto"/>
                    <w:right w:val="none" w:sz="0" w:space="0" w:color="auto"/>
                  </w:divBdr>
                  <w:divsChild>
                    <w:div w:id="49772164">
                      <w:marLeft w:val="0"/>
                      <w:marRight w:val="0"/>
                      <w:marTop w:val="0"/>
                      <w:marBottom w:val="0"/>
                      <w:divBdr>
                        <w:top w:val="none" w:sz="0" w:space="0" w:color="auto"/>
                        <w:left w:val="none" w:sz="0" w:space="0" w:color="auto"/>
                        <w:bottom w:val="none" w:sz="0" w:space="0" w:color="auto"/>
                        <w:right w:val="none" w:sz="0" w:space="0" w:color="auto"/>
                      </w:divBdr>
                      <w:divsChild>
                        <w:div w:id="15271513">
                          <w:marLeft w:val="0"/>
                          <w:marRight w:val="0"/>
                          <w:marTop w:val="0"/>
                          <w:marBottom w:val="0"/>
                          <w:divBdr>
                            <w:top w:val="none" w:sz="0" w:space="0" w:color="auto"/>
                            <w:left w:val="none" w:sz="0" w:space="0" w:color="auto"/>
                            <w:bottom w:val="none" w:sz="0" w:space="0" w:color="auto"/>
                            <w:right w:val="none" w:sz="0" w:space="0" w:color="auto"/>
                          </w:divBdr>
                          <w:divsChild>
                            <w:div w:id="1558398647">
                              <w:marLeft w:val="0"/>
                              <w:marRight w:val="0"/>
                              <w:marTop w:val="0"/>
                              <w:marBottom w:val="0"/>
                              <w:divBdr>
                                <w:top w:val="none" w:sz="0" w:space="0" w:color="auto"/>
                                <w:left w:val="none" w:sz="0" w:space="0" w:color="auto"/>
                                <w:bottom w:val="none" w:sz="0" w:space="0" w:color="auto"/>
                                <w:right w:val="none" w:sz="0" w:space="0" w:color="auto"/>
                              </w:divBdr>
                              <w:divsChild>
                                <w:div w:id="514466444">
                                  <w:marLeft w:val="0"/>
                                  <w:marRight w:val="0"/>
                                  <w:marTop w:val="0"/>
                                  <w:marBottom w:val="0"/>
                                  <w:divBdr>
                                    <w:top w:val="none" w:sz="0" w:space="0" w:color="auto"/>
                                    <w:left w:val="none" w:sz="0" w:space="0" w:color="auto"/>
                                    <w:bottom w:val="none" w:sz="0" w:space="0" w:color="auto"/>
                                    <w:right w:val="none" w:sz="0" w:space="0" w:color="auto"/>
                                  </w:divBdr>
                                  <w:divsChild>
                                    <w:div w:id="1361128025">
                                      <w:marLeft w:val="0"/>
                                      <w:marRight w:val="0"/>
                                      <w:marTop w:val="0"/>
                                      <w:marBottom w:val="0"/>
                                      <w:divBdr>
                                        <w:top w:val="none" w:sz="0" w:space="0" w:color="auto"/>
                                        <w:left w:val="none" w:sz="0" w:space="0" w:color="auto"/>
                                        <w:bottom w:val="none" w:sz="0" w:space="0" w:color="auto"/>
                                        <w:right w:val="none" w:sz="0" w:space="0" w:color="auto"/>
                                      </w:divBdr>
                                      <w:divsChild>
                                        <w:div w:id="1822768218">
                                          <w:blockQuote w:val="1"/>
                                          <w:marLeft w:val="720"/>
                                          <w:marRight w:val="720"/>
                                          <w:marTop w:val="100"/>
                                          <w:marBottom w:val="100"/>
                                          <w:divBdr>
                                            <w:top w:val="none" w:sz="0" w:space="0" w:color="auto"/>
                                            <w:left w:val="none" w:sz="0" w:space="0" w:color="auto"/>
                                            <w:bottom w:val="none" w:sz="0" w:space="0" w:color="auto"/>
                                            <w:right w:val="none" w:sz="0" w:space="0" w:color="auto"/>
                                          </w:divBdr>
                                        </w:div>
                                        <w:div w:id="1598977361">
                                          <w:blockQuote w:val="1"/>
                                          <w:marLeft w:val="720"/>
                                          <w:marRight w:val="720"/>
                                          <w:marTop w:val="100"/>
                                          <w:marBottom w:val="100"/>
                                          <w:divBdr>
                                            <w:top w:val="none" w:sz="0" w:space="0" w:color="auto"/>
                                            <w:left w:val="none" w:sz="0" w:space="0" w:color="auto"/>
                                            <w:bottom w:val="none" w:sz="0" w:space="0" w:color="auto"/>
                                            <w:right w:val="none" w:sz="0" w:space="0" w:color="auto"/>
                                          </w:divBdr>
                                        </w:div>
                                        <w:div w:id="1430468069">
                                          <w:blockQuote w:val="1"/>
                                          <w:marLeft w:val="720"/>
                                          <w:marRight w:val="720"/>
                                          <w:marTop w:val="100"/>
                                          <w:marBottom w:val="100"/>
                                          <w:divBdr>
                                            <w:top w:val="none" w:sz="0" w:space="0" w:color="auto"/>
                                            <w:left w:val="none" w:sz="0" w:space="0" w:color="auto"/>
                                            <w:bottom w:val="none" w:sz="0" w:space="0" w:color="auto"/>
                                            <w:right w:val="none" w:sz="0" w:space="0" w:color="auto"/>
                                          </w:divBdr>
                                        </w:div>
                                        <w:div w:id="501629177">
                                          <w:blockQuote w:val="1"/>
                                          <w:marLeft w:val="720"/>
                                          <w:marRight w:val="720"/>
                                          <w:marTop w:val="100"/>
                                          <w:marBottom w:val="100"/>
                                          <w:divBdr>
                                            <w:top w:val="none" w:sz="0" w:space="0" w:color="auto"/>
                                            <w:left w:val="none" w:sz="0" w:space="0" w:color="auto"/>
                                            <w:bottom w:val="none" w:sz="0" w:space="0" w:color="auto"/>
                                            <w:right w:val="none" w:sz="0" w:space="0" w:color="auto"/>
                                          </w:divBdr>
                                        </w:div>
                                        <w:div w:id="579557555">
                                          <w:blockQuote w:val="1"/>
                                          <w:marLeft w:val="720"/>
                                          <w:marRight w:val="720"/>
                                          <w:marTop w:val="100"/>
                                          <w:marBottom w:val="100"/>
                                          <w:divBdr>
                                            <w:top w:val="none" w:sz="0" w:space="0" w:color="auto"/>
                                            <w:left w:val="none" w:sz="0" w:space="0" w:color="auto"/>
                                            <w:bottom w:val="none" w:sz="0" w:space="0" w:color="auto"/>
                                            <w:right w:val="none" w:sz="0" w:space="0" w:color="auto"/>
                                          </w:divBdr>
                                        </w:div>
                                        <w:div w:id="129121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62688725">
      <w:bodyDiv w:val="1"/>
      <w:marLeft w:val="0"/>
      <w:marRight w:val="0"/>
      <w:marTop w:val="0"/>
      <w:marBottom w:val="0"/>
      <w:divBdr>
        <w:top w:val="none" w:sz="0" w:space="0" w:color="auto"/>
        <w:left w:val="none" w:sz="0" w:space="0" w:color="auto"/>
        <w:bottom w:val="none" w:sz="0" w:space="0" w:color="auto"/>
        <w:right w:val="none" w:sz="0" w:space="0" w:color="auto"/>
      </w:divBdr>
      <w:divsChild>
        <w:div w:id="814224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uton.gov.uk" TargetMode="External"/><Relationship Id="rId13" Type="http://schemas.openxmlformats.org/officeDocument/2006/relationships/hyperlink" Target="https://www.kingsfund.org.uk" TargetMode="External"/><Relationship Id="rId3" Type="http://schemas.openxmlformats.org/officeDocument/2006/relationships/settings" Target="settings.xml"/><Relationship Id="rId7" Type="http://schemas.openxmlformats.org/officeDocument/2006/relationships/hyperlink" Target="https://www.legislation.gov.uk/ukpga/2022/31" TargetMode="External"/><Relationship Id="rId12" Type="http://schemas.openxmlformats.org/officeDocument/2006/relationships/hyperlink" Target="https://www.leadershipacademy.nhs.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diabetes/diabetes-prevention/"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ongtermplan.nhs.uk" TargetMode="External"/><Relationship Id="rId4" Type="http://schemas.openxmlformats.org/officeDocument/2006/relationships/webSettings" Target="webSettings.xml"/><Relationship Id="rId9" Type="http://schemas.openxmlformats.org/officeDocument/2006/relationships/hyperlink" Target="https://www.nice.org.uk/guidance/ng2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3367</Words>
  <Characters>19195</Characters>
  <Application>Microsoft Office Word</Application>
  <DocSecurity>0</DocSecurity>
  <Lines>159</Lines>
  <Paragraphs>45</Paragraphs>
  <ScaleCrop>false</ScaleCrop>
  <Company/>
  <LinksUpToDate>false</LinksUpToDate>
  <CharactersWithSpaces>22517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2026-04-23T07:20:00Z</dcterms:created>
  <dcterms:modified xsi:type="dcterms:W3CDTF">2026-04-23T07:20:00Z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801138c4-a8c7-4865-8e04-55e9299ea6d3</vt:lpwstr>
  </property>
</Properties>
</file>