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F4959" w14:textId="77777777" w:rsidR="00BF26C7" w:rsidRPr="00A930CB" w:rsidRDefault="00BF26C7" w:rsidP="00BF26C7">
      <w:pPr>
        <w:spacing w:after="165" w:line="360" w:lineRule="auto"/>
        <w:rPr>
          <w:rFonts w:ascii="Tahoma" w:hAnsi="Tahoma" w:cs="Tahoma"/>
          <w:color w:val="000000"/>
          <w:sz w:val="40"/>
          <w:szCs w:val="40"/>
        </w:rPr>
      </w:pPr>
      <w:r>
        <w:rPr>
          <w:b/>
          <w:noProof/>
          <w:lang w:eastAsia="en-GB"/>
        </w:rPr>
        <w:drawing>
          <wp:inline distT="0" distB="0" distL="0" distR="0" wp14:anchorId="05B7717B" wp14:editId="698928F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ECDC7C0" w14:textId="77777777" w:rsidR="00BF26C7" w:rsidRPr="00A930CB" w:rsidRDefault="00BF26C7" w:rsidP="00BF26C7">
      <w:pPr>
        <w:spacing w:after="165" w:line="360" w:lineRule="auto"/>
        <w:jc w:val="center"/>
        <w:rPr>
          <w:rFonts w:ascii="Tahoma" w:hAnsi="Tahoma" w:cs="Tahoma"/>
          <w:color w:val="000000"/>
          <w:sz w:val="40"/>
          <w:szCs w:val="40"/>
        </w:rPr>
      </w:pPr>
      <w:r>
        <w:rPr>
          <w:rFonts w:ascii="Tahoma" w:hAnsi="Tahoma" w:cs="Tahoma"/>
          <w:color w:val="000000"/>
          <w:sz w:val="40"/>
          <w:szCs w:val="40"/>
        </w:rPr>
        <w:t>BA (Hons) Leadership and Management Skills in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26C7" w:rsidRPr="00D14017" w14:paraId="1AF3977D" w14:textId="77777777">
        <w:tc>
          <w:tcPr>
            <w:tcW w:w="3438" w:type="dxa"/>
            <w:shd w:val="clear" w:color="auto" w:fill="D9D9D9"/>
          </w:tcPr>
          <w:p w14:paraId="37750A96" w14:textId="77777777" w:rsidR="00BF26C7" w:rsidRPr="00D14017" w:rsidRDefault="00BF26C7" w:rsidP="007234E9">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023DD75" w14:textId="77777777" w:rsidR="00BF26C7" w:rsidRPr="00D14017" w:rsidRDefault="00BF26C7" w:rsidP="007234E9">
            <w:pPr>
              <w:spacing w:before="120" w:after="120" w:line="360" w:lineRule="auto"/>
              <w:rPr>
                <w:rFonts w:ascii="Tahoma" w:hAnsi="Tahoma" w:cs="Tahoma"/>
                <w:sz w:val="28"/>
                <w:szCs w:val="28"/>
              </w:rPr>
            </w:pPr>
            <w:r>
              <w:rPr>
                <w:rFonts w:ascii="Tahoma" w:hAnsi="Tahoma" w:cs="Tahoma"/>
                <w:sz w:val="28"/>
                <w:szCs w:val="28"/>
              </w:rPr>
              <w:t>Jessica Rudall</w:t>
            </w:r>
          </w:p>
        </w:tc>
      </w:tr>
      <w:tr w:rsidR="00BF26C7" w:rsidRPr="00D14017" w14:paraId="2A554E96" w14:textId="77777777">
        <w:tc>
          <w:tcPr>
            <w:tcW w:w="3438" w:type="dxa"/>
            <w:shd w:val="clear" w:color="auto" w:fill="D9D9D9"/>
          </w:tcPr>
          <w:p w14:paraId="0E0762EA" w14:textId="77777777" w:rsidR="00BF26C7" w:rsidRPr="00D14017" w:rsidRDefault="00BF26C7" w:rsidP="007234E9">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4C6A6FF1" w14:textId="77777777" w:rsidR="00BF26C7" w:rsidRPr="00D14017" w:rsidRDefault="00BF26C7" w:rsidP="007234E9">
            <w:pPr>
              <w:spacing w:before="120" w:after="120" w:line="360" w:lineRule="auto"/>
              <w:rPr>
                <w:rFonts w:ascii="Tahoma" w:hAnsi="Tahoma" w:cs="Tahoma"/>
                <w:sz w:val="28"/>
                <w:szCs w:val="28"/>
              </w:rPr>
            </w:pPr>
            <w:r>
              <w:rPr>
                <w:rFonts w:ascii="Tahoma" w:hAnsi="Tahoma" w:cs="Tahoma"/>
                <w:sz w:val="28"/>
                <w:szCs w:val="28"/>
              </w:rPr>
              <w:t>2308141</w:t>
            </w:r>
          </w:p>
        </w:tc>
      </w:tr>
      <w:tr w:rsidR="00BF26C7" w:rsidRPr="00D14017" w14:paraId="05135AE9" w14:textId="77777777">
        <w:tc>
          <w:tcPr>
            <w:tcW w:w="3438" w:type="dxa"/>
            <w:shd w:val="clear" w:color="auto" w:fill="D9D9D9"/>
          </w:tcPr>
          <w:p w14:paraId="25B4A8C2" w14:textId="77777777" w:rsidR="00BF26C7" w:rsidRPr="00D14017" w:rsidRDefault="00BF26C7" w:rsidP="007234E9">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EBAF345" w14:textId="42792BD2" w:rsidR="00BF26C7" w:rsidRPr="00A74503" w:rsidRDefault="00BF26C7" w:rsidP="007234E9">
            <w:pPr>
              <w:spacing w:before="120" w:after="120" w:line="360" w:lineRule="auto"/>
              <w:rPr>
                <w:rFonts w:ascii="Tahoma" w:hAnsi="Tahoma" w:cs="Tahoma"/>
                <w:sz w:val="28"/>
                <w:szCs w:val="28"/>
              </w:rPr>
            </w:pPr>
            <w:r w:rsidRPr="00A74503">
              <w:rPr>
                <w:rFonts w:ascii="Tahoma" w:hAnsi="Tahoma" w:cs="Tahoma"/>
                <w:sz w:val="28"/>
                <w:szCs w:val="28"/>
              </w:rPr>
              <w:t>BMSK6009</w:t>
            </w:r>
          </w:p>
        </w:tc>
      </w:tr>
      <w:tr w:rsidR="00BF26C7" w:rsidRPr="00D14017" w14:paraId="5D1694A9" w14:textId="77777777">
        <w:trPr>
          <w:trHeight w:val="413"/>
        </w:trPr>
        <w:tc>
          <w:tcPr>
            <w:tcW w:w="3438" w:type="dxa"/>
            <w:shd w:val="clear" w:color="auto" w:fill="D9D9D9"/>
          </w:tcPr>
          <w:p w14:paraId="52936300" w14:textId="77777777" w:rsidR="00BF26C7" w:rsidRPr="00D14017" w:rsidRDefault="00BF26C7" w:rsidP="007234E9">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7B49E657" w14:textId="259AFAAB" w:rsidR="00BF26C7" w:rsidRPr="00A74503" w:rsidRDefault="00BF26C7" w:rsidP="007234E9">
            <w:pPr>
              <w:spacing w:before="120" w:after="120" w:line="360" w:lineRule="auto"/>
              <w:rPr>
                <w:rFonts w:ascii="Tahoma" w:hAnsi="Tahoma" w:cs="Tahoma"/>
                <w:sz w:val="28"/>
                <w:szCs w:val="28"/>
              </w:rPr>
            </w:pPr>
            <w:r w:rsidRPr="00A74503">
              <w:rPr>
                <w:rFonts w:ascii="Tahoma" w:hAnsi="Tahoma" w:cs="Tahoma"/>
                <w:sz w:val="28"/>
                <w:szCs w:val="28"/>
              </w:rPr>
              <w:t xml:space="preserve">Emotional Intelligence </w:t>
            </w:r>
          </w:p>
        </w:tc>
      </w:tr>
    </w:tbl>
    <w:p w14:paraId="4651F761" w14:textId="77777777" w:rsidR="00BF26C7" w:rsidRDefault="00BF26C7" w:rsidP="00BF26C7">
      <w:pPr>
        <w:spacing w:before="120" w:after="120" w:line="360" w:lineRule="auto"/>
        <w:rPr>
          <w:rFonts w:ascii="Tahoma" w:hAnsi="Tahoma" w:cs="Tahoma"/>
          <w:color w:val="000000"/>
          <w:sz w:val="24"/>
          <w:szCs w:val="24"/>
        </w:rPr>
      </w:pPr>
    </w:p>
    <w:p w14:paraId="373A01A4" w14:textId="77777777" w:rsidR="00A74503" w:rsidRPr="00424D4F" w:rsidRDefault="00A74503" w:rsidP="00A74503">
      <w:pPr>
        <w:spacing w:before="120" w:after="120" w:line="360" w:lineRule="auto"/>
        <w:rPr>
          <w:rFonts w:ascii="Arial" w:eastAsia="Tahoma" w:hAnsi="Arial" w:cs="Arial"/>
          <w:b/>
          <w:color w:val="000000"/>
          <w:sz w:val="20"/>
          <w:szCs w:val="20"/>
        </w:rPr>
      </w:pPr>
      <w:r w:rsidRPr="00424D4F">
        <w:rPr>
          <w:rFonts w:ascii="Arial" w:eastAsia="Tahoma" w:hAnsi="Arial" w:cs="Arial"/>
          <w:b/>
          <w:color w:val="000000"/>
          <w:sz w:val="20"/>
          <w:szCs w:val="20"/>
        </w:rPr>
        <w:t>Statement of Confirmation of Authenticity</w:t>
      </w:r>
    </w:p>
    <w:p w14:paraId="475DC5B2" w14:textId="77777777" w:rsidR="00A74503" w:rsidRPr="00424D4F" w:rsidRDefault="00A74503" w:rsidP="00A74503">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37624B0" w14:textId="77777777" w:rsidR="00A74503" w:rsidRPr="00424D4F" w:rsidRDefault="00A74503" w:rsidP="00A74503">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Attention is drawn to the plagiarism and unfair practice policies of both the University and of ILM.</w:t>
      </w:r>
    </w:p>
    <w:p w14:paraId="518C11DD" w14:textId="77777777" w:rsidR="00BF26C7" w:rsidRDefault="00BF26C7" w:rsidP="00BF26C7">
      <w:pPr>
        <w:rPr>
          <w:rFonts w:ascii="Tahoma" w:hAnsi="Tahoma" w:cs="Tahoma"/>
          <w:color w:val="000000"/>
          <w:sz w:val="24"/>
          <w:szCs w:val="24"/>
        </w:rPr>
      </w:pPr>
    </w:p>
    <w:p w14:paraId="6D238265" w14:textId="458F4631" w:rsidR="00BF26C7" w:rsidRDefault="00BF26C7">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eastAsia="en-US"/>
        </w:rPr>
        <w:id w:val="-602651487"/>
        <w:docPartObj>
          <w:docPartGallery w:val="Table of Contents"/>
          <w:docPartUnique/>
        </w:docPartObj>
      </w:sdtPr>
      <w:sdtEndPr>
        <w:rPr>
          <w:b/>
          <w:bCs/>
        </w:rPr>
      </w:sdtEndPr>
      <w:sdtContent>
        <w:p w14:paraId="419C7C5D" w14:textId="2920E553" w:rsidR="008D31A9" w:rsidRDefault="008D31A9">
          <w:pPr>
            <w:pStyle w:val="TOCHeading"/>
          </w:pPr>
          <w:r>
            <w:t>Table of Contents</w:t>
          </w:r>
        </w:p>
        <w:p w14:paraId="2FB65823" w14:textId="3DD90295" w:rsidR="008D31A9" w:rsidRDefault="008D31A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0003871" w:history="1">
            <w:r w:rsidRPr="00047747">
              <w:rPr>
                <w:rStyle w:val="Hyperlink"/>
                <w:rFonts w:ascii="Calibri" w:hAnsi="Calibri" w:cs="Calibri"/>
                <w:noProof/>
              </w:rPr>
              <w:t>1. Introduction</w:t>
            </w:r>
            <w:r>
              <w:rPr>
                <w:noProof/>
                <w:webHidden/>
              </w:rPr>
              <w:tab/>
            </w:r>
            <w:r>
              <w:rPr>
                <w:noProof/>
                <w:webHidden/>
              </w:rPr>
              <w:fldChar w:fldCharType="begin"/>
            </w:r>
            <w:r>
              <w:rPr>
                <w:noProof/>
                <w:webHidden/>
              </w:rPr>
              <w:instrText xml:space="preserve"> PAGEREF _Toc230003871 \h </w:instrText>
            </w:r>
            <w:r>
              <w:rPr>
                <w:noProof/>
                <w:webHidden/>
              </w:rPr>
            </w:r>
            <w:r>
              <w:rPr>
                <w:noProof/>
                <w:webHidden/>
              </w:rPr>
              <w:fldChar w:fldCharType="separate"/>
            </w:r>
            <w:r>
              <w:rPr>
                <w:noProof/>
                <w:webHidden/>
              </w:rPr>
              <w:t>3</w:t>
            </w:r>
            <w:r>
              <w:rPr>
                <w:noProof/>
                <w:webHidden/>
              </w:rPr>
              <w:fldChar w:fldCharType="end"/>
            </w:r>
          </w:hyperlink>
        </w:p>
        <w:p w14:paraId="01600C49" w14:textId="7147E080"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72" w:history="1">
            <w:r w:rsidRPr="00047747">
              <w:rPr>
                <w:rStyle w:val="Hyperlink"/>
                <w:rFonts w:ascii="Calibri" w:hAnsi="Calibri" w:cs="Calibri"/>
                <w:noProof/>
              </w:rPr>
              <w:t>2. Emotional Intelligence: Concepts and Theoretical Perspective</w:t>
            </w:r>
            <w:r>
              <w:rPr>
                <w:noProof/>
                <w:webHidden/>
              </w:rPr>
              <w:tab/>
            </w:r>
            <w:r>
              <w:rPr>
                <w:noProof/>
                <w:webHidden/>
              </w:rPr>
              <w:fldChar w:fldCharType="begin"/>
            </w:r>
            <w:r>
              <w:rPr>
                <w:noProof/>
                <w:webHidden/>
              </w:rPr>
              <w:instrText xml:space="preserve"> PAGEREF _Toc230003872 \h </w:instrText>
            </w:r>
            <w:r>
              <w:rPr>
                <w:noProof/>
                <w:webHidden/>
              </w:rPr>
            </w:r>
            <w:r>
              <w:rPr>
                <w:noProof/>
                <w:webHidden/>
              </w:rPr>
              <w:fldChar w:fldCharType="separate"/>
            </w:r>
            <w:r>
              <w:rPr>
                <w:noProof/>
                <w:webHidden/>
              </w:rPr>
              <w:t>3</w:t>
            </w:r>
            <w:r>
              <w:rPr>
                <w:noProof/>
                <w:webHidden/>
              </w:rPr>
              <w:fldChar w:fldCharType="end"/>
            </w:r>
          </w:hyperlink>
        </w:p>
        <w:p w14:paraId="5CC410A1" w14:textId="5AD52B3E"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3" w:history="1">
            <w:r w:rsidRPr="00047747">
              <w:rPr>
                <w:rStyle w:val="Hyperlink"/>
                <w:rFonts w:ascii="Calibri" w:hAnsi="Calibri" w:cs="Calibri"/>
                <w:noProof/>
              </w:rPr>
              <w:t>2.1 Defining Emotional Intelligence</w:t>
            </w:r>
            <w:r>
              <w:rPr>
                <w:noProof/>
                <w:webHidden/>
              </w:rPr>
              <w:tab/>
            </w:r>
            <w:r>
              <w:rPr>
                <w:noProof/>
                <w:webHidden/>
              </w:rPr>
              <w:fldChar w:fldCharType="begin"/>
            </w:r>
            <w:r>
              <w:rPr>
                <w:noProof/>
                <w:webHidden/>
              </w:rPr>
              <w:instrText xml:space="preserve"> PAGEREF _Toc230003873 \h </w:instrText>
            </w:r>
            <w:r>
              <w:rPr>
                <w:noProof/>
                <w:webHidden/>
              </w:rPr>
            </w:r>
            <w:r>
              <w:rPr>
                <w:noProof/>
                <w:webHidden/>
              </w:rPr>
              <w:fldChar w:fldCharType="separate"/>
            </w:r>
            <w:r>
              <w:rPr>
                <w:noProof/>
                <w:webHidden/>
              </w:rPr>
              <w:t>3</w:t>
            </w:r>
            <w:r>
              <w:rPr>
                <w:noProof/>
                <w:webHidden/>
              </w:rPr>
              <w:fldChar w:fldCharType="end"/>
            </w:r>
          </w:hyperlink>
        </w:p>
        <w:p w14:paraId="68BECE99" w14:textId="042286DF"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4" w:history="1">
            <w:r w:rsidRPr="00047747">
              <w:rPr>
                <w:rStyle w:val="Hyperlink"/>
                <w:rFonts w:ascii="Calibri" w:hAnsi="Calibri" w:cs="Calibri"/>
                <w:noProof/>
              </w:rPr>
              <w:t>2.2 Key Theories of Emotional Intelligence</w:t>
            </w:r>
            <w:r>
              <w:rPr>
                <w:noProof/>
                <w:webHidden/>
              </w:rPr>
              <w:tab/>
            </w:r>
            <w:r>
              <w:rPr>
                <w:noProof/>
                <w:webHidden/>
              </w:rPr>
              <w:fldChar w:fldCharType="begin"/>
            </w:r>
            <w:r>
              <w:rPr>
                <w:noProof/>
                <w:webHidden/>
              </w:rPr>
              <w:instrText xml:space="preserve"> PAGEREF _Toc230003874 \h </w:instrText>
            </w:r>
            <w:r>
              <w:rPr>
                <w:noProof/>
                <w:webHidden/>
              </w:rPr>
            </w:r>
            <w:r>
              <w:rPr>
                <w:noProof/>
                <w:webHidden/>
              </w:rPr>
              <w:fldChar w:fldCharType="separate"/>
            </w:r>
            <w:r>
              <w:rPr>
                <w:noProof/>
                <w:webHidden/>
              </w:rPr>
              <w:t>4</w:t>
            </w:r>
            <w:r>
              <w:rPr>
                <w:noProof/>
                <w:webHidden/>
              </w:rPr>
              <w:fldChar w:fldCharType="end"/>
            </w:r>
          </w:hyperlink>
        </w:p>
        <w:p w14:paraId="7B08AE47" w14:textId="0B8B4FFF"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5" w:history="1">
            <w:r w:rsidRPr="00047747">
              <w:rPr>
                <w:rStyle w:val="Hyperlink"/>
                <w:rFonts w:ascii="Calibri" w:hAnsi="Calibri" w:cs="Calibri"/>
                <w:noProof/>
                <w:lang w:eastAsia="en-GB"/>
              </w:rPr>
              <w:t>2.3 Critical Evaluation of EI Theories</w:t>
            </w:r>
            <w:r>
              <w:rPr>
                <w:noProof/>
                <w:webHidden/>
              </w:rPr>
              <w:tab/>
            </w:r>
            <w:r>
              <w:rPr>
                <w:noProof/>
                <w:webHidden/>
              </w:rPr>
              <w:fldChar w:fldCharType="begin"/>
            </w:r>
            <w:r>
              <w:rPr>
                <w:noProof/>
                <w:webHidden/>
              </w:rPr>
              <w:instrText xml:space="preserve"> PAGEREF _Toc230003875 \h </w:instrText>
            </w:r>
            <w:r>
              <w:rPr>
                <w:noProof/>
                <w:webHidden/>
              </w:rPr>
            </w:r>
            <w:r>
              <w:rPr>
                <w:noProof/>
                <w:webHidden/>
              </w:rPr>
              <w:fldChar w:fldCharType="separate"/>
            </w:r>
            <w:r>
              <w:rPr>
                <w:noProof/>
                <w:webHidden/>
              </w:rPr>
              <w:t>5</w:t>
            </w:r>
            <w:r>
              <w:rPr>
                <w:noProof/>
                <w:webHidden/>
              </w:rPr>
              <w:fldChar w:fldCharType="end"/>
            </w:r>
          </w:hyperlink>
        </w:p>
        <w:p w14:paraId="1712CCD0" w14:textId="66DAA960"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76" w:history="1">
            <w:r w:rsidRPr="00047747">
              <w:rPr>
                <w:rStyle w:val="Hyperlink"/>
                <w:rFonts w:ascii="Calibri" w:hAnsi="Calibri" w:cs="Calibri"/>
                <w:noProof/>
                <w:lang w:eastAsia="en-GB"/>
              </w:rPr>
              <w:t>3. Workforce Development and Emotional Intelligence</w:t>
            </w:r>
            <w:r>
              <w:rPr>
                <w:noProof/>
                <w:webHidden/>
              </w:rPr>
              <w:tab/>
            </w:r>
            <w:r>
              <w:rPr>
                <w:noProof/>
                <w:webHidden/>
              </w:rPr>
              <w:fldChar w:fldCharType="begin"/>
            </w:r>
            <w:r>
              <w:rPr>
                <w:noProof/>
                <w:webHidden/>
              </w:rPr>
              <w:instrText xml:space="preserve"> PAGEREF _Toc230003876 \h </w:instrText>
            </w:r>
            <w:r>
              <w:rPr>
                <w:noProof/>
                <w:webHidden/>
              </w:rPr>
            </w:r>
            <w:r>
              <w:rPr>
                <w:noProof/>
                <w:webHidden/>
              </w:rPr>
              <w:fldChar w:fldCharType="separate"/>
            </w:r>
            <w:r>
              <w:rPr>
                <w:noProof/>
                <w:webHidden/>
              </w:rPr>
              <w:t>7</w:t>
            </w:r>
            <w:r>
              <w:rPr>
                <w:noProof/>
                <w:webHidden/>
              </w:rPr>
              <w:fldChar w:fldCharType="end"/>
            </w:r>
          </w:hyperlink>
        </w:p>
        <w:p w14:paraId="4747F425" w14:textId="4B2B8451"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7" w:history="1">
            <w:r w:rsidRPr="00047747">
              <w:rPr>
                <w:rStyle w:val="Hyperlink"/>
                <w:rFonts w:ascii="Calibri" w:hAnsi="Calibri" w:cs="Calibri"/>
                <w:noProof/>
              </w:rPr>
              <w:t>3.1 Understanding Workforce Development</w:t>
            </w:r>
            <w:r>
              <w:rPr>
                <w:noProof/>
                <w:webHidden/>
              </w:rPr>
              <w:tab/>
            </w:r>
            <w:r>
              <w:rPr>
                <w:noProof/>
                <w:webHidden/>
              </w:rPr>
              <w:fldChar w:fldCharType="begin"/>
            </w:r>
            <w:r>
              <w:rPr>
                <w:noProof/>
                <w:webHidden/>
              </w:rPr>
              <w:instrText xml:space="preserve"> PAGEREF _Toc230003877 \h </w:instrText>
            </w:r>
            <w:r>
              <w:rPr>
                <w:noProof/>
                <w:webHidden/>
              </w:rPr>
            </w:r>
            <w:r>
              <w:rPr>
                <w:noProof/>
                <w:webHidden/>
              </w:rPr>
              <w:fldChar w:fldCharType="separate"/>
            </w:r>
            <w:r>
              <w:rPr>
                <w:noProof/>
                <w:webHidden/>
              </w:rPr>
              <w:t>7</w:t>
            </w:r>
            <w:r>
              <w:rPr>
                <w:noProof/>
                <w:webHidden/>
              </w:rPr>
              <w:fldChar w:fldCharType="end"/>
            </w:r>
          </w:hyperlink>
        </w:p>
        <w:p w14:paraId="2E6E0C34" w14:textId="4CE6F1E3"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8" w:history="1">
            <w:r w:rsidRPr="00047747">
              <w:rPr>
                <w:rStyle w:val="Hyperlink"/>
                <w:rFonts w:ascii="Calibri" w:hAnsi="Calibri" w:cs="Calibri"/>
                <w:noProof/>
              </w:rPr>
              <w:t>3.2 The Relevance of Emotional Intelligence to Workforce Development</w:t>
            </w:r>
            <w:r>
              <w:rPr>
                <w:noProof/>
                <w:webHidden/>
              </w:rPr>
              <w:tab/>
            </w:r>
            <w:r>
              <w:rPr>
                <w:noProof/>
                <w:webHidden/>
              </w:rPr>
              <w:fldChar w:fldCharType="begin"/>
            </w:r>
            <w:r>
              <w:rPr>
                <w:noProof/>
                <w:webHidden/>
              </w:rPr>
              <w:instrText xml:space="preserve"> PAGEREF _Toc230003878 \h </w:instrText>
            </w:r>
            <w:r>
              <w:rPr>
                <w:noProof/>
                <w:webHidden/>
              </w:rPr>
            </w:r>
            <w:r>
              <w:rPr>
                <w:noProof/>
                <w:webHidden/>
              </w:rPr>
              <w:fldChar w:fldCharType="separate"/>
            </w:r>
            <w:r>
              <w:rPr>
                <w:noProof/>
                <w:webHidden/>
              </w:rPr>
              <w:t>7</w:t>
            </w:r>
            <w:r>
              <w:rPr>
                <w:noProof/>
                <w:webHidden/>
              </w:rPr>
              <w:fldChar w:fldCharType="end"/>
            </w:r>
          </w:hyperlink>
        </w:p>
        <w:p w14:paraId="4ED6FBC9" w14:textId="232D8029"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79" w:history="1">
            <w:r w:rsidRPr="00047747">
              <w:rPr>
                <w:rStyle w:val="Hyperlink"/>
                <w:rFonts w:ascii="Calibri" w:hAnsi="Calibri" w:cs="Calibri"/>
                <w:noProof/>
              </w:rPr>
              <w:t>3.3 Transactional Analysis and Workforce Relationships</w:t>
            </w:r>
            <w:r>
              <w:rPr>
                <w:noProof/>
                <w:webHidden/>
              </w:rPr>
              <w:tab/>
            </w:r>
            <w:r>
              <w:rPr>
                <w:noProof/>
                <w:webHidden/>
              </w:rPr>
              <w:fldChar w:fldCharType="begin"/>
            </w:r>
            <w:r>
              <w:rPr>
                <w:noProof/>
                <w:webHidden/>
              </w:rPr>
              <w:instrText xml:space="preserve"> PAGEREF _Toc230003879 \h </w:instrText>
            </w:r>
            <w:r>
              <w:rPr>
                <w:noProof/>
                <w:webHidden/>
              </w:rPr>
            </w:r>
            <w:r>
              <w:rPr>
                <w:noProof/>
                <w:webHidden/>
              </w:rPr>
              <w:fldChar w:fldCharType="separate"/>
            </w:r>
            <w:r>
              <w:rPr>
                <w:noProof/>
                <w:webHidden/>
              </w:rPr>
              <w:t>9</w:t>
            </w:r>
            <w:r>
              <w:rPr>
                <w:noProof/>
                <w:webHidden/>
              </w:rPr>
              <w:fldChar w:fldCharType="end"/>
            </w:r>
          </w:hyperlink>
        </w:p>
        <w:p w14:paraId="28862025" w14:textId="7747D7A0"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0" w:history="1">
            <w:r w:rsidRPr="00047747">
              <w:rPr>
                <w:rStyle w:val="Hyperlink"/>
                <w:rFonts w:ascii="Calibri" w:hAnsi="Calibri" w:cs="Calibri"/>
                <w:noProof/>
                <w:lang w:eastAsia="en-GB"/>
              </w:rPr>
              <w:t>3.4 Critical Evaluation of Emotional Intelligence in Workforce Development</w:t>
            </w:r>
            <w:r>
              <w:rPr>
                <w:noProof/>
                <w:webHidden/>
              </w:rPr>
              <w:tab/>
            </w:r>
            <w:r>
              <w:rPr>
                <w:noProof/>
                <w:webHidden/>
              </w:rPr>
              <w:fldChar w:fldCharType="begin"/>
            </w:r>
            <w:r>
              <w:rPr>
                <w:noProof/>
                <w:webHidden/>
              </w:rPr>
              <w:instrText xml:space="preserve"> PAGEREF _Toc230003880 \h </w:instrText>
            </w:r>
            <w:r>
              <w:rPr>
                <w:noProof/>
                <w:webHidden/>
              </w:rPr>
            </w:r>
            <w:r>
              <w:rPr>
                <w:noProof/>
                <w:webHidden/>
              </w:rPr>
              <w:fldChar w:fldCharType="separate"/>
            </w:r>
            <w:r>
              <w:rPr>
                <w:noProof/>
                <w:webHidden/>
              </w:rPr>
              <w:t>10</w:t>
            </w:r>
            <w:r>
              <w:rPr>
                <w:noProof/>
                <w:webHidden/>
              </w:rPr>
              <w:fldChar w:fldCharType="end"/>
            </w:r>
          </w:hyperlink>
        </w:p>
        <w:p w14:paraId="3C8BE1EA" w14:textId="0AD8F688"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81" w:history="1">
            <w:r w:rsidRPr="00047747">
              <w:rPr>
                <w:rStyle w:val="Hyperlink"/>
                <w:rFonts w:ascii="Calibri" w:hAnsi="Calibri" w:cs="Calibri"/>
                <w:noProof/>
              </w:rPr>
              <w:t>4. Emotional Intelligence and Business Performance</w:t>
            </w:r>
            <w:r>
              <w:rPr>
                <w:noProof/>
                <w:webHidden/>
              </w:rPr>
              <w:tab/>
            </w:r>
            <w:r>
              <w:rPr>
                <w:noProof/>
                <w:webHidden/>
              </w:rPr>
              <w:fldChar w:fldCharType="begin"/>
            </w:r>
            <w:r>
              <w:rPr>
                <w:noProof/>
                <w:webHidden/>
              </w:rPr>
              <w:instrText xml:space="preserve"> PAGEREF _Toc230003881 \h </w:instrText>
            </w:r>
            <w:r>
              <w:rPr>
                <w:noProof/>
                <w:webHidden/>
              </w:rPr>
            </w:r>
            <w:r>
              <w:rPr>
                <w:noProof/>
                <w:webHidden/>
              </w:rPr>
              <w:fldChar w:fldCharType="separate"/>
            </w:r>
            <w:r>
              <w:rPr>
                <w:noProof/>
                <w:webHidden/>
              </w:rPr>
              <w:t>11</w:t>
            </w:r>
            <w:r>
              <w:rPr>
                <w:noProof/>
                <w:webHidden/>
              </w:rPr>
              <w:fldChar w:fldCharType="end"/>
            </w:r>
          </w:hyperlink>
        </w:p>
        <w:p w14:paraId="5D66A9DE" w14:textId="19CC092A"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2" w:history="1">
            <w:r w:rsidRPr="00047747">
              <w:rPr>
                <w:rStyle w:val="Hyperlink"/>
                <w:rFonts w:ascii="Calibri" w:hAnsi="Calibri" w:cs="Calibri"/>
                <w:noProof/>
              </w:rPr>
              <w:t>4.1 Understanding Business Performance within Healthcare</w:t>
            </w:r>
            <w:r>
              <w:rPr>
                <w:noProof/>
                <w:webHidden/>
              </w:rPr>
              <w:tab/>
            </w:r>
            <w:r>
              <w:rPr>
                <w:noProof/>
                <w:webHidden/>
              </w:rPr>
              <w:fldChar w:fldCharType="begin"/>
            </w:r>
            <w:r>
              <w:rPr>
                <w:noProof/>
                <w:webHidden/>
              </w:rPr>
              <w:instrText xml:space="preserve"> PAGEREF _Toc230003882 \h </w:instrText>
            </w:r>
            <w:r>
              <w:rPr>
                <w:noProof/>
                <w:webHidden/>
              </w:rPr>
            </w:r>
            <w:r>
              <w:rPr>
                <w:noProof/>
                <w:webHidden/>
              </w:rPr>
              <w:fldChar w:fldCharType="separate"/>
            </w:r>
            <w:r>
              <w:rPr>
                <w:noProof/>
                <w:webHidden/>
              </w:rPr>
              <w:t>11</w:t>
            </w:r>
            <w:r>
              <w:rPr>
                <w:noProof/>
                <w:webHidden/>
              </w:rPr>
              <w:fldChar w:fldCharType="end"/>
            </w:r>
          </w:hyperlink>
        </w:p>
        <w:p w14:paraId="468F9E03" w14:textId="620AC1E2"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3" w:history="1">
            <w:r w:rsidRPr="00047747">
              <w:rPr>
                <w:rStyle w:val="Hyperlink"/>
                <w:rFonts w:ascii="Calibri" w:hAnsi="Calibri" w:cs="Calibri"/>
                <w:noProof/>
              </w:rPr>
              <w:t>4.2 The Impact of Emotional Intelligence on Organisational Performance</w:t>
            </w:r>
            <w:r>
              <w:rPr>
                <w:noProof/>
                <w:webHidden/>
              </w:rPr>
              <w:tab/>
            </w:r>
            <w:r>
              <w:rPr>
                <w:noProof/>
                <w:webHidden/>
              </w:rPr>
              <w:fldChar w:fldCharType="begin"/>
            </w:r>
            <w:r>
              <w:rPr>
                <w:noProof/>
                <w:webHidden/>
              </w:rPr>
              <w:instrText xml:space="preserve"> PAGEREF _Toc230003883 \h </w:instrText>
            </w:r>
            <w:r>
              <w:rPr>
                <w:noProof/>
                <w:webHidden/>
              </w:rPr>
            </w:r>
            <w:r>
              <w:rPr>
                <w:noProof/>
                <w:webHidden/>
              </w:rPr>
              <w:fldChar w:fldCharType="separate"/>
            </w:r>
            <w:r>
              <w:rPr>
                <w:noProof/>
                <w:webHidden/>
              </w:rPr>
              <w:t>11</w:t>
            </w:r>
            <w:r>
              <w:rPr>
                <w:noProof/>
                <w:webHidden/>
              </w:rPr>
              <w:fldChar w:fldCharType="end"/>
            </w:r>
          </w:hyperlink>
        </w:p>
        <w:p w14:paraId="0EADB64E" w14:textId="57752E5D"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4" w:history="1">
            <w:r w:rsidRPr="00047747">
              <w:rPr>
                <w:rStyle w:val="Hyperlink"/>
                <w:rFonts w:ascii="Calibri" w:hAnsi="Calibri" w:cs="Calibri"/>
                <w:noProof/>
              </w:rPr>
              <w:t>4.3 Critical Evaluation of Emotional Intelligence and Business Performance</w:t>
            </w:r>
            <w:r>
              <w:rPr>
                <w:noProof/>
                <w:webHidden/>
              </w:rPr>
              <w:tab/>
            </w:r>
            <w:r>
              <w:rPr>
                <w:noProof/>
                <w:webHidden/>
              </w:rPr>
              <w:fldChar w:fldCharType="begin"/>
            </w:r>
            <w:r>
              <w:rPr>
                <w:noProof/>
                <w:webHidden/>
              </w:rPr>
              <w:instrText xml:space="preserve"> PAGEREF _Toc230003884 \h </w:instrText>
            </w:r>
            <w:r>
              <w:rPr>
                <w:noProof/>
                <w:webHidden/>
              </w:rPr>
            </w:r>
            <w:r>
              <w:rPr>
                <w:noProof/>
                <w:webHidden/>
              </w:rPr>
              <w:fldChar w:fldCharType="separate"/>
            </w:r>
            <w:r>
              <w:rPr>
                <w:noProof/>
                <w:webHidden/>
              </w:rPr>
              <w:t>12</w:t>
            </w:r>
            <w:r>
              <w:rPr>
                <w:noProof/>
                <w:webHidden/>
              </w:rPr>
              <w:fldChar w:fldCharType="end"/>
            </w:r>
          </w:hyperlink>
        </w:p>
        <w:p w14:paraId="39378050" w14:textId="6FD1F618"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5" w:history="1">
            <w:r w:rsidRPr="00047747">
              <w:rPr>
                <w:rStyle w:val="Hyperlink"/>
                <w:rFonts w:ascii="Calibri" w:hAnsi="Calibri" w:cs="Calibri"/>
                <w:noProof/>
                <w:lang w:eastAsia="en-GB"/>
              </w:rPr>
              <w:t>4.4 Personal Observations from NHS Practice</w:t>
            </w:r>
            <w:r>
              <w:rPr>
                <w:noProof/>
                <w:webHidden/>
              </w:rPr>
              <w:tab/>
            </w:r>
            <w:r>
              <w:rPr>
                <w:noProof/>
                <w:webHidden/>
              </w:rPr>
              <w:fldChar w:fldCharType="begin"/>
            </w:r>
            <w:r>
              <w:rPr>
                <w:noProof/>
                <w:webHidden/>
              </w:rPr>
              <w:instrText xml:space="preserve"> PAGEREF _Toc230003885 \h </w:instrText>
            </w:r>
            <w:r>
              <w:rPr>
                <w:noProof/>
                <w:webHidden/>
              </w:rPr>
            </w:r>
            <w:r>
              <w:rPr>
                <w:noProof/>
                <w:webHidden/>
              </w:rPr>
              <w:fldChar w:fldCharType="separate"/>
            </w:r>
            <w:r>
              <w:rPr>
                <w:noProof/>
                <w:webHidden/>
              </w:rPr>
              <w:t>13</w:t>
            </w:r>
            <w:r>
              <w:rPr>
                <w:noProof/>
                <w:webHidden/>
              </w:rPr>
              <w:fldChar w:fldCharType="end"/>
            </w:r>
          </w:hyperlink>
        </w:p>
        <w:p w14:paraId="21425CD3" w14:textId="3C349074"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86" w:history="1">
            <w:r w:rsidRPr="00047747">
              <w:rPr>
                <w:rStyle w:val="Hyperlink"/>
                <w:rFonts w:ascii="Calibri" w:hAnsi="Calibri" w:cs="Calibri"/>
                <w:noProof/>
              </w:rPr>
              <w:t>5. Mindfulness: Concepts, Theories and Workplace Relevance</w:t>
            </w:r>
            <w:r>
              <w:rPr>
                <w:noProof/>
                <w:webHidden/>
              </w:rPr>
              <w:tab/>
            </w:r>
            <w:r>
              <w:rPr>
                <w:noProof/>
                <w:webHidden/>
              </w:rPr>
              <w:fldChar w:fldCharType="begin"/>
            </w:r>
            <w:r>
              <w:rPr>
                <w:noProof/>
                <w:webHidden/>
              </w:rPr>
              <w:instrText xml:space="preserve"> PAGEREF _Toc230003886 \h </w:instrText>
            </w:r>
            <w:r>
              <w:rPr>
                <w:noProof/>
                <w:webHidden/>
              </w:rPr>
            </w:r>
            <w:r>
              <w:rPr>
                <w:noProof/>
                <w:webHidden/>
              </w:rPr>
              <w:fldChar w:fldCharType="separate"/>
            </w:r>
            <w:r>
              <w:rPr>
                <w:noProof/>
                <w:webHidden/>
              </w:rPr>
              <w:t>14</w:t>
            </w:r>
            <w:r>
              <w:rPr>
                <w:noProof/>
                <w:webHidden/>
              </w:rPr>
              <w:fldChar w:fldCharType="end"/>
            </w:r>
          </w:hyperlink>
        </w:p>
        <w:p w14:paraId="09EFC360" w14:textId="76178742"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7" w:history="1">
            <w:r w:rsidRPr="00047747">
              <w:rPr>
                <w:rStyle w:val="Hyperlink"/>
                <w:rFonts w:ascii="Calibri" w:hAnsi="Calibri" w:cs="Calibri"/>
                <w:noProof/>
              </w:rPr>
              <w:t>5.1 Understanding Mindfulness</w:t>
            </w:r>
            <w:r>
              <w:rPr>
                <w:noProof/>
                <w:webHidden/>
              </w:rPr>
              <w:tab/>
            </w:r>
            <w:r>
              <w:rPr>
                <w:noProof/>
                <w:webHidden/>
              </w:rPr>
              <w:fldChar w:fldCharType="begin"/>
            </w:r>
            <w:r>
              <w:rPr>
                <w:noProof/>
                <w:webHidden/>
              </w:rPr>
              <w:instrText xml:space="preserve"> PAGEREF _Toc230003887 \h </w:instrText>
            </w:r>
            <w:r>
              <w:rPr>
                <w:noProof/>
                <w:webHidden/>
              </w:rPr>
            </w:r>
            <w:r>
              <w:rPr>
                <w:noProof/>
                <w:webHidden/>
              </w:rPr>
              <w:fldChar w:fldCharType="separate"/>
            </w:r>
            <w:r>
              <w:rPr>
                <w:noProof/>
                <w:webHidden/>
              </w:rPr>
              <w:t>14</w:t>
            </w:r>
            <w:r>
              <w:rPr>
                <w:noProof/>
                <w:webHidden/>
              </w:rPr>
              <w:fldChar w:fldCharType="end"/>
            </w:r>
          </w:hyperlink>
        </w:p>
        <w:p w14:paraId="4E27009B" w14:textId="258F09D8"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88" w:history="1">
            <w:r w:rsidRPr="00047747">
              <w:rPr>
                <w:rStyle w:val="Hyperlink"/>
                <w:rFonts w:ascii="Calibri" w:hAnsi="Calibri" w:cs="Calibri"/>
                <w:noProof/>
              </w:rPr>
              <w:t>5.2 Key Theories and Models of Mindfulness</w:t>
            </w:r>
            <w:r>
              <w:rPr>
                <w:noProof/>
                <w:webHidden/>
              </w:rPr>
              <w:tab/>
            </w:r>
            <w:r>
              <w:rPr>
                <w:noProof/>
                <w:webHidden/>
              </w:rPr>
              <w:fldChar w:fldCharType="begin"/>
            </w:r>
            <w:r>
              <w:rPr>
                <w:noProof/>
                <w:webHidden/>
              </w:rPr>
              <w:instrText xml:space="preserve"> PAGEREF _Toc230003888 \h </w:instrText>
            </w:r>
            <w:r>
              <w:rPr>
                <w:noProof/>
                <w:webHidden/>
              </w:rPr>
            </w:r>
            <w:r>
              <w:rPr>
                <w:noProof/>
                <w:webHidden/>
              </w:rPr>
              <w:fldChar w:fldCharType="separate"/>
            </w:r>
            <w:r>
              <w:rPr>
                <w:noProof/>
                <w:webHidden/>
              </w:rPr>
              <w:t>14</w:t>
            </w:r>
            <w:r>
              <w:rPr>
                <w:noProof/>
                <w:webHidden/>
              </w:rPr>
              <w:fldChar w:fldCharType="end"/>
            </w:r>
          </w:hyperlink>
        </w:p>
        <w:p w14:paraId="7B77B121" w14:textId="77777777" w:rsidR="00C7115F" w:rsidRDefault="00C7115F">
          <w:pPr>
            <w:pStyle w:val="TOC2"/>
            <w:rPr>
              <w:lang w:eastAsia="en-GB"/>
            </w:rPr>
          </w:pPr>
          <w:hyperlink w:anchor="_Toc230003889" w:history="1">
            <w:r>
              <w:rPr>
                <w:rStyle w:val="Hyperlink"/>
                <w:rFonts w:ascii="Calibri" w:hAnsi="Calibri" w:cs="Calibri"/>
              </w:rPr>
              <w:t>5.3 Critical Evaluation of Mindfulness in the Workplace</w:t>
            </w:r>
            <w:r>
              <w:rPr>
                <w:rStyle w:val="Hyperlink"/>
                <w:color w:val="auto"/>
                <w:u w:val="none"/>
              </w:rPr>
              <w:t>. 15</w:t>
            </w:r>
          </w:hyperlink>
        </w:p>
        <w:p w14:paraId="7C76A86F" w14:textId="566DA118"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90" w:history="1">
            <w:r w:rsidRPr="00047747">
              <w:rPr>
                <w:rStyle w:val="Hyperlink"/>
                <w:rFonts w:ascii="Calibri" w:hAnsi="Calibri" w:cs="Calibri"/>
                <w:noProof/>
              </w:rPr>
              <w:t>6. Emotional Intelligence and Mindfulness: Integrated Perspective</w:t>
            </w:r>
            <w:r>
              <w:rPr>
                <w:noProof/>
                <w:webHidden/>
              </w:rPr>
              <w:tab/>
            </w:r>
            <w:r>
              <w:rPr>
                <w:noProof/>
                <w:webHidden/>
              </w:rPr>
              <w:fldChar w:fldCharType="begin"/>
            </w:r>
            <w:r>
              <w:rPr>
                <w:noProof/>
                <w:webHidden/>
              </w:rPr>
              <w:instrText xml:space="preserve"> PAGEREF _Toc230003890 \h </w:instrText>
            </w:r>
            <w:r>
              <w:rPr>
                <w:noProof/>
                <w:webHidden/>
              </w:rPr>
            </w:r>
            <w:r>
              <w:rPr>
                <w:noProof/>
                <w:webHidden/>
              </w:rPr>
              <w:fldChar w:fldCharType="separate"/>
            </w:r>
            <w:r>
              <w:rPr>
                <w:noProof/>
                <w:webHidden/>
              </w:rPr>
              <w:t>16</w:t>
            </w:r>
            <w:r>
              <w:rPr>
                <w:noProof/>
                <w:webHidden/>
              </w:rPr>
              <w:fldChar w:fldCharType="end"/>
            </w:r>
          </w:hyperlink>
        </w:p>
        <w:p w14:paraId="6F28B277" w14:textId="4AD5BFAF"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1" w:history="1">
            <w:r w:rsidRPr="00047747">
              <w:rPr>
                <w:rStyle w:val="Hyperlink"/>
                <w:rFonts w:ascii="Calibri" w:hAnsi="Calibri" w:cs="Calibri"/>
                <w:noProof/>
              </w:rPr>
              <w:t>6.1 Are Emotional Intelligence and Mindfulness Complementary?</w:t>
            </w:r>
            <w:r>
              <w:rPr>
                <w:noProof/>
                <w:webHidden/>
              </w:rPr>
              <w:tab/>
            </w:r>
            <w:r>
              <w:rPr>
                <w:noProof/>
                <w:webHidden/>
              </w:rPr>
              <w:fldChar w:fldCharType="begin"/>
            </w:r>
            <w:r>
              <w:rPr>
                <w:noProof/>
                <w:webHidden/>
              </w:rPr>
              <w:instrText xml:space="preserve"> PAGEREF _Toc230003891 \h </w:instrText>
            </w:r>
            <w:r>
              <w:rPr>
                <w:noProof/>
                <w:webHidden/>
              </w:rPr>
            </w:r>
            <w:r>
              <w:rPr>
                <w:noProof/>
                <w:webHidden/>
              </w:rPr>
              <w:fldChar w:fldCharType="separate"/>
            </w:r>
            <w:r>
              <w:rPr>
                <w:noProof/>
                <w:webHidden/>
              </w:rPr>
              <w:t>16</w:t>
            </w:r>
            <w:r>
              <w:rPr>
                <w:noProof/>
                <w:webHidden/>
              </w:rPr>
              <w:fldChar w:fldCharType="end"/>
            </w:r>
          </w:hyperlink>
        </w:p>
        <w:p w14:paraId="07538116" w14:textId="5507FCEA"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2" w:history="1">
            <w:r w:rsidRPr="00047747">
              <w:rPr>
                <w:rStyle w:val="Hyperlink"/>
                <w:rFonts w:ascii="Calibri" w:hAnsi="Calibri" w:cs="Calibri"/>
                <w:noProof/>
              </w:rPr>
              <w:t>6.2 Critical Evaluation of the Relationship Between EI and Mindfulness</w:t>
            </w:r>
            <w:r>
              <w:rPr>
                <w:noProof/>
                <w:webHidden/>
              </w:rPr>
              <w:tab/>
            </w:r>
            <w:r>
              <w:rPr>
                <w:noProof/>
                <w:webHidden/>
              </w:rPr>
              <w:fldChar w:fldCharType="begin"/>
            </w:r>
            <w:r>
              <w:rPr>
                <w:noProof/>
                <w:webHidden/>
              </w:rPr>
              <w:instrText xml:space="preserve"> PAGEREF _Toc230003892 \h </w:instrText>
            </w:r>
            <w:r>
              <w:rPr>
                <w:noProof/>
                <w:webHidden/>
              </w:rPr>
            </w:r>
            <w:r>
              <w:rPr>
                <w:noProof/>
                <w:webHidden/>
              </w:rPr>
              <w:fldChar w:fldCharType="separate"/>
            </w:r>
            <w:r>
              <w:rPr>
                <w:noProof/>
                <w:webHidden/>
              </w:rPr>
              <w:t>16</w:t>
            </w:r>
            <w:r>
              <w:rPr>
                <w:noProof/>
                <w:webHidden/>
              </w:rPr>
              <w:fldChar w:fldCharType="end"/>
            </w:r>
          </w:hyperlink>
        </w:p>
        <w:p w14:paraId="298BD43A" w14:textId="44155AD7"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3" w:history="1">
            <w:r w:rsidRPr="00047747">
              <w:rPr>
                <w:rStyle w:val="Hyperlink"/>
                <w:rFonts w:ascii="Calibri" w:hAnsi="Calibri" w:cs="Calibri"/>
                <w:noProof/>
              </w:rPr>
              <w:t>6.3 NHS Workplace Examples</w:t>
            </w:r>
            <w:r>
              <w:rPr>
                <w:noProof/>
                <w:webHidden/>
              </w:rPr>
              <w:tab/>
            </w:r>
            <w:r>
              <w:rPr>
                <w:noProof/>
                <w:webHidden/>
              </w:rPr>
              <w:fldChar w:fldCharType="begin"/>
            </w:r>
            <w:r>
              <w:rPr>
                <w:noProof/>
                <w:webHidden/>
              </w:rPr>
              <w:instrText xml:space="preserve"> PAGEREF _Toc230003893 \h </w:instrText>
            </w:r>
            <w:r>
              <w:rPr>
                <w:noProof/>
                <w:webHidden/>
              </w:rPr>
            </w:r>
            <w:r>
              <w:rPr>
                <w:noProof/>
                <w:webHidden/>
              </w:rPr>
              <w:fldChar w:fldCharType="separate"/>
            </w:r>
            <w:r>
              <w:rPr>
                <w:noProof/>
                <w:webHidden/>
              </w:rPr>
              <w:t>17</w:t>
            </w:r>
            <w:r>
              <w:rPr>
                <w:noProof/>
                <w:webHidden/>
              </w:rPr>
              <w:fldChar w:fldCharType="end"/>
            </w:r>
          </w:hyperlink>
        </w:p>
        <w:p w14:paraId="7459877D" w14:textId="0ABEBBE8"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894" w:history="1">
            <w:r w:rsidRPr="00047747">
              <w:rPr>
                <w:rStyle w:val="Hyperlink"/>
                <w:noProof/>
              </w:rPr>
              <w:t>7. Reflective Review: Impact on Workplace Performance</w:t>
            </w:r>
            <w:r>
              <w:rPr>
                <w:noProof/>
                <w:webHidden/>
              </w:rPr>
              <w:tab/>
            </w:r>
            <w:r>
              <w:rPr>
                <w:noProof/>
                <w:webHidden/>
              </w:rPr>
              <w:fldChar w:fldCharType="begin"/>
            </w:r>
            <w:r>
              <w:rPr>
                <w:noProof/>
                <w:webHidden/>
              </w:rPr>
              <w:instrText xml:space="preserve"> PAGEREF _Toc230003894 \h </w:instrText>
            </w:r>
            <w:r>
              <w:rPr>
                <w:noProof/>
                <w:webHidden/>
              </w:rPr>
            </w:r>
            <w:r>
              <w:rPr>
                <w:noProof/>
                <w:webHidden/>
              </w:rPr>
              <w:fldChar w:fldCharType="separate"/>
            </w:r>
            <w:r>
              <w:rPr>
                <w:noProof/>
                <w:webHidden/>
              </w:rPr>
              <w:t>17</w:t>
            </w:r>
            <w:r>
              <w:rPr>
                <w:noProof/>
                <w:webHidden/>
              </w:rPr>
              <w:fldChar w:fldCharType="end"/>
            </w:r>
          </w:hyperlink>
        </w:p>
        <w:p w14:paraId="29AFBF1F" w14:textId="4CA2A07A"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5" w:history="1">
            <w:r w:rsidRPr="00047747">
              <w:rPr>
                <w:rStyle w:val="Hyperlink"/>
                <w:rFonts w:ascii="Calibri" w:hAnsi="Calibri" w:cs="Calibri"/>
                <w:noProof/>
              </w:rPr>
              <w:t>7.1 Reflective Practice and Emotional Self-Awareness</w:t>
            </w:r>
            <w:r>
              <w:rPr>
                <w:noProof/>
                <w:webHidden/>
              </w:rPr>
              <w:tab/>
            </w:r>
            <w:r>
              <w:rPr>
                <w:noProof/>
                <w:webHidden/>
              </w:rPr>
              <w:fldChar w:fldCharType="begin"/>
            </w:r>
            <w:r>
              <w:rPr>
                <w:noProof/>
                <w:webHidden/>
              </w:rPr>
              <w:instrText xml:space="preserve"> PAGEREF _Toc230003895 \h </w:instrText>
            </w:r>
            <w:r>
              <w:rPr>
                <w:noProof/>
                <w:webHidden/>
              </w:rPr>
            </w:r>
            <w:r>
              <w:rPr>
                <w:noProof/>
                <w:webHidden/>
              </w:rPr>
              <w:fldChar w:fldCharType="separate"/>
            </w:r>
            <w:r>
              <w:rPr>
                <w:noProof/>
                <w:webHidden/>
              </w:rPr>
              <w:t>17</w:t>
            </w:r>
            <w:r>
              <w:rPr>
                <w:noProof/>
                <w:webHidden/>
              </w:rPr>
              <w:fldChar w:fldCharType="end"/>
            </w:r>
          </w:hyperlink>
        </w:p>
        <w:p w14:paraId="5643D3B7" w14:textId="3123E639"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6" w:history="1">
            <w:r w:rsidRPr="00047747">
              <w:rPr>
                <w:rStyle w:val="Hyperlink"/>
                <w:rFonts w:ascii="Calibri" w:hAnsi="Calibri" w:cs="Calibri"/>
                <w:noProof/>
              </w:rPr>
              <w:t>7.2 Personal Experience within an NHS Surgical Ward</w:t>
            </w:r>
            <w:r>
              <w:rPr>
                <w:noProof/>
                <w:webHidden/>
              </w:rPr>
              <w:tab/>
            </w:r>
            <w:r>
              <w:rPr>
                <w:noProof/>
                <w:webHidden/>
              </w:rPr>
              <w:fldChar w:fldCharType="begin"/>
            </w:r>
            <w:r>
              <w:rPr>
                <w:noProof/>
                <w:webHidden/>
              </w:rPr>
              <w:instrText xml:space="preserve"> PAGEREF _Toc230003896 \h </w:instrText>
            </w:r>
            <w:r>
              <w:rPr>
                <w:noProof/>
                <w:webHidden/>
              </w:rPr>
            </w:r>
            <w:r>
              <w:rPr>
                <w:noProof/>
                <w:webHidden/>
              </w:rPr>
              <w:fldChar w:fldCharType="separate"/>
            </w:r>
            <w:r>
              <w:rPr>
                <w:noProof/>
                <w:webHidden/>
              </w:rPr>
              <w:t>18</w:t>
            </w:r>
            <w:r>
              <w:rPr>
                <w:noProof/>
                <w:webHidden/>
              </w:rPr>
              <w:fldChar w:fldCharType="end"/>
            </w:r>
          </w:hyperlink>
        </w:p>
        <w:p w14:paraId="031DE9F4" w14:textId="4B419E9F"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7" w:history="1">
            <w:r w:rsidRPr="00047747">
              <w:rPr>
                <w:rStyle w:val="Hyperlink"/>
                <w:rFonts w:ascii="Calibri" w:hAnsi="Calibri" w:cs="Calibri"/>
                <w:noProof/>
              </w:rPr>
              <w:t>7.3 What Worked Well?</w:t>
            </w:r>
            <w:r>
              <w:rPr>
                <w:noProof/>
                <w:webHidden/>
              </w:rPr>
              <w:tab/>
            </w:r>
            <w:r>
              <w:rPr>
                <w:noProof/>
                <w:webHidden/>
              </w:rPr>
              <w:fldChar w:fldCharType="begin"/>
            </w:r>
            <w:r>
              <w:rPr>
                <w:noProof/>
                <w:webHidden/>
              </w:rPr>
              <w:instrText xml:space="preserve"> PAGEREF _Toc230003897 \h </w:instrText>
            </w:r>
            <w:r>
              <w:rPr>
                <w:noProof/>
                <w:webHidden/>
              </w:rPr>
            </w:r>
            <w:r>
              <w:rPr>
                <w:noProof/>
                <w:webHidden/>
              </w:rPr>
              <w:fldChar w:fldCharType="separate"/>
            </w:r>
            <w:r>
              <w:rPr>
                <w:noProof/>
                <w:webHidden/>
              </w:rPr>
              <w:t>18</w:t>
            </w:r>
            <w:r>
              <w:rPr>
                <w:noProof/>
                <w:webHidden/>
              </w:rPr>
              <w:fldChar w:fldCharType="end"/>
            </w:r>
          </w:hyperlink>
        </w:p>
        <w:p w14:paraId="2DA4DA48" w14:textId="54F9397A"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8" w:history="1">
            <w:r w:rsidRPr="00047747">
              <w:rPr>
                <w:rStyle w:val="Hyperlink"/>
                <w:rFonts w:ascii="Calibri" w:hAnsi="Calibri" w:cs="Calibri"/>
                <w:noProof/>
              </w:rPr>
              <w:t>7.4 What Did Not Work Well?</w:t>
            </w:r>
            <w:r>
              <w:rPr>
                <w:noProof/>
                <w:webHidden/>
              </w:rPr>
              <w:tab/>
            </w:r>
            <w:r>
              <w:rPr>
                <w:noProof/>
                <w:webHidden/>
              </w:rPr>
              <w:fldChar w:fldCharType="begin"/>
            </w:r>
            <w:r>
              <w:rPr>
                <w:noProof/>
                <w:webHidden/>
              </w:rPr>
              <w:instrText xml:space="preserve"> PAGEREF _Toc230003898 \h </w:instrText>
            </w:r>
            <w:r>
              <w:rPr>
                <w:noProof/>
                <w:webHidden/>
              </w:rPr>
            </w:r>
            <w:r>
              <w:rPr>
                <w:noProof/>
                <w:webHidden/>
              </w:rPr>
              <w:fldChar w:fldCharType="separate"/>
            </w:r>
            <w:r>
              <w:rPr>
                <w:noProof/>
                <w:webHidden/>
              </w:rPr>
              <w:t>19</w:t>
            </w:r>
            <w:r>
              <w:rPr>
                <w:noProof/>
                <w:webHidden/>
              </w:rPr>
              <w:fldChar w:fldCharType="end"/>
            </w:r>
          </w:hyperlink>
        </w:p>
        <w:p w14:paraId="2856CF2E" w14:textId="52B54B9E" w:rsidR="008D31A9" w:rsidRDefault="008D31A9">
          <w:pPr>
            <w:pStyle w:val="TOC2"/>
            <w:tabs>
              <w:tab w:val="right" w:leader="dot" w:pos="9016"/>
            </w:tabs>
            <w:rPr>
              <w:rFonts w:eastAsiaTheme="minorEastAsia"/>
              <w:noProof/>
              <w:kern w:val="2"/>
              <w:sz w:val="24"/>
              <w:szCs w:val="24"/>
              <w:lang w:eastAsia="en-GB"/>
              <w14:ligatures w14:val="standardContextual"/>
            </w:rPr>
          </w:pPr>
          <w:hyperlink w:anchor="_Toc230003899" w:history="1">
            <w:r w:rsidRPr="00047747">
              <w:rPr>
                <w:rStyle w:val="Hyperlink"/>
                <w:rFonts w:ascii="Calibri" w:hAnsi="Calibri" w:cs="Calibri"/>
                <w:noProof/>
              </w:rPr>
              <w:t>7.5 Gaps in Emotional Skills and Future Development</w:t>
            </w:r>
            <w:r>
              <w:rPr>
                <w:noProof/>
                <w:webHidden/>
              </w:rPr>
              <w:tab/>
            </w:r>
            <w:r>
              <w:rPr>
                <w:noProof/>
                <w:webHidden/>
              </w:rPr>
              <w:fldChar w:fldCharType="begin"/>
            </w:r>
            <w:r>
              <w:rPr>
                <w:noProof/>
                <w:webHidden/>
              </w:rPr>
              <w:instrText xml:space="preserve"> PAGEREF _Toc230003899 \h </w:instrText>
            </w:r>
            <w:r>
              <w:rPr>
                <w:noProof/>
                <w:webHidden/>
              </w:rPr>
            </w:r>
            <w:r>
              <w:rPr>
                <w:noProof/>
                <w:webHidden/>
              </w:rPr>
              <w:fldChar w:fldCharType="separate"/>
            </w:r>
            <w:r>
              <w:rPr>
                <w:noProof/>
                <w:webHidden/>
              </w:rPr>
              <w:t>19</w:t>
            </w:r>
            <w:r>
              <w:rPr>
                <w:noProof/>
                <w:webHidden/>
              </w:rPr>
              <w:fldChar w:fldCharType="end"/>
            </w:r>
          </w:hyperlink>
        </w:p>
        <w:p w14:paraId="2556EC15" w14:textId="2160E0BB"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900" w:history="1">
            <w:r w:rsidRPr="00047747">
              <w:rPr>
                <w:rStyle w:val="Hyperlink"/>
                <w:rFonts w:ascii="Calibri" w:hAnsi="Calibri" w:cs="Calibri"/>
                <w:noProof/>
              </w:rPr>
              <w:t>8. Conclusion</w:t>
            </w:r>
            <w:r>
              <w:rPr>
                <w:noProof/>
                <w:webHidden/>
              </w:rPr>
              <w:tab/>
            </w:r>
            <w:r>
              <w:rPr>
                <w:noProof/>
                <w:webHidden/>
              </w:rPr>
              <w:fldChar w:fldCharType="begin"/>
            </w:r>
            <w:r>
              <w:rPr>
                <w:noProof/>
                <w:webHidden/>
              </w:rPr>
              <w:instrText xml:space="preserve"> PAGEREF _Toc230003900 \h </w:instrText>
            </w:r>
            <w:r>
              <w:rPr>
                <w:noProof/>
                <w:webHidden/>
              </w:rPr>
            </w:r>
            <w:r>
              <w:rPr>
                <w:noProof/>
                <w:webHidden/>
              </w:rPr>
              <w:fldChar w:fldCharType="separate"/>
            </w:r>
            <w:r>
              <w:rPr>
                <w:noProof/>
                <w:webHidden/>
              </w:rPr>
              <w:t>20</w:t>
            </w:r>
            <w:r>
              <w:rPr>
                <w:noProof/>
                <w:webHidden/>
              </w:rPr>
              <w:fldChar w:fldCharType="end"/>
            </w:r>
          </w:hyperlink>
        </w:p>
        <w:p w14:paraId="12ABA957" w14:textId="612947A8"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901" w:history="1">
            <w:r w:rsidRPr="00047747">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_Toc230003901 \h </w:instrText>
            </w:r>
            <w:r>
              <w:rPr>
                <w:noProof/>
                <w:webHidden/>
              </w:rPr>
            </w:r>
            <w:r>
              <w:rPr>
                <w:noProof/>
                <w:webHidden/>
              </w:rPr>
              <w:fldChar w:fldCharType="separate"/>
            </w:r>
            <w:r>
              <w:rPr>
                <w:noProof/>
                <w:webHidden/>
              </w:rPr>
              <w:t>21</w:t>
            </w:r>
            <w:r>
              <w:rPr>
                <w:noProof/>
                <w:webHidden/>
              </w:rPr>
              <w:fldChar w:fldCharType="end"/>
            </w:r>
          </w:hyperlink>
        </w:p>
        <w:p w14:paraId="5E8C1B90" w14:textId="5B2E8D3B" w:rsidR="008D31A9" w:rsidRDefault="008D31A9">
          <w:pPr>
            <w:pStyle w:val="TOC1"/>
            <w:tabs>
              <w:tab w:val="right" w:leader="dot" w:pos="9016"/>
            </w:tabs>
            <w:rPr>
              <w:rFonts w:eastAsiaTheme="minorEastAsia"/>
              <w:noProof/>
              <w:kern w:val="2"/>
              <w:sz w:val="24"/>
              <w:szCs w:val="24"/>
              <w:lang w:eastAsia="en-GB"/>
              <w14:ligatures w14:val="standardContextual"/>
            </w:rPr>
          </w:pPr>
          <w:hyperlink w:anchor="_Toc230003902" w:history="1">
            <w:r w:rsidRPr="00047747">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_Toc230003902 \h </w:instrText>
            </w:r>
            <w:r>
              <w:rPr>
                <w:noProof/>
                <w:webHidden/>
              </w:rPr>
            </w:r>
            <w:r>
              <w:rPr>
                <w:noProof/>
                <w:webHidden/>
              </w:rPr>
              <w:fldChar w:fldCharType="separate"/>
            </w:r>
            <w:r>
              <w:rPr>
                <w:noProof/>
                <w:webHidden/>
              </w:rPr>
              <w:t>29</w:t>
            </w:r>
            <w:r>
              <w:rPr>
                <w:noProof/>
                <w:webHidden/>
              </w:rPr>
              <w:fldChar w:fldCharType="end"/>
            </w:r>
          </w:hyperlink>
        </w:p>
        <w:p w14:paraId="400A3C8D" w14:textId="54EF7990" w:rsidR="008D31A9" w:rsidRPr="008D31A9" w:rsidRDefault="008D31A9">
          <w:pPr>
            <w:pStyle w:val="TOC2"/>
            <w:tabs>
              <w:tab w:val="right" w:leader="dot" w:pos="9016"/>
            </w:tabs>
            <w:rPr>
              <w:rStyle w:val="Hyperlink"/>
              <w:rFonts w:eastAsiaTheme="minorEastAsia"/>
              <w:noProof/>
              <w:kern w:val="2"/>
              <w:sz w:val="24"/>
              <w:szCs w:val="24"/>
              <w:lang w:eastAsia="en-GB"/>
              <w14:ligatures w14:val="standardContextual"/>
            </w:rPr>
          </w:pPr>
          <w:r>
            <w:rPr>
              <w:rStyle w:val="Hyperlink"/>
              <w:rFonts w:ascii="Calibri" w:hAnsi="Calibri" w:cs="Calibri"/>
              <w:noProof/>
            </w:rPr>
            <w:fldChar w:fldCharType="begin"/>
          </w:r>
          <w:r>
            <w:rPr>
              <w:rStyle w:val="Hyperlink"/>
              <w:rFonts w:ascii="Calibri" w:hAnsi="Calibri" w:cs="Calibri"/>
              <w:noProof/>
            </w:rPr>
            <w:instrText>HYPERLINK  \l "_Appendix_A"</w:instrText>
          </w:r>
          <w:r>
            <w:rPr>
              <w:rStyle w:val="Hyperlink"/>
              <w:rFonts w:ascii="Calibri" w:hAnsi="Calibri" w:cs="Calibri"/>
              <w:noProof/>
            </w:rPr>
          </w:r>
          <w:r>
            <w:rPr>
              <w:rStyle w:val="Hyperlink"/>
              <w:rFonts w:ascii="Calibri" w:hAnsi="Calibri" w:cs="Calibri"/>
              <w:noProof/>
            </w:rPr>
            <w:fldChar w:fldCharType="separate"/>
          </w:r>
          <w:r w:rsidRPr="008D31A9">
            <w:rPr>
              <w:rStyle w:val="Hyperlink"/>
              <w:rFonts w:ascii="Calibri" w:hAnsi="Calibri" w:cs="Calibri"/>
              <w:noProof/>
            </w:rPr>
            <w:t>Appendix A</w:t>
          </w:r>
          <w:r w:rsidRPr="008D31A9">
            <w:rPr>
              <w:rStyle w:val="Hyperlink"/>
              <w:noProof/>
              <w:webHidden/>
            </w:rPr>
            <w:tab/>
          </w:r>
          <w:r w:rsidRPr="008D31A9">
            <w:rPr>
              <w:rStyle w:val="Hyperlink"/>
              <w:noProof/>
              <w:webHidden/>
            </w:rPr>
            <w:fldChar w:fldCharType="begin"/>
          </w:r>
          <w:r w:rsidRPr="008D31A9">
            <w:rPr>
              <w:rStyle w:val="Hyperlink"/>
              <w:noProof/>
              <w:webHidden/>
            </w:rPr>
            <w:instrText xml:space="preserve"> PAGEREF _Toc230003903 \h </w:instrText>
          </w:r>
          <w:r w:rsidRPr="008D31A9">
            <w:rPr>
              <w:rStyle w:val="Hyperlink"/>
              <w:noProof/>
              <w:webHidden/>
            </w:rPr>
          </w:r>
          <w:r w:rsidRPr="008D31A9">
            <w:rPr>
              <w:rStyle w:val="Hyperlink"/>
              <w:noProof/>
              <w:webHidden/>
            </w:rPr>
            <w:fldChar w:fldCharType="separate"/>
          </w:r>
          <w:r>
            <w:rPr>
              <w:rStyle w:val="Hyperlink"/>
              <w:noProof/>
              <w:webHidden/>
            </w:rPr>
            <w:t>29</w:t>
          </w:r>
          <w:r w:rsidRPr="008D31A9">
            <w:rPr>
              <w:rStyle w:val="Hyperlink"/>
              <w:noProof/>
              <w:webHidden/>
            </w:rPr>
            <w:fldChar w:fldCharType="end"/>
          </w:r>
        </w:p>
        <w:p w14:paraId="63C1D3DF" w14:textId="58C783DF" w:rsidR="008D31A9" w:rsidRPr="008D31A9" w:rsidRDefault="008D31A9">
          <w:pPr>
            <w:pStyle w:val="TOC2"/>
            <w:tabs>
              <w:tab w:val="right" w:leader="dot" w:pos="9016"/>
            </w:tabs>
            <w:rPr>
              <w:rStyle w:val="Hyperlink"/>
              <w:rFonts w:eastAsiaTheme="minorEastAsia"/>
              <w:noProof/>
              <w:kern w:val="2"/>
              <w:sz w:val="24"/>
              <w:szCs w:val="24"/>
              <w:lang w:eastAsia="en-GB"/>
              <w14:ligatures w14:val="standardContextual"/>
            </w:rPr>
          </w:pPr>
          <w:r>
            <w:rPr>
              <w:rStyle w:val="Hyperlink"/>
              <w:rFonts w:ascii="Calibri" w:hAnsi="Calibri" w:cs="Calibri"/>
              <w:noProof/>
            </w:rPr>
            <w:fldChar w:fldCharType="end"/>
          </w:r>
          <w:r>
            <w:rPr>
              <w:rStyle w:val="Hyperlink"/>
              <w:rFonts w:ascii="Calibri" w:hAnsi="Calibri" w:cs="Calibri"/>
              <w:noProof/>
            </w:rPr>
            <w:fldChar w:fldCharType="begin"/>
          </w:r>
          <w:r>
            <w:rPr>
              <w:rStyle w:val="Hyperlink"/>
              <w:rFonts w:ascii="Calibri" w:hAnsi="Calibri" w:cs="Calibri"/>
              <w:noProof/>
            </w:rPr>
            <w:instrText>HYPERLINK  \l "_Appendix_B"</w:instrText>
          </w:r>
          <w:r>
            <w:rPr>
              <w:rStyle w:val="Hyperlink"/>
              <w:rFonts w:ascii="Calibri" w:hAnsi="Calibri" w:cs="Calibri"/>
              <w:noProof/>
            </w:rPr>
          </w:r>
          <w:r>
            <w:rPr>
              <w:rStyle w:val="Hyperlink"/>
              <w:rFonts w:ascii="Calibri" w:hAnsi="Calibri" w:cs="Calibri"/>
              <w:noProof/>
            </w:rPr>
            <w:fldChar w:fldCharType="separate"/>
          </w:r>
          <w:r w:rsidRPr="008D31A9">
            <w:rPr>
              <w:rStyle w:val="Hyperlink"/>
              <w:rFonts w:ascii="Calibri" w:hAnsi="Calibri" w:cs="Calibri"/>
              <w:noProof/>
            </w:rPr>
            <w:t>Appendix B</w:t>
          </w:r>
          <w:r w:rsidRPr="008D31A9">
            <w:rPr>
              <w:rStyle w:val="Hyperlink"/>
              <w:noProof/>
              <w:webHidden/>
            </w:rPr>
            <w:tab/>
          </w:r>
          <w:r w:rsidRPr="008D31A9">
            <w:rPr>
              <w:rStyle w:val="Hyperlink"/>
              <w:noProof/>
              <w:webHidden/>
            </w:rPr>
            <w:fldChar w:fldCharType="begin"/>
          </w:r>
          <w:r w:rsidRPr="008D31A9">
            <w:rPr>
              <w:rStyle w:val="Hyperlink"/>
              <w:noProof/>
              <w:webHidden/>
            </w:rPr>
            <w:instrText xml:space="preserve"> PAGEREF _Toc230003904 \h </w:instrText>
          </w:r>
          <w:r w:rsidRPr="008D31A9">
            <w:rPr>
              <w:rStyle w:val="Hyperlink"/>
              <w:noProof/>
              <w:webHidden/>
            </w:rPr>
          </w:r>
          <w:r w:rsidRPr="008D31A9">
            <w:rPr>
              <w:rStyle w:val="Hyperlink"/>
              <w:noProof/>
              <w:webHidden/>
            </w:rPr>
            <w:fldChar w:fldCharType="separate"/>
          </w:r>
          <w:r>
            <w:rPr>
              <w:rStyle w:val="Hyperlink"/>
              <w:noProof/>
              <w:webHidden/>
            </w:rPr>
            <w:t>30</w:t>
          </w:r>
          <w:r w:rsidRPr="008D31A9">
            <w:rPr>
              <w:rStyle w:val="Hyperlink"/>
              <w:noProof/>
              <w:webHidden/>
            </w:rPr>
            <w:fldChar w:fldCharType="end"/>
          </w:r>
        </w:p>
        <w:p w14:paraId="1DEA0C5F" w14:textId="1603E7CA" w:rsidR="008D31A9" w:rsidRPr="008D31A9" w:rsidRDefault="008D31A9">
          <w:pPr>
            <w:pStyle w:val="TOC2"/>
            <w:tabs>
              <w:tab w:val="right" w:leader="dot" w:pos="9016"/>
            </w:tabs>
            <w:rPr>
              <w:rStyle w:val="Hyperlink"/>
              <w:rFonts w:eastAsiaTheme="minorEastAsia"/>
              <w:noProof/>
              <w:kern w:val="2"/>
              <w:sz w:val="24"/>
              <w:szCs w:val="24"/>
              <w:lang w:eastAsia="en-GB"/>
              <w14:ligatures w14:val="standardContextual"/>
            </w:rPr>
          </w:pPr>
          <w:r>
            <w:rPr>
              <w:rStyle w:val="Hyperlink"/>
              <w:rFonts w:ascii="Calibri" w:hAnsi="Calibri" w:cs="Calibri"/>
              <w:noProof/>
            </w:rPr>
            <w:lastRenderedPageBreak/>
            <w:fldChar w:fldCharType="end"/>
          </w:r>
          <w:r>
            <w:rPr>
              <w:rStyle w:val="Hyperlink"/>
              <w:rFonts w:ascii="Calibri" w:hAnsi="Calibri" w:cs="Calibri"/>
              <w:noProof/>
            </w:rPr>
            <w:fldChar w:fldCharType="begin"/>
          </w:r>
          <w:r>
            <w:rPr>
              <w:rStyle w:val="Hyperlink"/>
              <w:rFonts w:ascii="Calibri" w:hAnsi="Calibri" w:cs="Calibri"/>
              <w:noProof/>
            </w:rPr>
            <w:instrText>HYPERLINK  \l "_Appendix_C"</w:instrText>
          </w:r>
          <w:r>
            <w:rPr>
              <w:rStyle w:val="Hyperlink"/>
              <w:rFonts w:ascii="Calibri" w:hAnsi="Calibri" w:cs="Calibri"/>
              <w:noProof/>
            </w:rPr>
          </w:r>
          <w:r>
            <w:rPr>
              <w:rStyle w:val="Hyperlink"/>
              <w:rFonts w:ascii="Calibri" w:hAnsi="Calibri" w:cs="Calibri"/>
              <w:noProof/>
            </w:rPr>
            <w:fldChar w:fldCharType="separate"/>
          </w:r>
          <w:r w:rsidRPr="008D31A9">
            <w:rPr>
              <w:rStyle w:val="Hyperlink"/>
              <w:rFonts w:ascii="Calibri" w:hAnsi="Calibri" w:cs="Calibri"/>
              <w:noProof/>
            </w:rPr>
            <w:t>Appendix C</w:t>
          </w:r>
          <w:r w:rsidRPr="008D31A9">
            <w:rPr>
              <w:rStyle w:val="Hyperlink"/>
              <w:noProof/>
              <w:webHidden/>
            </w:rPr>
            <w:tab/>
          </w:r>
          <w:r w:rsidRPr="008D31A9">
            <w:rPr>
              <w:rStyle w:val="Hyperlink"/>
              <w:noProof/>
              <w:webHidden/>
            </w:rPr>
            <w:fldChar w:fldCharType="begin"/>
          </w:r>
          <w:r w:rsidRPr="008D31A9">
            <w:rPr>
              <w:rStyle w:val="Hyperlink"/>
              <w:noProof/>
              <w:webHidden/>
            </w:rPr>
            <w:instrText xml:space="preserve"> PAGEREF _Toc230003905 \h </w:instrText>
          </w:r>
          <w:r w:rsidRPr="008D31A9">
            <w:rPr>
              <w:rStyle w:val="Hyperlink"/>
              <w:noProof/>
              <w:webHidden/>
            </w:rPr>
          </w:r>
          <w:r w:rsidRPr="008D31A9">
            <w:rPr>
              <w:rStyle w:val="Hyperlink"/>
              <w:noProof/>
              <w:webHidden/>
            </w:rPr>
            <w:fldChar w:fldCharType="separate"/>
          </w:r>
          <w:r>
            <w:rPr>
              <w:rStyle w:val="Hyperlink"/>
              <w:noProof/>
              <w:webHidden/>
            </w:rPr>
            <w:t>31</w:t>
          </w:r>
          <w:r w:rsidRPr="008D31A9">
            <w:rPr>
              <w:rStyle w:val="Hyperlink"/>
              <w:noProof/>
              <w:webHidden/>
            </w:rPr>
            <w:fldChar w:fldCharType="end"/>
          </w:r>
        </w:p>
        <w:p w14:paraId="36E963BE" w14:textId="5D43CB75" w:rsidR="008D31A9" w:rsidRPr="008D31A9" w:rsidRDefault="008D31A9">
          <w:pPr>
            <w:pStyle w:val="TOC2"/>
            <w:tabs>
              <w:tab w:val="right" w:leader="dot" w:pos="9016"/>
            </w:tabs>
            <w:rPr>
              <w:rStyle w:val="Hyperlink"/>
              <w:rFonts w:eastAsiaTheme="minorEastAsia"/>
              <w:noProof/>
              <w:kern w:val="2"/>
              <w:sz w:val="24"/>
              <w:szCs w:val="24"/>
              <w:lang w:eastAsia="en-GB"/>
              <w14:ligatures w14:val="standardContextual"/>
            </w:rPr>
          </w:pPr>
          <w:r>
            <w:rPr>
              <w:rStyle w:val="Hyperlink"/>
              <w:rFonts w:ascii="Calibri" w:hAnsi="Calibri" w:cs="Calibri"/>
              <w:noProof/>
            </w:rPr>
            <w:fldChar w:fldCharType="end"/>
          </w:r>
          <w:r>
            <w:rPr>
              <w:rStyle w:val="Hyperlink"/>
              <w:rFonts w:ascii="Calibri" w:hAnsi="Calibri" w:cs="Calibri"/>
              <w:noProof/>
            </w:rPr>
            <w:fldChar w:fldCharType="begin"/>
          </w:r>
          <w:r>
            <w:rPr>
              <w:rStyle w:val="Hyperlink"/>
              <w:rFonts w:ascii="Calibri" w:hAnsi="Calibri" w:cs="Calibri"/>
              <w:noProof/>
            </w:rPr>
            <w:instrText>HYPERLINK  \l "_Appendix_D"</w:instrText>
          </w:r>
          <w:r>
            <w:rPr>
              <w:rStyle w:val="Hyperlink"/>
              <w:rFonts w:ascii="Calibri" w:hAnsi="Calibri" w:cs="Calibri"/>
              <w:noProof/>
            </w:rPr>
          </w:r>
          <w:r>
            <w:rPr>
              <w:rStyle w:val="Hyperlink"/>
              <w:rFonts w:ascii="Calibri" w:hAnsi="Calibri" w:cs="Calibri"/>
              <w:noProof/>
            </w:rPr>
            <w:fldChar w:fldCharType="separate"/>
          </w:r>
          <w:r w:rsidRPr="008D31A9">
            <w:rPr>
              <w:rStyle w:val="Hyperlink"/>
              <w:rFonts w:ascii="Calibri" w:hAnsi="Calibri" w:cs="Calibri"/>
              <w:noProof/>
            </w:rPr>
            <w:t>Appendix D</w:t>
          </w:r>
          <w:r w:rsidRPr="008D31A9">
            <w:rPr>
              <w:rStyle w:val="Hyperlink"/>
              <w:noProof/>
              <w:webHidden/>
            </w:rPr>
            <w:tab/>
          </w:r>
          <w:r w:rsidRPr="008D31A9">
            <w:rPr>
              <w:rStyle w:val="Hyperlink"/>
              <w:noProof/>
              <w:webHidden/>
            </w:rPr>
            <w:fldChar w:fldCharType="begin"/>
          </w:r>
          <w:r w:rsidRPr="008D31A9">
            <w:rPr>
              <w:rStyle w:val="Hyperlink"/>
              <w:noProof/>
              <w:webHidden/>
            </w:rPr>
            <w:instrText xml:space="preserve"> PAGEREF _Toc230003906 \h </w:instrText>
          </w:r>
          <w:r w:rsidRPr="008D31A9">
            <w:rPr>
              <w:rStyle w:val="Hyperlink"/>
              <w:noProof/>
              <w:webHidden/>
            </w:rPr>
          </w:r>
          <w:r w:rsidRPr="008D31A9">
            <w:rPr>
              <w:rStyle w:val="Hyperlink"/>
              <w:noProof/>
              <w:webHidden/>
            </w:rPr>
            <w:fldChar w:fldCharType="separate"/>
          </w:r>
          <w:r>
            <w:rPr>
              <w:rStyle w:val="Hyperlink"/>
              <w:noProof/>
              <w:webHidden/>
            </w:rPr>
            <w:t>32</w:t>
          </w:r>
          <w:r w:rsidRPr="008D31A9">
            <w:rPr>
              <w:rStyle w:val="Hyperlink"/>
              <w:noProof/>
              <w:webHidden/>
            </w:rPr>
            <w:fldChar w:fldCharType="end"/>
          </w:r>
        </w:p>
        <w:p w14:paraId="32A43196" w14:textId="33DA3DDE" w:rsidR="008D31A9" w:rsidRPr="008D31A9" w:rsidRDefault="008D31A9">
          <w:pPr>
            <w:pStyle w:val="TOC2"/>
            <w:tabs>
              <w:tab w:val="right" w:leader="dot" w:pos="9016"/>
            </w:tabs>
            <w:rPr>
              <w:rStyle w:val="Hyperlink"/>
              <w:rFonts w:eastAsiaTheme="minorEastAsia"/>
              <w:noProof/>
              <w:kern w:val="2"/>
              <w:sz w:val="24"/>
              <w:szCs w:val="24"/>
              <w:lang w:eastAsia="en-GB"/>
              <w14:ligatures w14:val="standardContextual"/>
            </w:rPr>
          </w:pPr>
          <w:r>
            <w:rPr>
              <w:rStyle w:val="Hyperlink"/>
              <w:rFonts w:ascii="Calibri" w:hAnsi="Calibri" w:cs="Calibri"/>
              <w:noProof/>
            </w:rPr>
            <w:fldChar w:fldCharType="end"/>
          </w:r>
          <w:r>
            <w:rPr>
              <w:rStyle w:val="Hyperlink"/>
              <w:rFonts w:ascii="Calibri" w:hAnsi="Calibri" w:cs="Calibri"/>
              <w:noProof/>
            </w:rPr>
            <w:fldChar w:fldCharType="begin"/>
          </w:r>
          <w:r>
            <w:rPr>
              <w:rStyle w:val="Hyperlink"/>
              <w:rFonts w:ascii="Calibri" w:hAnsi="Calibri" w:cs="Calibri"/>
              <w:noProof/>
            </w:rPr>
            <w:instrText>HYPERLINK  \l "_Appendix_E"</w:instrText>
          </w:r>
          <w:r>
            <w:rPr>
              <w:rStyle w:val="Hyperlink"/>
              <w:rFonts w:ascii="Calibri" w:hAnsi="Calibri" w:cs="Calibri"/>
              <w:noProof/>
            </w:rPr>
          </w:r>
          <w:r>
            <w:rPr>
              <w:rStyle w:val="Hyperlink"/>
              <w:rFonts w:ascii="Calibri" w:hAnsi="Calibri" w:cs="Calibri"/>
              <w:noProof/>
            </w:rPr>
            <w:fldChar w:fldCharType="separate"/>
          </w:r>
          <w:r w:rsidRPr="008D31A9">
            <w:rPr>
              <w:rStyle w:val="Hyperlink"/>
              <w:rFonts w:ascii="Calibri" w:hAnsi="Calibri" w:cs="Calibri"/>
              <w:noProof/>
            </w:rPr>
            <w:t>Appendix E</w:t>
          </w:r>
          <w:r w:rsidRPr="008D31A9">
            <w:rPr>
              <w:rStyle w:val="Hyperlink"/>
              <w:noProof/>
              <w:webHidden/>
            </w:rPr>
            <w:tab/>
          </w:r>
          <w:r w:rsidRPr="008D31A9">
            <w:rPr>
              <w:rStyle w:val="Hyperlink"/>
              <w:noProof/>
              <w:webHidden/>
            </w:rPr>
            <w:fldChar w:fldCharType="begin"/>
          </w:r>
          <w:r w:rsidRPr="008D31A9">
            <w:rPr>
              <w:rStyle w:val="Hyperlink"/>
              <w:noProof/>
              <w:webHidden/>
            </w:rPr>
            <w:instrText xml:space="preserve"> PAGEREF _Toc230003907 \h </w:instrText>
          </w:r>
          <w:r w:rsidRPr="008D31A9">
            <w:rPr>
              <w:rStyle w:val="Hyperlink"/>
              <w:noProof/>
              <w:webHidden/>
            </w:rPr>
          </w:r>
          <w:r w:rsidRPr="008D31A9">
            <w:rPr>
              <w:rStyle w:val="Hyperlink"/>
              <w:noProof/>
              <w:webHidden/>
            </w:rPr>
            <w:fldChar w:fldCharType="separate"/>
          </w:r>
          <w:r>
            <w:rPr>
              <w:rStyle w:val="Hyperlink"/>
              <w:noProof/>
              <w:webHidden/>
            </w:rPr>
            <w:t>33</w:t>
          </w:r>
          <w:r w:rsidRPr="008D31A9">
            <w:rPr>
              <w:rStyle w:val="Hyperlink"/>
              <w:noProof/>
              <w:webHidden/>
            </w:rPr>
            <w:fldChar w:fldCharType="end"/>
          </w:r>
        </w:p>
        <w:p w14:paraId="2B5BCB83" w14:textId="1B176575" w:rsidR="008D31A9" w:rsidRDefault="008D31A9">
          <w:r>
            <w:rPr>
              <w:rStyle w:val="Hyperlink"/>
              <w:rFonts w:ascii="Calibri" w:hAnsi="Calibri" w:cs="Calibri"/>
              <w:noProof/>
            </w:rPr>
            <w:fldChar w:fldCharType="end"/>
          </w:r>
          <w:r>
            <w:rPr>
              <w:b/>
              <w:bCs/>
            </w:rPr>
            <w:fldChar w:fldCharType="end"/>
          </w:r>
        </w:p>
      </w:sdtContent>
    </w:sdt>
    <w:p w14:paraId="0EB312DA" w14:textId="77777777" w:rsidR="00251545" w:rsidRDefault="00251545">
      <w:pPr>
        <w:rPr>
          <w:rFonts w:ascii="Calibri" w:eastAsiaTheme="majorEastAsia" w:hAnsi="Calibri" w:cs="Calibri"/>
          <w:color w:val="0F4761" w:themeColor="accent1" w:themeShade="BF"/>
          <w:sz w:val="40"/>
          <w:szCs w:val="40"/>
        </w:rPr>
      </w:pPr>
      <w:bookmarkStart w:id="0" w:name="_Toc230003871"/>
      <w:r>
        <w:rPr>
          <w:rFonts w:ascii="Calibri" w:hAnsi="Calibri" w:cs="Calibri"/>
        </w:rPr>
        <w:br w:type="page"/>
      </w:r>
    </w:p>
    <w:p w14:paraId="246EC2C2" w14:textId="0A2A2AA8" w:rsidR="00253B76" w:rsidRDefault="00253B76" w:rsidP="00253B76">
      <w:pPr>
        <w:pStyle w:val="Heading1"/>
        <w:rPr>
          <w:rFonts w:ascii="Calibri" w:hAnsi="Calibri" w:cs="Calibri"/>
        </w:rPr>
      </w:pPr>
      <w:r w:rsidRPr="00253B76">
        <w:rPr>
          <w:rFonts w:ascii="Calibri" w:hAnsi="Calibri" w:cs="Calibri"/>
        </w:rPr>
        <w:lastRenderedPageBreak/>
        <w:t>1. Introduction</w:t>
      </w:r>
      <w:bookmarkEnd w:id="0"/>
    </w:p>
    <w:p w14:paraId="655EB188" w14:textId="77777777" w:rsidR="0099495D" w:rsidRDefault="0099495D">
      <w:pPr>
        <w:spacing w:line="360" w:lineRule="auto"/>
        <w:rPr>
          <w:lang w:eastAsia="en-GB"/>
        </w:rPr>
      </w:pPr>
      <w:r>
        <w:rPr>
          <w:rFonts w:ascii="Calibri" w:hAnsi="Calibri" w:cs="Calibri"/>
          <w:sz w:val="24"/>
          <w:szCs w:val="24"/>
        </w:rPr>
        <w:t>Emotional intelligence (EI) and mindfulness are increasingly important in healthcare because clinical environments are emotionally demanding. In NHS surgical wards, staff regularly manage critically ill patients, distressed relatives, workload pressures, and complex decisions, making emotional awareness, empathy, communication, and self-regulation essential to both patient care and professional performance.</w:t>
      </w:r>
    </w:p>
    <w:p w14:paraId="67051320" w14:textId="77777777" w:rsidR="0099495D" w:rsidRDefault="0099495D">
      <w:pPr>
        <w:spacing w:line="360" w:lineRule="auto"/>
        <w:rPr>
          <w:lang w:eastAsia="en-GB"/>
        </w:rPr>
      </w:pPr>
      <w:r>
        <w:rPr>
          <w:rFonts w:ascii="Calibri" w:hAnsi="Calibri" w:cs="Calibri"/>
          <w:sz w:val="24"/>
          <w:szCs w:val="24"/>
        </w:rPr>
        <w:t>EI involves recognising, understanding, and managing emotions in oneself and others, while mindfulness focuses on present-moment awareness without judgement. Both are associated with stronger communication, teamwork, resilience, and leadership, although EI remains debated in relation to its definition, measurement, and practical application.</w:t>
      </w:r>
    </w:p>
    <w:p w14:paraId="202A3003" w14:textId="77777777" w:rsidR="002927B6" w:rsidRDefault="002927B6">
      <w:pPr>
        <w:spacing w:line="360" w:lineRule="auto"/>
        <w:rPr>
          <w:lang w:eastAsia="en-GB"/>
        </w:rPr>
      </w:pPr>
      <w:bookmarkStart w:id="1" w:name="_Toc230003872"/>
      <w:r>
        <w:rPr>
          <w:rFonts w:ascii="Calibri" w:hAnsi="Calibri" w:cs="Calibri"/>
          <w:sz w:val="24"/>
          <w:szCs w:val="24"/>
        </w:rPr>
        <w:t>This report critically evaluates key theories of EI and their relevance to workforce development and organisational performance in healthcare, alongside mindfulness and Transactional Analysis. It also applies Gibbs’ Reflective Cycle to examine how emotions influence personal performance in an NHS surgical ward, thereby illustrating the ways in which these concepts shape communication, teamwork, stress management, and patient-centred care.</w:t>
      </w:r>
    </w:p>
    <w:p w14:paraId="686D094D" w14:textId="3056D8AC" w:rsidR="00253B76" w:rsidRPr="00253B76" w:rsidRDefault="00253B76" w:rsidP="00253B76">
      <w:pPr>
        <w:pStyle w:val="Heading1"/>
        <w:rPr>
          <w:rFonts w:ascii="Calibri" w:hAnsi="Calibri" w:cs="Calibri"/>
        </w:rPr>
      </w:pPr>
      <w:r w:rsidRPr="00253B76">
        <w:rPr>
          <w:rFonts w:ascii="Calibri" w:hAnsi="Calibri" w:cs="Calibri"/>
        </w:rPr>
        <w:t>2. Emotional Intelligence: Concepts and Theoretical Perspective</w:t>
      </w:r>
      <w:bookmarkEnd w:id="1"/>
      <w:r w:rsidRPr="00253B76">
        <w:rPr>
          <w:rFonts w:ascii="Calibri" w:hAnsi="Calibri" w:cs="Calibri"/>
        </w:rPr>
        <w:t xml:space="preserve"> </w:t>
      </w:r>
    </w:p>
    <w:p w14:paraId="53329307" w14:textId="5EF90866" w:rsidR="00253B76" w:rsidRPr="003561C3" w:rsidRDefault="003561C3" w:rsidP="003561C3">
      <w:pPr>
        <w:pStyle w:val="Heading2"/>
        <w:rPr>
          <w:rFonts w:ascii="Calibri" w:hAnsi="Calibri" w:cs="Calibri"/>
        </w:rPr>
      </w:pPr>
      <w:bookmarkStart w:id="2" w:name="_Toc230003873"/>
      <w:r w:rsidRPr="003561C3">
        <w:rPr>
          <w:rFonts w:ascii="Calibri" w:hAnsi="Calibri" w:cs="Calibri"/>
        </w:rPr>
        <w:t>2.1 Defining Emotional Intelligence</w:t>
      </w:r>
      <w:bookmarkEnd w:id="2"/>
    </w:p>
    <w:p w14:paraId="4DF1C011" w14:textId="64D8D734" w:rsidR="00465E6C" w:rsidRDefault="00465E6C">
      <w:pPr>
        <w:spacing w:line="360" w:lineRule="auto"/>
        <w:rPr>
          <w:lang w:eastAsia="en-GB"/>
        </w:rPr>
      </w:pPr>
      <w:r>
        <w:rPr>
          <w:rFonts w:ascii="Calibri" w:hAnsi="Calibri" w:cs="Calibri"/>
          <w:sz w:val="24"/>
          <w:szCs w:val="24"/>
        </w:rPr>
        <w:t>Emotional intelligence (EI) is increasingly important in leadership and emotionally demanding professions such as nursing. It refers to the ability to recognise, understand, and manage one’s own emotions and those of others, although no single definition is universally accepted. Mayer and Salovey (1997) define EI as a cognitive ability involving perceiving, integrating, understanding, and managing emotions, positioning it alongside traditional intelligence frameworks. In contrast, Goleman (1995, 1998) presents EI as a set of emotional competencies, including self-awareness, self-regulation, motivation, empathy, and social skills, while Bar-On (2006) extends this to broader emotional and social functioning such as stress tolerance and interpersonal relationships.</w:t>
      </w:r>
    </w:p>
    <w:p w14:paraId="7AB8A0B2" w14:textId="77777777" w:rsidR="00465E6C" w:rsidRDefault="00465E6C">
      <w:pPr>
        <w:spacing w:line="360" w:lineRule="auto"/>
        <w:rPr>
          <w:lang w:eastAsia="en-GB"/>
        </w:rPr>
      </w:pPr>
      <w:r>
        <w:rPr>
          <w:rFonts w:ascii="Calibri" w:hAnsi="Calibri" w:cs="Calibri"/>
          <w:sz w:val="24"/>
          <w:szCs w:val="24"/>
        </w:rPr>
        <w:lastRenderedPageBreak/>
        <w:t xml:space="preserve">Although these definitions share common themes, they differ in scope and application. The ability model focuses on emotional processing, whereas mixed models include behavioural competencies and personality-related traits. This lack of agreement has led some researchers to question whether EI is a distinct intelligence or a reworking of existing concepts such as personality and social intelligence (Locke, 2005). In healthcare, this debate matters because emotional competence underpins patient care, teamwork, and decision-making in high-pressure settings such as NHS surgical wards (Weller </w:t>
      </w:r>
      <w:r>
        <w:rPr>
          <w:rFonts w:ascii="Calibri" w:hAnsi="Calibri" w:cs="Calibri"/>
          <w:i/>
          <w:iCs/>
          <w:sz w:val="24"/>
          <w:szCs w:val="24"/>
        </w:rPr>
        <w:t>et al.</w:t>
      </w:r>
      <w:r>
        <w:rPr>
          <w:rFonts w:ascii="Calibri" w:hAnsi="Calibri" w:cs="Calibri"/>
          <w:sz w:val="24"/>
          <w:szCs w:val="24"/>
        </w:rPr>
        <w:t>, 2024). As a result, it remains unclear whether EI should be viewed as a measurable ability, a teachable competence, or a broader behavioural construct, with important implications for training and performance evaluation (</w:t>
      </w:r>
      <w:proofErr w:type="spellStart"/>
      <w:r>
        <w:rPr>
          <w:rFonts w:ascii="Calibri" w:hAnsi="Calibri" w:cs="Calibri"/>
          <w:sz w:val="24"/>
          <w:szCs w:val="24"/>
        </w:rPr>
        <w:t>Levitats</w:t>
      </w:r>
      <w:proofErr w:type="spellEnd"/>
      <w:r>
        <w:rPr>
          <w:rFonts w:ascii="Calibri" w:hAnsi="Calibri" w:cs="Calibri"/>
          <w:sz w:val="24"/>
          <w:szCs w:val="24"/>
        </w:rPr>
        <w:t xml:space="preserve"> </w:t>
      </w:r>
      <w:r>
        <w:rPr>
          <w:rFonts w:ascii="Calibri" w:hAnsi="Calibri" w:cs="Calibri"/>
          <w:i/>
          <w:iCs/>
          <w:sz w:val="24"/>
          <w:szCs w:val="24"/>
        </w:rPr>
        <w:t>et al.</w:t>
      </w:r>
      <w:r>
        <w:rPr>
          <w:rFonts w:ascii="Calibri" w:hAnsi="Calibri" w:cs="Calibri"/>
          <w:sz w:val="24"/>
          <w:szCs w:val="24"/>
        </w:rPr>
        <w:t>, 2025).</w:t>
      </w:r>
    </w:p>
    <w:p w14:paraId="0E37290E" w14:textId="5A7C0EEB" w:rsidR="00713852" w:rsidRPr="003C2615" w:rsidRDefault="003C2615" w:rsidP="003C2615">
      <w:pPr>
        <w:pStyle w:val="Heading2"/>
        <w:rPr>
          <w:rFonts w:ascii="Calibri" w:hAnsi="Calibri" w:cs="Calibri"/>
        </w:rPr>
      </w:pPr>
      <w:bookmarkStart w:id="3" w:name="_Toc230003874"/>
      <w:r w:rsidRPr="003C2615">
        <w:rPr>
          <w:rFonts w:ascii="Calibri" w:hAnsi="Calibri" w:cs="Calibri"/>
        </w:rPr>
        <w:t>2.2 Key Theories of Emotional Intelligence</w:t>
      </w:r>
      <w:bookmarkEnd w:id="3"/>
    </w:p>
    <w:p w14:paraId="3246CEDC" w14:textId="3B0B3941" w:rsidR="003C2615" w:rsidRDefault="00F94D1A" w:rsidP="00F739ED">
      <w:pPr>
        <w:spacing w:line="360" w:lineRule="auto"/>
        <w:rPr>
          <w:rFonts w:ascii="Calibri" w:hAnsi="Calibri" w:cs="Calibri"/>
          <w:b/>
          <w:bCs/>
          <w:sz w:val="24"/>
          <w:szCs w:val="24"/>
        </w:rPr>
      </w:pPr>
      <w:r w:rsidRPr="0007757A">
        <w:rPr>
          <w:rFonts w:ascii="Calibri" w:hAnsi="Calibri" w:cs="Calibri"/>
          <w:b/>
          <w:bCs/>
          <w:sz w:val="24"/>
          <w:szCs w:val="24"/>
        </w:rPr>
        <w:t xml:space="preserve">Peter Salovey and Jack </w:t>
      </w:r>
      <w:r w:rsidR="0007757A" w:rsidRPr="0007757A">
        <w:rPr>
          <w:rFonts w:ascii="Calibri" w:hAnsi="Calibri" w:cs="Calibri"/>
          <w:b/>
          <w:bCs/>
          <w:sz w:val="24"/>
          <w:szCs w:val="24"/>
        </w:rPr>
        <w:t>Mayer: Ability Model</w:t>
      </w:r>
    </w:p>
    <w:p w14:paraId="493B822C" w14:textId="77777777" w:rsidR="006A1A50" w:rsidRDefault="006A1A50">
      <w:pPr>
        <w:spacing w:line="360" w:lineRule="auto"/>
        <w:rPr>
          <w:lang w:eastAsia="en-GB"/>
        </w:rPr>
      </w:pPr>
      <w:r>
        <w:rPr>
          <w:rFonts w:ascii="Calibri" w:hAnsi="Calibri" w:cs="Calibri"/>
          <w:sz w:val="24"/>
          <w:szCs w:val="24"/>
        </w:rPr>
        <w:t xml:space="preserve">Salovey and Mayer conceptualise emotional intelligence as an objective form of intelligence measurable through performance tests such as the MSCEIT (Mayer </w:t>
      </w:r>
      <w:r>
        <w:rPr>
          <w:rFonts w:ascii="Calibri" w:hAnsi="Calibri" w:cs="Calibri"/>
          <w:i/>
          <w:iCs/>
          <w:sz w:val="24"/>
          <w:szCs w:val="24"/>
        </w:rPr>
        <w:t>et al.</w:t>
      </w:r>
      <w:r>
        <w:rPr>
          <w:rFonts w:ascii="Calibri" w:hAnsi="Calibri" w:cs="Calibri"/>
          <w:sz w:val="24"/>
          <w:szCs w:val="24"/>
        </w:rPr>
        <w:t>, 2008). Their model includes four abilities: perceiving emotions, using emotions to support thinking, understanding emotions, and managing emotions.</w:t>
      </w:r>
    </w:p>
    <w:p w14:paraId="07C2BA10" w14:textId="77777777" w:rsidR="006A1A50" w:rsidRDefault="006A1A50">
      <w:pPr>
        <w:spacing w:line="360" w:lineRule="auto"/>
        <w:rPr>
          <w:lang w:eastAsia="en-GB"/>
        </w:rPr>
      </w:pPr>
      <w:r>
        <w:rPr>
          <w:rFonts w:ascii="Calibri" w:hAnsi="Calibri" w:cs="Calibri"/>
          <w:sz w:val="24"/>
          <w:szCs w:val="24"/>
        </w:rPr>
        <w:t xml:space="preserve">A strength of this model is its theoretical rigour and alignment with established intelligence frameworks, which supports its use in research and assessment (Strifler </w:t>
      </w:r>
      <w:r>
        <w:rPr>
          <w:rFonts w:ascii="Calibri" w:hAnsi="Calibri" w:cs="Calibri"/>
          <w:i/>
          <w:iCs/>
          <w:sz w:val="24"/>
          <w:szCs w:val="24"/>
        </w:rPr>
        <w:t>et al.</w:t>
      </w:r>
      <w:r>
        <w:rPr>
          <w:rFonts w:ascii="Calibri" w:hAnsi="Calibri" w:cs="Calibri"/>
          <w:sz w:val="24"/>
          <w:szCs w:val="24"/>
        </w:rPr>
        <w:t xml:space="preserve">, 2020). However, Matthews </w:t>
      </w:r>
      <w:r>
        <w:rPr>
          <w:rFonts w:ascii="Calibri" w:hAnsi="Calibri" w:cs="Calibri"/>
          <w:i/>
          <w:iCs/>
          <w:sz w:val="24"/>
          <w:szCs w:val="24"/>
        </w:rPr>
        <w:t>et al.</w:t>
      </w:r>
      <w:r>
        <w:rPr>
          <w:rFonts w:ascii="Calibri" w:hAnsi="Calibri" w:cs="Calibri"/>
          <w:sz w:val="24"/>
          <w:szCs w:val="24"/>
        </w:rPr>
        <w:t xml:space="preserve"> (2021) argue that it underrepresents the complexity of real-world emotional interactions, particularly in high-pressure healthcare settings.</w:t>
      </w:r>
    </w:p>
    <w:p w14:paraId="22874C05" w14:textId="77777777" w:rsidR="006A1A50" w:rsidRDefault="006A1A50">
      <w:pPr>
        <w:spacing w:line="360" w:lineRule="auto"/>
        <w:rPr>
          <w:lang w:eastAsia="en-GB"/>
        </w:rPr>
      </w:pPr>
      <w:r>
        <w:rPr>
          <w:rFonts w:ascii="Calibri" w:hAnsi="Calibri" w:cs="Calibri"/>
          <w:sz w:val="24"/>
          <w:szCs w:val="24"/>
        </w:rPr>
        <w:t>In an NHS ward, perceiving and understanding emotions is valuable, but the model offers limited guidance on translating these abilities into action during patient distress or staff conflict.</w:t>
      </w:r>
    </w:p>
    <w:p w14:paraId="1AFCBECE" w14:textId="68291B78" w:rsidR="006A014E" w:rsidRDefault="001D44D3" w:rsidP="00585417">
      <w:pPr>
        <w:spacing w:line="360" w:lineRule="auto"/>
        <w:rPr>
          <w:rFonts w:ascii="Calibri" w:hAnsi="Calibri" w:cs="Calibri"/>
          <w:b/>
          <w:bCs/>
          <w:sz w:val="24"/>
          <w:szCs w:val="24"/>
        </w:rPr>
      </w:pPr>
      <w:r>
        <w:rPr>
          <w:rFonts w:ascii="Calibri" w:hAnsi="Calibri" w:cs="Calibri"/>
          <w:b/>
          <w:bCs/>
          <w:sz w:val="24"/>
          <w:szCs w:val="24"/>
        </w:rPr>
        <w:t>Goleman: Mixed Model</w:t>
      </w:r>
    </w:p>
    <w:p w14:paraId="2D6AC526" w14:textId="77777777" w:rsidR="006A1A50" w:rsidRDefault="006A1A50">
      <w:pPr>
        <w:spacing w:line="360" w:lineRule="auto"/>
        <w:rPr>
          <w:lang w:eastAsia="en-GB"/>
        </w:rPr>
      </w:pPr>
      <w:r>
        <w:rPr>
          <w:rFonts w:ascii="Calibri" w:hAnsi="Calibri" w:cs="Calibri"/>
          <w:sz w:val="24"/>
          <w:szCs w:val="24"/>
        </w:rPr>
        <w:t>Goleman’s (1995, 1998) mixed model is widely used in leadership and management. It identifies five components: self-awareness, self-regulation, motivation, empathy, and social skills.</w:t>
      </w:r>
    </w:p>
    <w:p w14:paraId="7CC111DA" w14:textId="77777777" w:rsidR="006A1A50" w:rsidRDefault="006A1A50">
      <w:pPr>
        <w:spacing w:line="360" w:lineRule="auto"/>
        <w:rPr>
          <w:lang w:eastAsia="en-GB"/>
        </w:rPr>
      </w:pPr>
      <w:r>
        <w:rPr>
          <w:rFonts w:ascii="Calibri" w:hAnsi="Calibri" w:cs="Calibri"/>
          <w:sz w:val="24"/>
          <w:szCs w:val="24"/>
        </w:rPr>
        <w:t xml:space="preserve">Its main strength is practical relevance, linking emotional competencies to workplace outcomes and leadership development. In surgical wards, empathy and social skills support </w:t>
      </w:r>
      <w:r>
        <w:rPr>
          <w:rFonts w:ascii="Calibri" w:hAnsi="Calibri" w:cs="Calibri"/>
          <w:sz w:val="24"/>
          <w:szCs w:val="24"/>
        </w:rPr>
        <w:lastRenderedPageBreak/>
        <w:t>patient-centred care, while self-regulation helps staff remain effective during emergencies and other high-stress situations.</w:t>
      </w:r>
    </w:p>
    <w:p w14:paraId="1F1E8316" w14:textId="77777777" w:rsidR="006A1A50" w:rsidRDefault="006A1A50">
      <w:pPr>
        <w:spacing w:line="360" w:lineRule="auto"/>
        <w:rPr>
          <w:lang w:eastAsia="en-GB"/>
        </w:rPr>
      </w:pPr>
      <w:r>
        <w:rPr>
          <w:rFonts w:ascii="Calibri" w:hAnsi="Calibri" w:cs="Calibri"/>
          <w:sz w:val="24"/>
          <w:szCs w:val="24"/>
        </w:rPr>
        <w:t>However, Goleman’s model has been criticised for weak conceptual boundaries. Landy (2005) and Locke (2005) argue that it blurs emotional intelligence, personality traits, and general competencies, weakening its validity as a distinct construct. Its reliance on self-report measures also raises concerns about bias and reliability (Mayer &amp; Caruso, 2025). Despite this, Ackley (2020) argues that its practical value helps explain its continued influence.</w:t>
      </w:r>
    </w:p>
    <w:p w14:paraId="3AE39619" w14:textId="0BBBD35F" w:rsidR="00C34DCC" w:rsidRDefault="007B012D">
      <w:pPr>
        <w:rPr>
          <w:rFonts w:ascii="Calibri" w:hAnsi="Calibri" w:cs="Calibri"/>
          <w:b/>
          <w:bCs/>
          <w:sz w:val="24"/>
          <w:szCs w:val="24"/>
          <w:lang w:eastAsia="en-GB"/>
        </w:rPr>
      </w:pPr>
      <w:r>
        <w:rPr>
          <w:rFonts w:ascii="Calibri" w:hAnsi="Calibri" w:cs="Calibri"/>
          <w:b/>
          <w:bCs/>
          <w:sz w:val="24"/>
          <w:szCs w:val="24"/>
          <w:lang w:eastAsia="en-GB"/>
        </w:rPr>
        <w:t xml:space="preserve">Trait Model: Bar-On </w:t>
      </w:r>
    </w:p>
    <w:p w14:paraId="30B1C8FE" w14:textId="77777777" w:rsidR="006A1A50" w:rsidRDefault="006A1A50">
      <w:pPr>
        <w:spacing w:line="360" w:lineRule="auto"/>
        <w:rPr>
          <w:lang w:eastAsia="en-GB"/>
        </w:rPr>
      </w:pPr>
      <w:r>
        <w:rPr>
          <w:rFonts w:ascii="Calibri" w:hAnsi="Calibri" w:cs="Calibri"/>
          <w:sz w:val="24"/>
          <w:szCs w:val="24"/>
        </w:rPr>
        <w:t>Bar-On’s (1997) model defines emotional intelligence as emotional and social competencies that shape how people cope with environmental demands, including stress tolerance, impulse control, and interpersonal relationships (Bar-On, 2006).</w:t>
      </w:r>
    </w:p>
    <w:p w14:paraId="036D9E21" w14:textId="77777777" w:rsidR="006A1A50" w:rsidRDefault="006A1A50">
      <w:pPr>
        <w:spacing w:line="360" w:lineRule="auto"/>
        <w:rPr>
          <w:lang w:eastAsia="en-GB"/>
        </w:rPr>
      </w:pPr>
      <w:r>
        <w:rPr>
          <w:rFonts w:ascii="Calibri" w:hAnsi="Calibri" w:cs="Calibri"/>
          <w:sz w:val="24"/>
          <w:szCs w:val="24"/>
        </w:rPr>
        <w:t xml:space="preserve">This model is particularly relevant to healthcare, where emotional resilience and stress management are essential. Nurses regularly face emotionally intense situations, so these competencies are highly applicable to workplace practice (Sevindik &amp; </w:t>
      </w:r>
      <w:proofErr w:type="spellStart"/>
      <w:r>
        <w:rPr>
          <w:rFonts w:ascii="Calibri" w:hAnsi="Calibri" w:cs="Calibri"/>
          <w:sz w:val="24"/>
          <w:szCs w:val="24"/>
        </w:rPr>
        <w:t>Mansuroğlu</w:t>
      </w:r>
      <w:proofErr w:type="spellEnd"/>
      <w:r>
        <w:rPr>
          <w:rFonts w:ascii="Calibri" w:hAnsi="Calibri" w:cs="Calibri"/>
          <w:sz w:val="24"/>
          <w:szCs w:val="24"/>
        </w:rPr>
        <w:t>, 2025).</w:t>
      </w:r>
    </w:p>
    <w:p w14:paraId="294C9D34" w14:textId="77777777" w:rsidR="006A1A50" w:rsidRDefault="006A1A50">
      <w:pPr>
        <w:spacing w:line="360" w:lineRule="auto"/>
        <w:rPr>
          <w:rFonts w:ascii="Calibri" w:hAnsi="Calibri" w:cs="Calibri"/>
          <w:sz w:val="24"/>
          <w:szCs w:val="24"/>
        </w:rPr>
      </w:pPr>
      <w:r>
        <w:rPr>
          <w:rFonts w:ascii="Calibri" w:hAnsi="Calibri" w:cs="Calibri"/>
          <w:sz w:val="24"/>
          <w:szCs w:val="24"/>
        </w:rPr>
        <w:t xml:space="preserve">However, like Goleman’s framework, Bar-On’s model has been criticised for overlapping with personality traits. Mayer </w:t>
      </w:r>
      <w:r>
        <w:rPr>
          <w:rFonts w:ascii="Calibri" w:hAnsi="Calibri" w:cs="Calibri"/>
          <w:i/>
          <w:iCs/>
          <w:sz w:val="24"/>
          <w:szCs w:val="24"/>
        </w:rPr>
        <w:t>et al.</w:t>
      </w:r>
      <w:r>
        <w:rPr>
          <w:rFonts w:ascii="Calibri" w:hAnsi="Calibri" w:cs="Calibri"/>
          <w:sz w:val="24"/>
          <w:szCs w:val="24"/>
        </w:rPr>
        <w:t xml:space="preserve"> (2008) argue that this reduces its discriminant validity and raises questions about whether it is a distinct intelligence or a broader personality framework.</w:t>
      </w:r>
    </w:p>
    <w:p w14:paraId="095525CE" w14:textId="35359C59" w:rsidR="00791CC9" w:rsidRPr="00791CC9" w:rsidRDefault="00791CC9">
      <w:pPr>
        <w:spacing w:line="360" w:lineRule="auto"/>
        <w:rPr>
          <w:rFonts w:ascii="Calibri" w:hAnsi="Calibri" w:cs="Calibri"/>
          <w:sz w:val="24"/>
          <w:szCs w:val="24"/>
          <w:lang w:eastAsia="en-GB"/>
        </w:rPr>
      </w:pPr>
      <w:r w:rsidRPr="00D753FE">
        <w:rPr>
          <w:rFonts w:ascii="Calibri" w:hAnsi="Calibri" w:cs="Calibri"/>
          <w:sz w:val="24"/>
          <w:szCs w:val="24"/>
          <w:lang w:eastAsia="en-GB"/>
        </w:rPr>
        <w:t xml:space="preserve">Although the models proposed by Mayer and Salovey, Goleman, and Bar-On share similarities regarding emotional awareness and regulation, they differ significantly in their theoretical focus and practical application (see </w:t>
      </w:r>
      <w:hyperlink w:anchor="_Appendix_C" w:history="1">
        <w:r w:rsidRPr="00D753FE">
          <w:rPr>
            <w:rStyle w:val="Hyperlink"/>
            <w:rFonts w:ascii="Calibri" w:hAnsi="Calibri" w:cs="Calibri"/>
            <w:sz w:val="24"/>
            <w:szCs w:val="24"/>
            <w:lang w:eastAsia="en-GB"/>
          </w:rPr>
          <w:t>Appendix C</w:t>
        </w:r>
      </w:hyperlink>
      <w:r w:rsidRPr="00D753FE">
        <w:rPr>
          <w:rFonts w:ascii="Calibri" w:hAnsi="Calibri" w:cs="Calibri"/>
          <w:sz w:val="24"/>
          <w:szCs w:val="24"/>
          <w:lang w:eastAsia="en-GB"/>
        </w:rPr>
        <w:t>).</w:t>
      </w:r>
    </w:p>
    <w:p w14:paraId="1AC256D6" w14:textId="426DB778" w:rsidR="00225FF6" w:rsidRPr="003C7527" w:rsidRDefault="003C7527" w:rsidP="003C7527">
      <w:pPr>
        <w:pStyle w:val="Heading2"/>
        <w:rPr>
          <w:rFonts w:ascii="Calibri" w:hAnsi="Calibri" w:cs="Calibri"/>
          <w:lang w:eastAsia="en-GB"/>
        </w:rPr>
      </w:pPr>
      <w:bookmarkStart w:id="4" w:name="_Toc230003875"/>
      <w:r w:rsidRPr="003C7527">
        <w:rPr>
          <w:rFonts w:ascii="Calibri" w:hAnsi="Calibri" w:cs="Calibri"/>
          <w:lang w:eastAsia="en-GB"/>
        </w:rPr>
        <w:t>2.3 Critical Evaluation of EI Theories</w:t>
      </w:r>
      <w:bookmarkEnd w:id="4"/>
    </w:p>
    <w:p w14:paraId="3AD53C7F" w14:textId="12B477F7" w:rsidR="003C7527" w:rsidRDefault="009574BB" w:rsidP="00892F55">
      <w:pPr>
        <w:spacing w:line="360" w:lineRule="auto"/>
        <w:rPr>
          <w:rFonts w:ascii="Calibri" w:hAnsi="Calibri" w:cs="Calibri"/>
          <w:sz w:val="24"/>
          <w:szCs w:val="24"/>
          <w:lang w:eastAsia="en-GB"/>
        </w:rPr>
      </w:pPr>
      <w:r>
        <w:rPr>
          <w:rFonts w:ascii="Calibri" w:hAnsi="Calibri" w:cs="Calibri"/>
          <w:sz w:val="24"/>
          <w:szCs w:val="24"/>
          <w:lang w:eastAsia="en-GB"/>
        </w:rPr>
        <w:t xml:space="preserve">A major concern across all EI models </w:t>
      </w:r>
      <w:r w:rsidR="0050570B">
        <w:rPr>
          <w:rFonts w:ascii="Calibri" w:hAnsi="Calibri" w:cs="Calibri"/>
          <w:sz w:val="24"/>
          <w:szCs w:val="24"/>
          <w:lang w:eastAsia="en-GB"/>
        </w:rPr>
        <w:t>is the tension between theoretical validity and practical applicability</w:t>
      </w:r>
      <w:r w:rsidR="00E2537C">
        <w:rPr>
          <w:rFonts w:ascii="Calibri" w:hAnsi="Calibri" w:cs="Calibri"/>
          <w:sz w:val="24"/>
          <w:szCs w:val="24"/>
          <w:lang w:eastAsia="en-GB"/>
        </w:rPr>
        <w:t>. Ability-based models</w:t>
      </w:r>
      <w:r w:rsidR="0068450E">
        <w:rPr>
          <w:rFonts w:ascii="Calibri" w:hAnsi="Calibri" w:cs="Calibri"/>
          <w:sz w:val="24"/>
          <w:szCs w:val="24"/>
          <w:lang w:eastAsia="en-GB"/>
        </w:rPr>
        <w:t xml:space="preserve"> offer greater scientific credibility </w:t>
      </w:r>
      <w:r w:rsidR="008C697A">
        <w:rPr>
          <w:rFonts w:ascii="Calibri" w:hAnsi="Calibri" w:cs="Calibri"/>
          <w:sz w:val="24"/>
          <w:szCs w:val="24"/>
          <w:lang w:eastAsia="en-GB"/>
        </w:rPr>
        <w:t xml:space="preserve">but lack practical depth, whereas mixed and trait models </w:t>
      </w:r>
      <w:r w:rsidR="00E45E2F">
        <w:rPr>
          <w:rFonts w:ascii="Calibri" w:hAnsi="Calibri" w:cs="Calibri"/>
          <w:sz w:val="24"/>
          <w:szCs w:val="24"/>
          <w:lang w:eastAsia="en-GB"/>
        </w:rPr>
        <w:t>are more applicable in p</w:t>
      </w:r>
      <w:r w:rsidR="004D4452">
        <w:rPr>
          <w:rFonts w:ascii="Calibri" w:hAnsi="Calibri" w:cs="Calibri"/>
          <w:sz w:val="24"/>
          <w:szCs w:val="24"/>
          <w:lang w:eastAsia="en-GB"/>
        </w:rPr>
        <w:t>ractice but are less conceptually p</w:t>
      </w:r>
      <w:r w:rsidR="000C0299">
        <w:rPr>
          <w:rFonts w:ascii="Calibri" w:hAnsi="Calibri" w:cs="Calibri"/>
          <w:sz w:val="24"/>
          <w:szCs w:val="24"/>
          <w:lang w:eastAsia="en-GB"/>
        </w:rPr>
        <w:t xml:space="preserve">recise. </w:t>
      </w:r>
      <w:r w:rsidR="003E6748">
        <w:rPr>
          <w:rFonts w:ascii="Calibri" w:hAnsi="Calibri" w:cs="Calibri"/>
          <w:sz w:val="24"/>
          <w:szCs w:val="24"/>
          <w:lang w:eastAsia="en-GB"/>
        </w:rPr>
        <w:t xml:space="preserve">This has led to ongoing debate regarding the </w:t>
      </w:r>
      <w:r w:rsidR="00115385">
        <w:rPr>
          <w:rFonts w:ascii="Calibri" w:hAnsi="Calibri" w:cs="Calibri"/>
          <w:sz w:val="24"/>
          <w:szCs w:val="24"/>
          <w:lang w:eastAsia="en-GB"/>
        </w:rPr>
        <w:t>legitimacy of EI as a standalone cons</w:t>
      </w:r>
      <w:r w:rsidR="001026D6">
        <w:rPr>
          <w:rFonts w:ascii="Calibri" w:hAnsi="Calibri" w:cs="Calibri"/>
          <w:sz w:val="24"/>
          <w:szCs w:val="24"/>
          <w:lang w:eastAsia="en-GB"/>
        </w:rPr>
        <w:t xml:space="preserve">truct. </w:t>
      </w:r>
    </w:p>
    <w:p w14:paraId="30567FFE" w14:textId="77777777" w:rsidR="002927B6" w:rsidRDefault="002927B6">
      <w:pPr>
        <w:spacing w:line="360" w:lineRule="auto"/>
        <w:rPr>
          <w:lang w:eastAsia="en-GB"/>
        </w:rPr>
      </w:pPr>
      <w:r>
        <w:rPr>
          <w:rFonts w:ascii="Calibri" w:hAnsi="Calibri" w:cs="Calibri"/>
          <w:sz w:val="24"/>
          <w:szCs w:val="24"/>
        </w:rPr>
        <w:lastRenderedPageBreak/>
        <w:t xml:space="preserve">Critics such as Locke (2005) argue that EI is too broadly defined to be analytically useful, while Matthews </w:t>
      </w:r>
      <w:r>
        <w:rPr>
          <w:rFonts w:ascii="Calibri" w:hAnsi="Calibri" w:cs="Calibri"/>
          <w:i/>
          <w:iCs/>
          <w:sz w:val="24"/>
          <w:szCs w:val="24"/>
        </w:rPr>
        <w:t>et al.</w:t>
      </w:r>
      <w:r>
        <w:rPr>
          <w:rFonts w:ascii="Calibri" w:hAnsi="Calibri" w:cs="Calibri"/>
          <w:sz w:val="24"/>
          <w:szCs w:val="24"/>
        </w:rPr>
        <w:t xml:space="preserve"> (2002) question the strength of the supporting evidence base. By contrast, proponents contend that EI-related competencies are associated with leadership effectiveness and workplace performance despite continuing definitional ambiguity (Cherniss, 2010). Joseph and Newman (2010) further suggest that EI contributes to job performance, particularly in roles characterised by high emotional labour, such as nursing.</w:t>
      </w:r>
    </w:p>
    <w:p w14:paraId="22C62F49" w14:textId="77777777" w:rsidR="00C7115F" w:rsidRDefault="00C7115F">
      <w:pPr>
        <w:spacing w:line="360" w:lineRule="auto"/>
        <w:rPr>
          <w:lang w:eastAsia="en-GB"/>
        </w:rPr>
      </w:pPr>
      <w:r>
        <w:rPr>
          <w:rFonts w:ascii="Calibri" w:hAnsi="Calibri" w:cs="Calibri"/>
          <w:sz w:val="24"/>
          <w:szCs w:val="24"/>
        </w:rPr>
        <w:t xml:space="preserve">To address these limitations, complementary frameworks such as Transactional Analysis (TA) and mindfulness can be considered. Close (2021) explains interpersonal communication through Parent, Adult, and Child ego states, showing how emotional responses influence behaviour. For example, responding from a ‘Child’ ego state in a stressful situation may lead to defensiveness, whereas an ‘Adult’ state supports more rational and balanced decision-making. This aligns closely with EI competencies such as self-regulation and social awareness. </w:t>
      </w:r>
    </w:p>
    <w:p w14:paraId="2D319642" w14:textId="77777777" w:rsidR="005A1A28" w:rsidRDefault="005A1A28">
      <w:pPr>
        <w:spacing w:line="360" w:lineRule="auto"/>
        <w:rPr>
          <w:lang w:eastAsia="en-GB"/>
        </w:rPr>
      </w:pPr>
      <w:r>
        <w:rPr>
          <w:rFonts w:ascii="Calibri" w:hAnsi="Calibri" w:cs="Calibri"/>
          <w:sz w:val="24"/>
          <w:szCs w:val="24"/>
        </w:rPr>
        <w:t xml:space="preserve">Similarly, Keng </w:t>
      </w:r>
      <w:r>
        <w:rPr>
          <w:rFonts w:ascii="Calibri" w:hAnsi="Calibri" w:cs="Calibri"/>
          <w:i/>
          <w:iCs/>
          <w:sz w:val="24"/>
          <w:szCs w:val="24"/>
        </w:rPr>
        <w:t>et al.</w:t>
      </w:r>
      <w:r>
        <w:rPr>
          <w:rFonts w:ascii="Calibri" w:hAnsi="Calibri" w:cs="Calibri"/>
          <w:sz w:val="24"/>
          <w:szCs w:val="24"/>
        </w:rPr>
        <w:t xml:space="preserve"> (2011) state that mindfulness supports the development of EI by improving present-moment awareness and emotional regulation. While EI focuses on recognising and managing emotions, mindfulness helps individuals notice emotional reactions as they occur. This is particularly relevant in healthcare settings, where emotional reactions can directly affect patient care and team dynamics.</w:t>
      </w:r>
    </w:p>
    <w:p w14:paraId="10DAFE01" w14:textId="77777777" w:rsidR="005A1A28" w:rsidRDefault="005A1A28">
      <w:pPr>
        <w:spacing w:line="360" w:lineRule="auto"/>
        <w:rPr>
          <w:lang w:eastAsia="en-GB"/>
        </w:rPr>
      </w:pPr>
      <w:bookmarkStart w:id="5" w:name="_Toc230003876"/>
      <w:r>
        <w:rPr>
          <w:rFonts w:ascii="Calibri" w:hAnsi="Calibri" w:cs="Calibri"/>
          <w:sz w:val="24"/>
          <w:szCs w:val="24"/>
        </w:rPr>
        <w:t xml:space="preserve">From a personal perspective, these theoretical frameworks reflect day-to-day experiences on an NHS surgical ward. Situations involving patient deterioration, high workload, or conflict with colleagues can trigger emotional responses that influence decision-making and communication (NHS England, 2025). Rodríguez-Ledo </w:t>
      </w:r>
      <w:r>
        <w:rPr>
          <w:rFonts w:ascii="Calibri" w:hAnsi="Calibri" w:cs="Calibri"/>
          <w:i/>
          <w:iCs/>
          <w:sz w:val="24"/>
          <w:szCs w:val="24"/>
        </w:rPr>
        <w:t>et al.</w:t>
      </w:r>
      <w:r>
        <w:rPr>
          <w:rFonts w:ascii="Calibri" w:hAnsi="Calibri" w:cs="Calibri"/>
          <w:sz w:val="24"/>
          <w:szCs w:val="24"/>
        </w:rPr>
        <w:t xml:space="preserve"> (2018) state that developing self-awareness through EI and mindfulness enables more controlled and effective responses, highlighting the practical value of these theories despite ongoing academic debate.</w:t>
      </w:r>
    </w:p>
    <w:p w14:paraId="7B69F22F" w14:textId="72A51BF9" w:rsidR="00892F55" w:rsidRPr="00542C18" w:rsidRDefault="00B626FA" w:rsidP="00B626FA">
      <w:pPr>
        <w:pStyle w:val="Heading1"/>
        <w:rPr>
          <w:rFonts w:ascii="Calibri" w:hAnsi="Calibri" w:cs="Calibri"/>
          <w:lang w:eastAsia="en-GB"/>
        </w:rPr>
      </w:pPr>
      <w:r w:rsidRPr="00542C18">
        <w:rPr>
          <w:rFonts w:ascii="Calibri" w:hAnsi="Calibri" w:cs="Calibri"/>
          <w:lang w:eastAsia="en-GB"/>
        </w:rPr>
        <w:t>3. Workfor</w:t>
      </w:r>
      <w:r w:rsidR="00BA4142" w:rsidRPr="00542C18">
        <w:rPr>
          <w:rFonts w:ascii="Calibri" w:hAnsi="Calibri" w:cs="Calibri"/>
          <w:lang w:eastAsia="en-GB"/>
        </w:rPr>
        <w:t>ce Development and Emotional Intelligence</w:t>
      </w:r>
      <w:bookmarkEnd w:id="5"/>
    </w:p>
    <w:p w14:paraId="65DB2630" w14:textId="77777777" w:rsidR="00542C18" w:rsidRDefault="00BA4142" w:rsidP="00BA4142">
      <w:pPr>
        <w:pStyle w:val="Heading2"/>
        <w:rPr>
          <w:rFonts w:ascii="Calibri" w:hAnsi="Calibri" w:cs="Calibri"/>
        </w:rPr>
      </w:pPr>
      <w:bookmarkStart w:id="6" w:name="_Toc230003877"/>
      <w:r w:rsidRPr="00542C18">
        <w:rPr>
          <w:rFonts w:ascii="Calibri" w:hAnsi="Calibri" w:cs="Calibri"/>
        </w:rPr>
        <w:t xml:space="preserve">3.1 </w:t>
      </w:r>
      <w:r w:rsidR="00542C18" w:rsidRPr="00542C18">
        <w:rPr>
          <w:rFonts w:ascii="Calibri" w:hAnsi="Calibri" w:cs="Calibri"/>
        </w:rPr>
        <w:t>Understanding Workforce Development</w:t>
      </w:r>
      <w:bookmarkEnd w:id="6"/>
    </w:p>
    <w:p w14:paraId="0FBDEBEC" w14:textId="77777777" w:rsidR="005870A1" w:rsidRDefault="005870A1">
      <w:pPr>
        <w:spacing w:line="360" w:lineRule="auto"/>
        <w:rPr>
          <w:lang w:eastAsia="en-GB"/>
        </w:rPr>
      </w:pPr>
      <w:r>
        <w:rPr>
          <w:rFonts w:ascii="Calibri" w:hAnsi="Calibri" w:cs="Calibri"/>
          <w:sz w:val="24"/>
          <w:szCs w:val="24"/>
        </w:rPr>
        <w:t xml:space="preserve">Workforce development is the strategic process of strengthening employee skills, knowledge, and capability to improve individual and organisational performance. It extends </w:t>
      </w:r>
      <w:r>
        <w:rPr>
          <w:rFonts w:ascii="Calibri" w:hAnsi="Calibri" w:cs="Calibri"/>
          <w:sz w:val="24"/>
          <w:szCs w:val="24"/>
        </w:rPr>
        <w:lastRenderedPageBreak/>
        <w:t>beyond formal training to include leadership, wellbeing, communication, and continuing professional development (CIPD, 2024).</w:t>
      </w:r>
    </w:p>
    <w:p w14:paraId="1F95C294" w14:textId="77777777" w:rsidR="005870A1" w:rsidRDefault="005870A1">
      <w:pPr>
        <w:spacing w:line="360" w:lineRule="auto"/>
        <w:rPr>
          <w:lang w:eastAsia="en-GB"/>
        </w:rPr>
      </w:pPr>
      <w:r>
        <w:rPr>
          <w:rFonts w:ascii="Calibri" w:hAnsi="Calibri" w:cs="Calibri"/>
          <w:sz w:val="24"/>
          <w:szCs w:val="24"/>
        </w:rPr>
        <w:t>CIPD (2024) describes workforce development as activities that build capability through learning, engagement, and professional growth. In healthcare, it is especially important because of service pressures, staff shortages, emotional demands, and rising patient expectations.</w:t>
      </w:r>
    </w:p>
    <w:p w14:paraId="7CEA5F00" w14:textId="77777777" w:rsidR="005870A1" w:rsidRDefault="005870A1">
      <w:pPr>
        <w:spacing w:line="360" w:lineRule="auto"/>
        <w:rPr>
          <w:lang w:eastAsia="en-GB"/>
        </w:rPr>
      </w:pPr>
      <w:r>
        <w:rPr>
          <w:rFonts w:ascii="Calibri" w:hAnsi="Calibri" w:cs="Calibri"/>
          <w:sz w:val="24"/>
          <w:szCs w:val="24"/>
        </w:rPr>
        <w:t>The NHS Workforce Framework emphasises resilient, emotionally competent staff who can deliver safe, compassionate care (NHS England, 2023). Technical skill alone is insufficient in emotionally demanding settings, so empathy, communication, adaptability, and emotional regulation are increasingly seen as core elements of workforce capability (Salameh-</w:t>
      </w:r>
      <w:proofErr w:type="spellStart"/>
      <w:r>
        <w:rPr>
          <w:rFonts w:ascii="Calibri" w:hAnsi="Calibri" w:cs="Calibri"/>
          <w:sz w:val="24"/>
          <w:szCs w:val="24"/>
        </w:rPr>
        <w:t>Ayanian</w:t>
      </w:r>
      <w:proofErr w:type="spellEnd"/>
      <w:r>
        <w:rPr>
          <w:rFonts w:ascii="Calibri" w:hAnsi="Calibri" w:cs="Calibri"/>
          <w:sz w:val="24"/>
          <w:szCs w:val="24"/>
        </w:rPr>
        <w:t xml:space="preserve"> </w:t>
      </w:r>
      <w:r>
        <w:rPr>
          <w:rFonts w:ascii="Calibri" w:hAnsi="Calibri" w:cs="Calibri"/>
          <w:i/>
          <w:iCs/>
          <w:sz w:val="24"/>
          <w:szCs w:val="24"/>
        </w:rPr>
        <w:t>et al.</w:t>
      </w:r>
      <w:r>
        <w:rPr>
          <w:rFonts w:ascii="Calibri" w:hAnsi="Calibri" w:cs="Calibri"/>
          <w:sz w:val="24"/>
          <w:szCs w:val="24"/>
        </w:rPr>
        <w:t>, 2024).</w:t>
      </w:r>
    </w:p>
    <w:p w14:paraId="6D34F6CC" w14:textId="77777777" w:rsidR="005870A1" w:rsidRDefault="005870A1">
      <w:pPr>
        <w:spacing w:line="360" w:lineRule="auto"/>
        <w:rPr>
          <w:lang w:eastAsia="en-GB"/>
        </w:rPr>
      </w:pPr>
      <w:r>
        <w:rPr>
          <w:rFonts w:ascii="Calibri" w:hAnsi="Calibri" w:cs="Calibri"/>
          <w:sz w:val="24"/>
          <w:szCs w:val="24"/>
        </w:rPr>
        <w:t xml:space="preserve">However, some researchers argue that organisations prioritise performance over employee wellbeing, producing transactional rather than genuinely developmental approaches (Obazuaye, 2024). This is particularly relevant in the NHS, where service pressures and limited resources can restrict meaningful staff development (Dixon-Woods </w:t>
      </w:r>
      <w:r>
        <w:rPr>
          <w:rFonts w:ascii="Calibri" w:hAnsi="Calibri" w:cs="Calibri"/>
          <w:i/>
          <w:iCs/>
          <w:sz w:val="24"/>
          <w:szCs w:val="24"/>
        </w:rPr>
        <w:t>et al.</w:t>
      </w:r>
      <w:r>
        <w:rPr>
          <w:rFonts w:ascii="Calibri" w:hAnsi="Calibri" w:cs="Calibri"/>
          <w:sz w:val="24"/>
          <w:szCs w:val="24"/>
        </w:rPr>
        <w:t>, 2024).</w:t>
      </w:r>
    </w:p>
    <w:p w14:paraId="77BD5A1A" w14:textId="04C849F0" w:rsidR="003A3CB5" w:rsidRPr="002070ED" w:rsidRDefault="00507707" w:rsidP="00507707">
      <w:pPr>
        <w:pStyle w:val="Heading2"/>
        <w:rPr>
          <w:rFonts w:ascii="Calibri" w:hAnsi="Calibri" w:cs="Calibri"/>
        </w:rPr>
      </w:pPr>
      <w:bookmarkStart w:id="7" w:name="_Toc230003878"/>
      <w:r w:rsidRPr="002070ED">
        <w:rPr>
          <w:rFonts w:ascii="Calibri" w:hAnsi="Calibri" w:cs="Calibri"/>
        </w:rPr>
        <w:t>3.2 The Relevance of Emotional Intelligence to Workforce Development</w:t>
      </w:r>
      <w:bookmarkEnd w:id="7"/>
    </w:p>
    <w:p w14:paraId="5E9942AB" w14:textId="518F18C2" w:rsidR="00023C7B" w:rsidRDefault="00023C7B">
      <w:pPr>
        <w:spacing w:line="360" w:lineRule="auto"/>
        <w:rPr>
          <w:lang w:eastAsia="en-GB"/>
        </w:rPr>
      </w:pPr>
      <w:r>
        <w:rPr>
          <w:rFonts w:ascii="Calibri" w:hAnsi="Calibri" w:cs="Calibri"/>
          <w:sz w:val="24"/>
          <w:szCs w:val="24"/>
        </w:rPr>
        <w:t>Emotional intelligence is often linked to improved workforce capability, particularly in professions involving high emotional interaction (</w:t>
      </w:r>
      <w:r w:rsidR="00353C63">
        <w:rPr>
          <w:rFonts w:ascii="Calibri" w:hAnsi="Calibri" w:cs="Calibri"/>
          <w:sz w:val="24"/>
          <w:szCs w:val="24"/>
        </w:rPr>
        <w:t>Maldonado</w:t>
      </w:r>
      <w:r w:rsidR="00DE0F8E">
        <w:rPr>
          <w:rFonts w:ascii="Calibri" w:hAnsi="Calibri" w:cs="Calibri"/>
          <w:sz w:val="24"/>
          <w:szCs w:val="24"/>
        </w:rPr>
        <w:t>, 2023</w:t>
      </w:r>
      <w:r>
        <w:rPr>
          <w:rFonts w:ascii="Calibri" w:hAnsi="Calibri" w:cs="Calibri"/>
          <w:sz w:val="24"/>
          <w:szCs w:val="24"/>
        </w:rPr>
        <w:t xml:space="preserve">). Mrisho &amp; </w:t>
      </w:r>
      <w:proofErr w:type="spellStart"/>
      <w:r>
        <w:rPr>
          <w:rFonts w:ascii="Calibri" w:hAnsi="Calibri" w:cs="Calibri"/>
          <w:sz w:val="24"/>
          <w:szCs w:val="24"/>
        </w:rPr>
        <w:t>Mseti</w:t>
      </w:r>
      <w:proofErr w:type="spellEnd"/>
      <w:r>
        <w:rPr>
          <w:rFonts w:ascii="Calibri" w:hAnsi="Calibri" w:cs="Calibri"/>
          <w:sz w:val="24"/>
          <w:szCs w:val="24"/>
        </w:rPr>
        <w:t xml:space="preserve"> (2024) argue that emotional competencies can be more influential than technical skills for workplace effectiveness, especially in leadership roles. In healthcare, EI supports communication, teamwork, conflict resolution, emotional resilience, and the management of emotional labour, which requires nurses to demonstrate empathy, compassion, and emotional control while maintaining professional standards (Royal College of Nursing, 2020</w:t>
      </w:r>
      <w:r w:rsidR="0088566D">
        <w:rPr>
          <w:rFonts w:ascii="Calibri" w:hAnsi="Calibri" w:cs="Calibri"/>
          <w:sz w:val="24"/>
          <w:szCs w:val="24"/>
        </w:rPr>
        <w:t>)</w:t>
      </w:r>
      <w:r w:rsidR="00F009C3">
        <w:rPr>
          <w:rFonts w:ascii="Calibri" w:hAnsi="Calibri" w:cs="Calibri"/>
          <w:sz w:val="24"/>
          <w:szCs w:val="24"/>
        </w:rPr>
        <w:t>.</w:t>
      </w:r>
    </w:p>
    <w:p w14:paraId="275167C8" w14:textId="1FCB079D" w:rsidR="00534364" w:rsidRDefault="00534364">
      <w:pPr>
        <w:spacing w:line="360" w:lineRule="auto"/>
        <w:rPr>
          <w:lang w:eastAsia="en-GB"/>
        </w:rPr>
      </w:pPr>
      <w:r>
        <w:rPr>
          <w:rFonts w:ascii="Calibri" w:hAnsi="Calibri" w:cs="Calibri"/>
          <w:sz w:val="24"/>
          <w:szCs w:val="24"/>
        </w:rPr>
        <w:t xml:space="preserve">In an NHS surgical ward, emotional intelligence supports teamwork through clear communication between nurses, doctors, healthcare assistants, and patients, which is essential for patient safety and care quality </w:t>
      </w:r>
      <w:r w:rsidR="00F87439">
        <w:rPr>
          <w:rFonts w:ascii="Calibri" w:hAnsi="Calibri" w:cs="Calibri"/>
          <w:sz w:val="24"/>
          <w:szCs w:val="24"/>
        </w:rPr>
        <w:t xml:space="preserve">(Weller </w:t>
      </w:r>
      <w:r w:rsidR="00F87439">
        <w:rPr>
          <w:rFonts w:ascii="Calibri" w:hAnsi="Calibri" w:cs="Calibri"/>
          <w:i/>
          <w:iCs/>
          <w:sz w:val="24"/>
          <w:szCs w:val="24"/>
        </w:rPr>
        <w:t>et al.</w:t>
      </w:r>
      <w:r w:rsidR="00F87439">
        <w:rPr>
          <w:rFonts w:ascii="Calibri" w:hAnsi="Calibri" w:cs="Calibri"/>
          <w:sz w:val="24"/>
          <w:szCs w:val="24"/>
        </w:rPr>
        <w:t>, 2024)</w:t>
      </w:r>
      <w:r>
        <w:rPr>
          <w:rFonts w:ascii="Calibri" w:hAnsi="Calibri" w:cs="Calibri"/>
          <w:sz w:val="24"/>
          <w:szCs w:val="24"/>
        </w:rPr>
        <w:t>. Self-awareness and self-regulation strengthen relationships and reduce reactive responses in high-pressure situations (Antonopoulou, 2024).</w:t>
      </w:r>
    </w:p>
    <w:p w14:paraId="728CB706" w14:textId="77777777" w:rsidR="00534364" w:rsidRDefault="00534364">
      <w:pPr>
        <w:spacing w:line="360" w:lineRule="auto"/>
        <w:rPr>
          <w:lang w:eastAsia="en-GB"/>
        </w:rPr>
      </w:pPr>
      <w:r>
        <w:rPr>
          <w:rFonts w:ascii="Calibri" w:hAnsi="Calibri" w:cs="Calibri"/>
          <w:sz w:val="24"/>
          <w:szCs w:val="24"/>
        </w:rPr>
        <w:lastRenderedPageBreak/>
        <w:t xml:space="preserve">Maben </w:t>
      </w:r>
      <w:r>
        <w:rPr>
          <w:rFonts w:ascii="Calibri" w:hAnsi="Calibri" w:cs="Calibri"/>
          <w:i/>
          <w:iCs/>
          <w:sz w:val="24"/>
          <w:szCs w:val="24"/>
        </w:rPr>
        <w:t>et al.</w:t>
      </w:r>
      <w:r>
        <w:rPr>
          <w:rFonts w:ascii="Calibri" w:hAnsi="Calibri" w:cs="Calibri"/>
          <w:sz w:val="24"/>
          <w:szCs w:val="24"/>
        </w:rPr>
        <w:t xml:space="preserve"> (2024) note that during high patient acuity or staff shortages, emotionally intelligent nurses can regulate frustration and communicate constructively, strengthening team cohesion and reducing conflict. Empathy also supports patient-centred care by improving understanding of patient anxiety, vulnerability, and distress.</w:t>
      </w:r>
    </w:p>
    <w:p w14:paraId="5123D422" w14:textId="77777777" w:rsidR="00C7115F" w:rsidRDefault="00C7115F">
      <w:pPr>
        <w:spacing w:line="360" w:lineRule="auto"/>
        <w:rPr>
          <w:lang w:eastAsia="en-GB"/>
        </w:rPr>
      </w:pPr>
      <w:r>
        <w:rPr>
          <w:rFonts w:ascii="Calibri" w:hAnsi="Calibri" w:cs="Calibri"/>
          <w:sz w:val="24"/>
          <w:szCs w:val="24"/>
        </w:rPr>
        <w:t xml:space="preserve">Emotional intelligence is also increasingly important in managing generational diversity within modern healthcare workforces. Generational diversity can shape communication and workplace relationships in the NHS. With Baby Boomers, Generation X, Millennials, and Generation Z often working together, differences in values, communication styles, and expectations may affect teamwork and leadership. EI helps manage these differences through empathy, adaptability, and understanding. In NHS surgical wards, experienced nurses may prefer traditional communication and hierarchy, while younger staff may value collaboration, feedback, and flexibility. Emotionally intelligent leadership can reduce misunderstandings and strengthen teamwork by promoting respect, inclusion, and collaboration across generations (Pietrantonio </w:t>
      </w:r>
      <w:r>
        <w:rPr>
          <w:rFonts w:ascii="Calibri" w:hAnsi="Calibri" w:cs="Calibri"/>
          <w:i/>
          <w:iCs/>
          <w:sz w:val="24"/>
          <w:szCs w:val="24"/>
        </w:rPr>
        <w:t>et al.</w:t>
      </w:r>
      <w:r>
        <w:rPr>
          <w:rFonts w:ascii="Calibri" w:hAnsi="Calibri" w:cs="Calibri"/>
          <w:sz w:val="24"/>
          <w:szCs w:val="24"/>
        </w:rPr>
        <w:t>, 2025).</w:t>
      </w:r>
    </w:p>
    <w:p w14:paraId="4E1B1680" w14:textId="77777777" w:rsidR="001843FA" w:rsidRDefault="001843FA">
      <w:pPr>
        <w:spacing w:line="360" w:lineRule="auto"/>
        <w:rPr>
          <w:lang w:eastAsia="en-GB"/>
        </w:rPr>
      </w:pPr>
      <w:r>
        <w:rPr>
          <w:rFonts w:ascii="Calibri" w:hAnsi="Calibri" w:cs="Calibri"/>
          <w:sz w:val="24"/>
          <w:szCs w:val="24"/>
        </w:rPr>
        <w:t>Emotional intelligence can also be linked to wider motivational and behavioural theories such as Maslow’s Hierarchy of Needs and Covey’s Circle of Influence. Maslow (1943) suggests that behaviour is shaped by needs such as safety, belonging, esteem, and self-actualisation, while Covey (1989) emphasises focusing on what can be controlled rather than external pressures. In healthcare settings such as the NHS, these ideas are relevant because EI and mindfulness may help leaders and staff respond to emotional needs, strengthen resilience, and maintain constructive behaviour under pressure.</w:t>
      </w:r>
    </w:p>
    <w:p w14:paraId="3E23DE8E" w14:textId="6F5DC773" w:rsidR="00E60395" w:rsidRDefault="00F67A9E" w:rsidP="00DD5480">
      <w:pPr>
        <w:spacing w:line="360" w:lineRule="auto"/>
        <w:rPr>
          <w:rFonts w:ascii="Calibri" w:hAnsi="Calibri" w:cs="Calibri"/>
          <w:sz w:val="24"/>
          <w:szCs w:val="24"/>
        </w:rPr>
      </w:pPr>
      <w:r>
        <w:rPr>
          <w:rFonts w:ascii="Calibri" w:hAnsi="Calibri" w:cs="Calibri"/>
          <w:sz w:val="24"/>
          <w:szCs w:val="24"/>
        </w:rPr>
        <w:t xml:space="preserve">Research suggests that emotionally intelligent leadership can improve workforce engagement and staff wellbeing. </w:t>
      </w:r>
      <w:r w:rsidR="00207DF2">
        <w:rPr>
          <w:rFonts w:ascii="Calibri" w:hAnsi="Calibri" w:cs="Calibri"/>
          <w:sz w:val="24"/>
          <w:szCs w:val="24"/>
        </w:rPr>
        <w:t xml:space="preserve">West </w:t>
      </w:r>
      <w:r w:rsidR="00207DF2">
        <w:rPr>
          <w:rFonts w:ascii="Calibri" w:hAnsi="Calibri" w:cs="Calibri"/>
          <w:i/>
          <w:iCs/>
          <w:sz w:val="24"/>
          <w:szCs w:val="24"/>
        </w:rPr>
        <w:t>et al.</w:t>
      </w:r>
      <w:r w:rsidR="00207DF2">
        <w:rPr>
          <w:rFonts w:ascii="Calibri" w:hAnsi="Calibri" w:cs="Calibri"/>
          <w:sz w:val="24"/>
          <w:szCs w:val="24"/>
        </w:rPr>
        <w:t xml:space="preserve"> (2017) found that compassionate leadership in the NHS </w:t>
      </w:r>
      <w:r w:rsidR="00873670">
        <w:rPr>
          <w:rFonts w:ascii="Calibri" w:hAnsi="Calibri" w:cs="Calibri"/>
          <w:sz w:val="24"/>
          <w:szCs w:val="24"/>
        </w:rPr>
        <w:t xml:space="preserve">is associated with improved staff morale, reduced burnout, and better patient outcomes. </w:t>
      </w:r>
      <w:r w:rsidR="005302D4">
        <w:rPr>
          <w:rFonts w:ascii="Calibri" w:hAnsi="Calibri" w:cs="Calibri"/>
          <w:sz w:val="24"/>
          <w:szCs w:val="24"/>
        </w:rPr>
        <w:t>This supports the argument that EI should be viewed as a core element of workforce development strategies rather than just as an individual characteristic</w:t>
      </w:r>
      <w:r w:rsidR="00F87439">
        <w:rPr>
          <w:rFonts w:ascii="Calibri" w:hAnsi="Calibri" w:cs="Calibri"/>
          <w:sz w:val="24"/>
          <w:szCs w:val="24"/>
        </w:rPr>
        <w:t>.</w:t>
      </w:r>
    </w:p>
    <w:p w14:paraId="58EE7C73" w14:textId="77777777" w:rsidR="002927B6" w:rsidRDefault="002927B6">
      <w:pPr>
        <w:spacing w:line="360" w:lineRule="auto"/>
        <w:rPr>
          <w:lang w:eastAsia="en-GB"/>
        </w:rPr>
      </w:pPr>
      <w:r>
        <w:rPr>
          <w:rFonts w:ascii="Calibri" w:hAnsi="Calibri" w:cs="Calibri"/>
          <w:sz w:val="24"/>
          <w:szCs w:val="24"/>
        </w:rPr>
        <w:t xml:space="preserve">Despite these apparent benefits, the extent to which EI training produces measurable improvements in workplace performance remains open to question. Locke (2005) argues that EI frameworks are often too conceptually vague for effective organisational application, while Matthews </w:t>
      </w:r>
      <w:r>
        <w:rPr>
          <w:rFonts w:ascii="Calibri" w:hAnsi="Calibri" w:cs="Calibri"/>
          <w:i/>
          <w:iCs/>
          <w:sz w:val="24"/>
          <w:szCs w:val="24"/>
        </w:rPr>
        <w:t>et al.</w:t>
      </w:r>
      <w:r>
        <w:rPr>
          <w:rFonts w:ascii="Calibri" w:hAnsi="Calibri" w:cs="Calibri"/>
          <w:sz w:val="24"/>
          <w:szCs w:val="24"/>
        </w:rPr>
        <w:t xml:space="preserve"> (2002) suggest that many EI programmes lack a sufficiently robust </w:t>
      </w:r>
      <w:r>
        <w:rPr>
          <w:rFonts w:ascii="Calibri" w:hAnsi="Calibri" w:cs="Calibri"/>
          <w:sz w:val="24"/>
          <w:szCs w:val="24"/>
        </w:rPr>
        <w:lastRenderedPageBreak/>
        <w:t>empirical foundation. These critiques underline the difficulty of translating an appealing theoretical concept into consistently effective workforce development practice.</w:t>
      </w:r>
    </w:p>
    <w:p w14:paraId="7E57D7CE" w14:textId="0AFEFC24" w:rsidR="00D753FE" w:rsidRPr="00507707" w:rsidRDefault="00D753FE" w:rsidP="00D656A2">
      <w:pPr>
        <w:spacing w:line="360" w:lineRule="auto"/>
        <w:rPr>
          <w:color w:val="EE0000"/>
        </w:rPr>
      </w:pPr>
      <w:hyperlink w:anchor="_Appendix_A" w:history="1">
        <w:r w:rsidRPr="00E521A9">
          <w:rPr>
            <w:rStyle w:val="Hyperlink"/>
            <w:rFonts w:ascii="Calibri" w:hAnsi="Calibri" w:cs="Calibri"/>
            <w:sz w:val="24"/>
            <w:szCs w:val="24"/>
            <w:lang w:eastAsia="en-GB"/>
          </w:rPr>
          <w:t>Appendix A</w:t>
        </w:r>
      </w:hyperlink>
      <w:r w:rsidRPr="00E521A9">
        <w:rPr>
          <w:rFonts w:ascii="Calibri" w:hAnsi="Calibri" w:cs="Calibri"/>
          <w:sz w:val="24"/>
          <w:szCs w:val="24"/>
          <w:lang w:eastAsia="en-GB"/>
        </w:rPr>
        <w:t xml:space="preserve"> provides a visual summary of how mindfulness and emotional intelligence interact to influence workplace performance</w:t>
      </w:r>
      <w:r>
        <w:rPr>
          <w:rFonts w:ascii="Calibri" w:hAnsi="Calibri" w:cs="Calibri"/>
          <w:sz w:val="24"/>
          <w:szCs w:val="24"/>
          <w:lang w:eastAsia="en-GB"/>
        </w:rPr>
        <w:t>.</w:t>
      </w:r>
    </w:p>
    <w:p w14:paraId="6187A47A" w14:textId="77777777" w:rsidR="00F2460E" w:rsidRDefault="00F2460E" w:rsidP="00F2460E">
      <w:pPr>
        <w:pStyle w:val="Heading2"/>
        <w:rPr>
          <w:rFonts w:ascii="Calibri" w:hAnsi="Calibri" w:cs="Calibri"/>
        </w:rPr>
      </w:pPr>
      <w:bookmarkStart w:id="8" w:name="_Toc230003879"/>
      <w:r w:rsidRPr="00F2460E">
        <w:rPr>
          <w:rFonts w:ascii="Calibri" w:hAnsi="Calibri" w:cs="Calibri"/>
        </w:rPr>
        <w:t>3.3 Transactional Analysis and Workforce Relationships</w:t>
      </w:r>
      <w:bookmarkEnd w:id="8"/>
    </w:p>
    <w:p w14:paraId="7C2290EA" w14:textId="19BEAE13" w:rsidR="00A91713" w:rsidRDefault="00A91713">
      <w:pPr>
        <w:spacing w:line="360" w:lineRule="auto"/>
        <w:rPr>
          <w:lang w:eastAsia="en-GB"/>
        </w:rPr>
      </w:pPr>
      <w:r>
        <w:rPr>
          <w:rFonts w:ascii="Calibri" w:hAnsi="Calibri" w:cs="Calibri"/>
          <w:sz w:val="24"/>
          <w:szCs w:val="24"/>
        </w:rPr>
        <w:t>Transactional Analysis helps explain workforce relationships by showing how communication and behaviour are shaped by emotional states. Berne’s theory proposes three ego states—Parent, Adult, and Child—which influence how people respond to others (</w:t>
      </w:r>
      <w:r w:rsidR="00BB65E1">
        <w:rPr>
          <w:rFonts w:ascii="Calibri" w:hAnsi="Calibri" w:cs="Calibri"/>
          <w:sz w:val="24"/>
          <w:szCs w:val="24"/>
        </w:rPr>
        <w:t>Berne, 1957</w:t>
      </w:r>
      <w:r>
        <w:rPr>
          <w:rFonts w:ascii="Calibri" w:hAnsi="Calibri" w:cs="Calibri"/>
          <w:sz w:val="24"/>
          <w:szCs w:val="24"/>
        </w:rPr>
        <w:t xml:space="preserve">). In healthcare, stress can shift communication into a critical ‘Parent’ state, prompting defensive reactions, whereas a nurturing ‘Parent’ state can encourage collaboration and problem-solving (Houghton, 2006). Transactional Analysis also includes four life positions that shape how individuals view themselves and others. Of these, </w:t>
      </w:r>
      <w:r>
        <w:rPr>
          <w:rFonts w:ascii="Calibri" w:hAnsi="Calibri" w:cs="Calibri"/>
          <w:i/>
          <w:iCs/>
          <w:sz w:val="24"/>
          <w:szCs w:val="24"/>
        </w:rPr>
        <w:t>I’m OK, You’re OK</w:t>
      </w:r>
      <w:r>
        <w:rPr>
          <w:rFonts w:ascii="Calibri" w:hAnsi="Calibri" w:cs="Calibri"/>
          <w:sz w:val="24"/>
          <w:szCs w:val="24"/>
        </w:rPr>
        <w:t xml:space="preserve"> is the most constructive in professional settings because it supports respect, emotional balance, and effective communication. In NHS surgical wards, </w:t>
      </w:r>
      <w:r w:rsidR="008C7F73">
        <w:rPr>
          <w:rFonts w:ascii="Calibri" w:hAnsi="Calibri" w:cs="Calibri"/>
          <w:sz w:val="24"/>
          <w:szCs w:val="24"/>
        </w:rPr>
        <w:t>EI</w:t>
      </w:r>
      <w:r>
        <w:rPr>
          <w:rFonts w:ascii="Calibri" w:hAnsi="Calibri" w:cs="Calibri"/>
          <w:sz w:val="24"/>
          <w:szCs w:val="24"/>
        </w:rPr>
        <w:t xml:space="preserve"> and mindfulness can help staff maintain this position under pressure by supporting calm, empathetic responses to distressed patients and colleagues. Although Transactional Analysis may oversimplify behaviour, it still provides useful insight into workplace communication and emotional interaction.</w:t>
      </w:r>
    </w:p>
    <w:p w14:paraId="232AE621" w14:textId="453AE65F" w:rsidR="005A1A28" w:rsidRDefault="005A1A28">
      <w:pPr>
        <w:spacing w:line="360" w:lineRule="auto"/>
        <w:rPr>
          <w:lang w:eastAsia="en-GB"/>
        </w:rPr>
      </w:pPr>
      <w:r>
        <w:rPr>
          <w:rFonts w:ascii="Calibri" w:hAnsi="Calibri" w:cs="Calibri"/>
          <w:sz w:val="24"/>
          <w:szCs w:val="24"/>
        </w:rPr>
        <w:t>From personal experience within a surgical ward, emotionally intense situations such as emergency admissions, patient deterioration, or staff disagreements can quickly affect communication patterns. Awareness of these ego states supports emotional self-regulation and improves working relationships. This demonstrates the close relationship between EI and Transactional Analysis, as both frameworks highlight awareness of emotional responses and behavioural impact</w:t>
      </w:r>
      <w:r w:rsidR="00BB65E1">
        <w:rPr>
          <w:rFonts w:ascii="Calibri" w:hAnsi="Calibri" w:cs="Calibri"/>
          <w:sz w:val="24"/>
          <w:szCs w:val="24"/>
        </w:rPr>
        <w:t>.</w:t>
      </w:r>
    </w:p>
    <w:p w14:paraId="0AB2AB95" w14:textId="490CD119" w:rsidR="006D1EFF" w:rsidRDefault="006E0828" w:rsidP="0030053E">
      <w:pPr>
        <w:spacing w:line="360" w:lineRule="auto"/>
        <w:rPr>
          <w:rFonts w:ascii="Calibri" w:hAnsi="Calibri" w:cs="Calibri"/>
          <w:sz w:val="24"/>
          <w:szCs w:val="24"/>
        </w:rPr>
      </w:pPr>
      <w:r>
        <w:rPr>
          <w:rFonts w:ascii="Calibri" w:hAnsi="Calibri" w:cs="Calibri"/>
          <w:sz w:val="24"/>
          <w:szCs w:val="24"/>
        </w:rPr>
        <w:t>Booth (2007)</w:t>
      </w:r>
      <w:r w:rsidR="00CF1C68">
        <w:rPr>
          <w:rFonts w:ascii="Calibri" w:hAnsi="Calibri" w:cs="Calibri"/>
          <w:sz w:val="24"/>
          <w:szCs w:val="24"/>
        </w:rPr>
        <w:t xml:space="preserve"> argues that t</w:t>
      </w:r>
      <w:r w:rsidR="006D1EFF">
        <w:rPr>
          <w:rFonts w:ascii="Calibri" w:hAnsi="Calibri" w:cs="Calibri"/>
          <w:sz w:val="24"/>
          <w:szCs w:val="24"/>
        </w:rPr>
        <w:t xml:space="preserve">ransactional analysis promotes reflective practice and self-awareness, both </w:t>
      </w:r>
      <w:r w:rsidR="00DC54BD">
        <w:rPr>
          <w:rFonts w:ascii="Calibri" w:hAnsi="Calibri" w:cs="Calibri"/>
          <w:sz w:val="24"/>
          <w:szCs w:val="24"/>
        </w:rPr>
        <w:t xml:space="preserve">of which </w:t>
      </w:r>
      <w:r w:rsidR="006D1EFF">
        <w:rPr>
          <w:rFonts w:ascii="Calibri" w:hAnsi="Calibri" w:cs="Calibri"/>
          <w:sz w:val="24"/>
          <w:szCs w:val="24"/>
        </w:rPr>
        <w:t xml:space="preserve">are essential for </w:t>
      </w:r>
      <w:r w:rsidR="00DC54BD">
        <w:rPr>
          <w:rFonts w:ascii="Calibri" w:hAnsi="Calibri" w:cs="Calibri"/>
          <w:sz w:val="24"/>
          <w:szCs w:val="24"/>
        </w:rPr>
        <w:t>workforce development. By recognising how emotions influence behaviour, healthcare professionals can improve communication, teamwork and leadershi</w:t>
      </w:r>
      <w:r w:rsidR="003F7F5F">
        <w:rPr>
          <w:rFonts w:ascii="Calibri" w:hAnsi="Calibri" w:cs="Calibri"/>
          <w:sz w:val="24"/>
          <w:szCs w:val="24"/>
        </w:rPr>
        <w:t xml:space="preserve">p. </w:t>
      </w:r>
    </w:p>
    <w:p w14:paraId="037A3496" w14:textId="77777777" w:rsidR="001045EF" w:rsidRDefault="001045EF" w:rsidP="001045EF">
      <w:pPr>
        <w:pStyle w:val="Heading2"/>
        <w:rPr>
          <w:rFonts w:ascii="Calibri" w:hAnsi="Calibri" w:cs="Calibri"/>
          <w:lang w:eastAsia="en-GB"/>
        </w:rPr>
      </w:pPr>
      <w:bookmarkStart w:id="9" w:name="_Toc230003880"/>
      <w:r w:rsidRPr="001045EF">
        <w:rPr>
          <w:rFonts w:ascii="Calibri" w:hAnsi="Calibri" w:cs="Calibri"/>
          <w:lang w:eastAsia="en-GB"/>
        </w:rPr>
        <w:lastRenderedPageBreak/>
        <w:t>3.4 Critical Evaluation of Emotional Intelligence in Workforce Development</w:t>
      </w:r>
      <w:bookmarkEnd w:id="9"/>
    </w:p>
    <w:p w14:paraId="67DE9EE2" w14:textId="79BC13EA" w:rsidR="000113F5" w:rsidRPr="000113F5" w:rsidRDefault="00DA2EFC" w:rsidP="003550DE">
      <w:pPr>
        <w:spacing w:line="360" w:lineRule="auto"/>
        <w:rPr>
          <w:rFonts w:ascii="Calibri" w:hAnsi="Calibri" w:cs="Calibri"/>
          <w:sz w:val="24"/>
          <w:szCs w:val="24"/>
          <w:lang w:eastAsia="en-GB"/>
        </w:rPr>
      </w:pPr>
      <w:r>
        <w:rPr>
          <w:rFonts w:ascii="Calibri" w:hAnsi="Calibri" w:cs="Calibri"/>
          <w:sz w:val="24"/>
          <w:szCs w:val="24"/>
          <w:lang w:eastAsia="en-GB"/>
        </w:rPr>
        <w:t>Altho</w:t>
      </w:r>
      <w:r w:rsidR="00C66E26">
        <w:rPr>
          <w:rFonts w:ascii="Calibri" w:hAnsi="Calibri" w:cs="Calibri"/>
          <w:sz w:val="24"/>
          <w:szCs w:val="24"/>
          <w:lang w:eastAsia="en-GB"/>
        </w:rPr>
        <w:t xml:space="preserve">ugh emotional intelligence supports workforce development, it should not be viewed as a </w:t>
      </w:r>
      <w:r w:rsidR="00AE1A37" w:rsidRPr="00AE1A37">
        <w:rPr>
          <w:rFonts w:ascii="Calibri" w:hAnsi="Calibri" w:cs="Calibri"/>
          <w:sz w:val="24"/>
          <w:szCs w:val="24"/>
          <w:lang w:eastAsia="en-GB"/>
        </w:rPr>
        <w:t>standalone solution to organisational cha</w:t>
      </w:r>
      <w:r w:rsidR="00AE1A37">
        <w:rPr>
          <w:rFonts w:ascii="Calibri" w:hAnsi="Calibri" w:cs="Calibri"/>
          <w:sz w:val="24"/>
          <w:szCs w:val="24"/>
          <w:lang w:eastAsia="en-GB"/>
        </w:rPr>
        <w:t>llenges. Within the NHS, structural factors such as understaffing</w:t>
      </w:r>
      <w:r w:rsidR="00EE29C8">
        <w:rPr>
          <w:rFonts w:ascii="Calibri" w:hAnsi="Calibri" w:cs="Calibri"/>
          <w:sz w:val="24"/>
          <w:szCs w:val="24"/>
          <w:lang w:eastAsia="en-GB"/>
        </w:rPr>
        <w:t>, excessive workload, and limited resources also strongly influence workplace performance</w:t>
      </w:r>
      <w:r w:rsidR="00A90E93">
        <w:rPr>
          <w:rFonts w:ascii="Calibri" w:hAnsi="Calibri" w:cs="Calibri"/>
          <w:sz w:val="24"/>
          <w:szCs w:val="24"/>
          <w:lang w:eastAsia="en-GB"/>
        </w:rPr>
        <w:t xml:space="preserve"> (Powell </w:t>
      </w:r>
      <w:r w:rsidR="00A90E93">
        <w:rPr>
          <w:rFonts w:ascii="Calibri" w:hAnsi="Calibri" w:cs="Calibri"/>
          <w:i/>
          <w:iCs/>
          <w:sz w:val="24"/>
          <w:szCs w:val="24"/>
          <w:lang w:eastAsia="en-GB"/>
        </w:rPr>
        <w:t>et al.</w:t>
      </w:r>
      <w:r w:rsidR="00A90E93">
        <w:rPr>
          <w:rFonts w:ascii="Calibri" w:hAnsi="Calibri" w:cs="Calibri"/>
          <w:sz w:val="24"/>
          <w:szCs w:val="24"/>
          <w:lang w:eastAsia="en-GB"/>
        </w:rPr>
        <w:t>, 2024)</w:t>
      </w:r>
      <w:r w:rsidR="00EE29C8">
        <w:rPr>
          <w:rFonts w:ascii="Calibri" w:hAnsi="Calibri" w:cs="Calibri"/>
          <w:sz w:val="24"/>
          <w:szCs w:val="24"/>
          <w:lang w:eastAsia="en-GB"/>
        </w:rPr>
        <w:t xml:space="preserve">. </w:t>
      </w:r>
    </w:p>
    <w:p w14:paraId="5B2D41D4" w14:textId="1A20D1A3" w:rsidR="002D4CCB" w:rsidRDefault="002E7880">
      <w:pPr>
        <w:spacing w:line="360" w:lineRule="auto"/>
        <w:rPr>
          <w:rFonts w:ascii="Calibri" w:hAnsi="Calibri" w:cs="Calibri"/>
          <w:sz w:val="24"/>
          <w:szCs w:val="24"/>
        </w:rPr>
      </w:pPr>
      <w:r>
        <w:rPr>
          <w:rFonts w:ascii="Calibri" w:hAnsi="Calibri" w:cs="Calibri"/>
          <w:sz w:val="24"/>
          <w:szCs w:val="24"/>
        </w:rPr>
        <w:t xml:space="preserve">Müller &amp; Kubátová (2025) argues that organisations can overemphasise individual emotional responsibility while overlooking systemic workplace pressures. For example, promoting resilience without </w:t>
      </w:r>
      <w:r w:rsidR="006F4604">
        <w:rPr>
          <w:rFonts w:ascii="Calibri" w:hAnsi="Calibri" w:cs="Calibri"/>
          <w:sz w:val="24"/>
          <w:szCs w:val="24"/>
        </w:rPr>
        <w:t>addressing</w:t>
      </w:r>
      <w:r>
        <w:rPr>
          <w:rFonts w:ascii="Calibri" w:hAnsi="Calibri" w:cs="Calibri"/>
          <w:sz w:val="24"/>
          <w:szCs w:val="24"/>
        </w:rPr>
        <w:t xml:space="preserve"> chronic staff shortages can shift stress management onto employees, increasing exhaustion and burnout even among emotionally competent staff.</w:t>
      </w:r>
    </w:p>
    <w:p w14:paraId="2D53581C" w14:textId="7AA0BFC1" w:rsidR="00F95E38" w:rsidRPr="00F95E38" w:rsidRDefault="00A920BB" w:rsidP="00F95E38">
      <w:pPr>
        <w:spacing w:line="360" w:lineRule="auto"/>
        <w:rPr>
          <w:rFonts w:ascii="Calibri" w:hAnsi="Calibri" w:cs="Calibri"/>
          <w:sz w:val="24"/>
          <w:szCs w:val="24"/>
          <w:lang w:eastAsia="en-GB"/>
        </w:rPr>
      </w:pPr>
      <w:r w:rsidRPr="00F95E38">
        <w:rPr>
          <w:rFonts w:ascii="Calibri" w:hAnsi="Calibri" w:cs="Calibri"/>
          <w:sz w:val="24"/>
          <w:szCs w:val="24"/>
          <w:lang w:eastAsia="en-GB"/>
        </w:rPr>
        <w:t xml:space="preserve">Additionally, </w:t>
      </w:r>
      <w:r w:rsidR="005A3B6E" w:rsidRPr="00F95E38">
        <w:rPr>
          <w:rFonts w:ascii="Calibri" w:hAnsi="Calibri" w:cs="Calibri"/>
          <w:sz w:val="24"/>
          <w:szCs w:val="24"/>
          <w:lang w:eastAsia="en-GB"/>
        </w:rPr>
        <w:t>James (2023)</w:t>
      </w:r>
      <w:r w:rsidRPr="00F95E38">
        <w:rPr>
          <w:rFonts w:ascii="Calibri" w:hAnsi="Calibri" w:cs="Calibri"/>
          <w:sz w:val="24"/>
          <w:szCs w:val="24"/>
          <w:lang w:eastAsia="en-GB"/>
        </w:rPr>
        <w:t xml:space="preserve"> states that cultural differences may influence how emotional intelligence </w:t>
      </w:r>
      <w:r w:rsidR="00314014" w:rsidRPr="00F95E38">
        <w:rPr>
          <w:rFonts w:ascii="Calibri" w:hAnsi="Calibri" w:cs="Calibri"/>
          <w:sz w:val="24"/>
          <w:szCs w:val="24"/>
          <w:lang w:eastAsia="en-GB"/>
        </w:rPr>
        <w:t xml:space="preserve">is expressed and interpreted within teams. Behaviours seen as emotionally appropriate </w:t>
      </w:r>
      <w:r w:rsidR="00DC6D15" w:rsidRPr="00F95E38">
        <w:rPr>
          <w:rFonts w:ascii="Calibri" w:hAnsi="Calibri" w:cs="Calibri"/>
          <w:sz w:val="24"/>
          <w:szCs w:val="24"/>
          <w:lang w:eastAsia="en-GB"/>
        </w:rPr>
        <w:t xml:space="preserve">in one context may be viewed differently in another, limiting the </w:t>
      </w:r>
      <w:r w:rsidR="00DA4187" w:rsidRPr="00F95E38">
        <w:rPr>
          <w:rFonts w:ascii="Calibri" w:hAnsi="Calibri" w:cs="Calibri"/>
          <w:sz w:val="24"/>
          <w:szCs w:val="24"/>
          <w:lang w:eastAsia="en-GB"/>
        </w:rPr>
        <w:t xml:space="preserve">cross-cultural </w:t>
      </w:r>
      <w:r w:rsidR="00D22CC3" w:rsidRPr="00F95E38">
        <w:rPr>
          <w:rFonts w:ascii="Calibri" w:hAnsi="Calibri" w:cs="Calibri"/>
          <w:sz w:val="24"/>
          <w:szCs w:val="24"/>
          <w:lang w:eastAsia="en-GB"/>
        </w:rPr>
        <w:t>applicability of EI frameworks</w:t>
      </w:r>
      <w:r w:rsidR="00F95E38" w:rsidRPr="00F95E38">
        <w:rPr>
          <w:rFonts w:ascii="Calibri" w:hAnsi="Calibri" w:cs="Calibri"/>
          <w:sz w:val="24"/>
          <w:szCs w:val="24"/>
          <w:lang w:eastAsia="en-GB"/>
        </w:rPr>
        <w:t xml:space="preserve"> (De </w:t>
      </w:r>
      <w:proofErr w:type="spellStart"/>
      <w:r w:rsidR="00F95E38" w:rsidRPr="00F95E38">
        <w:rPr>
          <w:rFonts w:ascii="Calibri" w:hAnsi="Calibri" w:cs="Calibri"/>
          <w:sz w:val="24"/>
          <w:szCs w:val="24"/>
          <w:lang w:eastAsia="en-GB"/>
        </w:rPr>
        <w:t>Leersnyder</w:t>
      </w:r>
      <w:proofErr w:type="spellEnd"/>
      <w:r w:rsidR="00F95E38" w:rsidRPr="00F95E38">
        <w:rPr>
          <w:rFonts w:ascii="Calibri" w:hAnsi="Calibri" w:cs="Calibri"/>
          <w:sz w:val="24"/>
          <w:szCs w:val="24"/>
          <w:lang w:eastAsia="en-GB"/>
        </w:rPr>
        <w:t xml:space="preserve"> </w:t>
      </w:r>
      <w:r w:rsidR="00F95E38" w:rsidRPr="00F95E38">
        <w:rPr>
          <w:rFonts w:ascii="Calibri" w:hAnsi="Calibri" w:cs="Calibri"/>
          <w:i/>
          <w:iCs/>
          <w:sz w:val="24"/>
          <w:szCs w:val="24"/>
          <w:lang w:eastAsia="en-GB"/>
        </w:rPr>
        <w:t>et al</w:t>
      </w:r>
      <w:r w:rsidR="00F95E38" w:rsidRPr="00F95E38">
        <w:rPr>
          <w:rFonts w:ascii="Calibri" w:hAnsi="Calibri" w:cs="Calibri"/>
          <w:sz w:val="24"/>
          <w:szCs w:val="24"/>
          <w:lang w:eastAsia="en-GB"/>
        </w:rPr>
        <w:t>., 2013).</w:t>
      </w:r>
    </w:p>
    <w:p w14:paraId="69E54D17" w14:textId="77777777" w:rsidR="005A1A28" w:rsidRDefault="005A1A28">
      <w:pPr>
        <w:spacing w:line="360" w:lineRule="auto"/>
        <w:rPr>
          <w:lang w:eastAsia="en-GB"/>
        </w:rPr>
      </w:pPr>
      <w:bookmarkStart w:id="10" w:name="_Toc230003881"/>
      <w:r>
        <w:rPr>
          <w:rFonts w:ascii="Calibri" w:hAnsi="Calibri" w:cs="Calibri"/>
          <w:sz w:val="24"/>
          <w:szCs w:val="24"/>
        </w:rPr>
        <w:t xml:space="preserve">Even with these limitations in mind, EI remains highly relevant to workforce development. In healthcare settings where emotional interactions are unavoidable, the ability to manage emotions effectively contributes to safer patient care, stronger teamwork, and better staff wellbeing (Nightingale </w:t>
      </w:r>
      <w:r>
        <w:rPr>
          <w:rFonts w:ascii="Calibri" w:hAnsi="Calibri" w:cs="Calibri"/>
          <w:i/>
          <w:iCs/>
          <w:sz w:val="24"/>
          <w:szCs w:val="24"/>
        </w:rPr>
        <w:t>et al.</w:t>
      </w:r>
      <w:r>
        <w:rPr>
          <w:rFonts w:ascii="Calibri" w:hAnsi="Calibri" w:cs="Calibri"/>
          <w:sz w:val="24"/>
          <w:szCs w:val="24"/>
        </w:rPr>
        <w:t xml:space="preserve">, 2018). </w:t>
      </w:r>
      <w:proofErr w:type="spellStart"/>
      <w:r>
        <w:rPr>
          <w:rFonts w:ascii="Calibri" w:hAnsi="Calibri" w:cs="Calibri"/>
          <w:sz w:val="24"/>
          <w:szCs w:val="24"/>
        </w:rPr>
        <w:t>Dogham</w:t>
      </w:r>
      <w:proofErr w:type="spellEnd"/>
      <w:r>
        <w:rPr>
          <w:rFonts w:ascii="Calibri" w:hAnsi="Calibri" w:cs="Calibri"/>
          <w:sz w:val="24"/>
          <w:szCs w:val="24"/>
        </w:rPr>
        <w:t xml:space="preserve"> </w:t>
      </w:r>
      <w:r>
        <w:rPr>
          <w:rFonts w:ascii="Calibri" w:hAnsi="Calibri" w:cs="Calibri"/>
          <w:i/>
          <w:iCs/>
          <w:sz w:val="24"/>
          <w:szCs w:val="24"/>
        </w:rPr>
        <w:t>et al.</w:t>
      </w:r>
      <w:r>
        <w:rPr>
          <w:rFonts w:ascii="Calibri" w:hAnsi="Calibri" w:cs="Calibri"/>
          <w:sz w:val="24"/>
          <w:szCs w:val="24"/>
        </w:rPr>
        <w:t xml:space="preserve"> (2025) suggest that integrating EI with reflective practice, mindfulness, and Transactional Analysis provides a more holistic approach to workforce development, especially within emotionally demanding environments such as NHS surgical wards.</w:t>
      </w:r>
    </w:p>
    <w:p w14:paraId="24EAA0D3" w14:textId="58CF930B" w:rsidR="00035D07" w:rsidRDefault="00253B76" w:rsidP="005B34FE">
      <w:pPr>
        <w:pStyle w:val="Heading1"/>
      </w:pPr>
      <w:r w:rsidRPr="00035D07">
        <w:rPr>
          <w:rFonts w:ascii="Calibri" w:hAnsi="Calibri" w:cs="Calibri"/>
        </w:rPr>
        <w:t>4. Emotional Intelligence and Business Performance</w:t>
      </w:r>
      <w:bookmarkEnd w:id="10"/>
      <w:r w:rsidRPr="00035D07">
        <w:rPr>
          <w:rFonts w:ascii="Calibri" w:hAnsi="Calibri" w:cs="Calibri"/>
        </w:rPr>
        <w:t xml:space="preserve"> </w:t>
      </w:r>
    </w:p>
    <w:p w14:paraId="2735CE1F" w14:textId="77777777" w:rsidR="00035D07" w:rsidRDefault="00035D07" w:rsidP="00035D07">
      <w:pPr>
        <w:pStyle w:val="Heading2"/>
        <w:rPr>
          <w:rFonts w:ascii="Calibri" w:hAnsi="Calibri" w:cs="Calibri"/>
        </w:rPr>
      </w:pPr>
      <w:bookmarkStart w:id="11" w:name="_Toc230003882"/>
      <w:r w:rsidRPr="00035D07">
        <w:rPr>
          <w:rFonts w:ascii="Calibri" w:hAnsi="Calibri" w:cs="Calibri"/>
        </w:rPr>
        <w:t>4.1 Understanding Business Performance within Healthcare</w:t>
      </w:r>
      <w:bookmarkEnd w:id="11"/>
    </w:p>
    <w:p w14:paraId="60FC31DE" w14:textId="77777777" w:rsidR="00C7115F" w:rsidRDefault="00C7115F">
      <w:pPr>
        <w:spacing w:line="360" w:lineRule="auto"/>
        <w:rPr>
          <w:lang w:eastAsia="en-GB"/>
        </w:rPr>
      </w:pPr>
      <w:r>
        <w:rPr>
          <w:rFonts w:ascii="Calibri" w:hAnsi="Calibri" w:cs="Calibri"/>
          <w:sz w:val="24"/>
          <w:szCs w:val="24"/>
        </w:rPr>
        <w:t xml:space="preserve">Business performance refers to how effectively an organisation meets its objectives. In commercial settings, this is often measured through profitability, productivity, and growth, but in the NHS, it is reflected more broadly in patient safety, care quality, staff wellbeing and retention, patient satisfaction, and operational efficiency (Lee </w:t>
      </w:r>
      <w:r>
        <w:rPr>
          <w:rFonts w:ascii="Calibri" w:hAnsi="Calibri" w:cs="Calibri"/>
          <w:i/>
          <w:iCs/>
          <w:sz w:val="24"/>
          <w:szCs w:val="24"/>
        </w:rPr>
        <w:t>et al.</w:t>
      </w:r>
      <w:r>
        <w:rPr>
          <w:rFonts w:ascii="Calibri" w:hAnsi="Calibri" w:cs="Calibri"/>
          <w:sz w:val="24"/>
          <w:szCs w:val="24"/>
        </w:rPr>
        <w:t>, 2012).</w:t>
      </w:r>
    </w:p>
    <w:p w14:paraId="40214324" w14:textId="77777777" w:rsidR="00CE4FE1" w:rsidRDefault="00CE4FE1">
      <w:pPr>
        <w:spacing w:line="360" w:lineRule="auto"/>
        <w:rPr>
          <w:lang w:eastAsia="en-GB"/>
        </w:rPr>
      </w:pPr>
      <w:r>
        <w:rPr>
          <w:rFonts w:ascii="Calibri" w:hAnsi="Calibri" w:cs="Calibri"/>
          <w:sz w:val="24"/>
          <w:szCs w:val="24"/>
        </w:rPr>
        <w:lastRenderedPageBreak/>
        <w:t xml:space="preserve">The NHS operates under pressures such as rising demand, workforce shortages, financial constraints, and regulatory expectations, so performance is strongly shaped by communication, leadership, teamwork, and emotional resilience (Jefferies &amp; Wickens, 2025). Unlike traditional models focused mainly on technical competence, healthcare performance also depends on empathy, emotional regulation, and effective communication, highlighting emotional intelligence as an important influence on both individual and organisational outcomes (Jose </w:t>
      </w:r>
      <w:r>
        <w:rPr>
          <w:rFonts w:ascii="Calibri" w:hAnsi="Calibri" w:cs="Calibri"/>
          <w:i/>
          <w:iCs/>
          <w:sz w:val="24"/>
          <w:szCs w:val="24"/>
        </w:rPr>
        <w:t>et al.</w:t>
      </w:r>
      <w:r>
        <w:rPr>
          <w:rFonts w:ascii="Calibri" w:hAnsi="Calibri" w:cs="Calibri"/>
          <w:sz w:val="24"/>
          <w:szCs w:val="24"/>
        </w:rPr>
        <w:t>, 2022).</w:t>
      </w:r>
    </w:p>
    <w:p w14:paraId="61102BA9" w14:textId="5CA6E0DC" w:rsidR="00554CCC" w:rsidRPr="00554CCC" w:rsidRDefault="00554CCC" w:rsidP="00554CCC">
      <w:pPr>
        <w:pStyle w:val="Heading2"/>
        <w:rPr>
          <w:rFonts w:ascii="Calibri" w:hAnsi="Calibri" w:cs="Calibri"/>
        </w:rPr>
      </w:pPr>
      <w:bookmarkStart w:id="12" w:name="_Toc230003883"/>
      <w:r w:rsidRPr="00554CCC">
        <w:rPr>
          <w:rFonts w:ascii="Calibri" w:hAnsi="Calibri" w:cs="Calibri"/>
        </w:rPr>
        <w:t>4.2 The Impact of Emotional Intelligence on Organisational Performance</w:t>
      </w:r>
      <w:bookmarkEnd w:id="12"/>
    </w:p>
    <w:p w14:paraId="39EF7A4D" w14:textId="2C4C95A0" w:rsidR="007A257C" w:rsidRDefault="00BC59BA">
      <w:pPr>
        <w:spacing w:line="360" w:lineRule="auto"/>
        <w:rPr>
          <w:lang w:eastAsia="en-GB"/>
        </w:rPr>
      </w:pPr>
      <w:r>
        <w:rPr>
          <w:rFonts w:ascii="Calibri" w:hAnsi="Calibri" w:cs="Calibri"/>
          <w:sz w:val="24"/>
          <w:szCs w:val="24"/>
        </w:rPr>
        <w:t>Maldonado (2023)</w:t>
      </w:r>
      <w:r w:rsidR="007A257C">
        <w:rPr>
          <w:rFonts w:ascii="Calibri" w:hAnsi="Calibri" w:cs="Calibri"/>
          <w:sz w:val="24"/>
          <w:szCs w:val="24"/>
        </w:rPr>
        <w:t xml:space="preserve"> argues that higher emotional intelligence improves productivity, leadership, and organisational culture. Goleman (1998) likewise suggests emotional competencies are central to effective leadership and team performance, especially in emotionally demanding settings such as healthcare.</w:t>
      </w:r>
    </w:p>
    <w:p w14:paraId="7DE69A29" w14:textId="77777777" w:rsidR="005A1A28" w:rsidRDefault="005A1A28">
      <w:pPr>
        <w:spacing w:line="360" w:lineRule="auto"/>
        <w:rPr>
          <w:lang w:eastAsia="en-GB"/>
        </w:rPr>
      </w:pPr>
      <w:r>
        <w:rPr>
          <w:rFonts w:ascii="Calibri" w:hAnsi="Calibri" w:cs="Calibri"/>
          <w:sz w:val="24"/>
          <w:szCs w:val="24"/>
        </w:rPr>
        <w:t xml:space="preserve">Communication is a key mechanism through which EI influences performance. Howick </w:t>
      </w:r>
      <w:r>
        <w:rPr>
          <w:rFonts w:ascii="Calibri" w:hAnsi="Calibri" w:cs="Calibri"/>
          <w:i/>
          <w:iCs/>
          <w:sz w:val="24"/>
          <w:szCs w:val="24"/>
        </w:rPr>
        <w:t>et al.</w:t>
      </w:r>
      <w:r>
        <w:rPr>
          <w:rFonts w:ascii="Calibri" w:hAnsi="Calibri" w:cs="Calibri"/>
          <w:sz w:val="24"/>
          <w:szCs w:val="24"/>
        </w:rPr>
        <w:t xml:space="preserve"> (2024) found that clear communication improves patient safety and care quality, whereas poor communication can lead to errors, dissatisfaction, and weaker teamwork. EI supports effective communication through empathy, active listening, and self-regulation.</w:t>
      </w:r>
    </w:p>
    <w:p w14:paraId="30B190E6" w14:textId="7C2ABFEF" w:rsidR="007A257C" w:rsidRDefault="007A257C">
      <w:pPr>
        <w:spacing w:line="360" w:lineRule="auto"/>
        <w:rPr>
          <w:lang w:eastAsia="en-GB"/>
        </w:rPr>
      </w:pPr>
      <w:r>
        <w:rPr>
          <w:rFonts w:ascii="Calibri" w:hAnsi="Calibri" w:cs="Calibri"/>
          <w:sz w:val="24"/>
          <w:szCs w:val="24"/>
        </w:rPr>
        <w:t xml:space="preserve">In healthcare, emotionally intelligent communication is especially important in high-risk situations. For example, when patients feel anxious before surgery, nurses with strong emotional awareness can provide reassurance and support, </w:t>
      </w:r>
      <w:r w:rsidR="006C6FF5">
        <w:rPr>
          <w:rFonts w:ascii="Calibri" w:hAnsi="Calibri" w:cs="Calibri"/>
          <w:sz w:val="24"/>
          <w:szCs w:val="24"/>
        </w:rPr>
        <w:t>reduc</w:t>
      </w:r>
      <w:r w:rsidR="00045A9F">
        <w:rPr>
          <w:rFonts w:ascii="Calibri" w:hAnsi="Calibri" w:cs="Calibri"/>
          <w:sz w:val="24"/>
          <w:szCs w:val="24"/>
        </w:rPr>
        <w:t>ing</w:t>
      </w:r>
      <w:r>
        <w:rPr>
          <w:rFonts w:ascii="Calibri" w:hAnsi="Calibri" w:cs="Calibri"/>
          <w:sz w:val="24"/>
          <w:szCs w:val="24"/>
        </w:rPr>
        <w:t xml:space="preserve"> distress and improving patient experience and satisfaction (Samu </w:t>
      </w:r>
      <w:r>
        <w:rPr>
          <w:rFonts w:ascii="Calibri" w:hAnsi="Calibri" w:cs="Calibri"/>
          <w:i/>
          <w:iCs/>
          <w:sz w:val="24"/>
          <w:szCs w:val="24"/>
        </w:rPr>
        <w:t>et al.</w:t>
      </w:r>
      <w:r>
        <w:rPr>
          <w:rFonts w:ascii="Calibri" w:hAnsi="Calibri" w:cs="Calibri"/>
          <w:sz w:val="24"/>
          <w:szCs w:val="24"/>
        </w:rPr>
        <w:t>, 2025).</w:t>
      </w:r>
    </w:p>
    <w:p w14:paraId="5A1343F1" w14:textId="77777777" w:rsidR="007A257C" w:rsidRDefault="007A257C">
      <w:pPr>
        <w:spacing w:line="360" w:lineRule="auto"/>
        <w:rPr>
          <w:lang w:eastAsia="en-GB"/>
        </w:rPr>
      </w:pPr>
      <w:r>
        <w:rPr>
          <w:rFonts w:ascii="Calibri" w:hAnsi="Calibri" w:cs="Calibri"/>
          <w:sz w:val="24"/>
          <w:szCs w:val="24"/>
        </w:rPr>
        <w:t xml:space="preserve">EI may also support wellbeing and retention. Powell </w:t>
      </w:r>
      <w:r>
        <w:rPr>
          <w:rFonts w:ascii="Calibri" w:hAnsi="Calibri" w:cs="Calibri"/>
          <w:i/>
          <w:iCs/>
          <w:sz w:val="24"/>
          <w:szCs w:val="24"/>
        </w:rPr>
        <w:t>et al.</w:t>
      </w:r>
      <w:r>
        <w:rPr>
          <w:rFonts w:ascii="Calibri" w:hAnsi="Calibri" w:cs="Calibri"/>
          <w:sz w:val="24"/>
          <w:szCs w:val="24"/>
        </w:rPr>
        <w:t xml:space="preserve"> (2024) note that healthcare staff face emotional exhaustion from workload, trauma, and shortages, while Cherniss (2010) suggests emotionally intelligent employees cope with stress more effectively. This is particularly relevant in the NHS, where burnout and turnover remain major concerns.</w:t>
      </w:r>
    </w:p>
    <w:p w14:paraId="5D77B99D" w14:textId="77777777" w:rsidR="007A257C" w:rsidRDefault="007A257C">
      <w:pPr>
        <w:spacing w:line="360" w:lineRule="auto"/>
        <w:rPr>
          <w:lang w:eastAsia="en-GB"/>
        </w:rPr>
      </w:pPr>
      <w:r>
        <w:rPr>
          <w:rFonts w:ascii="Calibri" w:hAnsi="Calibri" w:cs="Calibri"/>
          <w:sz w:val="24"/>
          <w:szCs w:val="24"/>
        </w:rPr>
        <w:t xml:space="preserve">West </w:t>
      </w:r>
      <w:r>
        <w:rPr>
          <w:rFonts w:ascii="Calibri" w:hAnsi="Calibri" w:cs="Calibri"/>
          <w:i/>
          <w:iCs/>
          <w:sz w:val="24"/>
          <w:szCs w:val="24"/>
        </w:rPr>
        <w:t>et al.</w:t>
      </w:r>
      <w:r>
        <w:rPr>
          <w:rFonts w:ascii="Calibri" w:hAnsi="Calibri" w:cs="Calibri"/>
          <w:sz w:val="24"/>
          <w:szCs w:val="24"/>
        </w:rPr>
        <w:t xml:space="preserve"> (2017) argue that compassionate leadership improves staff engagement, morale, and organisational culture. Leaders who show empathy and emotional awareness are more likely to create supportive environments that encourage teamwork and psychological safety, improving performance and reducing absenteeism.</w:t>
      </w:r>
    </w:p>
    <w:p w14:paraId="0072FACE" w14:textId="77777777" w:rsidR="007A257C" w:rsidRDefault="007A257C">
      <w:pPr>
        <w:spacing w:line="360" w:lineRule="auto"/>
        <w:rPr>
          <w:lang w:eastAsia="en-GB"/>
        </w:rPr>
      </w:pPr>
      <w:r>
        <w:rPr>
          <w:rFonts w:ascii="Calibri" w:hAnsi="Calibri" w:cs="Calibri"/>
          <w:sz w:val="24"/>
          <w:szCs w:val="24"/>
        </w:rPr>
        <w:lastRenderedPageBreak/>
        <w:t>EI also supports conflict management and team cohesion. In surgical wards, effective multidisciplinary collaboration is essential, and poor emotional regulation can increase tension and weaken performance. Strengthening self-awareness and empathy therefore supports constructive relationships and collaborative practice (Maldonado &amp; Márquez, 2023).</w:t>
      </w:r>
    </w:p>
    <w:p w14:paraId="30FFEF52" w14:textId="063A6568" w:rsidR="00200AFC" w:rsidRDefault="00200AFC" w:rsidP="00200AFC">
      <w:pPr>
        <w:pStyle w:val="Heading2"/>
        <w:rPr>
          <w:rFonts w:ascii="Calibri" w:hAnsi="Calibri" w:cs="Calibri"/>
        </w:rPr>
      </w:pPr>
      <w:bookmarkStart w:id="13" w:name="_Toc230003884"/>
      <w:r w:rsidRPr="00200AFC">
        <w:rPr>
          <w:rFonts w:ascii="Calibri" w:hAnsi="Calibri" w:cs="Calibri"/>
        </w:rPr>
        <w:t>4.3 Critical Evaluation of Emotional Intelligence and Business Performance</w:t>
      </w:r>
      <w:bookmarkEnd w:id="13"/>
    </w:p>
    <w:p w14:paraId="23B5CC57" w14:textId="77777777" w:rsidR="00392B0C" w:rsidRDefault="00392B0C">
      <w:pPr>
        <w:spacing w:line="360" w:lineRule="auto"/>
        <w:rPr>
          <w:lang w:eastAsia="en-GB"/>
        </w:rPr>
      </w:pPr>
      <w:r>
        <w:rPr>
          <w:rFonts w:ascii="Calibri" w:hAnsi="Calibri" w:cs="Calibri"/>
          <w:sz w:val="24"/>
          <w:szCs w:val="24"/>
        </w:rPr>
        <w:t>Although emotional intelligence has broad support, its direct relationship with business performance remains debated. Studies report positive associations with workplace outcomes, but the evidence is often inconsistent and methodologically weak (Vali, 2025).</w:t>
      </w:r>
    </w:p>
    <w:p w14:paraId="1C7BF19B" w14:textId="77777777" w:rsidR="002927B6" w:rsidRDefault="002927B6">
      <w:pPr>
        <w:spacing w:line="360" w:lineRule="auto"/>
        <w:rPr>
          <w:lang w:eastAsia="en-GB"/>
        </w:rPr>
      </w:pPr>
      <w:r>
        <w:rPr>
          <w:rFonts w:ascii="Calibri" w:hAnsi="Calibri" w:cs="Calibri"/>
          <w:sz w:val="24"/>
          <w:szCs w:val="24"/>
        </w:rPr>
        <w:t>Locke (2005) argues that EI lacks definitional clarity and cannot predict performance independently of personality or cognitive ability. Landy (2005) similarly suggests that EI is often invoked as a broad explanation for workplace success without a sufficiently strong evidential basis. These critiques indicate that organisations may overstate the contribution of EI while underestimating the influence of structural and contextual factors.</w:t>
      </w:r>
    </w:p>
    <w:p w14:paraId="66AF7630" w14:textId="77777777" w:rsidR="00392B0C" w:rsidRDefault="00392B0C">
      <w:pPr>
        <w:spacing w:line="360" w:lineRule="auto"/>
        <w:rPr>
          <w:lang w:eastAsia="en-GB"/>
        </w:rPr>
      </w:pPr>
      <w:r>
        <w:rPr>
          <w:rFonts w:ascii="Calibri" w:hAnsi="Calibri" w:cs="Calibri"/>
          <w:sz w:val="24"/>
          <w:szCs w:val="24"/>
        </w:rPr>
        <w:t>In healthcare, performance is shaped by factors beyond individual emotional competence, including staffing shortages, limited funding, organisational culture, workload intensity, and policy demands (Dixon-Woods, 2024). EI therefore cannot compensate for structural weaknesses within healthcare organisations.</w:t>
      </w:r>
    </w:p>
    <w:p w14:paraId="2BFFF74A" w14:textId="77777777" w:rsidR="00392B0C" w:rsidRDefault="00392B0C">
      <w:pPr>
        <w:spacing w:line="360" w:lineRule="auto"/>
        <w:rPr>
          <w:lang w:eastAsia="en-GB"/>
        </w:rPr>
      </w:pPr>
      <w:r>
        <w:rPr>
          <w:rFonts w:ascii="Calibri" w:hAnsi="Calibri" w:cs="Calibri"/>
          <w:sz w:val="24"/>
          <w:szCs w:val="24"/>
        </w:rPr>
        <w:t>For example, emotionally intelligent nurses may still experience stress, fatigue, and burnout when staffing is low and workloads are excessive (</w:t>
      </w:r>
      <w:proofErr w:type="spellStart"/>
      <w:r>
        <w:rPr>
          <w:rFonts w:ascii="Calibri" w:hAnsi="Calibri" w:cs="Calibri"/>
          <w:sz w:val="24"/>
          <w:szCs w:val="24"/>
        </w:rPr>
        <w:t>Turjuman</w:t>
      </w:r>
      <w:proofErr w:type="spellEnd"/>
      <w:r>
        <w:rPr>
          <w:rFonts w:ascii="Calibri" w:hAnsi="Calibri" w:cs="Calibri"/>
          <w:sz w:val="24"/>
          <w:szCs w:val="24"/>
        </w:rPr>
        <w:t xml:space="preserve"> &amp; </w:t>
      </w:r>
      <w:proofErr w:type="spellStart"/>
      <w:r>
        <w:rPr>
          <w:rFonts w:ascii="Calibri" w:hAnsi="Calibri" w:cs="Calibri"/>
          <w:sz w:val="24"/>
          <w:szCs w:val="24"/>
        </w:rPr>
        <w:t>Alilyyani</w:t>
      </w:r>
      <w:proofErr w:type="spellEnd"/>
      <w:r>
        <w:rPr>
          <w:rFonts w:ascii="Calibri" w:hAnsi="Calibri" w:cs="Calibri"/>
          <w:sz w:val="24"/>
          <w:szCs w:val="24"/>
        </w:rPr>
        <w:t>, 2023). This highlights a key limitation of EI-focused approaches: responsibility can be shifted onto individuals while workplace conditions remain unchanged.</w:t>
      </w:r>
    </w:p>
    <w:p w14:paraId="29E3A254" w14:textId="77777777" w:rsidR="00392B0C" w:rsidRDefault="00392B0C">
      <w:pPr>
        <w:spacing w:line="360" w:lineRule="auto"/>
        <w:rPr>
          <w:lang w:eastAsia="en-GB"/>
        </w:rPr>
      </w:pPr>
      <w:r>
        <w:rPr>
          <w:rFonts w:ascii="Calibri" w:hAnsi="Calibri" w:cs="Calibri"/>
          <w:sz w:val="24"/>
          <w:szCs w:val="24"/>
        </w:rPr>
        <w:t xml:space="preserve">Questions also remain about whether EI can be developed through workplace training. Matthews </w:t>
      </w:r>
      <w:r>
        <w:rPr>
          <w:rFonts w:ascii="Calibri" w:hAnsi="Calibri" w:cs="Calibri"/>
          <w:i/>
          <w:iCs/>
          <w:sz w:val="24"/>
          <w:szCs w:val="24"/>
        </w:rPr>
        <w:t>et al.</w:t>
      </w:r>
      <w:r>
        <w:rPr>
          <w:rFonts w:ascii="Calibri" w:hAnsi="Calibri" w:cs="Calibri"/>
          <w:sz w:val="24"/>
          <w:szCs w:val="24"/>
        </w:rPr>
        <w:t xml:space="preserve"> (2002) argue that many EI competencies reflect relatively stable personality traits, which may limit the impact of EI-based interventions.</w:t>
      </w:r>
    </w:p>
    <w:p w14:paraId="0D6ADBD2" w14:textId="77777777" w:rsidR="00392B0C" w:rsidRDefault="00392B0C">
      <w:pPr>
        <w:spacing w:line="360" w:lineRule="auto"/>
        <w:rPr>
          <w:rFonts w:ascii="Calibri" w:hAnsi="Calibri" w:cs="Calibri"/>
          <w:sz w:val="24"/>
          <w:szCs w:val="24"/>
        </w:rPr>
      </w:pPr>
      <w:r>
        <w:rPr>
          <w:rFonts w:ascii="Calibri" w:hAnsi="Calibri" w:cs="Calibri"/>
          <w:sz w:val="24"/>
          <w:szCs w:val="24"/>
        </w:rPr>
        <w:t xml:space="preserve">Despite these criticisms, evidence still supports the practical value of EI in healthcare. Joseph &amp; Newman (2010) found positive links between EI and job performance, especially in roles involving high emotional demands. In nursing, where communication, empathy, and </w:t>
      </w:r>
      <w:r>
        <w:rPr>
          <w:rFonts w:ascii="Calibri" w:hAnsi="Calibri" w:cs="Calibri"/>
          <w:sz w:val="24"/>
          <w:szCs w:val="24"/>
        </w:rPr>
        <w:lastRenderedPageBreak/>
        <w:t>resilience are essential, emotionally intelligent behaviour remains closely linked to effective practice.</w:t>
      </w:r>
    </w:p>
    <w:p w14:paraId="514D757B" w14:textId="1AB1A64A" w:rsidR="00595898" w:rsidRDefault="00595898">
      <w:pPr>
        <w:spacing w:line="360" w:lineRule="auto"/>
        <w:rPr>
          <w:rFonts w:ascii="Calibri" w:hAnsi="Calibri" w:cs="Calibri"/>
          <w:sz w:val="24"/>
          <w:szCs w:val="24"/>
          <w:lang w:eastAsia="en-GB"/>
        </w:rPr>
      </w:pPr>
      <w:r w:rsidRPr="00595898">
        <w:rPr>
          <w:rFonts w:ascii="Calibri" w:hAnsi="Calibri" w:cs="Calibri"/>
          <w:sz w:val="24"/>
          <w:szCs w:val="24"/>
          <w:lang w:eastAsia="en-GB"/>
        </w:rPr>
        <w:t>A SWOT analysis of the NHS surgical ward environment further highlights organisational strengths and challenges affecting workforce wellbeing and business performance, including staffing pressures, emotional fatigue, and increasing patient demand (</w:t>
      </w:r>
      <w:hyperlink w:anchor="_Appendix_D" w:history="1">
        <w:r w:rsidRPr="00595898">
          <w:rPr>
            <w:rStyle w:val="Hyperlink"/>
            <w:rFonts w:ascii="Calibri" w:hAnsi="Calibri" w:cs="Calibri"/>
            <w:sz w:val="24"/>
            <w:szCs w:val="24"/>
            <w:lang w:eastAsia="en-GB"/>
          </w:rPr>
          <w:t>see Appendix D</w:t>
        </w:r>
      </w:hyperlink>
      <w:r w:rsidRPr="00595898">
        <w:rPr>
          <w:rFonts w:ascii="Calibri" w:hAnsi="Calibri" w:cs="Calibri"/>
          <w:sz w:val="24"/>
          <w:szCs w:val="24"/>
          <w:lang w:eastAsia="en-GB"/>
        </w:rPr>
        <w:t>).</w:t>
      </w:r>
      <w:r w:rsidR="00507E3F">
        <w:rPr>
          <w:rFonts w:ascii="Calibri" w:hAnsi="Calibri" w:cs="Calibri"/>
          <w:sz w:val="24"/>
          <w:szCs w:val="24"/>
          <w:lang w:eastAsia="en-GB"/>
        </w:rPr>
        <w:t xml:space="preserve"> </w:t>
      </w:r>
    </w:p>
    <w:p w14:paraId="71291A13" w14:textId="309EB20D" w:rsidR="00507E3F" w:rsidRPr="00595898" w:rsidRDefault="00507E3F">
      <w:pPr>
        <w:spacing w:line="360" w:lineRule="auto"/>
        <w:rPr>
          <w:rFonts w:ascii="Calibri" w:hAnsi="Calibri" w:cs="Calibri"/>
          <w:sz w:val="24"/>
          <w:szCs w:val="24"/>
          <w:lang w:eastAsia="en-GB"/>
        </w:rPr>
      </w:pPr>
      <w:r>
        <w:rPr>
          <w:rFonts w:ascii="Calibri" w:hAnsi="Calibri" w:cs="Calibri"/>
          <w:sz w:val="24"/>
          <w:szCs w:val="24"/>
          <w:lang w:eastAsia="en-GB"/>
        </w:rPr>
        <w:t>E</w:t>
      </w:r>
      <w:r w:rsidRPr="00507E3F">
        <w:rPr>
          <w:rFonts w:ascii="Calibri" w:hAnsi="Calibri" w:cs="Calibri"/>
          <w:sz w:val="24"/>
          <w:szCs w:val="24"/>
          <w:lang w:eastAsia="en-GB"/>
        </w:rPr>
        <w:t xml:space="preserve">xternal organisational pressures also significantly affect workforce wellbeing and workplace performance within healthcare environments. A PESTLE analysis of the NHS highlights political, economic, and social pressures influencing staff stress, workload, and service delivery (see </w:t>
      </w:r>
      <w:hyperlink w:anchor="_Appendix_E" w:history="1">
        <w:r w:rsidRPr="00507E3F">
          <w:rPr>
            <w:rStyle w:val="Hyperlink"/>
            <w:rFonts w:ascii="Calibri" w:hAnsi="Calibri" w:cs="Calibri"/>
            <w:sz w:val="24"/>
            <w:szCs w:val="24"/>
            <w:lang w:eastAsia="en-GB"/>
          </w:rPr>
          <w:t>Appendix E</w:t>
        </w:r>
      </w:hyperlink>
      <w:r w:rsidRPr="00507E3F">
        <w:rPr>
          <w:rFonts w:ascii="Calibri" w:hAnsi="Calibri" w:cs="Calibri"/>
          <w:sz w:val="24"/>
          <w:szCs w:val="24"/>
          <w:lang w:eastAsia="en-GB"/>
        </w:rPr>
        <w:t>).</w:t>
      </w:r>
    </w:p>
    <w:p w14:paraId="24961B66" w14:textId="77777777" w:rsidR="00E55A78" w:rsidRDefault="00E55A78" w:rsidP="00E55A78">
      <w:pPr>
        <w:pStyle w:val="Heading2"/>
        <w:rPr>
          <w:rFonts w:ascii="Calibri" w:hAnsi="Calibri" w:cs="Calibri"/>
          <w:lang w:eastAsia="en-GB"/>
        </w:rPr>
      </w:pPr>
      <w:bookmarkStart w:id="14" w:name="_Toc230003885"/>
      <w:r w:rsidRPr="00E55A78">
        <w:rPr>
          <w:rFonts w:ascii="Calibri" w:hAnsi="Calibri" w:cs="Calibri"/>
          <w:lang w:eastAsia="en-GB"/>
        </w:rPr>
        <w:t>4.4 Personal Observations from NHS Practice</w:t>
      </w:r>
      <w:bookmarkEnd w:id="14"/>
    </w:p>
    <w:p w14:paraId="5AA43CFE" w14:textId="0418870C" w:rsidR="00FC7C98" w:rsidRDefault="00FC7C98">
      <w:pPr>
        <w:spacing w:line="360" w:lineRule="auto"/>
        <w:rPr>
          <w:lang w:eastAsia="en-GB"/>
        </w:rPr>
      </w:pPr>
      <w:r>
        <w:rPr>
          <w:rFonts w:ascii="Calibri" w:hAnsi="Calibri" w:cs="Calibri"/>
          <w:sz w:val="24"/>
          <w:szCs w:val="24"/>
        </w:rPr>
        <w:t>From personal experience in an NHS surgical ward, EI strongly influences workplace performance and patient care. High-pressure situations require rapid decisions while managing emotional interactions with patients, relatives, and colleagues.</w:t>
      </w:r>
    </w:p>
    <w:p w14:paraId="7E99C904" w14:textId="34D5AC62" w:rsidR="00FC7C98" w:rsidRDefault="00FC7C98">
      <w:pPr>
        <w:spacing w:line="360" w:lineRule="auto"/>
        <w:rPr>
          <w:lang w:eastAsia="en-GB"/>
        </w:rPr>
      </w:pPr>
      <w:r>
        <w:rPr>
          <w:rFonts w:ascii="Calibri" w:hAnsi="Calibri" w:cs="Calibri"/>
          <w:sz w:val="24"/>
          <w:szCs w:val="24"/>
        </w:rPr>
        <w:t>For example, interactions with distressed patients or anxious relatives can escalate quickly if communication is poorly managed. Self-regulation and empathy help reduce tension, support patient-centred care, and improve teamwork during stressful shifts (</w:t>
      </w:r>
      <w:proofErr w:type="spellStart"/>
      <w:r>
        <w:rPr>
          <w:rFonts w:ascii="Calibri" w:hAnsi="Calibri" w:cs="Calibri"/>
          <w:sz w:val="24"/>
          <w:szCs w:val="24"/>
        </w:rPr>
        <w:t>Moudatsou</w:t>
      </w:r>
      <w:proofErr w:type="spellEnd"/>
      <w:r>
        <w:rPr>
          <w:rFonts w:ascii="Calibri" w:hAnsi="Calibri" w:cs="Calibri"/>
          <w:sz w:val="24"/>
          <w:szCs w:val="24"/>
        </w:rPr>
        <w:t xml:space="preserve"> </w:t>
      </w:r>
      <w:r>
        <w:rPr>
          <w:rFonts w:ascii="Calibri" w:hAnsi="Calibri" w:cs="Calibri"/>
          <w:i/>
          <w:iCs/>
          <w:sz w:val="24"/>
          <w:szCs w:val="24"/>
        </w:rPr>
        <w:t>et al.</w:t>
      </w:r>
      <w:r>
        <w:rPr>
          <w:rFonts w:ascii="Calibri" w:hAnsi="Calibri" w:cs="Calibri"/>
          <w:sz w:val="24"/>
          <w:szCs w:val="24"/>
        </w:rPr>
        <w:t>, 2020).</w:t>
      </w:r>
      <w:r w:rsidR="00217B35">
        <w:rPr>
          <w:rFonts w:ascii="Calibri" w:hAnsi="Calibri" w:cs="Calibri"/>
          <w:sz w:val="24"/>
          <w:szCs w:val="24"/>
        </w:rPr>
        <w:t xml:space="preserve"> </w:t>
      </w:r>
    </w:p>
    <w:p w14:paraId="45478924" w14:textId="77777777" w:rsidR="00FC7C98" w:rsidRDefault="00FC7C98">
      <w:pPr>
        <w:spacing w:line="360" w:lineRule="auto"/>
        <w:rPr>
          <w:lang w:eastAsia="en-GB"/>
        </w:rPr>
      </w:pPr>
      <w:r>
        <w:rPr>
          <w:rFonts w:ascii="Calibri" w:hAnsi="Calibri" w:cs="Calibri"/>
          <w:sz w:val="24"/>
          <w:szCs w:val="24"/>
        </w:rPr>
        <w:t>However, emotional competence alone is insufficient. During staffing shortages or high patient demand, emotional exhaustion can still occur despite efforts to remain resilient, showing that organisational performance depends on both individual capability and structural support (Care Quality Commission, 2022). Mindfulness and reflective practice can still strengthen emotional awareness and stress management, supporting professional effectiveness in these conditions.</w:t>
      </w:r>
    </w:p>
    <w:p w14:paraId="4C49658D" w14:textId="353965B1" w:rsidR="00253B76" w:rsidRPr="00820529" w:rsidRDefault="00CF08C9" w:rsidP="00820529">
      <w:pPr>
        <w:pStyle w:val="Heading1"/>
        <w:rPr>
          <w:rFonts w:ascii="Calibri" w:hAnsi="Calibri" w:cs="Calibri"/>
        </w:rPr>
      </w:pPr>
      <w:bookmarkStart w:id="15" w:name="_Toc230003886"/>
      <w:r>
        <w:rPr>
          <w:rFonts w:ascii="Calibri" w:hAnsi="Calibri" w:cs="Calibri"/>
        </w:rPr>
        <w:t xml:space="preserve">5. </w:t>
      </w:r>
      <w:r w:rsidR="00820529" w:rsidRPr="00820529">
        <w:rPr>
          <w:rFonts w:ascii="Calibri" w:hAnsi="Calibri" w:cs="Calibri"/>
        </w:rPr>
        <w:t>Mindfulness: Concepts, Theories and Workplace Relevance</w:t>
      </w:r>
      <w:bookmarkEnd w:id="15"/>
    </w:p>
    <w:p w14:paraId="3754FA07" w14:textId="39E9B023" w:rsidR="00820529" w:rsidRDefault="00820529" w:rsidP="00820529">
      <w:pPr>
        <w:pStyle w:val="Heading2"/>
        <w:rPr>
          <w:rFonts w:ascii="Calibri" w:hAnsi="Calibri" w:cs="Calibri"/>
        </w:rPr>
      </w:pPr>
      <w:bookmarkStart w:id="16" w:name="_Toc230003887"/>
      <w:r w:rsidRPr="00820529">
        <w:rPr>
          <w:rFonts w:ascii="Calibri" w:hAnsi="Calibri" w:cs="Calibri"/>
        </w:rPr>
        <w:t>5.1 Understanding Mindfulness</w:t>
      </w:r>
      <w:bookmarkEnd w:id="16"/>
    </w:p>
    <w:p w14:paraId="156CB900" w14:textId="77777777" w:rsidR="00215550" w:rsidRDefault="00215550">
      <w:pPr>
        <w:spacing w:line="360" w:lineRule="auto"/>
        <w:rPr>
          <w:lang w:eastAsia="en-GB"/>
        </w:rPr>
      </w:pPr>
      <w:r>
        <w:rPr>
          <w:rFonts w:ascii="Calibri" w:hAnsi="Calibri" w:cs="Calibri"/>
          <w:sz w:val="24"/>
          <w:szCs w:val="24"/>
        </w:rPr>
        <w:t xml:space="preserve">Mindfulness has become increasingly important in healthcare and organisational research because of its links to emotional regulation, wellbeing, resilience, and workplace </w:t>
      </w:r>
      <w:r>
        <w:rPr>
          <w:rFonts w:ascii="Calibri" w:hAnsi="Calibri" w:cs="Calibri"/>
          <w:sz w:val="24"/>
          <w:szCs w:val="24"/>
        </w:rPr>
        <w:lastRenderedPageBreak/>
        <w:t xml:space="preserve">performance. Although rooted in Buddhist traditions, it is now widely used in evidence-based psychological and workplace interventions, especially for stress management and mental wellbeing (Stuart-Edwards </w:t>
      </w:r>
      <w:r>
        <w:rPr>
          <w:rFonts w:ascii="Calibri" w:hAnsi="Calibri" w:cs="Calibri"/>
          <w:i/>
          <w:iCs/>
          <w:sz w:val="24"/>
          <w:szCs w:val="24"/>
        </w:rPr>
        <w:t>et al.</w:t>
      </w:r>
      <w:r>
        <w:rPr>
          <w:rFonts w:ascii="Calibri" w:hAnsi="Calibri" w:cs="Calibri"/>
          <w:sz w:val="24"/>
          <w:szCs w:val="24"/>
        </w:rPr>
        <w:t>, 2023).</w:t>
      </w:r>
    </w:p>
    <w:p w14:paraId="7EB8AEC4" w14:textId="77777777" w:rsidR="00215550" w:rsidRDefault="00215550">
      <w:pPr>
        <w:spacing w:line="360" w:lineRule="auto"/>
        <w:rPr>
          <w:lang w:eastAsia="en-GB"/>
        </w:rPr>
      </w:pPr>
      <w:r>
        <w:rPr>
          <w:rFonts w:ascii="Calibri" w:hAnsi="Calibri" w:cs="Calibri"/>
          <w:sz w:val="24"/>
          <w:szCs w:val="24"/>
        </w:rPr>
        <w:t xml:space="preserve">Kabat-Zinn (1994) defines mindfulness as paying attention on purpose, in the present moment, and without judgement. In workplace settings, this helps individuals observe thoughts and emotions without becoming overwhelmed, strengthening self-control and decision-making (Chems-Maarif </w:t>
      </w:r>
      <w:r>
        <w:rPr>
          <w:rFonts w:ascii="Calibri" w:hAnsi="Calibri" w:cs="Calibri"/>
          <w:i/>
          <w:iCs/>
          <w:sz w:val="24"/>
          <w:szCs w:val="24"/>
        </w:rPr>
        <w:t>et al.</w:t>
      </w:r>
      <w:r>
        <w:rPr>
          <w:rFonts w:ascii="Calibri" w:hAnsi="Calibri" w:cs="Calibri"/>
          <w:sz w:val="24"/>
          <w:szCs w:val="24"/>
        </w:rPr>
        <w:t>, 2025).</w:t>
      </w:r>
    </w:p>
    <w:p w14:paraId="17F9BEE1" w14:textId="77777777" w:rsidR="00215550" w:rsidRDefault="00215550">
      <w:pPr>
        <w:spacing w:line="360" w:lineRule="auto"/>
        <w:rPr>
          <w:lang w:eastAsia="en-GB"/>
        </w:rPr>
      </w:pPr>
      <w:r>
        <w:rPr>
          <w:rFonts w:ascii="Calibri" w:hAnsi="Calibri" w:cs="Calibri"/>
          <w:sz w:val="24"/>
          <w:szCs w:val="24"/>
        </w:rPr>
        <w:t xml:space="preserve">In NHS surgical wards, mindfulness is relevant because nurses work in emotionally demanding environments involving patient suffering, time pressure, conflict, and intense interactions. It can help staff remain present, calm, and emotionally balanced in these situations (Ooms </w:t>
      </w:r>
      <w:r>
        <w:rPr>
          <w:rFonts w:ascii="Calibri" w:hAnsi="Calibri" w:cs="Calibri"/>
          <w:i/>
          <w:iCs/>
          <w:sz w:val="24"/>
          <w:szCs w:val="24"/>
        </w:rPr>
        <w:t>et al.</w:t>
      </w:r>
      <w:r>
        <w:rPr>
          <w:rFonts w:ascii="Calibri" w:hAnsi="Calibri" w:cs="Calibri"/>
          <w:sz w:val="24"/>
          <w:szCs w:val="24"/>
        </w:rPr>
        <w:t>, 2022).</w:t>
      </w:r>
    </w:p>
    <w:p w14:paraId="53102A1F" w14:textId="77777777" w:rsidR="00215550" w:rsidRDefault="00215550">
      <w:pPr>
        <w:spacing w:line="360" w:lineRule="auto"/>
        <w:rPr>
          <w:lang w:eastAsia="en-GB"/>
        </w:rPr>
      </w:pPr>
      <w:r>
        <w:rPr>
          <w:rFonts w:ascii="Calibri" w:hAnsi="Calibri" w:cs="Calibri"/>
          <w:sz w:val="24"/>
          <w:szCs w:val="24"/>
        </w:rPr>
        <w:t xml:space="preserve">Despite growing support, mindfulness remains debated. Keng </w:t>
      </w:r>
      <w:r>
        <w:rPr>
          <w:rFonts w:ascii="Calibri" w:hAnsi="Calibri" w:cs="Calibri"/>
          <w:i/>
          <w:iCs/>
          <w:sz w:val="24"/>
          <w:szCs w:val="24"/>
        </w:rPr>
        <w:t>et al.</w:t>
      </w:r>
      <w:r>
        <w:rPr>
          <w:rFonts w:ascii="Calibri" w:hAnsi="Calibri" w:cs="Calibri"/>
          <w:sz w:val="24"/>
          <w:szCs w:val="24"/>
        </w:rPr>
        <w:t xml:space="preserve"> (2011) view it as an evidence-based approach to wellbeing and workplace effectiveness, while Cameron and Hafenbrack (2022) warn that it can be used superficially and shift responsibility for stress management onto employees.</w:t>
      </w:r>
    </w:p>
    <w:p w14:paraId="72EE0E85" w14:textId="47217190" w:rsidR="00253B76" w:rsidRPr="00EC0678" w:rsidRDefault="00253B76" w:rsidP="005B3D1E">
      <w:pPr>
        <w:pStyle w:val="Heading2"/>
        <w:rPr>
          <w:rFonts w:ascii="Calibri" w:hAnsi="Calibri" w:cs="Calibri"/>
        </w:rPr>
      </w:pPr>
      <w:bookmarkStart w:id="17" w:name="_Toc230003888"/>
      <w:r w:rsidRPr="00EC0678">
        <w:rPr>
          <w:rFonts w:ascii="Calibri" w:hAnsi="Calibri" w:cs="Calibri"/>
        </w:rPr>
        <w:t>5.2 Key Theor</w:t>
      </w:r>
      <w:r w:rsidR="005B3D1E" w:rsidRPr="00EC0678">
        <w:rPr>
          <w:rFonts w:ascii="Calibri" w:hAnsi="Calibri" w:cs="Calibri"/>
        </w:rPr>
        <w:t>ies and Models of Mindfulness</w:t>
      </w:r>
      <w:bookmarkEnd w:id="17"/>
      <w:r w:rsidR="005B3D1E" w:rsidRPr="00EC0678">
        <w:rPr>
          <w:rFonts w:ascii="Calibri" w:hAnsi="Calibri" w:cs="Calibri"/>
        </w:rPr>
        <w:t xml:space="preserve"> </w:t>
      </w:r>
    </w:p>
    <w:p w14:paraId="4D3ADC0B" w14:textId="6F80C119" w:rsidR="005B3D1E" w:rsidRDefault="005B3D1E" w:rsidP="00A125CF">
      <w:pPr>
        <w:spacing w:line="360" w:lineRule="auto"/>
        <w:rPr>
          <w:rFonts w:ascii="Calibri" w:hAnsi="Calibri" w:cs="Calibri"/>
          <w:b/>
          <w:bCs/>
          <w:sz w:val="24"/>
          <w:szCs w:val="24"/>
        </w:rPr>
      </w:pPr>
      <w:r w:rsidRPr="005B3D1E">
        <w:rPr>
          <w:rFonts w:ascii="Calibri" w:hAnsi="Calibri" w:cs="Calibri"/>
          <w:b/>
          <w:bCs/>
          <w:sz w:val="24"/>
          <w:szCs w:val="24"/>
        </w:rPr>
        <w:t>Kabat-Zinn and Mindfulness-Based Stress Reduction (MBSR)</w:t>
      </w:r>
    </w:p>
    <w:p w14:paraId="5148CBC4" w14:textId="793B9533" w:rsidR="00215550" w:rsidRDefault="00215550">
      <w:pPr>
        <w:spacing w:line="360" w:lineRule="auto"/>
        <w:rPr>
          <w:lang w:eastAsia="en-GB"/>
        </w:rPr>
      </w:pPr>
      <w:r>
        <w:rPr>
          <w:rFonts w:ascii="Calibri" w:hAnsi="Calibri" w:cs="Calibri"/>
          <w:sz w:val="24"/>
          <w:szCs w:val="24"/>
        </w:rPr>
        <w:t>Jon Kabat-Zinn developed Mindfulness-Based Stress Reduction (MBSR) in the late 1970s. The programme uses meditation, breathing, and body-awareness practices to improve wellbeing and stress management (</w:t>
      </w:r>
      <w:proofErr w:type="spellStart"/>
      <w:r w:rsidR="00450EA8">
        <w:rPr>
          <w:rFonts w:ascii="Calibri" w:hAnsi="Calibri" w:cs="Calibri"/>
          <w:sz w:val="24"/>
          <w:szCs w:val="24"/>
        </w:rPr>
        <w:t>Fernros</w:t>
      </w:r>
      <w:proofErr w:type="spellEnd"/>
      <w:r w:rsidR="00450EA8">
        <w:rPr>
          <w:rFonts w:ascii="Calibri" w:hAnsi="Calibri" w:cs="Calibri"/>
          <w:sz w:val="24"/>
          <w:szCs w:val="24"/>
        </w:rPr>
        <w:t xml:space="preserve"> </w:t>
      </w:r>
      <w:r w:rsidR="00450EA8">
        <w:rPr>
          <w:rFonts w:ascii="Calibri" w:hAnsi="Calibri" w:cs="Calibri"/>
          <w:i/>
          <w:iCs/>
          <w:sz w:val="24"/>
          <w:szCs w:val="24"/>
        </w:rPr>
        <w:t>et al.</w:t>
      </w:r>
      <w:r w:rsidR="00450EA8">
        <w:rPr>
          <w:rFonts w:ascii="Calibri" w:hAnsi="Calibri" w:cs="Calibri"/>
          <w:sz w:val="24"/>
          <w:szCs w:val="24"/>
        </w:rPr>
        <w:t>, 2008</w:t>
      </w:r>
      <w:r>
        <w:rPr>
          <w:rFonts w:ascii="Calibri" w:hAnsi="Calibri" w:cs="Calibri"/>
          <w:sz w:val="24"/>
          <w:szCs w:val="24"/>
        </w:rPr>
        <w:t>).</w:t>
      </w:r>
    </w:p>
    <w:p w14:paraId="06D97502" w14:textId="77777777" w:rsidR="00215550" w:rsidRDefault="00215550">
      <w:pPr>
        <w:spacing w:line="360" w:lineRule="auto"/>
        <w:rPr>
          <w:lang w:eastAsia="en-GB"/>
        </w:rPr>
      </w:pPr>
      <w:r>
        <w:rPr>
          <w:rFonts w:ascii="Calibri" w:hAnsi="Calibri" w:cs="Calibri"/>
          <w:sz w:val="24"/>
          <w:szCs w:val="24"/>
        </w:rPr>
        <w:t>Its core idea is that greater awareness enables more conscious responses rather than automatic reactions. This is particularly important in healthcare, where emotional reactivity can affect communication, patient care, and clinical decisions (Heward, 2025).</w:t>
      </w:r>
    </w:p>
    <w:p w14:paraId="2E48605C" w14:textId="77777777" w:rsidR="00215550" w:rsidRDefault="00215550">
      <w:pPr>
        <w:spacing w:line="360" w:lineRule="auto"/>
        <w:rPr>
          <w:lang w:eastAsia="en-GB"/>
        </w:rPr>
      </w:pPr>
      <w:r>
        <w:rPr>
          <w:rFonts w:ascii="Calibri" w:hAnsi="Calibri" w:cs="Calibri"/>
          <w:sz w:val="24"/>
          <w:szCs w:val="24"/>
        </w:rPr>
        <w:t>In an NHS surgical ward, mindfulness can help nurses recognise emotional responses early when managing deteriorating patients, distressed relatives, or heavy workloads. This supports calm, focused practice and aligns with EI competencies such as self-awareness and self-regulation.</w:t>
      </w:r>
    </w:p>
    <w:p w14:paraId="1600E5AB" w14:textId="77777777" w:rsidR="00215550" w:rsidRDefault="00215550">
      <w:pPr>
        <w:spacing w:line="360" w:lineRule="auto"/>
        <w:rPr>
          <w:lang w:eastAsia="en-GB"/>
        </w:rPr>
      </w:pPr>
      <w:r>
        <w:rPr>
          <w:rFonts w:ascii="Calibri" w:hAnsi="Calibri" w:cs="Calibri"/>
          <w:sz w:val="24"/>
          <w:szCs w:val="24"/>
        </w:rPr>
        <w:lastRenderedPageBreak/>
        <w:t xml:space="preserve">Research links mindfulness interventions with lower stress, anxiety, burnout, and emotional exhaustion among healthcare professionals (Good </w:t>
      </w:r>
      <w:r>
        <w:rPr>
          <w:rFonts w:ascii="Calibri" w:hAnsi="Calibri" w:cs="Calibri"/>
          <w:i/>
          <w:iCs/>
          <w:sz w:val="24"/>
          <w:szCs w:val="24"/>
        </w:rPr>
        <w:t>et al.</w:t>
      </w:r>
      <w:r>
        <w:rPr>
          <w:rFonts w:ascii="Calibri" w:hAnsi="Calibri" w:cs="Calibri"/>
          <w:sz w:val="24"/>
          <w:szCs w:val="24"/>
        </w:rPr>
        <w:t>, 2016), which helps explain their growing use in the NHS.</w:t>
      </w:r>
    </w:p>
    <w:p w14:paraId="548C40F0" w14:textId="77777777" w:rsidR="005B3D1E" w:rsidRDefault="005B3D1E" w:rsidP="005B3D1E">
      <w:pPr>
        <w:rPr>
          <w:rFonts w:ascii="Calibri" w:hAnsi="Calibri" w:cs="Calibri"/>
          <w:b/>
          <w:bCs/>
          <w:sz w:val="24"/>
          <w:szCs w:val="24"/>
        </w:rPr>
      </w:pPr>
      <w:r w:rsidRPr="00FF6A6C">
        <w:rPr>
          <w:rFonts w:ascii="Calibri" w:hAnsi="Calibri" w:cs="Calibri"/>
          <w:b/>
          <w:bCs/>
          <w:sz w:val="24"/>
          <w:szCs w:val="24"/>
        </w:rPr>
        <w:t>Brown and Ryan’s Theory of Mindful Awareness</w:t>
      </w:r>
    </w:p>
    <w:p w14:paraId="2653F960" w14:textId="77777777" w:rsidR="00215550" w:rsidRDefault="00215550">
      <w:pPr>
        <w:spacing w:line="360" w:lineRule="auto"/>
        <w:rPr>
          <w:lang w:eastAsia="en-GB"/>
        </w:rPr>
      </w:pPr>
      <w:r>
        <w:rPr>
          <w:rFonts w:ascii="Calibri" w:hAnsi="Calibri" w:cs="Calibri"/>
          <w:sz w:val="24"/>
          <w:szCs w:val="24"/>
        </w:rPr>
        <w:t>Brown and Ryan (2003) define mindfulness as heightened awareness of present experience. They argue that people often operate on “automatic pilot”, and that mindfulness interrupts habitual reactions, supporting more reflective and emotionally controlled behaviour.</w:t>
      </w:r>
    </w:p>
    <w:p w14:paraId="3A0B7612" w14:textId="77777777" w:rsidR="00215550" w:rsidRDefault="00215550">
      <w:pPr>
        <w:spacing w:line="360" w:lineRule="auto"/>
        <w:rPr>
          <w:lang w:eastAsia="en-GB"/>
        </w:rPr>
      </w:pPr>
      <w:r>
        <w:rPr>
          <w:rFonts w:ascii="Calibri" w:hAnsi="Calibri" w:cs="Calibri"/>
          <w:sz w:val="24"/>
          <w:szCs w:val="24"/>
        </w:rPr>
        <w:t xml:space="preserve">In busy clinical settings, this can reduce task-focused, emotionally detached practice by increasing awareness of emotions and interactions, thereby supporting patient-centred communication and care (Ooms </w:t>
      </w:r>
      <w:r>
        <w:rPr>
          <w:rFonts w:ascii="Calibri" w:hAnsi="Calibri" w:cs="Calibri"/>
          <w:i/>
          <w:iCs/>
          <w:sz w:val="24"/>
          <w:szCs w:val="24"/>
        </w:rPr>
        <w:t>et al.</w:t>
      </w:r>
      <w:r>
        <w:rPr>
          <w:rFonts w:ascii="Calibri" w:hAnsi="Calibri" w:cs="Calibri"/>
          <w:sz w:val="24"/>
          <w:szCs w:val="24"/>
        </w:rPr>
        <w:t>, 2022).</w:t>
      </w:r>
    </w:p>
    <w:p w14:paraId="755C7644" w14:textId="77777777" w:rsidR="00215550" w:rsidRDefault="00215550">
      <w:pPr>
        <w:spacing w:line="360" w:lineRule="auto"/>
        <w:rPr>
          <w:lang w:eastAsia="en-GB"/>
        </w:rPr>
      </w:pPr>
      <w:r>
        <w:rPr>
          <w:rFonts w:ascii="Calibri" w:hAnsi="Calibri" w:cs="Calibri"/>
          <w:sz w:val="24"/>
          <w:szCs w:val="24"/>
        </w:rPr>
        <w:t>Brown and Ryan (2003) also argue that mindfulness improves psychological wellbeing and emotional regulation, supporting both individual resilience and professional effectiveness.</w:t>
      </w:r>
    </w:p>
    <w:p w14:paraId="212F39DC" w14:textId="77777777" w:rsidR="00215550" w:rsidRDefault="00215550">
      <w:pPr>
        <w:spacing w:line="360" w:lineRule="auto"/>
        <w:rPr>
          <w:lang w:eastAsia="en-GB"/>
        </w:rPr>
      </w:pPr>
      <w:r>
        <w:rPr>
          <w:rFonts w:ascii="Calibri" w:hAnsi="Calibri" w:cs="Calibri"/>
          <w:sz w:val="24"/>
          <w:szCs w:val="24"/>
        </w:rPr>
        <w:t>However, mindfulness research still lacks conceptual consistency, as studies define and measure it differently. This makes its organisational impact harder to assess and raises questions about whether benefits can be sustained without regular practice (Chems-Maarif, 2025).</w:t>
      </w:r>
    </w:p>
    <w:p w14:paraId="6AC223CA" w14:textId="77777777" w:rsidR="00C7115F" w:rsidRDefault="00C7115F" w:rsidP="00C7115F">
      <w:pPr>
        <w:pStyle w:val="Heading2"/>
        <w:rPr>
          <w:rFonts w:cstheme="minorBidi"/>
          <w:lang w:eastAsia="en-GB"/>
        </w:rPr>
      </w:pPr>
      <w:bookmarkStart w:id="18" w:name="_Toc230003889"/>
      <w:r>
        <w:rPr>
          <w:rFonts w:ascii="Calibri" w:hAnsi="Calibri" w:cs="Calibri"/>
        </w:rPr>
        <w:t>5.3 Critical Evaluation of Mindfulness in the Workplace</w:t>
      </w:r>
      <w:bookmarkEnd w:id="18"/>
    </w:p>
    <w:p w14:paraId="072B3B14" w14:textId="77777777" w:rsidR="00215550" w:rsidRDefault="00215550">
      <w:pPr>
        <w:spacing w:line="360" w:lineRule="auto"/>
        <w:rPr>
          <w:lang w:eastAsia="en-GB"/>
        </w:rPr>
      </w:pPr>
      <w:r>
        <w:rPr>
          <w:rFonts w:ascii="Calibri" w:hAnsi="Calibri" w:cs="Calibri"/>
          <w:sz w:val="24"/>
          <w:szCs w:val="24"/>
        </w:rPr>
        <w:t>Despite growing support, mindfulness in the workplace has important limitations. Purser (2019) argues that it can be commercialised as a productivity tool while organisations overlook structural pressures such as workload, understaffing, and performance demands.</w:t>
      </w:r>
    </w:p>
    <w:p w14:paraId="79B0960D" w14:textId="77777777" w:rsidR="00215550" w:rsidRDefault="00215550">
      <w:pPr>
        <w:spacing w:line="360" w:lineRule="auto"/>
        <w:rPr>
          <w:lang w:eastAsia="en-GB"/>
        </w:rPr>
      </w:pPr>
      <w:r>
        <w:rPr>
          <w:rFonts w:ascii="Calibri" w:hAnsi="Calibri" w:cs="Calibri"/>
          <w:sz w:val="24"/>
          <w:szCs w:val="24"/>
        </w:rPr>
        <w:t xml:space="preserve">This is particularly relevant in the NHS, where stress often arises from structural problems rather than individual weakness. Promoting mindfulness without addressing chronic understaffing or burnout can shift responsibility for wellbeing onto employees. Knudsen </w:t>
      </w:r>
      <w:r>
        <w:rPr>
          <w:rFonts w:ascii="Calibri" w:hAnsi="Calibri" w:cs="Calibri"/>
          <w:i/>
          <w:iCs/>
          <w:sz w:val="24"/>
          <w:szCs w:val="24"/>
        </w:rPr>
        <w:t>et al.</w:t>
      </w:r>
      <w:r>
        <w:rPr>
          <w:rFonts w:ascii="Calibri" w:hAnsi="Calibri" w:cs="Calibri"/>
          <w:sz w:val="24"/>
          <w:szCs w:val="24"/>
        </w:rPr>
        <w:t xml:space="preserve"> (2023) therefore argue that mindfulness should form part of a wider wellbeing strategy rather than be treated as a universal solution.</w:t>
      </w:r>
    </w:p>
    <w:p w14:paraId="6B142709" w14:textId="77777777" w:rsidR="00215550" w:rsidRDefault="00215550">
      <w:pPr>
        <w:spacing w:line="360" w:lineRule="auto"/>
        <w:rPr>
          <w:lang w:eastAsia="en-GB"/>
        </w:rPr>
      </w:pPr>
      <w:r>
        <w:rPr>
          <w:rFonts w:ascii="Calibri" w:hAnsi="Calibri" w:cs="Calibri"/>
          <w:sz w:val="24"/>
          <w:szCs w:val="24"/>
        </w:rPr>
        <w:t>A further issue is measurement. Because mindfulness lacks a single agreed definition, research findings remain inconsistent and its organisational impact is difficult to judge.</w:t>
      </w:r>
    </w:p>
    <w:p w14:paraId="750409E7" w14:textId="77777777" w:rsidR="00215550" w:rsidRDefault="00215550">
      <w:pPr>
        <w:spacing w:line="360" w:lineRule="auto"/>
        <w:rPr>
          <w:lang w:eastAsia="en-GB"/>
        </w:rPr>
      </w:pPr>
      <w:r>
        <w:rPr>
          <w:rFonts w:ascii="Calibri" w:hAnsi="Calibri" w:cs="Calibri"/>
          <w:sz w:val="24"/>
          <w:szCs w:val="24"/>
        </w:rPr>
        <w:lastRenderedPageBreak/>
        <w:t>Even so, mindfulness remains relevant in emotionally demanding roles such as nursing because it supports emotional regulation, present-moment awareness, and reflective practice. In NHS surgical wards, this can reduce impulsive reactions and improve communication with patients and colleagues. Its value is strongest when combined with EI, reflective practice, and organisational improvements to workload and staffing.</w:t>
      </w:r>
    </w:p>
    <w:p w14:paraId="5203431C" w14:textId="3776879A" w:rsidR="00EA03B8" w:rsidRPr="00EC0678" w:rsidRDefault="00EA03B8" w:rsidP="00EA03B8">
      <w:pPr>
        <w:pStyle w:val="Heading1"/>
        <w:rPr>
          <w:rFonts w:ascii="Calibri" w:hAnsi="Calibri" w:cs="Calibri"/>
        </w:rPr>
      </w:pPr>
      <w:bookmarkStart w:id="19" w:name="_Toc230003890"/>
      <w:r w:rsidRPr="00EC0678">
        <w:rPr>
          <w:rFonts w:ascii="Calibri" w:hAnsi="Calibri" w:cs="Calibri"/>
        </w:rPr>
        <w:t>6. Emotional Intelligenc</w:t>
      </w:r>
      <w:r w:rsidR="00A70F60" w:rsidRPr="00EC0678">
        <w:rPr>
          <w:rFonts w:ascii="Calibri" w:hAnsi="Calibri" w:cs="Calibri"/>
        </w:rPr>
        <w:t xml:space="preserve">e and </w:t>
      </w:r>
      <w:r w:rsidRPr="00EC0678">
        <w:rPr>
          <w:rFonts w:ascii="Calibri" w:hAnsi="Calibri" w:cs="Calibri"/>
        </w:rPr>
        <w:t>Mindfulness</w:t>
      </w:r>
      <w:r w:rsidR="00A70F60" w:rsidRPr="00EC0678">
        <w:rPr>
          <w:rFonts w:ascii="Calibri" w:hAnsi="Calibri" w:cs="Calibri"/>
        </w:rPr>
        <w:t>:</w:t>
      </w:r>
      <w:r w:rsidR="00DA2883" w:rsidRPr="00EC0678">
        <w:rPr>
          <w:rFonts w:ascii="Calibri" w:hAnsi="Calibri" w:cs="Calibri"/>
        </w:rPr>
        <w:t xml:space="preserve"> Integrated Perspective</w:t>
      </w:r>
      <w:bookmarkEnd w:id="19"/>
    </w:p>
    <w:p w14:paraId="00B84A88" w14:textId="77777777" w:rsidR="005344F8" w:rsidRPr="00BB7E33" w:rsidRDefault="005344F8" w:rsidP="005344F8">
      <w:pPr>
        <w:pStyle w:val="Heading2"/>
        <w:rPr>
          <w:rFonts w:ascii="Calibri" w:hAnsi="Calibri" w:cs="Calibri"/>
        </w:rPr>
      </w:pPr>
      <w:bookmarkStart w:id="20" w:name="_Toc230003891"/>
      <w:r w:rsidRPr="00BB7E33">
        <w:rPr>
          <w:rFonts w:ascii="Calibri" w:hAnsi="Calibri" w:cs="Calibri"/>
        </w:rPr>
        <w:t>6.1 Are Emotional Intelligence and Mindfulness Complementary?</w:t>
      </w:r>
      <w:bookmarkEnd w:id="20"/>
    </w:p>
    <w:p w14:paraId="7507B159" w14:textId="77777777" w:rsidR="00306F2A" w:rsidRDefault="00306F2A">
      <w:pPr>
        <w:spacing w:line="360" w:lineRule="auto"/>
        <w:rPr>
          <w:lang w:eastAsia="en-GB"/>
        </w:rPr>
      </w:pPr>
      <w:r>
        <w:rPr>
          <w:rFonts w:ascii="Calibri" w:hAnsi="Calibri" w:cs="Calibri"/>
          <w:sz w:val="24"/>
          <w:szCs w:val="24"/>
        </w:rPr>
        <w:t>Emotional intelligence and mindfulness are complementary because both strengthen self-awareness and emotional regulation. Mindfulness helps individuals notice thoughts and emotions in the present moment, while EI supports understanding and managing them effectively in professional situations.</w:t>
      </w:r>
    </w:p>
    <w:p w14:paraId="22D4FDA5" w14:textId="77777777" w:rsidR="00C7115F" w:rsidRDefault="00C7115F">
      <w:pPr>
        <w:spacing w:line="360" w:lineRule="auto"/>
        <w:rPr>
          <w:lang w:eastAsia="en-GB"/>
        </w:rPr>
      </w:pPr>
      <w:bookmarkStart w:id="21" w:name="_Toc230003892"/>
      <w:r>
        <w:rPr>
          <w:rFonts w:ascii="Calibri" w:hAnsi="Calibri" w:cs="Calibri"/>
          <w:sz w:val="24"/>
          <w:szCs w:val="24"/>
        </w:rPr>
        <w:t>Together, mindfulness builds awareness of emotional reactions, and EI applies that awareness through empathy, communication, and self-control, making them especially relevant in emotionally demanding healthcare settings (Antonopoulou, 2024).</w:t>
      </w:r>
    </w:p>
    <w:p w14:paraId="6503E535" w14:textId="7D9D2A56" w:rsidR="005344F8" w:rsidRDefault="005344F8" w:rsidP="006C3689">
      <w:pPr>
        <w:pStyle w:val="Heading2"/>
        <w:rPr>
          <w:rFonts w:ascii="Calibri" w:hAnsi="Calibri" w:cs="Calibri"/>
        </w:rPr>
      </w:pPr>
      <w:r w:rsidRPr="006C3689">
        <w:rPr>
          <w:rFonts w:ascii="Calibri" w:hAnsi="Calibri" w:cs="Calibri"/>
        </w:rPr>
        <w:t>6.2 Critical Evaluation of the Relationship Between EI and Mindfulness</w:t>
      </w:r>
      <w:bookmarkEnd w:id="21"/>
    </w:p>
    <w:p w14:paraId="198FB529" w14:textId="77777777" w:rsidR="00306F2A" w:rsidRDefault="00306F2A">
      <w:pPr>
        <w:spacing w:line="360" w:lineRule="auto"/>
        <w:rPr>
          <w:lang w:eastAsia="en-GB"/>
        </w:rPr>
      </w:pPr>
      <w:r>
        <w:rPr>
          <w:rFonts w:ascii="Calibri" w:hAnsi="Calibri" w:cs="Calibri"/>
          <w:sz w:val="24"/>
          <w:szCs w:val="24"/>
        </w:rPr>
        <w:t>Despite these similarities, debate continues over whether EI and mindfulness are distinct or overlapping frameworks, as both involve self-awareness, emotional regulation, and interpersonal effectiveness.</w:t>
      </w:r>
    </w:p>
    <w:p w14:paraId="554C4E2B" w14:textId="77777777" w:rsidR="00306F2A" w:rsidRDefault="00306F2A">
      <w:pPr>
        <w:spacing w:line="360" w:lineRule="auto"/>
        <w:rPr>
          <w:lang w:eastAsia="en-GB"/>
        </w:rPr>
      </w:pPr>
      <w:r>
        <w:rPr>
          <w:rFonts w:ascii="Calibri" w:hAnsi="Calibri" w:cs="Calibri"/>
          <w:sz w:val="24"/>
          <w:szCs w:val="24"/>
        </w:rPr>
        <w:t>A key difference is that mindfulness emphasises non-judgemental awareness of emotional experience, whereas EI focuses on understanding, managing, and applying emotions in social interaction.</w:t>
      </w:r>
    </w:p>
    <w:p w14:paraId="289097C3" w14:textId="77777777" w:rsidR="00306F2A" w:rsidRDefault="00306F2A">
      <w:pPr>
        <w:spacing w:line="360" w:lineRule="auto"/>
        <w:rPr>
          <w:lang w:eastAsia="en-GB"/>
        </w:rPr>
      </w:pPr>
      <w:r>
        <w:rPr>
          <w:rFonts w:ascii="Calibri" w:hAnsi="Calibri" w:cs="Calibri"/>
          <w:sz w:val="24"/>
          <w:szCs w:val="24"/>
        </w:rPr>
        <w:t xml:space="preserve">Both concepts also face definitional and measurement challenges. Matthews </w:t>
      </w:r>
      <w:r>
        <w:rPr>
          <w:rFonts w:ascii="Calibri" w:hAnsi="Calibri" w:cs="Calibri"/>
          <w:i/>
          <w:iCs/>
          <w:sz w:val="24"/>
          <w:szCs w:val="24"/>
        </w:rPr>
        <w:t>et al.</w:t>
      </w:r>
      <w:r>
        <w:rPr>
          <w:rFonts w:ascii="Calibri" w:hAnsi="Calibri" w:cs="Calibri"/>
          <w:sz w:val="24"/>
          <w:szCs w:val="24"/>
        </w:rPr>
        <w:t xml:space="preserve"> (2002) argue that EI overlaps with personality traits and social competence, while Purser (2019) warns that workplace mindfulness can shift responsibility for stress onto employees without addressing organisational pressures.</w:t>
      </w:r>
    </w:p>
    <w:p w14:paraId="4A01D570" w14:textId="77777777" w:rsidR="00306F2A" w:rsidRDefault="00306F2A">
      <w:pPr>
        <w:spacing w:line="360" w:lineRule="auto"/>
        <w:rPr>
          <w:lang w:eastAsia="en-GB"/>
        </w:rPr>
      </w:pPr>
      <w:r>
        <w:rPr>
          <w:rFonts w:ascii="Calibri" w:hAnsi="Calibri" w:cs="Calibri"/>
          <w:sz w:val="24"/>
          <w:szCs w:val="24"/>
        </w:rPr>
        <w:lastRenderedPageBreak/>
        <w:t>Even so, an integrated approach remains valuable in healthcare, where emotional demands and communication directly affect patient care and team performance.</w:t>
      </w:r>
    </w:p>
    <w:p w14:paraId="449E2E0A" w14:textId="77777777" w:rsidR="005344F8" w:rsidRPr="00E83F85" w:rsidRDefault="005344F8" w:rsidP="00E83F85">
      <w:pPr>
        <w:pStyle w:val="Heading2"/>
        <w:rPr>
          <w:rFonts w:ascii="Calibri" w:hAnsi="Calibri" w:cs="Calibri"/>
        </w:rPr>
      </w:pPr>
      <w:bookmarkStart w:id="22" w:name="_Toc230003893"/>
      <w:r w:rsidRPr="00E83F85">
        <w:rPr>
          <w:rFonts w:ascii="Calibri" w:hAnsi="Calibri" w:cs="Calibri"/>
        </w:rPr>
        <w:t>6.3 NHS Workplace Examples</w:t>
      </w:r>
      <w:bookmarkEnd w:id="22"/>
    </w:p>
    <w:p w14:paraId="72930BE9" w14:textId="77777777" w:rsidR="00306F2A" w:rsidRDefault="00306F2A">
      <w:pPr>
        <w:spacing w:line="360" w:lineRule="auto"/>
        <w:rPr>
          <w:lang w:eastAsia="en-GB"/>
        </w:rPr>
      </w:pPr>
      <w:r>
        <w:rPr>
          <w:rFonts w:ascii="Calibri" w:hAnsi="Calibri" w:cs="Calibri"/>
          <w:sz w:val="24"/>
          <w:szCs w:val="24"/>
        </w:rPr>
        <w:t>In NHS surgical wards, mindfulness and EI are highly relevant because nurses regularly face emotionally demanding situations. Mindfulness supports calm, focused awareness during staff shortages, emergency admissions, and other high-pressure shifts by helping nurses recognise stress before reacting impulsively.</w:t>
      </w:r>
    </w:p>
    <w:p w14:paraId="7A09FCBE" w14:textId="77777777" w:rsidR="00306F2A" w:rsidRDefault="00306F2A">
      <w:pPr>
        <w:spacing w:line="360" w:lineRule="auto"/>
        <w:rPr>
          <w:lang w:eastAsia="en-GB"/>
        </w:rPr>
      </w:pPr>
      <w:r>
        <w:rPr>
          <w:rFonts w:ascii="Calibri" w:hAnsi="Calibri" w:cs="Calibri"/>
          <w:sz w:val="24"/>
          <w:szCs w:val="24"/>
        </w:rPr>
        <w:t>EI then supports empathetic responses to anxious patients, effective communication with distressed relatives, and constructive relationships with colleagues. From personal experience on an NHS surgical ward, combining mindfulness with EI has improved awareness of emotional triggers, communication, and resilience in practice.</w:t>
      </w:r>
    </w:p>
    <w:p w14:paraId="7E48D721" w14:textId="7EECFACF" w:rsidR="00253B76" w:rsidRPr="00253B76" w:rsidRDefault="00253B76" w:rsidP="00BB7E33">
      <w:pPr>
        <w:pStyle w:val="Heading1"/>
      </w:pPr>
      <w:bookmarkStart w:id="23" w:name="_Toc230003894"/>
      <w:r w:rsidRPr="00253B76">
        <w:t>7. Reflective Review: Impact on Workplace Performance</w:t>
      </w:r>
      <w:bookmarkEnd w:id="23"/>
    </w:p>
    <w:p w14:paraId="4B89D1D8" w14:textId="77777777" w:rsidR="00DD545F" w:rsidRPr="009C1AB7" w:rsidRDefault="00DD545F" w:rsidP="009C1AB7">
      <w:pPr>
        <w:pStyle w:val="Heading2"/>
        <w:rPr>
          <w:rFonts w:ascii="Calibri" w:hAnsi="Calibri" w:cs="Calibri"/>
        </w:rPr>
      </w:pPr>
      <w:bookmarkStart w:id="24" w:name="_Toc230003895"/>
      <w:r w:rsidRPr="009C1AB7">
        <w:rPr>
          <w:rFonts w:ascii="Calibri" w:hAnsi="Calibri" w:cs="Calibri"/>
        </w:rPr>
        <w:t>7.1 Reflective Practice and Emotional Self-Awareness</w:t>
      </w:r>
      <w:bookmarkEnd w:id="24"/>
    </w:p>
    <w:p w14:paraId="051AFAB3" w14:textId="77777777" w:rsidR="005A1A28" w:rsidRDefault="005A1A28">
      <w:pPr>
        <w:spacing w:line="360" w:lineRule="auto"/>
        <w:rPr>
          <w:lang w:eastAsia="en-GB"/>
        </w:rPr>
      </w:pPr>
      <w:r>
        <w:rPr>
          <w:rFonts w:ascii="Calibri" w:hAnsi="Calibri" w:cs="Calibri"/>
          <w:sz w:val="24"/>
          <w:szCs w:val="24"/>
        </w:rPr>
        <w:t xml:space="preserve">Reflective practice is an important element of professional development in healthcare because it enables practitioners to critically evaluate experiences, behaviours, and emotional responses. Gibbs’ (1988) Reflective Cycle provides a structured framework for reflection through six stages: description, feelings, evaluation, analysis, conclusion, and action plan (see </w:t>
      </w:r>
      <w:hyperlink w:anchor="_Appendix_B" w:history="1">
        <w:r>
          <w:rPr>
            <w:rStyle w:val="Hyperlink"/>
            <w:rFonts w:ascii="Calibri" w:hAnsi="Calibri" w:cs="Calibri"/>
            <w:sz w:val="24"/>
            <w:szCs w:val="24"/>
          </w:rPr>
          <w:t>Appendix B</w:t>
        </w:r>
      </w:hyperlink>
      <w:r>
        <w:rPr>
          <w:rFonts w:ascii="Calibri" w:hAnsi="Calibri" w:cs="Calibri"/>
          <w:sz w:val="24"/>
          <w:szCs w:val="24"/>
        </w:rPr>
        <w:t>).</w:t>
      </w:r>
    </w:p>
    <w:p w14:paraId="50E70722" w14:textId="77777777" w:rsidR="005A1A28" w:rsidRDefault="005A1A28">
      <w:pPr>
        <w:spacing w:line="360" w:lineRule="auto"/>
        <w:rPr>
          <w:lang w:eastAsia="en-GB"/>
        </w:rPr>
      </w:pPr>
      <w:bookmarkStart w:id="25" w:name="_Toc230003896"/>
      <w:r>
        <w:rPr>
          <w:rFonts w:ascii="Calibri" w:hAnsi="Calibri" w:cs="Calibri"/>
          <w:sz w:val="24"/>
          <w:szCs w:val="24"/>
        </w:rPr>
        <w:t>Within NHS surgical wards, nurses regularly manage critically ill patients, emotional distress, heavy workloads, and high-pressure decision-making. These experiences can affect emotional wellbeing and workplace performance, highlighting the importance of EI and mindfulness in supporting emotional awareness, regulation, and reflective capability.</w:t>
      </w:r>
    </w:p>
    <w:p w14:paraId="327F67FE" w14:textId="77777777" w:rsidR="00DD545F" w:rsidRPr="009C1AB7" w:rsidRDefault="00DD545F" w:rsidP="009C1AB7">
      <w:pPr>
        <w:pStyle w:val="Heading2"/>
        <w:rPr>
          <w:rFonts w:ascii="Calibri" w:hAnsi="Calibri" w:cs="Calibri"/>
        </w:rPr>
      </w:pPr>
      <w:r w:rsidRPr="009C1AB7">
        <w:rPr>
          <w:rFonts w:ascii="Calibri" w:hAnsi="Calibri" w:cs="Calibri"/>
        </w:rPr>
        <w:t>7.2 Personal Experience within an NHS Surgical Ward</w:t>
      </w:r>
      <w:bookmarkEnd w:id="25"/>
    </w:p>
    <w:p w14:paraId="1F217430" w14:textId="77777777" w:rsidR="00A54F99" w:rsidRDefault="00A54F99">
      <w:pPr>
        <w:spacing w:line="360" w:lineRule="auto"/>
        <w:rPr>
          <w:lang w:eastAsia="en-GB"/>
        </w:rPr>
      </w:pPr>
      <w:r>
        <w:rPr>
          <w:rFonts w:ascii="Calibri" w:hAnsi="Calibri" w:cs="Calibri"/>
          <w:sz w:val="24"/>
          <w:szCs w:val="24"/>
        </w:rPr>
        <w:t>I experienced an emotionally challenging shift while caring for a critically ill patient whose condition deteriorated rapidly. At the same time, staffing was low, patient demand was high, and other patients also required close monitoring, increasing both pressure and workload stress.</w:t>
      </w:r>
    </w:p>
    <w:p w14:paraId="0F879DF2" w14:textId="77777777" w:rsidR="00A54F99" w:rsidRDefault="00A54F99">
      <w:pPr>
        <w:spacing w:line="360" w:lineRule="auto"/>
        <w:rPr>
          <w:lang w:eastAsia="en-GB"/>
        </w:rPr>
      </w:pPr>
      <w:r>
        <w:rPr>
          <w:rFonts w:ascii="Calibri" w:hAnsi="Calibri" w:cs="Calibri"/>
          <w:sz w:val="24"/>
          <w:szCs w:val="24"/>
        </w:rPr>
        <w:lastRenderedPageBreak/>
        <w:t>I felt anxious and overwhelmed while trying to manage the deteriorating patient and maintain safe care for others. Goleman (1998) suggests emotional self-awareness is essential because emotions can quickly affect behaviour, communication, concentration, and decision-making in practice.</w:t>
      </w:r>
    </w:p>
    <w:p w14:paraId="7C9CEF0E" w14:textId="77777777" w:rsidR="00A54F99" w:rsidRDefault="00A54F99">
      <w:pPr>
        <w:spacing w:line="360" w:lineRule="auto"/>
        <w:rPr>
          <w:lang w:eastAsia="en-GB"/>
        </w:rPr>
      </w:pPr>
      <w:r>
        <w:rPr>
          <w:rFonts w:ascii="Calibri" w:hAnsi="Calibri" w:cs="Calibri"/>
          <w:sz w:val="24"/>
          <w:szCs w:val="24"/>
        </w:rPr>
        <w:t>Supporting a critically ill patient and distressed relatives highlighted the emotional demands of nursing. Showing empathy and compassion while managing workload pressures increased my emotional fatigue during the shift.</w:t>
      </w:r>
    </w:p>
    <w:p w14:paraId="429C0B86" w14:textId="77777777" w:rsidR="00DD545F" w:rsidRPr="009C1AB7" w:rsidRDefault="00DD545F" w:rsidP="009C1AB7">
      <w:pPr>
        <w:pStyle w:val="Heading2"/>
        <w:rPr>
          <w:rFonts w:ascii="Calibri" w:hAnsi="Calibri" w:cs="Calibri"/>
        </w:rPr>
      </w:pPr>
      <w:bookmarkStart w:id="26" w:name="_Toc230003897"/>
      <w:r w:rsidRPr="009C1AB7">
        <w:rPr>
          <w:rFonts w:ascii="Calibri" w:hAnsi="Calibri" w:cs="Calibri"/>
        </w:rPr>
        <w:t>7.3 What Worked Well?</w:t>
      </w:r>
      <w:bookmarkEnd w:id="26"/>
    </w:p>
    <w:p w14:paraId="2D34EA06" w14:textId="77777777" w:rsidR="00A54F99" w:rsidRDefault="00A54F99">
      <w:pPr>
        <w:spacing w:line="360" w:lineRule="auto"/>
        <w:rPr>
          <w:lang w:eastAsia="en-GB"/>
        </w:rPr>
      </w:pPr>
      <w:r>
        <w:rPr>
          <w:rFonts w:ascii="Calibri" w:hAnsi="Calibri" w:cs="Calibri"/>
          <w:sz w:val="24"/>
          <w:szCs w:val="24"/>
        </w:rPr>
        <w:t>One positive outcome was that I remained professionally focused despite the pressure. Empathy and self-regulation supported calm communication with patients and relatives, helping me maintain patient-centred care during a distressing situation.</w:t>
      </w:r>
    </w:p>
    <w:p w14:paraId="3B44FD0E" w14:textId="77777777" w:rsidR="00A54F99" w:rsidRDefault="00A54F99">
      <w:pPr>
        <w:spacing w:line="360" w:lineRule="auto"/>
        <w:rPr>
          <w:lang w:eastAsia="en-GB"/>
        </w:rPr>
      </w:pPr>
      <w:r>
        <w:rPr>
          <w:rFonts w:ascii="Calibri" w:hAnsi="Calibri" w:cs="Calibri"/>
          <w:sz w:val="24"/>
          <w:szCs w:val="24"/>
        </w:rPr>
        <w:t>Mindfulness also supported my emotional regulation. Kabat-Zinn (1994) argues that mindfulness improves present-moment awareness and reduces emotional reactivity. Focusing on my breathing helped reduce panic, improve concentration, and prioritise patient care more effectively.</w:t>
      </w:r>
    </w:p>
    <w:p w14:paraId="6BB5DF49" w14:textId="77777777" w:rsidR="005A1A28" w:rsidRDefault="005A1A28">
      <w:pPr>
        <w:spacing w:line="360" w:lineRule="auto"/>
        <w:rPr>
          <w:lang w:eastAsia="en-GB"/>
        </w:rPr>
      </w:pPr>
      <w:r>
        <w:rPr>
          <w:rFonts w:ascii="Calibri" w:hAnsi="Calibri" w:cs="Calibri"/>
          <w:sz w:val="24"/>
          <w:szCs w:val="24"/>
        </w:rPr>
        <w:t>Teamwork also helped. I sought support from senior staff and communicated concerns appropriately, which improved decision-making and reduced my sense of isolation. This highlighted the value of emotionally intelligent teamwork in high-pressure situations.</w:t>
      </w:r>
    </w:p>
    <w:p w14:paraId="69A5AF92" w14:textId="77777777" w:rsidR="00A54F99" w:rsidRDefault="00A54F99">
      <w:pPr>
        <w:spacing w:line="360" w:lineRule="auto"/>
        <w:rPr>
          <w:lang w:eastAsia="en-GB"/>
        </w:rPr>
      </w:pPr>
      <w:r>
        <w:rPr>
          <w:rFonts w:ascii="Calibri" w:hAnsi="Calibri" w:cs="Calibri"/>
          <w:sz w:val="24"/>
          <w:szCs w:val="24"/>
        </w:rPr>
        <w:t>The experience also showed improved emotional self-awareness. Recognising stress earlier helped me stay less reactive and maintain better control during difficult interactions, showing how EI and mindfulness can strengthen resilience over time.</w:t>
      </w:r>
    </w:p>
    <w:p w14:paraId="37C6CC2B" w14:textId="77777777" w:rsidR="00DD545F" w:rsidRPr="009C1AB7" w:rsidRDefault="00DD545F" w:rsidP="009C1AB7">
      <w:pPr>
        <w:pStyle w:val="Heading2"/>
        <w:rPr>
          <w:rFonts w:ascii="Calibri" w:hAnsi="Calibri" w:cs="Calibri"/>
        </w:rPr>
      </w:pPr>
      <w:bookmarkStart w:id="27" w:name="_Toc230003898"/>
      <w:r w:rsidRPr="009C1AB7">
        <w:rPr>
          <w:rFonts w:ascii="Calibri" w:hAnsi="Calibri" w:cs="Calibri"/>
        </w:rPr>
        <w:t>7.4 What Did Not Work Well?</w:t>
      </w:r>
      <w:bookmarkEnd w:id="27"/>
    </w:p>
    <w:p w14:paraId="6F5C042C" w14:textId="77777777" w:rsidR="00A54F99" w:rsidRDefault="00A54F99">
      <w:pPr>
        <w:spacing w:line="360" w:lineRule="auto"/>
        <w:rPr>
          <w:lang w:eastAsia="en-GB"/>
        </w:rPr>
      </w:pPr>
      <w:r>
        <w:rPr>
          <w:rFonts w:ascii="Calibri" w:hAnsi="Calibri" w:cs="Calibri"/>
          <w:sz w:val="24"/>
          <w:szCs w:val="24"/>
        </w:rPr>
        <w:t>Despite positive outcomes, stress still affected my communication. During the busiest parts of the shift, I became more abrupt and less patient-focused because of workload pressure and emotional fatigue, showing how stress can weaken interpersonal interactions.</w:t>
      </w:r>
    </w:p>
    <w:p w14:paraId="51A9A26B" w14:textId="77777777" w:rsidR="00A54F99" w:rsidRDefault="00A54F99">
      <w:pPr>
        <w:spacing w:line="360" w:lineRule="auto"/>
        <w:rPr>
          <w:lang w:eastAsia="en-GB"/>
        </w:rPr>
      </w:pPr>
      <w:r>
        <w:rPr>
          <w:rFonts w:ascii="Calibri" w:hAnsi="Calibri" w:cs="Calibri"/>
          <w:sz w:val="24"/>
          <w:szCs w:val="24"/>
        </w:rPr>
        <w:t xml:space="preserve">Stress also reduced my concentration and made prioritising tasks harder. Matthews </w:t>
      </w:r>
      <w:r>
        <w:rPr>
          <w:rFonts w:ascii="Calibri" w:hAnsi="Calibri" w:cs="Calibri"/>
          <w:i/>
          <w:iCs/>
          <w:sz w:val="24"/>
          <w:szCs w:val="24"/>
        </w:rPr>
        <w:t>et al.</w:t>
      </w:r>
      <w:r>
        <w:rPr>
          <w:rFonts w:ascii="Calibri" w:hAnsi="Calibri" w:cs="Calibri"/>
          <w:sz w:val="24"/>
          <w:szCs w:val="24"/>
        </w:rPr>
        <w:t xml:space="preserve"> (2002) argue that emotional pressure can impair decision-making, concentration, and workplace performance, which was evident during this shift.</w:t>
      </w:r>
    </w:p>
    <w:p w14:paraId="56EF6E3C" w14:textId="77777777" w:rsidR="00A54F99" w:rsidRDefault="00A54F99">
      <w:pPr>
        <w:spacing w:line="360" w:lineRule="auto"/>
        <w:rPr>
          <w:lang w:eastAsia="en-GB"/>
        </w:rPr>
      </w:pPr>
      <w:r>
        <w:rPr>
          <w:rFonts w:ascii="Calibri" w:hAnsi="Calibri" w:cs="Calibri"/>
          <w:sz w:val="24"/>
          <w:szCs w:val="24"/>
        </w:rPr>
        <w:lastRenderedPageBreak/>
        <w:t>Another challenge was emotional overload. Caring for a critically ill patient, supporting distressed relatives, and managing ward responsibilities left me emotionally exhausted. Although EI helped to some extent, the emotional demands of nursing were still difficult to manage fully.</w:t>
      </w:r>
    </w:p>
    <w:p w14:paraId="266FCAC7" w14:textId="77777777" w:rsidR="00C7115F" w:rsidRDefault="00C7115F">
      <w:pPr>
        <w:spacing w:line="360" w:lineRule="auto"/>
        <w:rPr>
          <w:lang w:eastAsia="en-GB"/>
        </w:rPr>
      </w:pPr>
      <w:bookmarkStart w:id="28" w:name="_Toc230003899"/>
      <w:r>
        <w:rPr>
          <w:rFonts w:ascii="Calibri" w:hAnsi="Calibri" w:cs="Calibri"/>
          <w:sz w:val="24"/>
          <w:szCs w:val="24"/>
        </w:rPr>
        <w:t>I also internalised stress instead of seeking support straight away. Although professionalism is important, suppressing emotion can increase burnout over time. Mann (2005) notes that Hochschild (1983) described emotional labour as the regulation of emotion to meet professional expectations, which is highly relevant in healthcare.</w:t>
      </w:r>
    </w:p>
    <w:p w14:paraId="1C0FF413" w14:textId="77777777" w:rsidR="00DD545F" w:rsidRDefault="00DD545F" w:rsidP="00C67938">
      <w:pPr>
        <w:pStyle w:val="Heading2"/>
        <w:rPr>
          <w:rFonts w:ascii="Calibri" w:hAnsi="Calibri" w:cs="Calibri"/>
        </w:rPr>
      </w:pPr>
      <w:r w:rsidRPr="00C67938">
        <w:rPr>
          <w:rFonts w:ascii="Calibri" w:hAnsi="Calibri" w:cs="Calibri"/>
        </w:rPr>
        <w:t>7.5 Gaps in Emotional Skills and Future Development</w:t>
      </w:r>
      <w:bookmarkEnd w:id="28"/>
    </w:p>
    <w:p w14:paraId="1C6E50B0" w14:textId="77777777" w:rsidR="002927B6" w:rsidRDefault="002927B6">
      <w:pPr>
        <w:spacing w:line="360" w:lineRule="auto"/>
        <w:rPr>
          <w:lang w:eastAsia="en-GB"/>
        </w:rPr>
      </w:pPr>
      <w:r>
        <w:rPr>
          <w:rFonts w:ascii="Calibri" w:hAnsi="Calibri" w:cs="Calibri"/>
          <w:sz w:val="24"/>
          <w:szCs w:val="24"/>
        </w:rPr>
        <w:t>This experience highlighted several areas for further development, particularly in relation to sustaining resilience under prolonged stress. Although I managed the situation more effectively than I might have done previously, workload pressure still affected both my communication and overall wellbeing. It also became evident that I need to recognise my limits earlier and seek support at an earlier stage.</w:t>
      </w:r>
    </w:p>
    <w:p w14:paraId="2EB4790F" w14:textId="77777777" w:rsidR="00A54F99" w:rsidRDefault="00A54F99">
      <w:pPr>
        <w:spacing w:line="360" w:lineRule="auto"/>
        <w:rPr>
          <w:lang w:eastAsia="en-GB"/>
        </w:rPr>
      </w:pPr>
      <w:r>
        <w:rPr>
          <w:rFonts w:ascii="Calibri" w:hAnsi="Calibri" w:cs="Calibri"/>
          <w:sz w:val="24"/>
          <w:szCs w:val="24"/>
        </w:rPr>
        <w:t>I also need to practise mindfulness more consistently. Although it helped during the shift, regular practice outside work may further strengthen my emotional awareness and resilience. Brown and Ryan (2003) suggest mindfulness is most effective when used consistently, not only under pressure.</w:t>
      </w:r>
    </w:p>
    <w:p w14:paraId="4BE554B2" w14:textId="5E20BEFA" w:rsidR="00A54F99" w:rsidRPr="00AD38B0" w:rsidRDefault="00A54F99">
      <w:pPr>
        <w:spacing w:line="360" w:lineRule="auto"/>
        <w:rPr>
          <w:rFonts w:ascii="Calibri" w:hAnsi="Calibri" w:cs="Calibri"/>
          <w:sz w:val="24"/>
          <w:szCs w:val="24"/>
        </w:rPr>
      </w:pPr>
      <w:r>
        <w:rPr>
          <w:rFonts w:ascii="Calibri" w:hAnsi="Calibri" w:cs="Calibri"/>
          <w:sz w:val="24"/>
          <w:szCs w:val="24"/>
        </w:rPr>
        <w:t>The Disposition Diamond offers a brief way to understand behaviours and emotional responses in practice. Two relevant behaviours are self-awareness and resilience. Self-awareness helps nurses recognise how stress affects communication and decisions, while resilience supports maintaining focus and adaptability during emotionally demanding shifts</w:t>
      </w:r>
      <w:r w:rsidR="00AD38B0">
        <w:rPr>
          <w:rFonts w:ascii="Calibri" w:hAnsi="Calibri" w:cs="Calibri"/>
          <w:sz w:val="24"/>
          <w:szCs w:val="24"/>
        </w:rPr>
        <w:t xml:space="preserve"> </w:t>
      </w:r>
      <w:r w:rsidR="00AD38B0" w:rsidRPr="00AD38B0">
        <w:rPr>
          <w:rFonts w:ascii="Calibri" w:hAnsi="Calibri" w:cs="Calibri"/>
          <w:sz w:val="24"/>
          <w:szCs w:val="24"/>
        </w:rPr>
        <w:t>(</w:t>
      </w:r>
      <w:proofErr w:type="spellStart"/>
      <w:r w:rsidR="00AD38B0" w:rsidRPr="00AD38B0">
        <w:rPr>
          <w:rFonts w:ascii="Calibri" w:hAnsi="Calibri" w:cs="Calibri"/>
          <w:sz w:val="24"/>
          <w:szCs w:val="24"/>
        </w:rPr>
        <w:t>Rawhia</w:t>
      </w:r>
      <w:proofErr w:type="spellEnd"/>
      <w:r w:rsidR="00AD38B0" w:rsidRPr="00AD38B0">
        <w:rPr>
          <w:rFonts w:ascii="Calibri" w:hAnsi="Calibri" w:cs="Calibri"/>
          <w:sz w:val="24"/>
          <w:szCs w:val="24"/>
        </w:rPr>
        <w:t xml:space="preserve"> </w:t>
      </w:r>
      <w:r w:rsidR="00AD38B0">
        <w:rPr>
          <w:rFonts w:ascii="Calibri" w:hAnsi="Calibri" w:cs="Calibri"/>
          <w:i/>
          <w:iCs/>
          <w:sz w:val="24"/>
          <w:szCs w:val="24"/>
        </w:rPr>
        <w:t>et al.</w:t>
      </w:r>
      <w:r w:rsidR="00AD38B0" w:rsidRPr="00AD38B0">
        <w:rPr>
          <w:rFonts w:ascii="Calibri" w:hAnsi="Calibri" w:cs="Calibri"/>
          <w:sz w:val="24"/>
          <w:szCs w:val="24"/>
        </w:rPr>
        <w:t>, 2025)</w:t>
      </w:r>
      <w:r>
        <w:rPr>
          <w:rFonts w:ascii="Calibri" w:hAnsi="Calibri" w:cs="Calibri"/>
          <w:sz w:val="24"/>
          <w:szCs w:val="24"/>
        </w:rPr>
        <w:t>.</w:t>
      </w:r>
    </w:p>
    <w:p w14:paraId="22C41504" w14:textId="77777777" w:rsidR="00A54F99" w:rsidRDefault="00A54F99">
      <w:pPr>
        <w:spacing w:line="360" w:lineRule="auto"/>
        <w:rPr>
          <w:lang w:eastAsia="en-GB"/>
        </w:rPr>
      </w:pPr>
      <w:r>
        <w:rPr>
          <w:rFonts w:ascii="Calibri" w:hAnsi="Calibri" w:cs="Calibri"/>
          <w:color w:val="000000"/>
          <w:sz w:val="24"/>
          <w:szCs w:val="24"/>
        </w:rPr>
        <w:t>Although broad, the Disposition Diamond complements EI and mindfulness by encouraging self-awareness and reflective practice.</w:t>
      </w:r>
    </w:p>
    <w:p w14:paraId="6D2519FE" w14:textId="77777777" w:rsidR="00A54F99" w:rsidRDefault="00A54F99">
      <w:pPr>
        <w:spacing w:line="360" w:lineRule="auto"/>
        <w:rPr>
          <w:lang w:eastAsia="en-GB"/>
        </w:rPr>
      </w:pPr>
      <w:r>
        <w:rPr>
          <w:rFonts w:ascii="Calibri" w:hAnsi="Calibri" w:cs="Calibri"/>
          <w:sz w:val="24"/>
          <w:szCs w:val="24"/>
        </w:rPr>
        <w:t>Overall, this reflection showed that emotions directly affect my performance. Stress weakened communication, fatigue affected decision-making, and emotional overload increased the risk of burnout. Gibbs’ model helped me understand how EI and mindfulness can improve my behaviour, communication, and effectiveness in an NHS surgical ward.</w:t>
      </w:r>
    </w:p>
    <w:p w14:paraId="26D68B68" w14:textId="08EB2E6B" w:rsidR="00253B76" w:rsidRPr="00BB7E33" w:rsidRDefault="00417D0A" w:rsidP="00BB7E33">
      <w:pPr>
        <w:pStyle w:val="Heading1"/>
        <w:rPr>
          <w:rFonts w:ascii="Calibri" w:hAnsi="Calibri" w:cs="Calibri"/>
        </w:rPr>
      </w:pPr>
      <w:bookmarkStart w:id="29" w:name="_Toc230003900"/>
      <w:r w:rsidRPr="00BB7E33">
        <w:rPr>
          <w:rFonts w:ascii="Calibri" w:hAnsi="Calibri" w:cs="Calibri"/>
        </w:rPr>
        <w:lastRenderedPageBreak/>
        <w:t>8</w:t>
      </w:r>
      <w:r w:rsidR="00253B76" w:rsidRPr="00BB7E33">
        <w:rPr>
          <w:rFonts w:ascii="Calibri" w:hAnsi="Calibri" w:cs="Calibri"/>
        </w:rPr>
        <w:t>. Conclusion</w:t>
      </w:r>
      <w:bookmarkEnd w:id="29"/>
    </w:p>
    <w:p w14:paraId="589B576C" w14:textId="77777777" w:rsidR="002927B6" w:rsidRDefault="002927B6">
      <w:pPr>
        <w:spacing w:line="360" w:lineRule="auto"/>
        <w:rPr>
          <w:lang w:eastAsia="en-GB"/>
        </w:rPr>
      </w:pPr>
      <w:r>
        <w:rPr>
          <w:rFonts w:ascii="Calibri" w:hAnsi="Calibri" w:cs="Calibri"/>
          <w:color w:val="000000"/>
          <w:sz w:val="24"/>
          <w:szCs w:val="24"/>
        </w:rPr>
        <w:t>This report critically evaluated emotional intelligence (EI) and its relevance to workforce development and organisational performance in healthcare. It argued that EI can support communication, leadership, teamwork, emotional regulation, and patient-centred care in demanding settings such as NHS surgical wards. However, consideration of the theories advanced by Mayer and Salovey, Goleman, and Bar-On also demonstrates continuing debate regarding how EI should be defined, measured, and applied in practice.</w:t>
      </w:r>
    </w:p>
    <w:p w14:paraId="1B26EF2A" w14:textId="0D4CE6C5" w:rsidR="005611EF" w:rsidRDefault="002927B6" w:rsidP="005611EF">
      <w:pPr>
        <w:spacing w:line="360" w:lineRule="auto"/>
        <w:rPr>
          <w:lang w:eastAsia="en-GB"/>
        </w:rPr>
      </w:pPr>
      <w:r>
        <w:rPr>
          <w:rFonts w:ascii="Calibri" w:hAnsi="Calibri" w:cs="Calibri"/>
          <w:color w:val="000000"/>
          <w:sz w:val="24"/>
          <w:szCs w:val="24"/>
        </w:rPr>
        <w:t>The report further demonstrated that mindfulness complements EI by strengthening emotional awareness and self-regulation, while Transactional Analysis and reflective practice offered additional insight into the ways emotions shape communication and behaviour in professional settings. The reflective review indicated that stress, fatigue, and emotional overload can adversely affect performance; however, EI and mindfulness may strengthen resilience and interpersonal effectiveness when applied consistently. Overall, these approaches are of clear value in healthcare, but their impact is likely to be greatest when supported by effective leadership, workforce support, and wider organisational action to address pressures such as workload and staffing shortages.</w:t>
      </w:r>
    </w:p>
    <w:p w14:paraId="706C7EE4" w14:textId="64BF045A" w:rsidR="00253B76" w:rsidRPr="00251545" w:rsidRDefault="005611EF" w:rsidP="00B83067">
      <w:pPr>
        <w:rPr>
          <w:lang w:eastAsia="en-GB"/>
        </w:rPr>
      </w:pPr>
      <w:r>
        <w:rPr>
          <w:lang w:eastAsia="en-GB"/>
        </w:rPr>
        <w:br w:type="page"/>
      </w:r>
    </w:p>
    <w:p w14:paraId="4B8D9069" w14:textId="3D2A8361" w:rsidR="00253B76" w:rsidRPr="00253B76" w:rsidRDefault="00253B76" w:rsidP="00253B76">
      <w:pPr>
        <w:pStyle w:val="Heading1"/>
        <w:rPr>
          <w:rFonts w:ascii="Calibri" w:hAnsi="Calibri" w:cs="Calibri"/>
        </w:rPr>
      </w:pPr>
      <w:bookmarkStart w:id="30" w:name="_Toc230003901"/>
      <w:r w:rsidRPr="00253B76">
        <w:rPr>
          <w:rFonts w:ascii="Calibri" w:hAnsi="Calibri" w:cs="Calibri"/>
        </w:rPr>
        <w:lastRenderedPageBreak/>
        <w:t>References</w:t>
      </w:r>
      <w:bookmarkEnd w:id="30"/>
    </w:p>
    <w:p w14:paraId="0AC4D6B7" w14:textId="77777777" w:rsidR="00643BB4" w:rsidRDefault="00643BB4" w:rsidP="005B3476">
      <w:pPr>
        <w:spacing w:line="360" w:lineRule="auto"/>
        <w:ind w:left="720" w:hanging="720"/>
        <w:rPr>
          <w:lang w:eastAsia="en-GB"/>
        </w:rPr>
      </w:pPr>
      <w:r>
        <w:rPr>
          <w:rFonts w:ascii="Calibri" w:hAnsi="Calibri" w:cs="Calibri"/>
          <w:sz w:val="24"/>
          <w:szCs w:val="24"/>
        </w:rPr>
        <w:t xml:space="preserve">Ackley, D. (2020). </w:t>
      </w:r>
      <w:r>
        <w:rPr>
          <w:rFonts w:ascii="Calibri" w:hAnsi="Calibri" w:cs="Calibri"/>
          <w:i/>
          <w:iCs/>
          <w:sz w:val="24"/>
          <w:szCs w:val="24"/>
        </w:rPr>
        <w:t>Emotional intelligence: A practical review of models, measures, and applications</w:t>
      </w:r>
      <w:r>
        <w:rPr>
          <w:rFonts w:ascii="Calibri" w:hAnsi="Calibri" w:cs="Calibri"/>
          <w:sz w:val="24"/>
          <w:szCs w:val="24"/>
        </w:rPr>
        <w:t xml:space="preserve">. American Psychological Association. </w:t>
      </w:r>
      <w:hyperlink r:id="rId8" w:history="1">
        <w:r>
          <w:rPr>
            <w:rStyle w:val="Hyperlink"/>
            <w:rFonts w:ascii="Calibri" w:hAnsi="Calibri" w:cs="Calibri"/>
            <w:sz w:val="24"/>
            <w:szCs w:val="24"/>
          </w:rPr>
          <w:t>https://www.apa.org/pubs/journals/features/cpb-cpb0000070.pdf</w:t>
        </w:r>
      </w:hyperlink>
    </w:p>
    <w:p w14:paraId="1510F9DC"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Antonopoulou, H. (2024). The Value of Emotional Intelligence: Self-Awareness, Self-Regulation, Motivation, and Empathy as Key Components. </w:t>
      </w:r>
      <w:proofErr w:type="spellStart"/>
      <w:r w:rsidRPr="000928FE">
        <w:rPr>
          <w:rFonts w:ascii="Calibri" w:hAnsi="Calibri" w:cs="Calibri"/>
          <w:i/>
          <w:iCs/>
          <w:sz w:val="24"/>
          <w:szCs w:val="24"/>
        </w:rPr>
        <w:t>Technium</w:t>
      </w:r>
      <w:proofErr w:type="spellEnd"/>
      <w:r w:rsidRPr="000928FE">
        <w:rPr>
          <w:rFonts w:ascii="Calibri" w:hAnsi="Calibri" w:cs="Calibri"/>
          <w:i/>
          <w:iCs/>
          <w:sz w:val="24"/>
          <w:szCs w:val="24"/>
        </w:rPr>
        <w:t xml:space="preserve"> Education and Humanities</w:t>
      </w:r>
      <w:r w:rsidRPr="000928FE">
        <w:rPr>
          <w:rFonts w:ascii="Calibri" w:hAnsi="Calibri" w:cs="Calibri"/>
          <w:sz w:val="24"/>
          <w:szCs w:val="24"/>
        </w:rPr>
        <w:t xml:space="preserve">, </w:t>
      </w:r>
      <w:r w:rsidRPr="000928FE">
        <w:rPr>
          <w:rFonts w:ascii="Calibri" w:hAnsi="Calibri" w:cs="Calibri"/>
          <w:i/>
          <w:iCs/>
          <w:sz w:val="24"/>
          <w:szCs w:val="24"/>
        </w:rPr>
        <w:t>8</w:t>
      </w:r>
      <w:r w:rsidRPr="000928FE">
        <w:rPr>
          <w:rFonts w:ascii="Calibri" w:hAnsi="Calibri" w:cs="Calibri"/>
          <w:sz w:val="24"/>
          <w:szCs w:val="24"/>
        </w:rPr>
        <w:t xml:space="preserve">(1), 78–92. </w:t>
      </w:r>
      <w:hyperlink r:id="rId9" w:history="1">
        <w:r w:rsidRPr="000928FE">
          <w:rPr>
            <w:rStyle w:val="Hyperlink"/>
            <w:rFonts w:ascii="Calibri" w:hAnsi="Calibri" w:cs="Calibri"/>
            <w:sz w:val="24"/>
            <w:szCs w:val="24"/>
          </w:rPr>
          <w:t>https://pdfs.semanticscholar.org/01fd/901d7b6a987dc06497bea64f3b506eb0d4ea.pdf</w:t>
        </w:r>
      </w:hyperlink>
    </w:p>
    <w:p w14:paraId="475DBE04" w14:textId="77777777" w:rsidR="00643BB4" w:rsidRDefault="00643BB4" w:rsidP="005B3476">
      <w:pPr>
        <w:spacing w:line="360" w:lineRule="auto"/>
        <w:ind w:left="720" w:hanging="720"/>
      </w:pPr>
      <w:r>
        <w:rPr>
          <w:rFonts w:ascii="Calibri" w:hAnsi="Calibri" w:cs="Calibri"/>
          <w:sz w:val="24"/>
          <w:szCs w:val="24"/>
        </w:rPr>
        <w:t xml:space="preserve">Bar-On, R. (2006). </w:t>
      </w:r>
      <w:r>
        <w:rPr>
          <w:rFonts w:ascii="Calibri" w:hAnsi="Calibri" w:cs="Calibri"/>
          <w:i/>
          <w:iCs/>
          <w:sz w:val="24"/>
          <w:szCs w:val="24"/>
        </w:rPr>
        <w:t>Bar-On model of social and emotional intelligence (ESI)</w:t>
      </w:r>
      <w:r>
        <w:rPr>
          <w:rFonts w:ascii="Calibri" w:hAnsi="Calibri" w:cs="Calibri"/>
          <w:sz w:val="24"/>
          <w:szCs w:val="24"/>
        </w:rPr>
        <w:t xml:space="preserve">. EI Consortium. </w:t>
      </w:r>
      <w:hyperlink r:id="rId10" w:history="1">
        <w:r>
          <w:rPr>
            <w:rStyle w:val="Hyperlink"/>
            <w:rFonts w:ascii="Calibri" w:hAnsi="Calibri" w:cs="Calibri"/>
            <w:sz w:val="24"/>
            <w:szCs w:val="24"/>
          </w:rPr>
          <w:t>https://www.eiconsortium.org/reprints/bar-on_model_of_emotional-social_intelligence.htm</w:t>
        </w:r>
      </w:hyperlink>
    </w:p>
    <w:p w14:paraId="47D2EBBA" w14:textId="5608C48C" w:rsidR="00A353E2" w:rsidRPr="00A353E2" w:rsidRDefault="00A353E2" w:rsidP="00A353E2">
      <w:pPr>
        <w:spacing w:line="360" w:lineRule="auto"/>
        <w:ind w:left="720" w:hanging="720"/>
        <w:rPr>
          <w:rFonts w:ascii="Calibri" w:hAnsi="Calibri" w:cs="Calibri"/>
          <w:sz w:val="24"/>
          <w:szCs w:val="24"/>
        </w:rPr>
      </w:pPr>
      <w:r w:rsidRPr="00BB65E1">
        <w:rPr>
          <w:rFonts w:ascii="Calibri" w:hAnsi="Calibri" w:cs="Calibri"/>
          <w:sz w:val="24"/>
          <w:szCs w:val="24"/>
        </w:rPr>
        <w:t xml:space="preserve">Berne, E. (1957). Ego States in Psychotherapy. </w:t>
      </w:r>
      <w:r w:rsidRPr="00BB65E1">
        <w:rPr>
          <w:rFonts w:ascii="Calibri" w:hAnsi="Calibri" w:cs="Calibri"/>
          <w:i/>
          <w:iCs/>
          <w:sz w:val="24"/>
          <w:szCs w:val="24"/>
        </w:rPr>
        <w:t>American Journal of Psychotherapy</w:t>
      </w:r>
      <w:r w:rsidRPr="00BB65E1">
        <w:rPr>
          <w:rFonts w:ascii="Calibri" w:hAnsi="Calibri" w:cs="Calibri"/>
          <w:sz w:val="24"/>
          <w:szCs w:val="24"/>
        </w:rPr>
        <w:t xml:space="preserve">, </w:t>
      </w:r>
      <w:r w:rsidRPr="00BB65E1">
        <w:rPr>
          <w:rFonts w:ascii="Calibri" w:hAnsi="Calibri" w:cs="Calibri"/>
          <w:i/>
          <w:iCs/>
          <w:sz w:val="24"/>
          <w:szCs w:val="24"/>
        </w:rPr>
        <w:t>11</w:t>
      </w:r>
      <w:r w:rsidRPr="00BB65E1">
        <w:rPr>
          <w:rFonts w:ascii="Calibri" w:hAnsi="Calibri" w:cs="Calibri"/>
          <w:sz w:val="24"/>
          <w:szCs w:val="24"/>
        </w:rPr>
        <w:t xml:space="preserve">(2), 293–309. </w:t>
      </w:r>
      <w:hyperlink r:id="rId11" w:history="1">
        <w:r w:rsidRPr="006156DD">
          <w:rPr>
            <w:rStyle w:val="Hyperlink"/>
            <w:rFonts w:ascii="Calibri" w:hAnsi="Calibri" w:cs="Calibri"/>
            <w:sz w:val="24"/>
            <w:szCs w:val="24"/>
          </w:rPr>
          <w:t>https://doi.org/10.1176/appi.psychotherapy.1957.11.2.293</w:t>
        </w:r>
      </w:hyperlink>
    </w:p>
    <w:p w14:paraId="1B9C967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Booth, L. (2007). Observations and reflections of communication in health care – could Transactional Analysis be used as an effective approach? </w:t>
      </w:r>
      <w:r w:rsidRPr="000928FE">
        <w:rPr>
          <w:rFonts w:ascii="Calibri" w:hAnsi="Calibri" w:cs="Calibri"/>
          <w:i/>
          <w:iCs/>
          <w:sz w:val="24"/>
          <w:szCs w:val="24"/>
        </w:rPr>
        <w:t>Radiography</w:t>
      </w:r>
      <w:r w:rsidRPr="000928FE">
        <w:rPr>
          <w:rFonts w:ascii="Calibri" w:hAnsi="Calibri" w:cs="Calibri"/>
          <w:sz w:val="24"/>
          <w:szCs w:val="24"/>
        </w:rPr>
        <w:t xml:space="preserve">, </w:t>
      </w:r>
      <w:r w:rsidRPr="000928FE">
        <w:rPr>
          <w:rFonts w:ascii="Calibri" w:hAnsi="Calibri" w:cs="Calibri"/>
          <w:i/>
          <w:iCs/>
          <w:sz w:val="24"/>
          <w:szCs w:val="24"/>
        </w:rPr>
        <w:t>13</w:t>
      </w:r>
      <w:r w:rsidRPr="000928FE">
        <w:rPr>
          <w:rFonts w:ascii="Calibri" w:hAnsi="Calibri" w:cs="Calibri"/>
          <w:sz w:val="24"/>
          <w:szCs w:val="24"/>
        </w:rPr>
        <w:t xml:space="preserve">(2), 135–141. </w:t>
      </w:r>
      <w:hyperlink r:id="rId12" w:history="1">
        <w:r w:rsidRPr="000928FE">
          <w:rPr>
            <w:rStyle w:val="Hyperlink"/>
            <w:rFonts w:ascii="Calibri" w:hAnsi="Calibri" w:cs="Calibri"/>
            <w:sz w:val="24"/>
            <w:szCs w:val="24"/>
          </w:rPr>
          <w:t>https://doi.org/10.1016/j.radi.2006.01.010</w:t>
        </w:r>
      </w:hyperlink>
    </w:p>
    <w:p w14:paraId="1FFE3FEC" w14:textId="77777777" w:rsidR="00643BB4" w:rsidRDefault="00643BB4" w:rsidP="005B3476">
      <w:pPr>
        <w:spacing w:line="360" w:lineRule="auto"/>
        <w:ind w:left="720" w:hanging="720"/>
        <w:rPr>
          <w:lang w:eastAsia="en-GB"/>
        </w:rPr>
      </w:pPr>
      <w:r>
        <w:rPr>
          <w:rFonts w:ascii="Calibri" w:hAnsi="Calibri" w:cs="Calibri"/>
          <w:sz w:val="24"/>
          <w:szCs w:val="24"/>
        </w:rPr>
        <w:t xml:space="preserve">Bradford VTS. (n.d.). </w:t>
      </w:r>
      <w:r>
        <w:rPr>
          <w:rFonts w:ascii="Calibri" w:hAnsi="Calibri" w:cs="Calibri"/>
          <w:i/>
          <w:iCs/>
          <w:sz w:val="24"/>
          <w:szCs w:val="24"/>
        </w:rPr>
        <w:t>Life positions – I’m okay, you’re okay</w:t>
      </w:r>
      <w:r>
        <w:rPr>
          <w:rFonts w:ascii="Calibri" w:hAnsi="Calibri" w:cs="Calibri"/>
          <w:sz w:val="24"/>
          <w:szCs w:val="24"/>
        </w:rPr>
        <w:t>. GP-Training.net.</w:t>
      </w:r>
    </w:p>
    <w:p w14:paraId="21412696" w14:textId="77777777" w:rsidR="00643BB4" w:rsidRDefault="00643BB4" w:rsidP="005B3476">
      <w:pPr>
        <w:spacing w:line="360" w:lineRule="auto"/>
        <w:ind w:left="720" w:hanging="720"/>
        <w:rPr>
          <w:lang w:eastAsia="en-GB"/>
        </w:rPr>
      </w:pPr>
      <w:r>
        <w:rPr>
          <w:rFonts w:ascii="Calibri" w:hAnsi="Calibri" w:cs="Calibri"/>
          <w:sz w:val="24"/>
          <w:szCs w:val="24"/>
        </w:rPr>
        <w:t xml:space="preserve">Brown, K. W., &amp; Ryan, R. M. (2003). The benefits of being present: Mindfulness and its role in psychological well-being. </w:t>
      </w:r>
      <w:r>
        <w:rPr>
          <w:rFonts w:ascii="Calibri" w:hAnsi="Calibri" w:cs="Calibri"/>
          <w:i/>
          <w:iCs/>
          <w:sz w:val="24"/>
          <w:szCs w:val="24"/>
        </w:rPr>
        <w:t>Journal of Personality and Social Psychology</w:t>
      </w:r>
      <w:r>
        <w:rPr>
          <w:rFonts w:ascii="Calibri" w:hAnsi="Calibri" w:cs="Calibri"/>
          <w:sz w:val="24"/>
          <w:szCs w:val="24"/>
        </w:rPr>
        <w:t xml:space="preserve">, </w:t>
      </w:r>
      <w:r>
        <w:rPr>
          <w:rFonts w:ascii="Calibri" w:hAnsi="Calibri" w:cs="Calibri"/>
          <w:i/>
          <w:iCs/>
          <w:sz w:val="24"/>
          <w:szCs w:val="24"/>
        </w:rPr>
        <w:t>84</w:t>
      </w:r>
      <w:r>
        <w:rPr>
          <w:rFonts w:ascii="Calibri" w:hAnsi="Calibri" w:cs="Calibri"/>
          <w:sz w:val="24"/>
          <w:szCs w:val="24"/>
        </w:rPr>
        <w:t xml:space="preserve">(4), 822–848. </w:t>
      </w:r>
      <w:hyperlink r:id="rId13" w:history="1">
        <w:r>
          <w:rPr>
            <w:rStyle w:val="Hyperlink"/>
            <w:rFonts w:ascii="Calibri" w:hAnsi="Calibri" w:cs="Calibri"/>
            <w:sz w:val="24"/>
            <w:szCs w:val="24"/>
          </w:rPr>
          <w:t>https://doi.org/10.1037/0022-3514.84.4.822</w:t>
        </w:r>
      </w:hyperlink>
    </w:p>
    <w:p w14:paraId="70A18F25"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Cameron, L., &amp; Hafenbrack, A. (2022). </w:t>
      </w:r>
      <w:r w:rsidRPr="000928FE">
        <w:rPr>
          <w:rFonts w:ascii="Calibri" w:hAnsi="Calibri" w:cs="Calibri"/>
          <w:i/>
          <w:iCs/>
          <w:sz w:val="24"/>
          <w:szCs w:val="24"/>
        </w:rPr>
        <w:t>Research: When Mindfulness Does — and Doesn’t — Help at Work</w:t>
      </w:r>
      <w:r w:rsidRPr="000928FE">
        <w:rPr>
          <w:rFonts w:ascii="Calibri" w:hAnsi="Calibri" w:cs="Calibri"/>
          <w:sz w:val="24"/>
          <w:szCs w:val="24"/>
        </w:rPr>
        <w:t xml:space="preserve">. Harvard Business Review. </w:t>
      </w:r>
      <w:hyperlink r:id="rId14" w:history="1">
        <w:r w:rsidRPr="000928FE">
          <w:rPr>
            <w:rStyle w:val="Hyperlink"/>
            <w:rFonts w:ascii="Calibri" w:hAnsi="Calibri" w:cs="Calibri"/>
            <w:sz w:val="24"/>
            <w:szCs w:val="24"/>
          </w:rPr>
          <w:t>https://hbr.org/2022/12/research-when-mindfulness-does-and-doesnt-help-at-work</w:t>
        </w:r>
      </w:hyperlink>
    </w:p>
    <w:p w14:paraId="00FD7B5A"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Care Quality Commission. (2022). </w:t>
      </w:r>
      <w:r w:rsidRPr="000928FE">
        <w:rPr>
          <w:rFonts w:ascii="Calibri" w:hAnsi="Calibri" w:cs="Calibri"/>
          <w:i/>
          <w:iCs/>
          <w:sz w:val="24"/>
          <w:szCs w:val="24"/>
        </w:rPr>
        <w:t>Staff Shortages and the Impact on Patients - Care Quality Commission</w:t>
      </w:r>
      <w:r w:rsidRPr="000928FE">
        <w:rPr>
          <w:rFonts w:ascii="Calibri" w:hAnsi="Calibri" w:cs="Calibri"/>
          <w:sz w:val="24"/>
          <w:szCs w:val="24"/>
        </w:rPr>
        <w:t xml:space="preserve">. CQC. </w:t>
      </w:r>
      <w:hyperlink r:id="rId15" w:history="1">
        <w:r w:rsidRPr="000928FE">
          <w:rPr>
            <w:rStyle w:val="Hyperlink"/>
            <w:rFonts w:ascii="Calibri" w:hAnsi="Calibri" w:cs="Calibri"/>
            <w:sz w:val="24"/>
            <w:szCs w:val="24"/>
          </w:rPr>
          <w:t>https://www.cqc.org.uk/publications/monitoring-mental-health-act/2021-2022/staff-shortages</w:t>
        </w:r>
      </w:hyperlink>
    </w:p>
    <w:p w14:paraId="1771D762"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lastRenderedPageBreak/>
        <w:t xml:space="preserve">Chems-Maarif, R., Cavanagh, K., Baer, R., Gu, J., &amp; Strauss, C. (2025). Defining Mindfulness: A Review of Existing Definitions and Suggested Refinements. </w:t>
      </w:r>
      <w:r w:rsidRPr="000928FE">
        <w:rPr>
          <w:rFonts w:ascii="Calibri" w:hAnsi="Calibri" w:cs="Calibri"/>
          <w:i/>
          <w:iCs/>
          <w:sz w:val="24"/>
          <w:szCs w:val="24"/>
        </w:rPr>
        <w:t>Mindfulness</w:t>
      </w:r>
      <w:r w:rsidRPr="000928FE">
        <w:rPr>
          <w:rFonts w:ascii="Calibri" w:hAnsi="Calibri" w:cs="Calibri"/>
          <w:sz w:val="24"/>
          <w:szCs w:val="24"/>
        </w:rPr>
        <w:t xml:space="preserve">, </w:t>
      </w:r>
      <w:r w:rsidRPr="000928FE">
        <w:rPr>
          <w:rFonts w:ascii="Calibri" w:hAnsi="Calibri" w:cs="Calibri"/>
          <w:i/>
          <w:iCs/>
          <w:sz w:val="24"/>
          <w:szCs w:val="24"/>
        </w:rPr>
        <w:t>16</w:t>
      </w:r>
      <w:r w:rsidRPr="000928FE">
        <w:rPr>
          <w:rFonts w:ascii="Calibri" w:hAnsi="Calibri" w:cs="Calibri"/>
          <w:sz w:val="24"/>
          <w:szCs w:val="24"/>
        </w:rPr>
        <w:t xml:space="preserve">. </w:t>
      </w:r>
      <w:hyperlink r:id="rId16" w:history="1">
        <w:r w:rsidRPr="000928FE">
          <w:rPr>
            <w:rStyle w:val="Hyperlink"/>
            <w:rFonts w:ascii="Calibri" w:hAnsi="Calibri" w:cs="Calibri"/>
            <w:sz w:val="24"/>
            <w:szCs w:val="24"/>
          </w:rPr>
          <w:t>https://doi.org/10.1007/s12671-024-02507-2</w:t>
        </w:r>
      </w:hyperlink>
    </w:p>
    <w:p w14:paraId="05607A1C"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Chen, D. M. (2026). </w:t>
      </w:r>
      <w:r w:rsidRPr="000928FE">
        <w:rPr>
          <w:rFonts w:ascii="Calibri" w:hAnsi="Calibri" w:cs="Calibri"/>
          <w:i/>
          <w:iCs/>
          <w:sz w:val="24"/>
          <w:szCs w:val="24"/>
        </w:rPr>
        <w:t>Mindfulness at Work: Evidence-Based Practices for Stress and Performance (2026)</w:t>
      </w:r>
      <w:r w:rsidRPr="000928FE">
        <w:rPr>
          <w:rFonts w:ascii="Calibri" w:hAnsi="Calibri" w:cs="Calibri"/>
          <w:sz w:val="24"/>
          <w:szCs w:val="24"/>
        </w:rPr>
        <w:t xml:space="preserve">. Simplypsychology.com; Simply Psychology. </w:t>
      </w:r>
      <w:hyperlink r:id="rId17" w:history="1">
        <w:r w:rsidRPr="000928FE">
          <w:rPr>
            <w:rStyle w:val="Hyperlink"/>
            <w:rFonts w:ascii="Calibri" w:hAnsi="Calibri" w:cs="Calibri"/>
            <w:sz w:val="24"/>
            <w:szCs w:val="24"/>
          </w:rPr>
          <w:t>https://www.simplypsychology.com/articles/mindfulness-at-work</w:t>
        </w:r>
      </w:hyperlink>
    </w:p>
    <w:p w14:paraId="6139494B"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Cherniss, C. (2010). </w:t>
      </w:r>
      <w:r w:rsidRPr="000928FE">
        <w:rPr>
          <w:rFonts w:ascii="Calibri" w:hAnsi="Calibri" w:cs="Calibri"/>
          <w:i/>
          <w:iCs/>
          <w:sz w:val="24"/>
          <w:szCs w:val="24"/>
        </w:rPr>
        <w:t>Emotional intelligence: Toward clarification of a concept</w:t>
      </w:r>
      <w:r w:rsidRPr="000928FE">
        <w:rPr>
          <w:rFonts w:ascii="Calibri" w:hAnsi="Calibri" w:cs="Calibri"/>
          <w:sz w:val="24"/>
          <w:szCs w:val="24"/>
        </w:rPr>
        <w:t xml:space="preserve">. Industrial and Organizational Psychology, 3(2), 110–126. </w:t>
      </w:r>
      <w:hyperlink r:id="rId18" w:history="1">
        <w:r w:rsidRPr="000928FE">
          <w:rPr>
            <w:rStyle w:val="Hyperlink"/>
            <w:rFonts w:ascii="Calibri" w:hAnsi="Calibri" w:cs="Calibri"/>
            <w:sz w:val="24"/>
            <w:szCs w:val="24"/>
          </w:rPr>
          <w:t>https://doi.org/10.1111/j.1754-9434.2010.01231.x</w:t>
        </w:r>
      </w:hyperlink>
    </w:p>
    <w:p w14:paraId="558DB798" w14:textId="77777777" w:rsidR="00643BB4" w:rsidRDefault="00643BB4" w:rsidP="005B3476">
      <w:pPr>
        <w:spacing w:line="360" w:lineRule="auto"/>
        <w:ind w:left="720" w:hanging="720"/>
        <w:rPr>
          <w:lang w:eastAsia="en-GB"/>
        </w:rPr>
      </w:pPr>
      <w:r>
        <w:rPr>
          <w:rFonts w:ascii="Calibri" w:hAnsi="Calibri" w:cs="Calibri"/>
          <w:sz w:val="24"/>
          <w:szCs w:val="24"/>
        </w:rPr>
        <w:t xml:space="preserve">CIPD. (2024). </w:t>
      </w:r>
      <w:r>
        <w:rPr>
          <w:rFonts w:ascii="Calibri" w:hAnsi="Calibri" w:cs="Calibri"/>
          <w:i/>
          <w:iCs/>
          <w:sz w:val="24"/>
          <w:szCs w:val="24"/>
        </w:rPr>
        <w:t>How L&amp;D can create value: Focusing on skills development</w:t>
      </w:r>
      <w:r>
        <w:rPr>
          <w:rFonts w:ascii="Calibri" w:hAnsi="Calibri" w:cs="Calibri"/>
          <w:sz w:val="24"/>
          <w:szCs w:val="24"/>
        </w:rPr>
        <w:t xml:space="preserve">. </w:t>
      </w:r>
      <w:hyperlink r:id="rId19" w:history="1">
        <w:r>
          <w:rPr>
            <w:rStyle w:val="Hyperlink"/>
            <w:rFonts w:ascii="Calibri" w:hAnsi="Calibri" w:cs="Calibri"/>
            <w:sz w:val="24"/>
            <w:szCs w:val="24"/>
          </w:rPr>
          <w:t>https://www.cipd.org/en/views-and-insights/thought-leadership/insight/learning-value-skills-development/</w:t>
        </w:r>
      </w:hyperlink>
    </w:p>
    <w:p w14:paraId="07FFDDB2" w14:textId="77777777" w:rsidR="00643BB4" w:rsidRDefault="00643BB4" w:rsidP="005B3476">
      <w:pPr>
        <w:spacing w:line="360" w:lineRule="auto"/>
        <w:ind w:left="720" w:hanging="720"/>
        <w:rPr>
          <w:lang w:eastAsia="en-GB"/>
        </w:rPr>
      </w:pPr>
      <w:r>
        <w:rPr>
          <w:rFonts w:ascii="Calibri" w:hAnsi="Calibri" w:cs="Calibri"/>
          <w:sz w:val="24"/>
          <w:szCs w:val="24"/>
        </w:rPr>
        <w:t xml:space="preserve">Covey, S. R. (1989). </w:t>
      </w:r>
      <w:r>
        <w:rPr>
          <w:rFonts w:ascii="Calibri" w:hAnsi="Calibri" w:cs="Calibri"/>
          <w:i/>
          <w:iCs/>
          <w:sz w:val="24"/>
          <w:szCs w:val="24"/>
        </w:rPr>
        <w:t>The 7 habits of highly effective people</w:t>
      </w:r>
      <w:r>
        <w:rPr>
          <w:rFonts w:ascii="Calibri" w:hAnsi="Calibri" w:cs="Calibri"/>
          <w:sz w:val="24"/>
          <w:szCs w:val="24"/>
        </w:rPr>
        <w:t>. Free Press.</w:t>
      </w:r>
    </w:p>
    <w:p w14:paraId="5E4959A8"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De Leersnyder, J., </w:t>
      </w:r>
      <w:proofErr w:type="spellStart"/>
      <w:r w:rsidRPr="000928FE">
        <w:rPr>
          <w:rFonts w:ascii="Calibri" w:hAnsi="Calibri" w:cs="Calibri"/>
          <w:sz w:val="24"/>
          <w:szCs w:val="24"/>
        </w:rPr>
        <w:t>Boiger</w:t>
      </w:r>
      <w:proofErr w:type="spellEnd"/>
      <w:r w:rsidRPr="000928FE">
        <w:rPr>
          <w:rFonts w:ascii="Calibri" w:hAnsi="Calibri" w:cs="Calibri"/>
          <w:sz w:val="24"/>
          <w:szCs w:val="24"/>
        </w:rPr>
        <w:t xml:space="preserve">, M., &amp; Mesquita, B. (2013). Cultural regulation of emotion: individual, relational, and structural sources. </w:t>
      </w:r>
      <w:r w:rsidRPr="000928FE">
        <w:rPr>
          <w:rFonts w:ascii="Calibri" w:hAnsi="Calibri" w:cs="Calibri"/>
          <w:i/>
          <w:iCs/>
          <w:sz w:val="24"/>
          <w:szCs w:val="24"/>
        </w:rPr>
        <w:t>Frontiers in Psychology</w:t>
      </w:r>
      <w:r w:rsidRPr="000928FE">
        <w:rPr>
          <w:rFonts w:ascii="Calibri" w:hAnsi="Calibri" w:cs="Calibri"/>
          <w:sz w:val="24"/>
          <w:szCs w:val="24"/>
        </w:rPr>
        <w:t xml:space="preserve">, </w:t>
      </w:r>
      <w:r w:rsidRPr="000928FE">
        <w:rPr>
          <w:rFonts w:ascii="Calibri" w:hAnsi="Calibri" w:cs="Calibri"/>
          <w:i/>
          <w:iCs/>
          <w:sz w:val="24"/>
          <w:szCs w:val="24"/>
        </w:rPr>
        <w:t>4</w:t>
      </w:r>
      <w:r w:rsidRPr="000928FE">
        <w:rPr>
          <w:rFonts w:ascii="Calibri" w:hAnsi="Calibri" w:cs="Calibri"/>
          <w:sz w:val="24"/>
          <w:szCs w:val="24"/>
        </w:rPr>
        <w:t xml:space="preserve">(55). </w:t>
      </w:r>
      <w:hyperlink r:id="rId20" w:history="1">
        <w:r w:rsidRPr="000928FE">
          <w:rPr>
            <w:rStyle w:val="Hyperlink"/>
            <w:rFonts w:ascii="Calibri" w:hAnsi="Calibri" w:cs="Calibri"/>
            <w:sz w:val="24"/>
            <w:szCs w:val="24"/>
          </w:rPr>
          <w:t>https://doi.org/10.3389/fpsyg.2013.00055</w:t>
        </w:r>
      </w:hyperlink>
    </w:p>
    <w:p w14:paraId="3F0171AD"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Dixon-Woods, M., Summers, C., Morgan, M., &amp; Patel, K. (2024). The future of the NHS depends on its workforce. </w:t>
      </w:r>
      <w:r w:rsidRPr="000928FE">
        <w:rPr>
          <w:rFonts w:ascii="Calibri" w:hAnsi="Calibri" w:cs="Calibri"/>
          <w:i/>
          <w:iCs/>
          <w:sz w:val="24"/>
          <w:szCs w:val="24"/>
        </w:rPr>
        <w:t>BMJ</w:t>
      </w:r>
      <w:r w:rsidRPr="000928FE">
        <w:rPr>
          <w:rFonts w:ascii="Calibri" w:hAnsi="Calibri" w:cs="Calibri"/>
          <w:sz w:val="24"/>
          <w:szCs w:val="24"/>
        </w:rPr>
        <w:t xml:space="preserve">, </w:t>
      </w:r>
      <w:r w:rsidRPr="000928FE">
        <w:rPr>
          <w:rFonts w:ascii="Calibri" w:hAnsi="Calibri" w:cs="Calibri"/>
          <w:i/>
          <w:iCs/>
          <w:sz w:val="24"/>
          <w:szCs w:val="24"/>
        </w:rPr>
        <w:t>384</w:t>
      </w:r>
      <w:r w:rsidRPr="000928FE">
        <w:rPr>
          <w:rFonts w:ascii="Calibri" w:hAnsi="Calibri" w:cs="Calibri"/>
          <w:sz w:val="24"/>
          <w:szCs w:val="24"/>
        </w:rPr>
        <w:t xml:space="preserve">(384). </w:t>
      </w:r>
      <w:hyperlink r:id="rId21" w:history="1">
        <w:r w:rsidRPr="000928FE">
          <w:rPr>
            <w:rStyle w:val="Hyperlink"/>
            <w:rFonts w:ascii="Calibri" w:hAnsi="Calibri" w:cs="Calibri"/>
            <w:sz w:val="24"/>
            <w:szCs w:val="24"/>
          </w:rPr>
          <w:t>https://www.bmj.com/content/384/bmj-2024-079474</w:t>
        </w:r>
      </w:hyperlink>
    </w:p>
    <w:p w14:paraId="3572C60D" w14:textId="77777777" w:rsid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Edwards, M. (2024). </w:t>
      </w:r>
      <w:r w:rsidRPr="000928FE">
        <w:rPr>
          <w:rFonts w:ascii="Calibri" w:hAnsi="Calibri" w:cs="Calibri"/>
          <w:i/>
          <w:iCs/>
          <w:sz w:val="24"/>
          <w:szCs w:val="24"/>
        </w:rPr>
        <w:t>Arlie Hochschild’s Theory of Emotion</w:t>
      </w:r>
      <w:r w:rsidRPr="000928FE">
        <w:rPr>
          <w:rFonts w:ascii="Calibri" w:hAnsi="Calibri" w:cs="Calibri"/>
          <w:sz w:val="24"/>
          <w:szCs w:val="24"/>
        </w:rPr>
        <w:t xml:space="preserve">. Easy Sociology. </w:t>
      </w:r>
      <w:hyperlink r:id="rId22" w:history="1">
        <w:r w:rsidRPr="000928FE">
          <w:rPr>
            <w:rStyle w:val="Hyperlink"/>
            <w:rFonts w:ascii="Calibri" w:hAnsi="Calibri" w:cs="Calibri"/>
            <w:sz w:val="24"/>
            <w:szCs w:val="24"/>
          </w:rPr>
          <w:t>https://easysociology.com/sociology-of-emotion/arlie-hochschilds-theory-of-emotion/</w:t>
        </w:r>
      </w:hyperlink>
    </w:p>
    <w:p w14:paraId="098DE0A7" w14:textId="426FAE4C" w:rsidR="003D7801" w:rsidRDefault="003D7801" w:rsidP="005B3476">
      <w:pPr>
        <w:spacing w:line="360" w:lineRule="auto"/>
        <w:ind w:left="720" w:hanging="720"/>
        <w:rPr>
          <w:rFonts w:ascii="Calibri" w:hAnsi="Calibri" w:cs="Calibri"/>
          <w:sz w:val="24"/>
          <w:szCs w:val="24"/>
        </w:rPr>
      </w:pPr>
      <w:proofErr w:type="spellStart"/>
      <w:r w:rsidRPr="003D7801">
        <w:rPr>
          <w:rFonts w:ascii="Calibri" w:hAnsi="Calibri" w:cs="Calibri"/>
          <w:sz w:val="24"/>
          <w:szCs w:val="24"/>
        </w:rPr>
        <w:t>Fernros</w:t>
      </w:r>
      <w:proofErr w:type="spellEnd"/>
      <w:r w:rsidRPr="003D7801">
        <w:rPr>
          <w:rFonts w:ascii="Calibri" w:hAnsi="Calibri" w:cs="Calibri"/>
          <w:sz w:val="24"/>
          <w:szCs w:val="24"/>
        </w:rPr>
        <w:t xml:space="preserve">, L., </w:t>
      </w:r>
      <w:proofErr w:type="spellStart"/>
      <w:r w:rsidRPr="003D7801">
        <w:rPr>
          <w:rFonts w:ascii="Calibri" w:hAnsi="Calibri" w:cs="Calibri"/>
          <w:sz w:val="24"/>
          <w:szCs w:val="24"/>
        </w:rPr>
        <w:t>Furhoff</w:t>
      </w:r>
      <w:proofErr w:type="spellEnd"/>
      <w:r w:rsidRPr="003D7801">
        <w:rPr>
          <w:rFonts w:ascii="Calibri" w:hAnsi="Calibri" w:cs="Calibri"/>
          <w:sz w:val="24"/>
          <w:szCs w:val="24"/>
        </w:rPr>
        <w:t xml:space="preserve">, A.-K., &amp; </w:t>
      </w:r>
      <w:proofErr w:type="spellStart"/>
      <w:r w:rsidRPr="003D7801">
        <w:rPr>
          <w:rFonts w:ascii="Calibri" w:hAnsi="Calibri" w:cs="Calibri"/>
          <w:sz w:val="24"/>
          <w:szCs w:val="24"/>
        </w:rPr>
        <w:t>Wändell</w:t>
      </w:r>
      <w:proofErr w:type="spellEnd"/>
      <w:r w:rsidRPr="003D7801">
        <w:rPr>
          <w:rFonts w:ascii="Calibri" w:hAnsi="Calibri" w:cs="Calibri"/>
          <w:sz w:val="24"/>
          <w:szCs w:val="24"/>
        </w:rPr>
        <w:t xml:space="preserve">, P. E. (2008). Improving quality of life using compound mind-body therapies: evaluation of a course intervention with body movement and breath therapy, guided imagery, chakra experiencing and mindfulness meditation. </w:t>
      </w:r>
      <w:r w:rsidRPr="003D7801">
        <w:rPr>
          <w:rFonts w:ascii="Calibri" w:hAnsi="Calibri" w:cs="Calibri"/>
          <w:i/>
          <w:iCs/>
          <w:sz w:val="24"/>
          <w:szCs w:val="24"/>
        </w:rPr>
        <w:t>Quality of Life Research</w:t>
      </w:r>
      <w:r w:rsidRPr="003D7801">
        <w:rPr>
          <w:rFonts w:ascii="Calibri" w:hAnsi="Calibri" w:cs="Calibri"/>
          <w:sz w:val="24"/>
          <w:szCs w:val="24"/>
        </w:rPr>
        <w:t xml:space="preserve">, </w:t>
      </w:r>
      <w:r w:rsidRPr="003D7801">
        <w:rPr>
          <w:rFonts w:ascii="Calibri" w:hAnsi="Calibri" w:cs="Calibri"/>
          <w:i/>
          <w:iCs/>
          <w:sz w:val="24"/>
          <w:szCs w:val="24"/>
        </w:rPr>
        <w:t>17</w:t>
      </w:r>
      <w:r w:rsidRPr="003D7801">
        <w:rPr>
          <w:rFonts w:ascii="Calibri" w:hAnsi="Calibri" w:cs="Calibri"/>
          <w:sz w:val="24"/>
          <w:szCs w:val="24"/>
        </w:rPr>
        <w:t xml:space="preserve">(3), 367–376. </w:t>
      </w:r>
      <w:hyperlink r:id="rId23" w:history="1">
        <w:r w:rsidRPr="006156DD">
          <w:rPr>
            <w:rStyle w:val="Hyperlink"/>
            <w:rFonts w:ascii="Calibri" w:hAnsi="Calibri" w:cs="Calibri"/>
            <w:sz w:val="24"/>
            <w:szCs w:val="24"/>
          </w:rPr>
          <w:t>https://doi.org/10.1007/s11136-008-9321-x</w:t>
        </w:r>
      </w:hyperlink>
    </w:p>
    <w:p w14:paraId="0F24B02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Gibbs, G. (1988). </w:t>
      </w:r>
      <w:r w:rsidRPr="000928FE">
        <w:rPr>
          <w:rFonts w:ascii="Calibri" w:hAnsi="Calibri" w:cs="Calibri"/>
          <w:i/>
          <w:iCs/>
          <w:sz w:val="24"/>
          <w:szCs w:val="24"/>
        </w:rPr>
        <w:t>Learning by doing: A guide to teaching and learning methods</w:t>
      </w:r>
      <w:r w:rsidRPr="000928FE">
        <w:rPr>
          <w:rFonts w:ascii="Calibri" w:hAnsi="Calibri" w:cs="Calibri"/>
          <w:sz w:val="24"/>
          <w:szCs w:val="24"/>
        </w:rPr>
        <w:t xml:space="preserve">. Oxford Centre for Staff and Learning Development, Oxford Brookes University. </w:t>
      </w:r>
      <w:hyperlink r:id="rId24" w:history="1">
        <w:r w:rsidRPr="000928FE">
          <w:rPr>
            <w:rStyle w:val="Hyperlink"/>
            <w:rFonts w:ascii="Calibri" w:hAnsi="Calibri" w:cs="Calibri"/>
            <w:sz w:val="24"/>
            <w:szCs w:val="24"/>
          </w:rPr>
          <w:t>https://dsdweb.co.uk/wp-content/uploads/2021/10/learning-by-doing-graham-gibbs.pdf</w:t>
        </w:r>
      </w:hyperlink>
    </w:p>
    <w:p w14:paraId="0D8669F7"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Goleman, D. (1995). </w:t>
      </w:r>
      <w:r w:rsidRPr="000928FE">
        <w:rPr>
          <w:rFonts w:ascii="Calibri" w:hAnsi="Calibri" w:cs="Calibri"/>
          <w:i/>
          <w:iCs/>
          <w:sz w:val="24"/>
          <w:szCs w:val="24"/>
        </w:rPr>
        <w:t>Emotional intelligence</w:t>
      </w:r>
      <w:r w:rsidRPr="000928FE">
        <w:rPr>
          <w:rFonts w:ascii="Calibri" w:hAnsi="Calibri" w:cs="Calibri"/>
          <w:sz w:val="24"/>
          <w:szCs w:val="24"/>
        </w:rPr>
        <w:t>. Bantam Books.</w:t>
      </w:r>
    </w:p>
    <w:p w14:paraId="789BD922"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Goleman, D. (1998). </w:t>
      </w:r>
      <w:r w:rsidRPr="000928FE">
        <w:rPr>
          <w:rFonts w:ascii="Calibri" w:hAnsi="Calibri" w:cs="Calibri"/>
          <w:i/>
          <w:iCs/>
          <w:sz w:val="24"/>
          <w:szCs w:val="24"/>
        </w:rPr>
        <w:t>Working with emotional intelligence</w:t>
      </w:r>
      <w:r w:rsidRPr="000928FE">
        <w:rPr>
          <w:rFonts w:ascii="Calibri" w:hAnsi="Calibri" w:cs="Calibri"/>
          <w:sz w:val="24"/>
          <w:szCs w:val="24"/>
        </w:rPr>
        <w:t>. Bloomsbury.</w:t>
      </w:r>
    </w:p>
    <w:p w14:paraId="0DE5D43B"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Good, D. J., Lyddy, C. J., Glomb, T. M., Bono, J. E., Brown, K. W., Duffy, M. K., Baer, R. A., Brewer, J. A., &amp; Lazar, S. W. (2016). Contemplating mindfulness at work. </w:t>
      </w:r>
      <w:r w:rsidRPr="000928FE">
        <w:rPr>
          <w:rFonts w:ascii="Calibri" w:hAnsi="Calibri" w:cs="Calibri"/>
          <w:i/>
          <w:iCs/>
          <w:sz w:val="24"/>
          <w:szCs w:val="24"/>
        </w:rPr>
        <w:t>Journal of Management, 42</w:t>
      </w:r>
      <w:r w:rsidRPr="000928FE">
        <w:rPr>
          <w:rFonts w:ascii="Calibri" w:hAnsi="Calibri" w:cs="Calibri"/>
          <w:sz w:val="24"/>
          <w:szCs w:val="24"/>
        </w:rPr>
        <w:t xml:space="preserve">(1), 114–142. </w:t>
      </w:r>
      <w:hyperlink r:id="rId25" w:tgtFrame="_new" w:history="1">
        <w:r w:rsidRPr="000928FE">
          <w:rPr>
            <w:rStyle w:val="Hyperlink"/>
            <w:rFonts w:ascii="Calibri" w:hAnsi="Calibri" w:cs="Calibri"/>
            <w:sz w:val="24"/>
            <w:szCs w:val="24"/>
          </w:rPr>
          <w:t>https://doi.org/10.1177/0149206315617003</w:t>
        </w:r>
      </w:hyperlink>
    </w:p>
    <w:p w14:paraId="69BAF831"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Heward, C. (2025). The History and Theoretical Framework of Mindfulness-Based Stress Reduction (MBSR). </w:t>
      </w:r>
      <w:r w:rsidRPr="000928FE">
        <w:rPr>
          <w:rFonts w:ascii="Calibri" w:hAnsi="Calibri" w:cs="Calibri"/>
          <w:i/>
          <w:iCs/>
          <w:sz w:val="24"/>
          <w:szCs w:val="24"/>
        </w:rPr>
        <w:t>The Palgrave Handbook of Third-Wave Psychotherapies</w:t>
      </w:r>
      <w:r w:rsidRPr="000928FE">
        <w:rPr>
          <w:rFonts w:ascii="Calibri" w:hAnsi="Calibri" w:cs="Calibri"/>
          <w:sz w:val="24"/>
          <w:szCs w:val="24"/>
        </w:rPr>
        <w:t xml:space="preserve">, 375–399. </w:t>
      </w:r>
      <w:hyperlink r:id="rId26" w:history="1">
        <w:r w:rsidRPr="000928FE">
          <w:rPr>
            <w:rStyle w:val="Hyperlink"/>
            <w:rFonts w:ascii="Calibri" w:hAnsi="Calibri" w:cs="Calibri"/>
            <w:sz w:val="24"/>
            <w:szCs w:val="24"/>
          </w:rPr>
          <w:t>https://doi.org/10.1007/978-3-032-00353-9_17</w:t>
        </w:r>
      </w:hyperlink>
    </w:p>
    <w:p w14:paraId="44D054BB"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Houghton, A. (2006). Using transactional analysis in clinical consultations. </w:t>
      </w:r>
      <w:r w:rsidRPr="000928FE">
        <w:rPr>
          <w:rFonts w:ascii="Calibri" w:hAnsi="Calibri" w:cs="Calibri"/>
          <w:i/>
          <w:iCs/>
          <w:sz w:val="24"/>
          <w:szCs w:val="24"/>
        </w:rPr>
        <w:t>BMJ</w:t>
      </w:r>
      <w:r w:rsidRPr="000928FE">
        <w:rPr>
          <w:rFonts w:ascii="Calibri" w:hAnsi="Calibri" w:cs="Calibri"/>
          <w:sz w:val="24"/>
          <w:szCs w:val="24"/>
        </w:rPr>
        <w:t xml:space="preserve">, </w:t>
      </w:r>
      <w:r w:rsidRPr="000928FE">
        <w:rPr>
          <w:rFonts w:ascii="Calibri" w:hAnsi="Calibri" w:cs="Calibri"/>
          <w:i/>
          <w:iCs/>
          <w:sz w:val="24"/>
          <w:szCs w:val="24"/>
        </w:rPr>
        <w:t>333</w:t>
      </w:r>
      <w:r w:rsidRPr="000928FE">
        <w:rPr>
          <w:rFonts w:ascii="Calibri" w:hAnsi="Calibri" w:cs="Calibri"/>
          <w:sz w:val="24"/>
          <w:szCs w:val="24"/>
        </w:rPr>
        <w:t xml:space="preserve">(7557), s8–s9. </w:t>
      </w:r>
      <w:hyperlink r:id="rId27" w:history="1">
        <w:r w:rsidRPr="000928FE">
          <w:rPr>
            <w:rStyle w:val="Hyperlink"/>
            <w:rFonts w:ascii="Calibri" w:hAnsi="Calibri" w:cs="Calibri"/>
            <w:sz w:val="24"/>
            <w:szCs w:val="24"/>
          </w:rPr>
          <w:t>https://doi.org/10.1136/bmj.333.7557.s8</w:t>
        </w:r>
      </w:hyperlink>
    </w:p>
    <w:p w14:paraId="074F571D"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Howick, J., Weston, A. B., Solomon, J., Nockels, K., Bostock, J., &amp; </w:t>
      </w:r>
      <w:proofErr w:type="spellStart"/>
      <w:r w:rsidRPr="000928FE">
        <w:rPr>
          <w:rFonts w:ascii="Calibri" w:hAnsi="Calibri" w:cs="Calibri"/>
          <w:sz w:val="24"/>
          <w:szCs w:val="24"/>
        </w:rPr>
        <w:t>Keshtkar</w:t>
      </w:r>
      <w:proofErr w:type="spellEnd"/>
      <w:r w:rsidRPr="000928FE">
        <w:rPr>
          <w:rFonts w:ascii="Calibri" w:hAnsi="Calibri" w:cs="Calibri"/>
          <w:sz w:val="24"/>
          <w:szCs w:val="24"/>
        </w:rPr>
        <w:t xml:space="preserve">, L. (2024). How does communication affect patient safety? Protocol for a systematic review and logic model. </w:t>
      </w:r>
      <w:r w:rsidRPr="000928FE">
        <w:rPr>
          <w:rFonts w:ascii="Calibri" w:hAnsi="Calibri" w:cs="Calibri"/>
          <w:i/>
          <w:iCs/>
          <w:sz w:val="24"/>
          <w:szCs w:val="24"/>
        </w:rPr>
        <w:t>BMJ Open</w:t>
      </w:r>
      <w:r w:rsidRPr="000928FE">
        <w:rPr>
          <w:rFonts w:ascii="Calibri" w:hAnsi="Calibri" w:cs="Calibri"/>
          <w:sz w:val="24"/>
          <w:szCs w:val="24"/>
        </w:rPr>
        <w:t xml:space="preserve">, </w:t>
      </w:r>
      <w:r w:rsidRPr="000928FE">
        <w:rPr>
          <w:rFonts w:ascii="Calibri" w:hAnsi="Calibri" w:cs="Calibri"/>
          <w:i/>
          <w:iCs/>
          <w:sz w:val="24"/>
          <w:szCs w:val="24"/>
        </w:rPr>
        <w:t>14</w:t>
      </w:r>
      <w:r w:rsidRPr="000928FE">
        <w:rPr>
          <w:rFonts w:ascii="Calibri" w:hAnsi="Calibri" w:cs="Calibri"/>
          <w:sz w:val="24"/>
          <w:szCs w:val="24"/>
        </w:rPr>
        <w:t xml:space="preserve">(5), 1–8. </w:t>
      </w:r>
      <w:hyperlink r:id="rId28" w:history="1">
        <w:r w:rsidRPr="000928FE">
          <w:rPr>
            <w:rStyle w:val="Hyperlink"/>
            <w:rFonts w:ascii="Calibri" w:hAnsi="Calibri" w:cs="Calibri"/>
            <w:sz w:val="24"/>
            <w:szCs w:val="24"/>
          </w:rPr>
          <w:t>https://doi.org/10.1136/bmjopen-2024-085312</w:t>
        </w:r>
      </w:hyperlink>
    </w:p>
    <w:p w14:paraId="09CDAA7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Jackson, S. (2025). </w:t>
      </w:r>
      <w:r w:rsidRPr="000928FE">
        <w:rPr>
          <w:rFonts w:ascii="Calibri" w:hAnsi="Calibri" w:cs="Calibri"/>
          <w:i/>
          <w:iCs/>
          <w:sz w:val="24"/>
          <w:szCs w:val="24"/>
        </w:rPr>
        <w:t>Self-Awareness &amp; Emotional Intelligence: What’s the Connection?</w:t>
      </w:r>
      <w:r w:rsidRPr="000928FE">
        <w:rPr>
          <w:rFonts w:ascii="Calibri" w:hAnsi="Calibri" w:cs="Calibri"/>
          <w:sz w:val="24"/>
          <w:szCs w:val="24"/>
        </w:rPr>
        <w:t xml:space="preserve"> MentalHealth.com. </w:t>
      </w:r>
      <w:hyperlink r:id="rId29" w:history="1">
        <w:r w:rsidRPr="000928FE">
          <w:rPr>
            <w:rStyle w:val="Hyperlink"/>
            <w:rFonts w:ascii="Calibri" w:hAnsi="Calibri" w:cs="Calibri"/>
            <w:sz w:val="24"/>
            <w:szCs w:val="24"/>
          </w:rPr>
          <w:t>https://www.mentalhealth.com/library/emotional-intelligence-self-awareness</w:t>
        </w:r>
      </w:hyperlink>
    </w:p>
    <w:p w14:paraId="321129D0"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Jefferies, D., &amp; Wickens, C. (2025). </w:t>
      </w:r>
      <w:r w:rsidRPr="000928FE">
        <w:rPr>
          <w:rFonts w:ascii="Calibri" w:hAnsi="Calibri" w:cs="Calibri"/>
          <w:i/>
          <w:iCs/>
          <w:sz w:val="24"/>
          <w:szCs w:val="24"/>
        </w:rPr>
        <w:t>Tight Budgets and Tough Decisions | the Impact of NHS Financial Decisions | the King’s Fund</w:t>
      </w:r>
      <w:r w:rsidRPr="000928FE">
        <w:rPr>
          <w:rFonts w:ascii="Calibri" w:hAnsi="Calibri" w:cs="Calibri"/>
          <w:sz w:val="24"/>
          <w:szCs w:val="24"/>
        </w:rPr>
        <w:t xml:space="preserve">. The King’s Fund. </w:t>
      </w:r>
      <w:hyperlink r:id="rId30" w:history="1">
        <w:r w:rsidRPr="000928FE">
          <w:rPr>
            <w:rStyle w:val="Hyperlink"/>
            <w:rFonts w:ascii="Calibri" w:hAnsi="Calibri" w:cs="Calibri"/>
            <w:sz w:val="24"/>
            <w:szCs w:val="24"/>
          </w:rPr>
          <w:t>https://www.kingsfund.org.uk/insight-and-analysis/long-reads/tight-budgets-tough-choices</w:t>
        </w:r>
      </w:hyperlink>
    </w:p>
    <w:p w14:paraId="577DEC33"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Jose, A., Tortorella, G. L., </w:t>
      </w:r>
      <w:proofErr w:type="spellStart"/>
      <w:r w:rsidRPr="000928FE">
        <w:rPr>
          <w:rFonts w:ascii="Calibri" w:hAnsi="Calibri" w:cs="Calibri"/>
          <w:sz w:val="24"/>
          <w:szCs w:val="24"/>
        </w:rPr>
        <w:t>Vassolo</w:t>
      </w:r>
      <w:proofErr w:type="spellEnd"/>
      <w:r w:rsidRPr="000928FE">
        <w:rPr>
          <w:rFonts w:ascii="Calibri" w:hAnsi="Calibri" w:cs="Calibri"/>
          <w:sz w:val="24"/>
          <w:szCs w:val="24"/>
        </w:rPr>
        <w:t xml:space="preserve">, R., Kumar, M., &amp; Mac Cawley, A. F. (2022). Professional Competence and Its Effect on the Implementation of Healthcare 4.0 Technologies: Scoping Review and Future Research Directions. </w:t>
      </w:r>
      <w:r w:rsidRPr="000928FE">
        <w:rPr>
          <w:rFonts w:ascii="Calibri" w:hAnsi="Calibri" w:cs="Calibri"/>
          <w:i/>
          <w:iCs/>
          <w:sz w:val="24"/>
          <w:szCs w:val="24"/>
        </w:rPr>
        <w:t>International Journal of Environmental Research and Public Health</w:t>
      </w:r>
      <w:r w:rsidRPr="000928FE">
        <w:rPr>
          <w:rFonts w:ascii="Calibri" w:hAnsi="Calibri" w:cs="Calibri"/>
          <w:sz w:val="24"/>
          <w:szCs w:val="24"/>
        </w:rPr>
        <w:t xml:space="preserve">, </w:t>
      </w:r>
      <w:r w:rsidRPr="000928FE">
        <w:rPr>
          <w:rFonts w:ascii="Calibri" w:hAnsi="Calibri" w:cs="Calibri"/>
          <w:i/>
          <w:iCs/>
          <w:sz w:val="24"/>
          <w:szCs w:val="24"/>
        </w:rPr>
        <w:t>20</w:t>
      </w:r>
      <w:r w:rsidRPr="000928FE">
        <w:rPr>
          <w:rFonts w:ascii="Calibri" w:hAnsi="Calibri" w:cs="Calibri"/>
          <w:sz w:val="24"/>
          <w:szCs w:val="24"/>
        </w:rPr>
        <w:t xml:space="preserve">(1), 478. </w:t>
      </w:r>
      <w:hyperlink r:id="rId31" w:history="1">
        <w:r w:rsidRPr="000928FE">
          <w:rPr>
            <w:rStyle w:val="Hyperlink"/>
            <w:rFonts w:ascii="Calibri" w:hAnsi="Calibri" w:cs="Calibri"/>
            <w:sz w:val="24"/>
            <w:szCs w:val="24"/>
          </w:rPr>
          <w:t>https://doi.org/10.3390/ijerph20010478</w:t>
        </w:r>
      </w:hyperlink>
    </w:p>
    <w:p w14:paraId="14DB3FFD"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lastRenderedPageBreak/>
        <w:t xml:space="preserve">Joseph, D. L., &amp; Newman, D. A. (2010). Emotional intelligence: An integrative meta-analysis. </w:t>
      </w:r>
      <w:r w:rsidRPr="000928FE">
        <w:rPr>
          <w:rFonts w:ascii="Calibri" w:hAnsi="Calibri" w:cs="Calibri"/>
          <w:i/>
          <w:iCs/>
          <w:sz w:val="24"/>
          <w:szCs w:val="24"/>
        </w:rPr>
        <w:t>Journal of Applied Psychology, 95</w:t>
      </w:r>
      <w:r w:rsidRPr="000928FE">
        <w:rPr>
          <w:rFonts w:ascii="Calibri" w:hAnsi="Calibri" w:cs="Calibri"/>
          <w:sz w:val="24"/>
          <w:szCs w:val="24"/>
        </w:rPr>
        <w:t xml:space="preserve">(1), 54–78. </w:t>
      </w:r>
      <w:hyperlink r:id="rId32" w:tgtFrame="_new" w:history="1">
        <w:r w:rsidRPr="000928FE">
          <w:rPr>
            <w:rStyle w:val="Hyperlink"/>
            <w:rFonts w:ascii="Calibri" w:hAnsi="Calibri" w:cs="Calibri"/>
            <w:sz w:val="24"/>
            <w:szCs w:val="24"/>
          </w:rPr>
          <w:t>https://doi.org/10.1037/a0017286</w:t>
        </w:r>
      </w:hyperlink>
    </w:p>
    <w:p w14:paraId="3A32901F"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Kabat-Zinn, J. (1994). </w:t>
      </w:r>
      <w:r w:rsidRPr="000928FE">
        <w:rPr>
          <w:rFonts w:ascii="Calibri" w:hAnsi="Calibri" w:cs="Calibri"/>
          <w:i/>
          <w:iCs/>
          <w:sz w:val="24"/>
          <w:szCs w:val="24"/>
        </w:rPr>
        <w:t>Wherever you go, there you are: mindfulness meditation in everyday life</w:t>
      </w:r>
      <w:r w:rsidRPr="000928FE">
        <w:rPr>
          <w:rFonts w:ascii="Calibri" w:hAnsi="Calibri" w:cs="Calibri"/>
          <w:sz w:val="24"/>
          <w:szCs w:val="24"/>
        </w:rPr>
        <w:t>. Hyperion.</w:t>
      </w:r>
    </w:p>
    <w:p w14:paraId="5D5854B8" w14:textId="77777777" w:rsidR="00643BB4" w:rsidRDefault="00643BB4" w:rsidP="005B3476">
      <w:pPr>
        <w:spacing w:line="360" w:lineRule="auto"/>
        <w:ind w:left="720" w:hanging="720"/>
        <w:rPr>
          <w:lang w:eastAsia="en-GB"/>
        </w:rPr>
      </w:pPr>
      <w:r>
        <w:rPr>
          <w:rFonts w:ascii="Calibri" w:hAnsi="Calibri" w:cs="Calibri"/>
          <w:sz w:val="24"/>
          <w:szCs w:val="24"/>
        </w:rPr>
        <w:t xml:space="preserve">Keng, S. L., </w:t>
      </w:r>
      <w:proofErr w:type="spellStart"/>
      <w:r>
        <w:rPr>
          <w:rFonts w:ascii="Calibri" w:hAnsi="Calibri" w:cs="Calibri"/>
          <w:sz w:val="24"/>
          <w:szCs w:val="24"/>
        </w:rPr>
        <w:t>Smoski</w:t>
      </w:r>
      <w:proofErr w:type="spellEnd"/>
      <w:r>
        <w:rPr>
          <w:rFonts w:ascii="Calibri" w:hAnsi="Calibri" w:cs="Calibri"/>
          <w:sz w:val="24"/>
          <w:szCs w:val="24"/>
        </w:rPr>
        <w:t xml:space="preserve">, M. J., &amp; Robins, C. J. (2011). Effects of mindfulness on psychological health: A review of empirical studies. </w:t>
      </w:r>
      <w:r>
        <w:rPr>
          <w:rFonts w:ascii="Calibri" w:hAnsi="Calibri" w:cs="Calibri"/>
          <w:i/>
          <w:iCs/>
          <w:sz w:val="24"/>
          <w:szCs w:val="24"/>
        </w:rPr>
        <w:t>Clinical Psychology Review</w:t>
      </w:r>
      <w:r>
        <w:rPr>
          <w:rFonts w:ascii="Calibri" w:hAnsi="Calibri" w:cs="Calibri"/>
          <w:sz w:val="24"/>
          <w:szCs w:val="24"/>
        </w:rPr>
        <w:t xml:space="preserve">, </w:t>
      </w:r>
      <w:r>
        <w:rPr>
          <w:rFonts w:ascii="Calibri" w:hAnsi="Calibri" w:cs="Calibri"/>
          <w:i/>
          <w:iCs/>
          <w:sz w:val="24"/>
          <w:szCs w:val="24"/>
        </w:rPr>
        <w:t>31</w:t>
      </w:r>
      <w:r>
        <w:rPr>
          <w:rFonts w:ascii="Calibri" w:hAnsi="Calibri" w:cs="Calibri"/>
          <w:sz w:val="24"/>
          <w:szCs w:val="24"/>
        </w:rPr>
        <w:t xml:space="preserve">(6), 1041–1056. </w:t>
      </w:r>
      <w:hyperlink r:id="rId33" w:history="1">
        <w:r>
          <w:rPr>
            <w:rStyle w:val="Hyperlink"/>
            <w:rFonts w:ascii="Calibri" w:hAnsi="Calibri" w:cs="Calibri"/>
            <w:sz w:val="24"/>
            <w:szCs w:val="24"/>
          </w:rPr>
          <w:t>https://doi.org/10.1016/j.cpr.2011.04.006</w:t>
        </w:r>
      </w:hyperlink>
    </w:p>
    <w:p w14:paraId="17A9E01E"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Knudsen, R. K., Ammentorp, J., Storkholm, M. H., Skovbjerg, S., Tousig, C. G., &amp; Timmermann, C. (2023). The influence of mindfulness-based stress reduction on the work life of healthcare professionals – A qualitative study. </w:t>
      </w:r>
      <w:r w:rsidRPr="000928FE">
        <w:rPr>
          <w:rFonts w:ascii="Calibri" w:hAnsi="Calibri" w:cs="Calibri"/>
          <w:i/>
          <w:iCs/>
          <w:sz w:val="24"/>
          <w:szCs w:val="24"/>
        </w:rPr>
        <w:t>Complementary Therapies in Clinical Practice</w:t>
      </w:r>
      <w:r w:rsidRPr="000928FE">
        <w:rPr>
          <w:rFonts w:ascii="Calibri" w:hAnsi="Calibri" w:cs="Calibri"/>
          <w:sz w:val="24"/>
          <w:szCs w:val="24"/>
        </w:rPr>
        <w:t xml:space="preserve">, </w:t>
      </w:r>
      <w:r w:rsidRPr="000928FE">
        <w:rPr>
          <w:rFonts w:ascii="Calibri" w:hAnsi="Calibri" w:cs="Calibri"/>
          <w:i/>
          <w:iCs/>
          <w:sz w:val="24"/>
          <w:szCs w:val="24"/>
        </w:rPr>
        <w:t>53</w:t>
      </w:r>
      <w:r w:rsidRPr="000928FE">
        <w:rPr>
          <w:rFonts w:ascii="Calibri" w:hAnsi="Calibri" w:cs="Calibri"/>
          <w:sz w:val="24"/>
          <w:szCs w:val="24"/>
        </w:rPr>
        <w:t xml:space="preserve">, 101805. </w:t>
      </w:r>
      <w:hyperlink r:id="rId34" w:history="1">
        <w:r w:rsidRPr="000928FE">
          <w:rPr>
            <w:rStyle w:val="Hyperlink"/>
            <w:rFonts w:ascii="Calibri" w:hAnsi="Calibri" w:cs="Calibri"/>
            <w:sz w:val="24"/>
            <w:szCs w:val="24"/>
          </w:rPr>
          <w:t>https://doi.org/10.1016/j.ctcp.2023.101805</w:t>
        </w:r>
      </w:hyperlink>
    </w:p>
    <w:p w14:paraId="6B07A029" w14:textId="77777777" w:rsid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Landy, F. J. (2005). Some historical and scientific issues related to research on emotional intelligence. </w:t>
      </w:r>
      <w:r w:rsidRPr="000928FE">
        <w:rPr>
          <w:rFonts w:ascii="Calibri" w:hAnsi="Calibri" w:cs="Calibri"/>
          <w:i/>
          <w:iCs/>
          <w:sz w:val="24"/>
          <w:szCs w:val="24"/>
        </w:rPr>
        <w:t xml:space="preserve">Journal of Organizational </w:t>
      </w:r>
      <w:proofErr w:type="spellStart"/>
      <w:r w:rsidRPr="000928FE">
        <w:rPr>
          <w:rFonts w:ascii="Calibri" w:hAnsi="Calibri" w:cs="Calibri"/>
          <w:i/>
          <w:iCs/>
          <w:sz w:val="24"/>
          <w:szCs w:val="24"/>
        </w:rPr>
        <w:t>Behavior</w:t>
      </w:r>
      <w:proofErr w:type="spellEnd"/>
      <w:r w:rsidRPr="000928FE">
        <w:rPr>
          <w:rFonts w:ascii="Calibri" w:hAnsi="Calibri" w:cs="Calibri"/>
          <w:sz w:val="24"/>
          <w:szCs w:val="24"/>
        </w:rPr>
        <w:t xml:space="preserve">, </w:t>
      </w:r>
      <w:r w:rsidRPr="000928FE">
        <w:rPr>
          <w:rFonts w:ascii="Calibri" w:hAnsi="Calibri" w:cs="Calibri"/>
          <w:i/>
          <w:iCs/>
          <w:sz w:val="24"/>
          <w:szCs w:val="24"/>
        </w:rPr>
        <w:t>26</w:t>
      </w:r>
      <w:r w:rsidRPr="000928FE">
        <w:rPr>
          <w:rFonts w:ascii="Calibri" w:hAnsi="Calibri" w:cs="Calibri"/>
          <w:sz w:val="24"/>
          <w:szCs w:val="24"/>
        </w:rPr>
        <w:t xml:space="preserve">(4), 411–424. </w:t>
      </w:r>
      <w:hyperlink r:id="rId35" w:history="1">
        <w:r w:rsidRPr="000928FE">
          <w:rPr>
            <w:rStyle w:val="Hyperlink"/>
            <w:rFonts w:ascii="Calibri" w:hAnsi="Calibri" w:cs="Calibri"/>
            <w:sz w:val="24"/>
            <w:szCs w:val="24"/>
          </w:rPr>
          <w:t>https://doi.org/10.1002/job.317</w:t>
        </w:r>
      </w:hyperlink>
    </w:p>
    <w:p w14:paraId="21E3B46F" w14:textId="2C43C999" w:rsidR="00F67F7F" w:rsidRDefault="00F67F7F" w:rsidP="005B3476">
      <w:pPr>
        <w:spacing w:line="360" w:lineRule="auto"/>
        <w:ind w:left="720" w:hanging="720"/>
        <w:rPr>
          <w:rFonts w:ascii="Calibri" w:hAnsi="Calibri" w:cs="Calibri"/>
          <w:sz w:val="24"/>
          <w:szCs w:val="24"/>
        </w:rPr>
      </w:pPr>
      <w:r w:rsidRPr="00F67F7F">
        <w:rPr>
          <w:rFonts w:ascii="Calibri" w:hAnsi="Calibri" w:cs="Calibri"/>
          <w:sz w:val="24"/>
          <w:szCs w:val="24"/>
        </w:rPr>
        <w:t xml:space="preserve">Lee, S. M., Lee, D., &amp; Kang, C.-Y. (2012). The impact of high-performance work systems in the health-care industry: employee reactions, service quality, customer satisfaction, and customer loyalty. </w:t>
      </w:r>
      <w:r w:rsidRPr="00F67F7F">
        <w:rPr>
          <w:rFonts w:ascii="Calibri" w:hAnsi="Calibri" w:cs="Calibri"/>
          <w:i/>
          <w:iCs/>
          <w:sz w:val="24"/>
          <w:szCs w:val="24"/>
        </w:rPr>
        <w:t>The Service Industries Journal</w:t>
      </w:r>
      <w:r w:rsidRPr="00F67F7F">
        <w:rPr>
          <w:rFonts w:ascii="Calibri" w:hAnsi="Calibri" w:cs="Calibri"/>
          <w:sz w:val="24"/>
          <w:szCs w:val="24"/>
        </w:rPr>
        <w:t xml:space="preserve">, </w:t>
      </w:r>
      <w:r w:rsidRPr="00F67F7F">
        <w:rPr>
          <w:rFonts w:ascii="Calibri" w:hAnsi="Calibri" w:cs="Calibri"/>
          <w:i/>
          <w:iCs/>
          <w:sz w:val="24"/>
          <w:szCs w:val="24"/>
        </w:rPr>
        <w:t>32</w:t>
      </w:r>
      <w:r w:rsidRPr="00F67F7F">
        <w:rPr>
          <w:rFonts w:ascii="Calibri" w:hAnsi="Calibri" w:cs="Calibri"/>
          <w:sz w:val="24"/>
          <w:szCs w:val="24"/>
        </w:rPr>
        <w:t xml:space="preserve">(1), 17–36. </w:t>
      </w:r>
      <w:hyperlink r:id="rId36" w:history="1">
        <w:r w:rsidRPr="006156DD">
          <w:rPr>
            <w:rStyle w:val="Hyperlink"/>
            <w:rFonts w:ascii="Calibri" w:hAnsi="Calibri" w:cs="Calibri"/>
            <w:sz w:val="24"/>
            <w:szCs w:val="24"/>
          </w:rPr>
          <w:t>https://doi.org/10.1080/02642069.2010.545397</w:t>
        </w:r>
      </w:hyperlink>
    </w:p>
    <w:p w14:paraId="1E9826C1" w14:textId="77777777" w:rsidR="000928FE" w:rsidRPr="000928FE" w:rsidRDefault="000928FE" w:rsidP="005B3476">
      <w:pPr>
        <w:spacing w:line="360" w:lineRule="auto"/>
        <w:ind w:left="720" w:hanging="720"/>
        <w:rPr>
          <w:rFonts w:ascii="Calibri" w:hAnsi="Calibri" w:cs="Calibri"/>
          <w:sz w:val="24"/>
          <w:szCs w:val="24"/>
        </w:rPr>
      </w:pPr>
      <w:proofErr w:type="spellStart"/>
      <w:r w:rsidRPr="000928FE">
        <w:rPr>
          <w:rFonts w:ascii="Calibri" w:hAnsi="Calibri" w:cs="Calibri"/>
          <w:sz w:val="24"/>
          <w:szCs w:val="24"/>
        </w:rPr>
        <w:t>Levitats</w:t>
      </w:r>
      <w:proofErr w:type="spellEnd"/>
      <w:r w:rsidRPr="000928FE">
        <w:rPr>
          <w:rFonts w:ascii="Calibri" w:hAnsi="Calibri" w:cs="Calibri"/>
          <w:sz w:val="24"/>
          <w:szCs w:val="24"/>
        </w:rPr>
        <w:t xml:space="preserve">, Z., </w:t>
      </w:r>
      <w:proofErr w:type="spellStart"/>
      <w:r w:rsidRPr="000928FE">
        <w:rPr>
          <w:rFonts w:ascii="Calibri" w:hAnsi="Calibri" w:cs="Calibri"/>
          <w:sz w:val="24"/>
          <w:szCs w:val="24"/>
        </w:rPr>
        <w:t>Ivcevic</w:t>
      </w:r>
      <w:proofErr w:type="spellEnd"/>
      <w:r w:rsidRPr="000928FE">
        <w:rPr>
          <w:rFonts w:ascii="Calibri" w:hAnsi="Calibri" w:cs="Calibri"/>
          <w:sz w:val="24"/>
          <w:szCs w:val="24"/>
        </w:rPr>
        <w:t xml:space="preserve">, Z., &amp; Brackett, M. (2025). Emotionally Intelligent </w:t>
      </w:r>
      <w:proofErr w:type="spellStart"/>
      <w:r w:rsidRPr="000928FE">
        <w:rPr>
          <w:rFonts w:ascii="Calibri" w:hAnsi="Calibri" w:cs="Calibri"/>
          <w:sz w:val="24"/>
          <w:szCs w:val="24"/>
        </w:rPr>
        <w:t>Behavior</w:t>
      </w:r>
      <w:proofErr w:type="spellEnd"/>
      <w:r w:rsidRPr="000928FE">
        <w:rPr>
          <w:rFonts w:ascii="Calibri" w:hAnsi="Calibri" w:cs="Calibri"/>
          <w:sz w:val="24"/>
          <w:szCs w:val="24"/>
        </w:rPr>
        <w:t xml:space="preserve"> in Organizations: When Ability, Motivation, and Opportunity Meet. </w:t>
      </w:r>
      <w:r w:rsidRPr="000928FE">
        <w:rPr>
          <w:rFonts w:ascii="Calibri" w:hAnsi="Calibri" w:cs="Calibri"/>
          <w:i/>
          <w:iCs/>
          <w:sz w:val="24"/>
          <w:szCs w:val="24"/>
        </w:rPr>
        <w:t>Emotion Review</w:t>
      </w:r>
      <w:r w:rsidRPr="000928FE">
        <w:rPr>
          <w:rFonts w:ascii="Calibri" w:hAnsi="Calibri" w:cs="Calibri"/>
          <w:sz w:val="24"/>
          <w:szCs w:val="24"/>
        </w:rPr>
        <w:t xml:space="preserve">. </w:t>
      </w:r>
      <w:hyperlink r:id="rId37" w:history="1">
        <w:r w:rsidRPr="000928FE">
          <w:rPr>
            <w:rStyle w:val="Hyperlink"/>
            <w:rFonts w:ascii="Calibri" w:hAnsi="Calibri" w:cs="Calibri"/>
            <w:sz w:val="24"/>
            <w:szCs w:val="24"/>
          </w:rPr>
          <w:t>https://doi.org/10.1177/17540739251333990</w:t>
        </w:r>
      </w:hyperlink>
    </w:p>
    <w:p w14:paraId="6C695F11" w14:textId="77777777" w:rsidR="00643BB4" w:rsidRDefault="00643BB4" w:rsidP="005B3476">
      <w:pPr>
        <w:spacing w:line="360" w:lineRule="auto"/>
        <w:ind w:left="720" w:hanging="720"/>
        <w:rPr>
          <w:lang w:eastAsia="en-GB"/>
        </w:rPr>
      </w:pPr>
      <w:r>
        <w:rPr>
          <w:rFonts w:ascii="Calibri" w:hAnsi="Calibri" w:cs="Calibri"/>
          <w:sz w:val="24"/>
          <w:szCs w:val="24"/>
        </w:rPr>
        <w:t xml:space="preserve">Locke, E. A. (2005). Why emotional intelligence is an invalid concept. </w:t>
      </w:r>
      <w:r>
        <w:rPr>
          <w:rFonts w:ascii="Calibri" w:hAnsi="Calibri" w:cs="Calibri"/>
          <w:i/>
          <w:iCs/>
          <w:sz w:val="24"/>
          <w:szCs w:val="24"/>
        </w:rPr>
        <w:t xml:space="preserve">Journal of Organizational </w:t>
      </w:r>
      <w:proofErr w:type="spellStart"/>
      <w:r>
        <w:rPr>
          <w:rFonts w:ascii="Calibri" w:hAnsi="Calibri" w:cs="Calibri"/>
          <w:i/>
          <w:iCs/>
          <w:sz w:val="24"/>
          <w:szCs w:val="24"/>
        </w:rPr>
        <w:t>Behavior</w:t>
      </w:r>
      <w:proofErr w:type="spellEnd"/>
      <w:r>
        <w:rPr>
          <w:rFonts w:ascii="Calibri" w:hAnsi="Calibri" w:cs="Calibri"/>
          <w:sz w:val="24"/>
          <w:szCs w:val="24"/>
        </w:rPr>
        <w:t xml:space="preserve">, </w:t>
      </w:r>
      <w:r>
        <w:rPr>
          <w:rFonts w:ascii="Calibri" w:hAnsi="Calibri" w:cs="Calibri"/>
          <w:i/>
          <w:iCs/>
          <w:sz w:val="24"/>
          <w:szCs w:val="24"/>
        </w:rPr>
        <w:t>26</w:t>
      </w:r>
      <w:r>
        <w:rPr>
          <w:rFonts w:ascii="Calibri" w:hAnsi="Calibri" w:cs="Calibri"/>
          <w:sz w:val="24"/>
          <w:szCs w:val="24"/>
        </w:rPr>
        <w:t>(4), 425–431. https://doi.org/10.1002/job.318</w:t>
      </w:r>
    </w:p>
    <w:p w14:paraId="3FA8817A" w14:textId="77777777" w:rsidR="00C7115F" w:rsidRDefault="00C7115F" w:rsidP="00985ADC">
      <w:pPr>
        <w:spacing w:line="360" w:lineRule="auto"/>
        <w:ind w:left="720" w:hanging="720"/>
        <w:rPr>
          <w:lang w:eastAsia="en-GB"/>
        </w:rPr>
      </w:pPr>
      <w:r>
        <w:rPr>
          <w:rFonts w:ascii="Calibri" w:hAnsi="Calibri" w:cs="Calibri"/>
          <w:sz w:val="24"/>
          <w:szCs w:val="24"/>
        </w:rPr>
        <w:t xml:space="preserve">Maben, J., Taylor, C., </w:t>
      </w:r>
      <w:proofErr w:type="spellStart"/>
      <w:r>
        <w:rPr>
          <w:rFonts w:ascii="Calibri" w:hAnsi="Calibri" w:cs="Calibri"/>
          <w:sz w:val="24"/>
          <w:szCs w:val="24"/>
        </w:rPr>
        <w:t>Jagosh</w:t>
      </w:r>
      <w:proofErr w:type="spellEnd"/>
      <w:r>
        <w:rPr>
          <w:rFonts w:ascii="Calibri" w:hAnsi="Calibri" w:cs="Calibri"/>
          <w:sz w:val="24"/>
          <w:szCs w:val="24"/>
        </w:rPr>
        <w:t xml:space="preserve">, J., Carrieri, D., Briscoe, S., Klepacz, N., &amp; Mattick, K. (2024). </w:t>
      </w:r>
      <w:r>
        <w:rPr>
          <w:rFonts w:ascii="Calibri" w:hAnsi="Calibri" w:cs="Calibri"/>
          <w:i/>
          <w:iCs/>
          <w:sz w:val="24"/>
          <w:szCs w:val="24"/>
        </w:rPr>
        <w:t>Scientific summary</w:t>
      </w:r>
      <w:r>
        <w:rPr>
          <w:rFonts w:ascii="Calibri" w:hAnsi="Calibri" w:cs="Calibri"/>
          <w:sz w:val="24"/>
          <w:szCs w:val="24"/>
        </w:rPr>
        <w:t xml:space="preserve">. National Institute for Health and Care Research. </w:t>
      </w:r>
      <w:hyperlink r:id="rId38" w:history="1">
        <w:r>
          <w:rPr>
            <w:rStyle w:val="Hyperlink"/>
            <w:rFonts w:ascii="Calibri" w:hAnsi="Calibri" w:cs="Calibri"/>
            <w:sz w:val="24"/>
            <w:szCs w:val="24"/>
          </w:rPr>
          <w:t>https://www.ncbi.nlm.nih.gov/books/NBK603153/</w:t>
        </w:r>
      </w:hyperlink>
    </w:p>
    <w:p w14:paraId="298F0EC0" w14:textId="77777777" w:rsid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lastRenderedPageBreak/>
        <w:t xml:space="preserve">Maldonado, I. C., &amp; Márquez, M.-D. B. (2023). Emotional intelligence, leadership, and work teams: a hybrid literature review. </w:t>
      </w:r>
      <w:proofErr w:type="spellStart"/>
      <w:r w:rsidRPr="000928FE">
        <w:rPr>
          <w:rFonts w:ascii="Calibri" w:hAnsi="Calibri" w:cs="Calibri"/>
          <w:i/>
          <w:iCs/>
          <w:sz w:val="24"/>
          <w:szCs w:val="24"/>
        </w:rPr>
        <w:t>Heliyon</w:t>
      </w:r>
      <w:proofErr w:type="spellEnd"/>
      <w:r w:rsidRPr="000928FE">
        <w:rPr>
          <w:rFonts w:ascii="Calibri" w:hAnsi="Calibri" w:cs="Calibri"/>
          <w:sz w:val="24"/>
          <w:szCs w:val="24"/>
        </w:rPr>
        <w:t xml:space="preserve">, </w:t>
      </w:r>
      <w:r w:rsidRPr="000928FE">
        <w:rPr>
          <w:rFonts w:ascii="Calibri" w:hAnsi="Calibri" w:cs="Calibri"/>
          <w:i/>
          <w:iCs/>
          <w:sz w:val="24"/>
          <w:szCs w:val="24"/>
        </w:rPr>
        <w:t>9</w:t>
      </w:r>
      <w:r w:rsidRPr="000928FE">
        <w:rPr>
          <w:rFonts w:ascii="Calibri" w:hAnsi="Calibri" w:cs="Calibri"/>
          <w:sz w:val="24"/>
          <w:szCs w:val="24"/>
        </w:rPr>
        <w:t xml:space="preserve">(10), 1–19. </w:t>
      </w:r>
      <w:hyperlink r:id="rId39" w:history="1">
        <w:r w:rsidRPr="000928FE">
          <w:rPr>
            <w:rStyle w:val="Hyperlink"/>
            <w:rFonts w:ascii="Calibri" w:hAnsi="Calibri" w:cs="Calibri"/>
            <w:sz w:val="24"/>
            <w:szCs w:val="24"/>
          </w:rPr>
          <w:t>https://doi.org/10.1016/j.heliyon.2023.e20356</w:t>
        </w:r>
      </w:hyperlink>
    </w:p>
    <w:p w14:paraId="713F7D6A" w14:textId="6B589000" w:rsidR="007D0295" w:rsidRPr="000928FE" w:rsidRDefault="007D0295" w:rsidP="005B3476">
      <w:pPr>
        <w:spacing w:line="360" w:lineRule="auto"/>
        <w:ind w:left="720" w:hanging="720"/>
        <w:rPr>
          <w:rFonts w:ascii="Calibri" w:hAnsi="Calibri" w:cs="Calibri"/>
          <w:sz w:val="24"/>
          <w:szCs w:val="24"/>
        </w:rPr>
      </w:pPr>
      <w:r w:rsidRPr="007D0295">
        <w:rPr>
          <w:rFonts w:ascii="Calibri" w:hAnsi="Calibri" w:cs="Calibri"/>
          <w:sz w:val="24"/>
          <w:szCs w:val="24"/>
        </w:rPr>
        <w:t xml:space="preserve">Mann, S. (2005). A health-care model of emotional labour: an evaluation of the literature and development of a model. </w:t>
      </w:r>
      <w:r w:rsidRPr="007D0295">
        <w:rPr>
          <w:rFonts w:ascii="Calibri" w:hAnsi="Calibri" w:cs="Calibri"/>
          <w:i/>
          <w:iCs/>
          <w:sz w:val="24"/>
          <w:szCs w:val="24"/>
        </w:rPr>
        <w:t>Journal of Health Organization and Management</w:t>
      </w:r>
      <w:r w:rsidRPr="007D0295">
        <w:rPr>
          <w:rFonts w:ascii="Calibri" w:hAnsi="Calibri" w:cs="Calibri"/>
          <w:sz w:val="24"/>
          <w:szCs w:val="24"/>
        </w:rPr>
        <w:t xml:space="preserve">, </w:t>
      </w:r>
      <w:r w:rsidRPr="007D0295">
        <w:rPr>
          <w:rFonts w:ascii="Calibri" w:hAnsi="Calibri" w:cs="Calibri"/>
          <w:i/>
          <w:iCs/>
          <w:sz w:val="24"/>
          <w:szCs w:val="24"/>
        </w:rPr>
        <w:t>19</w:t>
      </w:r>
      <w:r w:rsidRPr="007D0295">
        <w:rPr>
          <w:rFonts w:ascii="Calibri" w:hAnsi="Calibri" w:cs="Calibri"/>
          <w:sz w:val="24"/>
          <w:szCs w:val="24"/>
        </w:rPr>
        <w:t xml:space="preserve">(4-5), 304–317. </w:t>
      </w:r>
      <w:hyperlink r:id="rId40" w:history="1">
        <w:r w:rsidRPr="006156DD">
          <w:rPr>
            <w:rStyle w:val="Hyperlink"/>
            <w:rFonts w:ascii="Calibri" w:hAnsi="Calibri" w:cs="Calibri"/>
            <w:sz w:val="24"/>
            <w:szCs w:val="24"/>
          </w:rPr>
          <w:t>https://doi.org/10.1108/14777260510615369</w:t>
        </w:r>
      </w:hyperlink>
      <w:r>
        <w:rPr>
          <w:rFonts w:ascii="Calibri" w:hAnsi="Calibri" w:cs="Calibri"/>
          <w:sz w:val="24"/>
          <w:szCs w:val="24"/>
        </w:rPr>
        <w:t xml:space="preserve"> </w:t>
      </w:r>
    </w:p>
    <w:p w14:paraId="79A98D6B" w14:textId="77777777" w:rsidR="00643BB4" w:rsidRDefault="00643BB4" w:rsidP="005B3476">
      <w:pPr>
        <w:spacing w:line="360" w:lineRule="auto"/>
        <w:ind w:left="720" w:hanging="720"/>
        <w:rPr>
          <w:lang w:eastAsia="en-GB"/>
        </w:rPr>
      </w:pPr>
      <w:r>
        <w:rPr>
          <w:rFonts w:ascii="Calibri" w:hAnsi="Calibri" w:cs="Calibri"/>
          <w:sz w:val="24"/>
          <w:szCs w:val="24"/>
        </w:rPr>
        <w:t xml:space="preserve">Maslow, A. H. (1943). A theory of human motivation. </w:t>
      </w:r>
      <w:r>
        <w:rPr>
          <w:rFonts w:ascii="Calibri" w:hAnsi="Calibri" w:cs="Calibri"/>
          <w:i/>
          <w:iCs/>
          <w:sz w:val="24"/>
          <w:szCs w:val="24"/>
        </w:rPr>
        <w:t>Psychological Review</w:t>
      </w:r>
      <w:r>
        <w:rPr>
          <w:rFonts w:ascii="Calibri" w:hAnsi="Calibri" w:cs="Calibri"/>
          <w:sz w:val="24"/>
          <w:szCs w:val="24"/>
        </w:rPr>
        <w:t xml:space="preserve">, </w:t>
      </w:r>
      <w:r>
        <w:rPr>
          <w:rFonts w:ascii="Calibri" w:hAnsi="Calibri" w:cs="Calibri"/>
          <w:i/>
          <w:iCs/>
          <w:sz w:val="24"/>
          <w:szCs w:val="24"/>
        </w:rPr>
        <w:t>50</w:t>
      </w:r>
      <w:r>
        <w:rPr>
          <w:rFonts w:ascii="Calibri" w:hAnsi="Calibri" w:cs="Calibri"/>
          <w:sz w:val="24"/>
          <w:szCs w:val="24"/>
        </w:rPr>
        <w:t>(4), 370–396.</w:t>
      </w:r>
    </w:p>
    <w:p w14:paraId="568A1EC7"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Matthews, G., Zeidner, M., &amp; Roberts, R. D. (2021). </w:t>
      </w:r>
      <w:r w:rsidRPr="000928FE">
        <w:rPr>
          <w:rFonts w:ascii="Calibri" w:hAnsi="Calibri" w:cs="Calibri"/>
          <w:i/>
          <w:iCs/>
          <w:sz w:val="24"/>
          <w:szCs w:val="24"/>
        </w:rPr>
        <w:t>Emotional intelligence 101</w:t>
      </w:r>
      <w:r w:rsidRPr="000928FE">
        <w:rPr>
          <w:rFonts w:ascii="Calibri" w:hAnsi="Calibri" w:cs="Calibri"/>
          <w:sz w:val="24"/>
          <w:szCs w:val="24"/>
        </w:rPr>
        <w:t>. Springer Pub.</w:t>
      </w:r>
    </w:p>
    <w:p w14:paraId="0BCB9F0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Mayer, J. D., &amp; Caruso, D. R. (2025). Emotional intelligence and socioemotional attributes: Distinct constructs and their uses. </w:t>
      </w:r>
      <w:r w:rsidRPr="000928FE">
        <w:rPr>
          <w:rFonts w:ascii="Calibri" w:hAnsi="Calibri" w:cs="Calibri"/>
          <w:i/>
          <w:iCs/>
          <w:sz w:val="24"/>
          <w:szCs w:val="24"/>
        </w:rPr>
        <w:t>Consulting Psychology Journal, 77</w:t>
      </w:r>
      <w:r w:rsidRPr="000928FE">
        <w:rPr>
          <w:rFonts w:ascii="Calibri" w:hAnsi="Calibri" w:cs="Calibri"/>
          <w:sz w:val="24"/>
          <w:szCs w:val="24"/>
        </w:rPr>
        <w:t xml:space="preserve">(3), 219–237. </w:t>
      </w:r>
      <w:hyperlink r:id="rId41" w:history="1">
        <w:r w:rsidRPr="000928FE">
          <w:rPr>
            <w:rStyle w:val="Hyperlink"/>
            <w:rFonts w:ascii="Calibri" w:hAnsi="Calibri" w:cs="Calibri"/>
            <w:sz w:val="24"/>
            <w:szCs w:val="24"/>
          </w:rPr>
          <w:t>https://doi.org/10.1037/cpb0000293</w:t>
        </w:r>
      </w:hyperlink>
    </w:p>
    <w:p w14:paraId="1915108D" w14:textId="77777777" w:rsidR="00643BB4" w:rsidRDefault="00643BB4" w:rsidP="005B3476">
      <w:pPr>
        <w:spacing w:line="360" w:lineRule="auto"/>
        <w:ind w:left="720" w:hanging="720"/>
        <w:rPr>
          <w:lang w:eastAsia="en-GB"/>
        </w:rPr>
      </w:pPr>
      <w:r>
        <w:rPr>
          <w:rFonts w:ascii="Calibri" w:hAnsi="Calibri" w:cs="Calibri"/>
          <w:sz w:val="24"/>
          <w:szCs w:val="24"/>
        </w:rPr>
        <w:t xml:space="preserve">Mayer, J. D., &amp; Salovey, P. (1997). What is emotional intelligence? In P. Salovey &amp; D. Sluyter (Eds.), </w:t>
      </w:r>
      <w:r>
        <w:rPr>
          <w:rFonts w:ascii="Calibri" w:hAnsi="Calibri" w:cs="Calibri"/>
          <w:i/>
          <w:iCs/>
          <w:sz w:val="24"/>
          <w:szCs w:val="24"/>
        </w:rPr>
        <w:t>Emotional development and emotional intelligence: Educational implications</w:t>
      </w:r>
      <w:r>
        <w:rPr>
          <w:rFonts w:ascii="Calibri" w:hAnsi="Calibri" w:cs="Calibri"/>
          <w:sz w:val="24"/>
          <w:szCs w:val="24"/>
        </w:rPr>
        <w:t xml:space="preserve"> (pp. 3–31). Basic Books.</w:t>
      </w:r>
    </w:p>
    <w:p w14:paraId="2C3A88C4"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Mayer, J. D., Salovey, P., &amp; Caruso, D. R. (2008). </w:t>
      </w:r>
      <w:r w:rsidRPr="000928FE">
        <w:rPr>
          <w:rFonts w:ascii="Calibri" w:hAnsi="Calibri" w:cs="Calibri"/>
          <w:i/>
          <w:iCs/>
          <w:sz w:val="24"/>
          <w:szCs w:val="24"/>
        </w:rPr>
        <w:t>Emotional intelligence: New ability or eclectic traits?</w:t>
      </w:r>
      <w:r w:rsidRPr="000928FE">
        <w:rPr>
          <w:rFonts w:ascii="Calibri" w:hAnsi="Calibri" w:cs="Calibri"/>
          <w:sz w:val="24"/>
          <w:szCs w:val="24"/>
        </w:rPr>
        <w:t xml:space="preserve"> American Psychologist, 63(6), 503–517. </w:t>
      </w:r>
      <w:hyperlink r:id="rId42" w:history="1">
        <w:r w:rsidRPr="000928FE">
          <w:rPr>
            <w:rStyle w:val="Hyperlink"/>
            <w:rFonts w:ascii="Calibri" w:hAnsi="Calibri" w:cs="Calibri"/>
            <w:sz w:val="24"/>
            <w:szCs w:val="24"/>
          </w:rPr>
          <w:t>https://doi.org/10.1037/0003-066X.63.6.503</w:t>
        </w:r>
      </w:hyperlink>
    </w:p>
    <w:p w14:paraId="61F42A63"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Moudatsou, M., Stavropoulou, A., </w:t>
      </w:r>
      <w:proofErr w:type="spellStart"/>
      <w:r w:rsidRPr="000928FE">
        <w:rPr>
          <w:rFonts w:ascii="Calibri" w:hAnsi="Calibri" w:cs="Calibri"/>
          <w:sz w:val="24"/>
          <w:szCs w:val="24"/>
        </w:rPr>
        <w:t>Philalithis</w:t>
      </w:r>
      <w:proofErr w:type="spellEnd"/>
      <w:r w:rsidRPr="000928FE">
        <w:rPr>
          <w:rFonts w:ascii="Calibri" w:hAnsi="Calibri" w:cs="Calibri"/>
          <w:sz w:val="24"/>
          <w:szCs w:val="24"/>
        </w:rPr>
        <w:t xml:space="preserve">, A., &amp; </w:t>
      </w:r>
      <w:proofErr w:type="spellStart"/>
      <w:r w:rsidRPr="000928FE">
        <w:rPr>
          <w:rFonts w:ascii="Calibri" w:hAnsi="Calibri" w:cs="Calibri"/>
          <w:sz w:val="24"/>
          <w:szCs w:val="24"/>
        </w:rPr>
        <w:t>Koukouli</w:t>
      </w:r>
      <w:proofErr w:type="spellEnd"/>
      <w:r w:rsidRPr="000928FE">
        <w:rPr>
          <w:rFonts w:ascii="Calibri" w:hAnsi="Calibri" w:cs="Calibri"/>
          <w:sz w:val="24"/>
          <w:szCs w:val="24"/>
        </w:rPr>
        <w:t xml:space="preserve">, S. (2020). The Role of Empathy in Health and Social Care Professionals. </w:t>
      </w:r>
      <w:r w:rsidRPr="000928FE">
        <w:rPr>
          <w:rFonts w:ascii="Calibri" w:hAnsi="Calibri" w:cs="Calibri"/>
          <w:i/>
          <w:iCs/>
          <w:sz w:val="24"/>
          <w:szCs w:val="24"/>
        </w:rPr>
        <w:t>Healthcare</w:t>
      </w:r>
      <w:r w:rsidRPr="000928FE">
        <w:rPr>
          <w:rFonts w:ascii="Calibri" w:hAnsi="Calibri" w:cs="Calibri"/>
          <w:sz w:val="24"/>
          <w:szCs w:val="24"/>
        </w:rPr>
        <w:t xml:space="preserve">, </w:t>
      </w:r>
      <w:r w:rsidRPr="000928FE">
        <w:rPr>
          <w:rFonts w:ascii="Calibri" w:hAnsi="Calibri" w:cs="Calibri"/>
          <w:i/>
          <w:iCs/>
          <w:sz w:val="24"/>
          <w:szCs w:val="24"/>
        </w:rPr>
        <w:t>8</w:t>
      </w:r>
      <w:r w:rsidRPr="000928FE">
        <w:rPr>
          <w:rFonts w:ascii="Calibri" w:hAnsi="Calibri" w:cs="Calibri"/>
          <w:sz w:val="24"/>
          <w:szCs w:val="24"/>
        </w:rPr>
        <w:t xml:space="preserve">(1), 1–9. </w:t>
      </w:r>
      <w:hyperlink r:id="rId43" w:history="1">
        <w:r w:rsidRPr="000928FE">
          <w:rPr>
            <w:rStyle w:val="Hyperlink"/>
            <w:rFonts w:ascii="Calibri" w:hAnsi="Calibri" w:cs="Calibri"/>
            <w:sz w:val="24"/>
            <w:szCs w:val="24"/>
          </w:rPr>
          <w:t>https://doi.org/10.3390/healthcare8010026</w:t>
        </w:r>
      </w:hyperlink>
    </w:p>
    <w:p w14:paraId="6F0B0821"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Mrisho, D. H., &amp; </w:t>
      </w:r>
      <w:proofErr w:type="spellStart"/>
      <w:r w:rsidRPr="000928FE">
        <w:rPr>
          <w:rFonts w:ascii="Calibri" w:hAnsi="Calibri" w:cs="Calibri"/>
          <w:sz w:val="24"/>
          <w:szCs w:val="24"/>
        </w:rPr>
        <w:t>Mseti</w:t>
      </w:r>
      <w:proofErr w:type="spellEnd"/>
      <w:r w:rsidRPr="000928FE">
        <w:rPr>
          <w:rFonts w:ascii="Calibri" w:hAnsi="Calibri" w:cs="Calibri"/>
          <w:sz w:val="24"/>
          <w:szCs w:val="24"/>
        </w:rPr>
        <w:t xml:space="preserve">, S. (2024). Emotional Intelligence: Concept, Theoretical Perspectives and Its Relevance on Job Performance. </w:t>
      </w:r>
      <w:r w:rsidRPr="000928FE">
        <w:rPr>
          <w:rFonts w:ascii="Calibri" w:hAnsi="Calibri" w:cs="Calibri"/>
          <w:i/>
          <w:iCs/>
          <w:sz w:val="24"/>
          <w:szCs w:val="24"/>
        </w:rPr>
        <w:t>East African Journal of Interdisciplinary Studies</w:t>
      </w:r>
      <w:r w:rsidRPr="000928FE">
        <w:rPr>
          <w:rFonts w:ascii="Calibri" w:hAnsi="Calibri" w:cs="Calibri"/>
          <w:sz w:val="24"/>
          <w:szCs w:val="24"/>
        </w:rPr>
        <w:t xml:space="preserve">, </w:t>
      </w:r>
      <w:r w:rsidRPr="000928FE">
        <w:rPr>
          <w:rFonts w:ascii="Calibri" w:hAnsi="Calibri" w:cs="Calibri"/>
          <w:i/>
          <w:iCs/>
          <w:sz w:val="24"/>
          <w:szCs w:val="24"/>
        </w:rPr>
        <w:t>7</w:t>
      </w:r>
      <w:r w:rsidRPr="000928FE">
        <w:rPr>
          <w:rFonts w:ascii="Calibri" w:hAnsi="Calibri" w:cs="Calibri"/>
          <w:sz w:val="24"/>
          <w:szCs w:val="24"/>
        </w:rPr>
        <w:t>(1), 28–37.</w:t>
      </w:r>
    </w:p>
    <w:p w14:paraId="12E8177B" w14:textId="77777777" w:rsidR="00C7115F" w:rsidRPr="00985ADC" w:rsidRDefault="00C7115F" w:rsidP="00985ADC">
      <w:pPr>
        <w:spacing w:line="360" w:lineRule="auto"/>
        <w:ind w:left="720" w:hanging="720"/>
        <w:rPr>
          <w:rFonts w:ascii="Calibri" w:hAnsi="Calibri" w:cs="Calibri"/>
          <w:lang w:eastAsia="en-GB"/>
        </w:rPr>
      </w:pPr>
      <w:r w:rsidRPr="00985ADC">
        <w:rPr>
          <w:rFonts w:ascii="Calibri" w:hAnsi="Calibri" w:cs="Calibri"/>
          <w:sz w:val="24"/>
          <w:szCs w:val="24"/>
        </w:rPr>
        <w:t xml:space="preserve">Müller, M., &amp; Kubátová, J. (2025). A systematic review of managerial burnout and personal crisis: Navigating the interplay of individual, organizational, and environmental factors. </w:t>
      </w:r>
      <w:r w:rsidRPr="00985ADC">
        <w:rPr>
          <w:rFonts w:ascii="Calibri" w:hAnsi="Calibri" w:cs="Calibri"/>
          <w:i/>
          <w:iCs/>
          <w:sz w:val="24"/>
          <w:szCs w:val="24"/>
        </w:rPr>
        <w:t xml:space="preserve">German Journal of Human Resource Management / </w:t>
      </w:r>
      <w:proofErr w:type="spellStart"/>
      <w:r w:rsidRPr="00985ADC">
        <w:rPr>
          <w:rFonts w:ascii="Calibri" w:hAnsi="Calibri" w:cs="Calibri"/>
          <w:i/>
          <w:iCs/>
          <w:sz w:val="24"/>
          <w:szCs w:val="24"/>
        </w:rPr>
        <w:t>Zeitschrift</w:t>
      </w:r>
      <w:proofErr w:type="spellEnd"/>
      <w:r w:rsidRPr="00985ADC">
        <w:rPr>
          <w:rFonts w:ascii="Calibri" w:hAnsi="Calibri" w:cs="Calibri"/>
          <w:i/>
          <w:iCs/>
          <w:sz w:val="24"/>
          <w:szCs w:val="24"/>
        </w:rPr>
        <w:t xml:space="preserve"> für </w:t>
      </w:r>
      <w:proofErr w:type="spellStart"/>
      <w:r w:rsidRPr="00985ADC">
        <w:rPr>
          <w:rFonts w:ascii="Calibri" w:hAnsi="Calibri" w:cs="Calibri"/>
          <w:i/>
          <w:iCs/>
          <w:sz w:val="24"/>
          <w:szCs w:val="24"/>
        </w:rPr>
        <w:t>Personalforschung</w:t>
      </w:r>
      <w:proofErr w:type="spellEnd"/>
      <w:r w:rsidRPr="00985ADC">
        <w:rPr>
          <w:rFonts w:ascii="Calibri" w:hAnsi="Calibri" w:cs="Calibri"/>
          <w:sz w:val="24"/>
          <w:szCs w:val="24"/>
        </w:rPr>
        <w:t xml:space="preserve">. </w:t>
      </w:r>
      <w:hyperlink r:id="rId44" w:history="1">
        <w:r w:rsidRPr="00985ADC">
          <w:rPr>
            <w:rStyle w:val="Hyperlink"/>
            <w:rFonts w:ascii="Calibri" w:hAnsi="Calibri" w:cs="Calibri"/>
            <w:sz w:val="24"/>
            <w:szCs w:val="24"/>
          </w:rPr>
          <w:t>https://doi.org/10.1177/23970022251315650</w:t>
        </w:r>
      </w:hyperlink>
    </w:p>
    <w:p w14:paraId="59EC410C"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lastRenderedPageBreak/>
        <w:t xml:space="preserve">NHS England. (2023). </w:t>
      </w:r>
      <w:r w:rsidRPr="000928FE">
        <w:rPr>
          <w:rFonts w:ascii="Calibri" w:hAnsi="Calibri" w:cs="Calibri"/>
          <w:i/>
          <w:iCs/>
          <w:sz w:val="24"/>
          <w:szCs w:val="24"/>
        </w:rPr>
        <w:t>Wellbeing and Resilience</w:t>
      </w:r>
      <w:r w:rsidRPr="000928FE">
        <w:rPr>
          <w:rFonts w:ascii="Calibri" w:hAnsi="Calibri" w:cs="Calibri"/>
          <w:sz w:val="24"/>
          <w:szCs w:val="24"/>
        </w:rPr>
        <w:t xml:space="preserve">. Health Education England. </w:t>
      </w:r>
      <w:hyperlink r:id="rId45" w:history="1">
        <w:r w:rsidRPr="000928FE">
          <w:rPr>
            <w:rStyle w:val="Hyperlink"/>
            <w:rFonts w:ascii="Calibri" w:hAnsi="Calibri" w:cs="Calibri"/>
            <w:sz w:val="24"/>
            <w:szCs w:val="24"/>
          </w:rPr>
          <w:t>https://www.hee.nhs.uk/our-work/talent-care-widening-participation/support-worker-help-resources/healthcare-support-worker-learning-development-roadmap/wellbeing-resilience</w:t>
        </w:r>
      </w:hyperlink>
    </w:p>
    <w:p w14:paraId="57884DD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NHS England. (2025). </w:t>
      </w:r>
      <w:r w:rsidRPr="000928FE">
        <w:rPr>
          <w:rFonts w:ascii="Calibri" w:hAnsi="Calibri" w:cs="Calibri"/>
          <w:i/>
          <w:iCs/>
          <w:sz w:val="24"/>
          <w:szCs w:val="24"/>
        </w:rPr>
        <w:t>Improving Patient Safety Culture – a Practical Guide</w:t>
      </w:r>
      <w:r w:rsidRPr="000928FE">
        <w:rPr>
          <w:rFonts w:ascii="Calibri" w:hAnsi="Calibri" w:cs="Calibri"/>
          <w:sz w:val="24"/>
          <w:szCs w:val="24"/>
        </w:rPr>
        <w:t xml:space="preserve">. NHS England; NHS. </w:t>
      </w:r>
      <w:hyperlink r:id="rId46" w:history="1">
        <w:r w:rsidRPr="000928FE">
          <w:rPr>
            <w:rStyle w:val="Hyperlink"/>
            <w:rFonts w:ascii="Calibri" w:hAnsi="Calibri" w:cs="Calibri"/>
            <w:sz w:val="24"/>
            <w:szCs w:val="24"/>
          </w:rPr>
          <w:t>https://www.england.nhs.uk/long-read/improving-patient-safety-culture-a-practical-guide/</w:t>
        </w:r>
      </w:hyperlink>
    </w:p>
    <w:p w14:paraId="231EFAD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Nightingale, S., Spiby, H., Sheen, K., &amp; Slade, P. (2018). The impact of emotional intelligence in health care professionals on caring behaviour towards patients in clinical and long-term care settings: Findings from an integrative review. </w:t>
      </w:r>
      <w:r w:rsidRPr="000928FE">
        <w:rPr>
          <w:rFonts w:ascii="Calibri" w:hAnsi="Calibri" w:cs="Calibri"/>
          <w:i/>
          <w:iCs/>
          <w:sz w:val="24"/>
          <w:szCs w:val="24"/>
        </w:rPr>
        <w:t>International Journal of Nursing Studies</w:t>
      </w:r>
      <w:r w:rsidRPr="000928FE">
        <w:rPr>
          <w:rFonts w:ascii="Calibri" w:hAnsi="Calibri" w:cs="Calibri"/>
          <w:sz w:val="24"/>
          <w:szCs w:val="24"/>
        </w:rPr>
        <w:t xml:space="preserve">, </w:t>
      </w:r>
      <w:r w:rsidRPr="000928FE">
        <w:rPr>
          <w:rFonts w:ascii="Calibri" w:hAnsi="Calibri" w:cs="Calibri"/>
          <w:i/>
          <w:iCs/>
          <w:sz w:val="24"/>
          <w:szCs w:val="24"/>
        </w:rPr>
        <w:t>80</w:t>
      </w:r>
      <w:r w:rsidRPr="000928FE">
        <w:rPr>
          <w:rFonts w:ascii="Calibri" w:hAnsi="Calibri" w:cs="Calibri"/>
          <w:sz w:val="24"/>
          <w:szCs w:val="24"/>
        </w:rPr>
        <w:t xml:space="preserve">, 106–117. </w:t>
      </w:r>
      <w:hyperlink r:id="rId47" w:history="1">
        <w:r w:rsidRPr="000928FE">
          <w:rPr>
            <w:rStyle w:val="Hyperlink"/>
            <w:rFonts w:ascii="Calibri" w:hAnsi="Calibri" w:cs="Calibri"/>
            <w:sz w:val="24"/>
            <w:szCs w:val="24"/>
          </w:rPr>
          <w:t>https://doi.org/10.1016/j.ijnurstu.2018.01.006</w:t>
        </w:r>
      </w:hyperlink>
    </w:p>
    <w:p w14:paraId="7689B363"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Obazuaye, C. O. (2024). Defining human resource development: an integrative literature review. </w:t>
      </w:r>
      <w:r w:rsidRPr="000928FE">
        <w:rPr>
          <w:rFonts w:ascii="Calibri" w:hAnsi="Calibri" w:cs="Calibri"/>
          <w:i/>
          <w:iCs/>
          <w:sz w:val="24"/>
          <w:szCs w:val="24"/>
        </w:rPr>
        <w:t>European Journal of Training and Development</w:t>
      </w:r>
      <w:r w:rsidRPr="000928FE">
        <w:rPr>
          <w:rFonts w:ascii="Calibri" w:hAnsi="Calibri" w:cs="Calibri"/>
          <w:sz w:val="24"/>
          <w:szCs w:val="24"/>
        </w:rPr>
        <w:t xml:space="preserve">, </w:t>
      </w:r>
      <w:r w:rsidRPr="000928FE">
        <w:rPr>
          <w:rFonts w:ascii="Calibri" w:hAnsi="Calibri" w:cs="Calibri"/>
          <w:i/>
          <w:iCs/>
          <w:sz w:val="24"/>
          <w:szCs w:val="24"/>
        </w:rPr>
        <w:t>48</w:t>
      </w:r>
      <w:r w:rsidRPr="000928FE">
        <w:rPr>
          <w:rFonts w:ascii="Calibri" w:hAnsi="Calibri" w:cs="Calibri"/>
          <w:sz w:val="24"/>
          <w:szCs w:val="24"/>
        </w:rPr>
        <w:t xml:space="preserve">(10), 102–118. </w:t>
      </w:r>
      <w:hyperlink r:id="rId48" w:history="1">
        <w:r w:rsidRPr="000928FE">
          <w:rPr>
            <w:rStyle w:val="Hyperlink"/>
            <w:rFonts w:ascii="Calibri" w:hAnsi="Calibri" w:cs="Calibri"/>
            <w:sz w:val="24"/>
            <w:szCs w:val="24"/>
          </w:rPr>
          <w:t>https://doi.org/10.1108/ejtd-07-2024-0088</w:t>
        </w:r>
      </w:hyperlink>
    </w:p>
    <w:p w14:paraId="1BB3E064"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Ooms, A., Heaton-Shrestha, C., Connor, S., McCawley, S., McShannon, J., Music, G., &amp; Trainor, K. (2022). Enhancing the well-being of front-line healthcare professionals in high pressure clinical environments: A mixed-methods evaluative research project. </w:t>
      </w:r>
      <w:r w:rsidRPr="000928FE">
        <w:rPr>
          <w:rFonts w:ascii="Calibri" w:hAnsi="Calibri" w:cs="Calibri"/>
          <w:i/>
          <w:iCs/>
          <w:sz w:val="24"/>
          <w:szCs w:val="24"/>
        </w:rPr>
        <w:t>International Journal of Nursing Studies</w:t>
      </w:r>
      <w:r w:rsidRPr="000928FE">
        <w:rPr>
          <w:rFonts w:ascii="Calibri" w:hAnsi="Calibri" w:cs="Calibri"/>
          <w:sz w:val="24"/>
          <w:szCs w:val="24"/>
        </w:rPr>
        <w:t xml:space="preserve">, </w:t>
      </w:r>
      <w:r w:rsidRPr="000928FE">
        <w:rPr>
          <w:rFonts w:ascii="Calibri" w:hAnsi="Calibri" w:cs="Calibri"/>
          <w:i/>
          <w:iCs/>
          <w:sz w:val="24"/>
          <w:szCs w:val="24"/>
        </w:rPr>
        <w:t>132</w:t>
      </w:r>
      <w:r w:rsidRPr="000928FE">
        <w:rPr>
          <w:rFonts w:ascii="Calibri" w:hAnsi="Calibri" w:cs="Calibri"/>
          <w:sz w:val="24"/>
          <w:szCs w:val="24"/>
        </w:rPr>
        <w:t xml:space="preserve">(1), 104257. </w:t>
      </w:r>
      <w:hyperlink r:id="rId49" w:history="1">
        <w:r w:rsidRPr="000928FE">
          <w:rPr>
            <w:rStyle w:val="Hyperlink"/>
            <w:rFonts w:ascii="Calibri" w:hAnsi="Calibri" w:cs="Calibri"/>
            <w:sz w:val="24"/>
            <w:szCs w:val="24"/>
          </w:rPr>
          <w:t>https://doi.org/10.1016/j.ijnurstu.2022.104257</w:t>
        </w:r>
      </w:hyperlink>
    </w:p>
    <w:p w14:paraId="5EB426E1" w14:textId="77777777" w:rsidR="000928FE" w:rsidRPr="000928FE" w:rsidRDefault="000928FE" w:rsidP="005B3476">
      <w:pPr>
        <w:spacing w:line="360" w:lineRule="auto"/>
        <w:ind w:left="720" w:hanging="720"/>
        <w:rPr>
          <w:rFonts w:ascii="Calibri" w:hAnsi="Calibri" w:cs="Calibri"/>
          <w:sz w:val="24"/>
          <w:szCs w:val="24"/>
          <w:lang w:eastAsia="en-GB"/>
        </w:rPr>
      </w:pPr>
      <w:r w:rsidRPr="000928FE">
        <w:rPr>
          <w:rFonts w:ascii="Calibri" w:hAnsi="Calibri" w:cs="Calibri"/>
          <w:sz w:val="24"/>
          <w:szCs w:val="24"/>
          <w:lang w:eastAsia="en-GB"/>
        </w:rPr>
        <w:t xml:space="preserve">Pietrantonio, F., Brunelli, G., Vassallo, G. A., Moriconi, L., Signorini, A., &amp; Moriconi, A. (2025). Age diversity management in healthcare: leveraging generational differences with an inclusive approach. </w:t>
      </w:r>
      <w:r w:rsidRPr="000928FE">
        <w:rPr>
          <w:rFonts w:ascii="Calibri" w:hAnsi="Calibri" w:cs="Calibri"/>
          <w:i/>
          <w:iCs/>
          <w:sz w:val="24"/>
          <w:szCs w:val="24"/>
          <w:lang w:eastAsia="en-GB"/>
        </w:rPr>
        <w:t>Italian Journal of Medicine</w:t>
      </w:r>
      <w:r w:rsidRPr="000928FE">
        <w:rPr>
          <w:rFonts w:ascii="Calibri" w:hAnsi="Calibri" w:cs="Calibri"/>
          <w:sz w:val="24"/>
          <w:szCs w:val="24"/>
          <w:lang w:eastAsia="en-GB"/>
        </w:rPr>
        <w:t xml:space="preserve">. </w:t>
      </w:r>
      <w:hyperlink r:id="rId50" w:history="1">
        <w:r w:rsidRPr="000928FE">
          <w:rPr>
            <w:rStyle w:val="Hyperlink"/>
            <w:rFonts w:ascii="Calibri" w:hAnsi="Calibri" w:cs="Calibri"/>
            <w:sz w:val="24"/>
            <w:szCs w:val="24"/>
            <w:lang w:eastAsia="en-GB"/>
          </w:rPr>
          <w:t>https://doi.org/10.4081/itjm.2025.2074</w:t>
        </w:r>
      </w:hyperlink>
    </w:p>
    <w:p w14:paraId="40447BAD"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Powell, C., Brown, T., Yap, Y., Hallam, K., Takac, M., Quinlivan, T., Xenos, S., &amp; Karimi, L. (2024). Emotional intelligence training among the healthcare workforce: a systematic review and meta-analysis. </w:t>
      </w:r>
      <w:r w:rsidRPr="000928FE">
        <w:rPr>
          <w:rFonts w:ascii="Calibri" w:hAnsi="Calibri" w:cs="Calibri"/>
          <w:i/>
          <w:iCs/>
          <w:sz w:val="24"/>
          <w:szCs w:val="24"/>
        </w:rPr>
        <w:t>Frontiers in Psychology</w:t>
      </w:r>
      <w:r w:rsidRPr="000928FE">
        <w:rPr>
          <w:rFonts w:ascii="Calibri" w:hAnsi="Calibri" w:cs="Calibri"/>
          <w:sz w:val="24"/>
          <w:szCs w:val="24"/>
        </w:rPr>
        <w:t xml:space="preserve">, </w:t>
      </w:r>
      <w:r w:rsidRPr="000928FE">
        <w:rPr>
          <w:rFonts w:ascii="Calibri" w:hAnsi="Calibri" w:cs="Calibri"/>
          <w:i/>
          <w:iCs/>
          <w:sz w:val="24"/>
          <w:szCs w:val="24"/>
        </w:rPr>
        <w:t>15</w:t>
      </w:r>
      <w:r w:rsidRPr="000928FE">
        <w:rPr>
          <w:rFonts w:ascii="Calibri" w:hAnsi="Calibri" w:cs="Calibri"/>
          <w:sz w:val="24"/>
          <w:szCs w:val="24"/>
        </w:rPr>
        <w:t xml:space="preserve">. </w:t>
      </w:r>
      <w:hyperlink r:id="rId51" w:history="1">
        <w:r w:rsidRPr="000928FE">
          <w:rPr>
            <w:rStyle w:val="Hyperlink"/>
            <w:rFonts w:ascii="Calibri" w:hAnsi="Calibri" w:cs="Calibri"/>
            <w:sz w:val="24"/>
            <w:szCs w:val="24"/>
          </w:rPr>
          <w:t>https://doi.org/10.3389/fpsyg.2024.1437035</w:t>
        </w:r>
      </w:hyperlink>
    </w:p>
    <w:p w14:paraId="1E4971F1"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Purser, R. (2019). </w:t>
      </w:r>
      <w:proofErr w:type="spellStart"/>
      <w:r w:rsidRPr="000928FE">
        <w:rPr>
          <w:rFonts w:ascii="Calibri" w:hAnsi="Calibri" w:cs="Calibri"/>
          <w:i/>
          <w:iCs/>
          <w:sz w:val="24"/>
          <w:szCs w:val="24"/>
        </w:rPr>
        <w:t>McMindfulness</w:t>
      </w:r>
      <w:proofErr w:type="spellEnd"/>
      <w:r w:rsidRPr="000928FE">
        <w:rPr>
          <w:rFonts w:ascii="Calibri" w:hAnsi="Calibri" w:cs="Calibri"/>
          <w:i/>
          <w:iCs/>
          <w:sz w:val="24"/>
          <w:szCs w:val="24"/>
        </w:rPr>
        <w:t>: How mindfulness became the new capitalist spirituality</w:t>
      </w:r>
      <w:r w:rsidRPr="000928FE">
        <w:rPr>
          <w:rFonts w:ascii="Calibri" w:hAnsi="Calibri" w:cs="Calibri"/>
          <w:sz w:val="24"/>
          <w:szCs w:val="24"/>
        </w:rPr>
        <w:t>. Repeater Books.</w:t>
      </w:r>
    </w:p>
    <w:p w14:paraId="02A4F914" w14:textId="77777777" w:rsidR="000928FE" w:rsidRPr="000928FE" w:rsidRDefault="000928FE" w:rsidP="005B3476">
      <w:pPr>
        <w:spacing w:line="360" w:lineRule="auto"/>
        <w:ind w:left="720" w:hanging="720"/>
        <w:rPr>
          <w:rFonts w:ascii="Calibri" w:hAnsi="Calibri" w:cs="Calibri"/>
          <w:sz w:val="24"/>
          <w:szCs w:val="24"/>
          <w:lang w:eastAsia="en-GB"/>
        </w:rPr>
      </w:pPr>
      <w:proofErr w:type="spellStart"/>
      <w:r w:rsidRPr="000928FE">
        <w:rPr>
          <w:rFonts w:ascii="Calibri" w:hAnsi="Calibri" w:cs="Calibri"/>
          <w:sz w:val="24"/>
          <w:szCs w:val="24"/>
          <w:lang w:eastAsia="en-GB"/>
        </w:rPr>
        <w:lastRenderedPageBreak/>
        <w:t>Rawhia</w:t>
      </w:r>
      <w:proofErr w:type="spellEnd"/>
      <w:r w:rsidRPr="000928FE">
        <w:rPr>
          <w:rFonts w:ascii="Calibri" w:hAnsi="Calibri" w:cs="Calibri"/>
          <w:sz w:val="24"/>
          <w:szCs w:val="24"/>
          <w:lang w:eastAsia="en-GB"/>
        </w:rPr>
        <w:t xml:space="preserve"> Salah Dogham, </w:t>
      </w:r>
      <w:proofErr w:type="spellStart"/>
      <w:r w:rsidRPr="000928FE">
        <w:rPr>
          <w:rFonts w:ascii="Calibri" w:hAnsi="Calibri" w:cs="Calibri"/>
          <w:sz w:val="24"/>
          <w:szCs w:val="24"/>
          <w:lang w:eastAsia="en-GB"/>
        </w:rPr>
        <w:t>Elcokany</w:t>
      </w:r>
      <w:proofErr w:type="spellEnd"/>
      <w:r w:rsidRPr="000928FE">
        <w:rPr>
          <w:rFonts w:ascii="Calibri" w:hAnsi="Calibri" w:cs="Calibri"/>
          <w:sz w:val="24"/>
          <w:szCs w:val="24"/>
          <w:lang w:eastAsia="en-GB"/>
        </w:rPr>
        <w:t xml:space="preserve">, N. M., Ghaly, A. S., Ayman Mohamed El-Ashry, &amp; Ali. (2025). Emotional intelligence and reflective thinking: a synergistic approach in nursing education. </w:t>
      </w:r>
      <w:r w:rsidRPr="000928FE">
        <w:rPr>
          <w:rFonts w:ascii="Calibri" w:hAnsi="Calibri" w:cs="Calibri"/>
          <w:i/>
          <w:iCs/>
          <w:sz w:val="24"/>
          <w:szCs w:val="24"/>
          <w:lang w:eastAsia="en-GB"/>
        </w:rPr>
        <w:t>BMC Nursing</w:t>
      </w:r>
      <w:r w:rsidRPr="000928FE">
        <w:rPr>
          <w:rFonts w:ascii="Calibri" w:hAnsi="Calibri" w:cs="Calibri"/>
          <w:sz w:val="24"/>
          <w:szCs w:val="24"/>
          <w:lang w:eastAsia="en-GB"/>
        </w:rPr>
        <w:t xml:space="preserve">, </w:t>
      </w:r>
      <w:r w:rsidRPr="000928FE">
        <w:rPr>
          <w:rFonts w:ascii="Calibri" w:hAnsi="Calibri" w:cs="Calibri"/>
          <w:i/>
          <w:iCs/>
          <w:sz w:val="24"/>
          <w:szCs w:val="24"/>
          <w:lang w:eastAsia="en-GB"/>
        </w:rPr>
        <w:t>24</w:t>
      </w:r>
      <w:r w:rsidRPr="000928FE">
        <w:rPr>
          <w:rFonts w:ascii="Calibri" w:hAnsi="Calibri" w:cs="Calibri"/>
          <w:sz w:val="24"/>
          <w:szCs w:val="24"/>
          <w:lang w:eastAsia="en-GB"/>
        </w:rPr>
        <w:t xml:space="preserve">(1). </w:t>
      </w:r>
      <w:hyperlink r:id="rId52" w:history="1">
        <w:r w:rsidRPr="000928FE">
          <w:rPr>
            <w:rStyle w:val="Hyperlink"/>
            <w:rFonts w:ascii="Calibri" w:hAnsi="Calibri" w:cs="Calibri"/>
            <w:sz w:val="24"/>
            <w:szCs w:val="24"/>
            <w:lang w:eastAsia="en-GB"/>
          </w:rPr>
          <w:t>https://doi.org/10.1186/s12912-025-03175-w</w:t>
        </w:r>
      </w:hyperlink>
    </w:p>
    <w:p w14:paraId="0DF43588"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Rodríguez-Ledo, C., </w:t>
      </w:r>
      <w:proofErr w:type="spellStart"/>
      <w:r w:rsidRPr="000928FE">
        <w:rPr>
          <w:rFonts w:ascii="Calibri" w:hAnsi="Calibri" w:cs="Calibri"/>
          <w:sz w:val="24"/>
          <w:szCs w:val="24"/>
        </w:rPr>
        <w:t>Orejudo</w:t>
      </w:r>
      <w:proofErr w:type="spellEnd"/>
      <w:r w:rsidRPr="000928FE">
        <w:rPr>
          <w:rFonts w:ascii="Calibri" w:hAnsi="Calibri" w:cs="Calibri"/>
          <w:sz w:val="24"/>
          <w:szCs w:val="24"/>
        </w:rPr>
        <w:t xml:space="preserve">, S., Cardoso, M. J., Balaguer, Á., &amp; Zarza-Alzugaray, J. (2018). Emotional Intelligence and Mindfulness: Relation and Enhancement in the Classroom </w:t>
      </w:r>
      <w:proofErr w:type="gramStart"/>
      <w:r w:rsidRPr="000928FE">
        <w:rPr>
          <w:rFonts w:ascii="Calibri" w:hAnsi="Calibri" w:cs="Calibri"/>
          <w:sz w:val="24"/>
          <w:szCs w:val="24"/>
        </w:rPr>
        <w:t>With</w:t>
      </w:r>
      <w:proofErr w:type="gramEnd"/>
      <w:r w:rsidRPr="000928FE">
        <w:rPr>
          <w:rFonts w:ascii="Calibri" w:hAnsi="Calibri" w:cs="Calibri"/>
          <w:sz w:val="24"/>
          <w:szCs w:val="24"/>
        </w:rPr>
        <w:t xml:space="preserve"> Adolescents. </w:t>
      </w:r>
      <w:r w:rsidRPr="000928FE">
        <w:rPr>
          <w:rFonts w:ascii="Calibri" w:hAnsi="Calibri" w:cs="Calibri"/>
          <w:i/>
          <w:iCs/>
          <w:sz w:val="24"/>
          <w:szCs w:val="24"/>
        </w:rPr>
        <w:t>Frontiers in Psychology</w:t>
      </w:r>
      <w:r w:rsidRPr="000928FE">
        <w:rPr>
          <w:rFonts w:ascii="Calibri" w:hAnsi="Calibri" w:cs="Calibri"/>
          <w:sz w:val="24"/>
          <w:szCs w:val="24"/>
        </w:rPr>
        <w:t xml:space="preserve">, </w:t>
      </w:r>
      <w:r w:rsidRPr="000928FE">
        <w:rPr>
          <w:rFonts w:ascii="Calibri" w:hAnsi="Calibri" w:cs="Calibri"/>
          <w:i/>
          <w:iCs/>
          <w:sz w:val="24"/>
          <w:szCs w:val="24"/>
        </w:rPr>
        <w:t>9</w:t>
      </w:r>
      <w:r w:rsidRPr="000928FE">
        <w:rPr>
          <w:rFonts w:ascii="Calibri" w:hAnsi="Calibri" w:cs="Calibri"/>
          <w:sz w:val="24"/>
          <w:szCs w:val="24"/>
        </w:rPr>
        <w:t xml:space="preserve">. </w:t>
      </w:r>
      <w:hyperlink r:id="rId53" w:history="1">
        <w:r w:rsidRPr="000928FE">
          <w:rPr>
            <w:rStyle w:val="Hyperlink"/>
            <w:rFonts w:ascii="Calibri" w:hAnsi="Calibri" w:cs="Calibri"/>
            <w:sz w:val="24"/>
            <w:szCs w:val="24"/>
          </w:rPr>
          <w:t>https://doi.org/10.3389/fpsyg.2018.02162</w:t>
        </w:r>
      </w:hyperlink>
    </w:p>
    <w:p w14:paraId="6CB65DE6"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Royal College of Nursing. (2020). </w:t>
      </w:r>
      <w:r w:rsidRPr="000928FE">
        <w:rPr>
          <w:rFonts w:ascii="Calibri" w:hAnsi="Calibri" w:cs="Calibri"/>
          <w:i/>
          <w:iCs/>
          <w:sz w:val="24"/>
          <w:szCs w:val="24"/>
        </w:rPr>
        <w:t>The nursing workforce | Royal College of Nursing</w:t>
      </w:r>
      <w:r w:rsidRPr="000928FE">
        <w:rPr>
          <w:rFonts w:ascii="Calibri" w:hAnsi="Calibri" w:cs="Calibri"/>
          <w:sz w:val="24"/>
          <w:szCs w:val="24"/>
        </w:rPr>
        <w:t xml:space="preserve">. The Royal College of Nursing. </w:t>
      </w:r>
      <w:hyperlink r:id="rId54" w:history="1">
        <w:r w:rsidRPr="000928FE">
          <w:rPr>
            <w:rStyle w:val="Hyperlink"/>
            <w:rFonts w:ascii="Calibri" w:hAnsi="Calibri" w:cs="Calibri"/>
            <w:sz w:val="24"/>
            <w:szCs w:val="24"/>
          </w:rPr>
          <w:t>https://www.rcn.org.uk/Professional-Development/The-*nursing-workforce</w:t>
        </w:r>
      </w:hyperlink>
    </w:p>
    <w:p w14:paraId="2B3D39F1"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Salameh-</w:t>
      </w:r>
      <w:proofErr w:type="spellStart"/>
      <w:r w:rsidRPr="000928FE">
        <w:rPr>
          <w:rFonts w:ascii="Calibri" w:hAnsi="Calibri" w:cs="Calibri"/>
          <w:sz w:val="24"/>
          <w:szCs w:val="24"/>
        </w:rPr>
        <w:t>Ayanian</w:t>
      </w:r>
      <w:proofErr w:type="spellEnd"/>
      <w:r w:rsidRPr="000928FE">
        <w:rPr>
          <w:rFonts w:ascii="Calibri" w:hAnsi="Calibri" w:cs="Calibri"/>
          <w:sz w:val="24"/>
          <w:szCs w:val="24"/>
        </w:rPr>
        <w:t xml:space="preserve">, M., Tamer, N., &amp; Maalouf, A. (2025). The Importance of Emotional Intelligence in Managers and Its Impact on Employee Performance Amid Turbulent Times. </w:t>
      </w:r>
      <w:r w:rsidRPr="000928FE">
        <w:rPr>
          <w:rFonts w:ascii="Calibri" w:hAnsi="Calibri" w:cs="Calibri"/>
          <w:i/>
          <w:iCs/>
          <w:sz w:val="24"/>
          <w:szCs w:val="24"/>
        </w:rPr>
        <w:t>Administrative Sciences</w:t>
      </w:r>
      <w:r w:rsidRPr="000928FE">
        <w:rPr>
          <w:rFonts w:ascii="Calibri" w:hAnsi="Calibri" w:cs="Calibri"/>
          <w:sz w:val="24"/>
          <w:szCs w:val="24"/>
        </w:rPr>
        <w:t xml:space="preserve">, </w:t>
      </w:r>
      <w:r w:rsidRPr="000928FE">
        <w:rPr>
          <w:rFonts w:ascii="Calibri" w:hAnsi="Calibri" w:cs="Calibri"/>
          <w:i/>
          <w:iCs/>
          <w:sz w:val="24"/>
          <w:szCs w:val="24"/>
        </w:rPr>
        <w:t>15</w:t>
      </w:r>
      <w:r w:rsidRPr="000928FE">
        <w:rPr>
          <w:rFonts w:ascii="Calibri" w:hAnsi="Calibri" w:cs="Calibri"/>
          <w:sz w:val="24"/>
          <w:szCs w:val="24"/>
        </w:rPr>
        <w:t xml:space="preserve">(8), 300. </w:t>
      </w:r>
      <w:hyperlink r:id="rId55" w:history="1">
        <w:r w:rsidRPr="000928FE">
          <w:rPr>
            <w:rStyle w:val="Hyperlink"/>
            <w:rFonts w:ascii="Calibri" w:hAnsi="Calibri" w:cs="Calibri"/>
            <w:sz w:val="24"/>
            <w:szCs w:val="24"/>
          </w:rPr>
          <w:t>https://doi.org/10.3390/admsci15080300</w:t>
        </w:r>
      </w:hyperlink>
    </w:p>
    <w:p w14:paraId="66E48FEA"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Samu, J., Yang, C., &amp; Winter, S. R. (2025). Assessing the role of emotional intelligence in </w:t>
      </w:r>
      <w:proofErr w:type="spellStart"/>
      <w:r w:rsidRPr="000928FE">
        <w:rPr>
          <w:rFonts w:ascii="Calibri" w:hAnsi="Calibri" w:cs="Calibri"/>
          <w:sz w:val="24"/>
          <w:szCs w:val="24"/>
        </w:rPr>
        <w:t>risk</w:t>
      </w:r>
      <w:proofErr w:type="spellEnd"/>
      <w:r w:rsidRPr="000928FE">
        <w:rPr>
          <w:rFonts w:ascii="Calibri" w:hAnsi="Calibri" w:cs="Calibri"/>
          <w:sz w:val="24"/>
          <w:szCs w:val="24"/>
        </w:rPr>
        <w:t xml:space="preserve"> </w:t>
      </w:r>
      <w:proofErr w:type="spellStart"/>
      <w:r w:rsidRPr="000928FE">
        <w:rPr>
          <w:rFonts w:ascii="Calibri" w:hAnsi="Calibri" w:cs="Calibri"/>
          <w:sz w:val="24"/>
          <w:szCs w:val="24"/>
        </w:rPr>
        <w:t>behavior</w:t>
      </w:r>
      <w:proofErr w:type="spellEnd"/>
      <w:r w:rsidRPr="000928FE">
        <w:rPr>
          <w:rFonts w:ascii="Calibri" w:hAnsi="Calibri" w:cs="Calibri"/>
          <w:sz w:val="24"/>
          <w:szCs w:val="24"/>
        </w:rPr>
        <w:t xml:space="preserve"> across safety critical environments: A systematic review. </w:t>
      </w:r>
      <w:r w:rsidRPr="000928FE">
        <w:rPr>
          <w:rFonts w:ascii="Calibri" w:hAnsi="Calibri" w:cs="Calibri"/>
          <w:i/>
          <w:iCs/>
          <w:sz w:val="24"/>
          <w:szCs w:val="24"/>
        </w:rPr>
        <w:t>Transportation Research Interdisciplinary Perspectives</w:t>
      </w:r>
      <w:r w:rsidRPr="000928FE">
        <w:rPr>
          <w:rFonts w:ascii="Calibri" w:hAnsi="Calibri" w:cs="Calibri"/>
          <w:sz w:val="24"/>
          <w:szCs w:val="24"/>
        </w:rPr>
        <w:t xml:space="preserve">, </w:t>
      </w:r>
      <w:r w:rsidRPr="000928FE">
        <w:rPr>
          <w:rFonts w:ascii="Calibri" w:hAnsi="Calibri" w:cs="Calibri"/>
          <w:i/>
          <w:iCs/>
          <w:sz w:val="24"/>
          <w:szCs w:val="24"/>
        </w:rPr>
        <w:t>33</w:t>
      </w:r>
      <w:r w:rsidRPr="000928FE">
        <w:rPr>
          <w:rFonts w:ascii="Calibri" w:hAnsi="Calibri" w:cs="Calibri"/>
          <w:sz w:val="24"/>
          <w:szCs w:val="24"/>
        </w:rPr>
        <w:t xml:space="preserve">, 101627. </w:t>
      </w:r>
      <w:hyperlink r:id="rId56" w:history="1">
        <w:r w:rsidRPr="000928FE">
          <w:rPr>
            <w:rStyle w:val="Hyperlink"/>
            <w:rFonts w:ascii="Calibri" w:hAnsi="Calibri" w:cs="Calibri"/>
            <w:sz w:val="24"/>
            <w:szCs w:val="24"/>
          </w:rPr>
          <w:t>https://doi.org/10.1016/j.trip.2025.101627</w:t>
        </w:r>
      </w:hyperlink>
    </w:p>
    <w:p w14:paraId="6971FB24"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Seda Tek Sevindik, &amp; Sercan </w:t>
      </w:r>
      <w:proofErr w:type="spellStart"/>
      <w:r w:rsidRPr="000928FE">
        <w:rPr>
          <w:rFonts w:ascii="Calibri" w:hAnsi="Calibri" w:cs="Calibri"/>
          <w:sz w:val="24"/>
          <w:szCs w:val="24"/>
        </w:rPr>
        <w:t>Mansuroğlu</w:t>
      </w:r>
      <w:proofErr w:type="spellEnd"/>
      <w:r w:rsidRPr="000928FE">
        <w:rPr>
          <w:rFonts w:ascii="Calibri" w:hAnsi="Calibri" w:cs="Calibri"/>
          <w:sz w:val="24"/>
          <w:szCs w:val="24"/>
        </w:rPr>
        <w:t xml:space="preserve">. (2025). The transformation brought by stress management training based on Bar-On’s mixed model of emotional intelligence in nursing students: a qualitative study. </w:t>
      </w:r>
      <w:r w:rsidRPr="000928FE">
        <w:rPr>
          <w:rFonts w:ascii="Calibri" w:hAnsi="Calibri" w:cs="Calibri"/>
          <w:i/>
          <w:iCs/>
          <w:sz w:val="24"/>
          <w:szCs w:val="24"/>
        </w:rPr>
        <w:t>BMC Nursing</w:t>
      </w:r>
      <w:r w:rsidRPr="000928FE">
        <w:rPr>
          <w:rFonts w:ascii="Calibri" w:hAnsi="Calibri" w:cs="Calibri"/>
          <w:sz w:val="24"/>
          <w:szCs w:val="24"/>
        </w:rPr>
        <w:t xml:space="preserve">, </w:t>
      </w:r>
      <w:r w:rsidRPr="000928FE">
        <w:rPr>
          <w:rFonts w:ascii="Calibri" w:hAnsi="Calibri" w:cs="Calibri"/>
          <w:i/>
          <w:iCs/>
          <w:sz w:val="24"/>
          <w:szCs w:val="24"/>
        </w:rPr>
        <w:t>24</w:t>
      </w:r>
      <w:r w:rsidRPr="000928FE">
        <w:rPr>
          <w:rFonts w:ascii="Calibri" w:hAnsi="Calibri" w:cs="Calibri"/>
          <w:sz w:val="24"/>
          <w:szCs w:val="24"/>
        </w:rPr>
        <w:t xml:space="preserve">(1). </w:t>
      </w:r>
      <w:hyperlink r:id="rId57" w:history="1">
        <w:r w:rsidRPr="000928FE">
          <w:rPr>
            <w:rStyle w:val="Hyperlink"/>
            <w:rFonts w:ascii="Calibri" w:hAnsi="Calibri" w:cs="Calibri"/>
            <w:sz w:val="24"/>
            <w:szCs w:val="24"/>
          </w:rPr>
          <w:t>https://doi.org/10.1186/s12912-025-03913-0</w:t>
        </w:r>
      </w:hyperlink>
    </w:p>
    <w:p w14:paraId="54BC8CF0"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Strifler, L., Barnsley, J. M., Hillmer, M., &amp; Straus, S. E. (2020). Identifying and selecting implementation theories, models and frameworks: a qualitative study to inform the development of a decision support tool. </w:t>
      </w:r>
      <w:r w:rsidRPr="000928FE">
        <w:rPr>
          <w:rFonts w:ascii="Calibri" w:hAnsi="Calibri" w:cs="Calibri"/>
          <w:i/>
          <w:iCs/>
          <w:sz w:val="24"/>
          <w:szCs w:val="24"/>
        </w:rPr>
        <w:t>BMC Medical Informatics and Decision Making</w:t>
      </w:r>
      <w:r w:rsidRPr="000928FE">
        <w:rPr>
          <w:rFonts w:ascii="Calibri" w:hAnsi="Calibri" w:cs="Calibri"/>
          <w:sz w:val="24"/>
          <w:szCs w:val="24"/>
        </w:rPr>
        <w:t xml:space="preserve">, </w:t>
      </w:r>
      <w:r w:rsidRPr="000928FE">
        <w:rPr>
          <w:rFonts w:ascii="Calibri" w:hAnsi="Calibri" w:cs="Calibri"/>
          <w:i/>
          <w:iCs/>
          <w:sz w:val="24"/>
          <w:szCs w:val="24"/>
        </w:rPr>
        <w:t>20</w:t>
      </w:r>
      <w:r w:rsidRPr="000928FE">
        <w:rPr>
          <w:rFonts w:ascii="Calibri" w:hAnsi="Calibri" w:cs="Calibri"/>
          <w:sz w:val="24"/>
          <w:szCs w:val="24"/>
        </w:rPr>
        <w:t xml:space="preserve">(1). </w:t>
      </w:r>
      <w:hyperlink r:id="rId58" w:history="1">
        <w:r w:rsidRPr="000928FE">
          <w:rPr>
            <w:rStyle w:val="Hyperlink"/>
            <w:rFonts w:ascii="Calibri" w:hAnsi="Calibri" w:cs="Calibri"/>
            <w:sz w:val="24"/>
            <w:szCs w:val="24"/>
          </w:rPr>
          <w:t>https://doi.org/10.1186/s12911-020-01128-8</w:t>
        </w:r>
      </w:hyperlink>
    </w:p>
    <w:p w14:paraId="6077AC80"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Stuart-Edwards, A., MacDonald, A., &amp; Ansari, M. A. (2023). Twenty years of research on mindfulness at work: A structured literature review. </w:t>
      </w:r>
      <w:r w:rsidRPr="000928FE">
        <w:rPr>
          <w:rFonts w:ascii="Calibri" w:hAnsi="Calibri" w:cs="Calibri"/>
          <w:i/>
          <w:iCs/>
          <w:sz w:val="24"/>
          <w:szCs w:val="24"/>
        </w:rPr>
        <w:t>Journal of Business Research</w:t>
      </w:r>
      <w:r w:rsidRPr="000928FE">
        <w:rPr>
          <w:rFonts w:ascii="Calibri" w:hAnsi="Calibri" w:cs="Calibri"/>
          <w:sz w:val="24"/>
          <w:szCs w:val="24"/>
        </w:rPr>
        <w:t xml:space="preserve">, </w:t>
      </w:r>
      <w:r w:rsidRPr="000928FE">
        <w:rPr>
          <w:rFonts w:ascii="Calibri" w:hAnsi="Calibri" w:cs="Calibri"/>
          <w:i/>
          <w:iCs/>
          <w:sz w:val="24"/>
          <w:szCs w:val="24"/>
        </w:rPr>
        <w:t>169</w:t>
      </w:r>
      <w:r w:rsidRPr="000928FE">
        <w:rPr>
          <w:rFonts w:ascii="Calibri" w:hAnsi="Calibri" w:cs="Calibri"/>
          <w:sz w:val="24"/>
          <w:szCs w:val="24"/>
        </w:rPr>
        <w:t xml:space="preserve">, 114285–114285. </w:t>
      </w:r>
      <w:hyperlink r:id="rId59" w:history="1">
        <w:r w:rsidRPr="000928FE">
          <w:rPr>
            <w:rStyle w:val="Hyperlink"/>
            <w:rFonts w:ascii="Calibri" w:hAnsi="Calibri" w:cs="Calibri"/>
            <w:sz w:val="24"/>
            <w:szCs w:val="24"/>
          </w:rPr>
          <w:t>https://doi.org/10.1016/j.jbusres.2023.114285</w:t>
        </w:r>
      </w:hyperlink>
    </w:p>
    <w:p w14:paraId="6A21981E" w14:textId="77777777" w:rsidR="000928FE" w:rsidRPr="000928FE" w:rsidRDefault="000928FE" w:rsidP="005B3476">
      <w:pPr>
        <w:spacing w:line="360" w:lineRule="auto"/>
        <w:ind w:left="720" w:hanging="720"/>
        <w:rPr>
          <w:rFonts w:ascii="Calibri" w:hAnsi="Calibri" w:cs="Calibri"/>
          <w:sz w:val="24"/>
          <w:szCs w:val="24"/>
        </w:rPr>
      </w:pPr>
      <w:proofErr w:type="spellStart"/>
      <w:r w:rsidRPr="000928FE">
        <w:rPr>
          <w:rFonts w:ascii="Calibri" w:hAnsi="Calibri" w:cs="Calibri"/>
          <w:sz w:val="24"/>
          <w:szCs w:val="24"/>
        </w:rPr>
        <w:lastRenderedPageBreak/>
        <w:t>Turjuman</w:t>
      </w:r>
      <w:proofErr w:type="spellEnd"/>
      <w:r w:rsidRPr="000928FE">
        <w:rPr>
          <w:rFonts w:ascii="Calibri" w:hAnsi="Calibri" w:cs="Calibri"/>
          <w:sz w:val="24"/>
          <w:szCs w:val="24"/>
        </w:rPr>
        <w:t xml:space="preserve">, F., &amp; </w:t>
      </w:r>
      <w:proofErr w:type="spellStart"/>
      <w:r w:rsidRPr="000928FE">
        <w:rPr>
          <w:rFonts w:ascii="Calibri" w:hAnsi="Calibri" w:cs="Calibri"/>
          <w:sz w:val="24"/>
          <w:szCs w:val="24"/>
        </w:rPr>
        <w:t>Alilyyani</w:t>
      </w:r>
      <w:proofErr w:type="spellEnd"/>
      <w:r w:rsidRPr="000928FE">
        <w:rPr>
          <w:rFonts w:ascii="Calibri" w:hAnsi="Calibri" w:cs="Calibri"/>
          <w:sz w:val="24"/>
          <w:szCs w:val="24"/>
        </w:rPr>
        <w:t xml:space="preserve">, B. (2023). Emotional Intelligence among Nurses and Its Relationship with Their Performance and Work Engagement: A Cross-Sectional Study. </w:t>
      </w:r>
      <w:r w:rsidRPr="000928FE">
        <w:rPr>
          <w:rFonts w:ascii="Calibri" w:hAnsi="Calibri" w:cs="Calibri"/>
          <w:i/>
          <w:iCs/>
          <w:sz w:val="24"/>
          <w:szCs w:val="24"/>
        </w:rPr>
        <w:t>Journal of Nursing Management</w:t>
      </w:r>
      <w:r w:rsidRPr="000928FE">
        <w:rPr>
          <w:rFonts w:ascii="Calibri" w:hAnsi="Calibri" w:cs="Calibri"/>
          <w:sz w:val="24"/>
          <w:szCs w:val="24"/>
        </w:rPr>
        <w:t xml:space="preserve">, </w:t>
      </w:r>
      <w:r w:rsidRPr="000928FE">
        <w:rPr>
          <w:rFonts w:ascii="Calibri" w:hAnsi="Calibri" w:cs="Calibri"/>
          <w:i/>
          <w:iCs/>
          <w:sz w:val="24"/>
          <w:szCs w:val="24"/>
        </w:rPr>
        <w:t>2023</w:t>
      </w:r>
      <w:r w:rsidRPr="000928FE">
        <w:rPr>
          <w:rFonts w:ascii="Calibri" w:hAnsi="Calibri" w:cs="Calibri"/>
          <w:sz w:val="24"/>
          <w:szCs w:val="24"/>
        </w:rPr>
        <w:t xml:space="preserve">(1), 1–8. </w:t>
      </w:r>
      <w:hyperlink r:id="rId60" w:history="1">
        <w:r w:rsidRPr="000928FE">
          <w:rPr>
            <w:rStyle w:val="Hyperlink"/>
            <w:rFonts w:ascii="Calibri" w:hAnsi="Calibri" w:cs="Calibri"/>
            <w:sz w:val="24"/>
            <w:szCs w:val="24"/>
          </w:rPr>
          <w:t>https://doi.org/10.1155/2023/5543299</w:t>
        </w:r>
      </w:hyperlink>
    </w:p>
    <w:p w14:paraId="25D5AD23"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Vali, S. M. K. (2025). The impact of emotional intelligence on leadership effectiveness and organizational performance. </w:t>
      </w:r>
      <w:r w:rsidRPr="000928FE">
        <w:rPr>
          <w:rFonts w:ascii="Calibri" w:hAnsi="Calibri" w:cs="Calibri"/>
          <w:i/>
          <w:iCs/>
          <w:sz w:val="24"/>
          <w:szCs w:val="24"/>
        </w:rPr>
        <w:t>Quality &amp; Quantity</w:t>
      </w:r>
      <w:r w:rsidRPr="000928FE">
        <w:rPr>
          <w:rFonts w:ascii="Calibri" w:hAnsi="Calibri" w:cs="Calibri"/>
          <w:sz w:val="24"/>
          <w:szCs w:val="24"/>
        </w:rPr>
        <w:t xml:space="preserve">. </w:t>
      </w:r>
      <w:hyperlink r:id="rId61" w:history="1">
        <w:r w:rsidRPr="000928FE">
          <w:rPr>
            <w:rStyle w:val="Hyperlink"/>
            <w:rFonts w:ascii="Calibri" w:hAnsi="Calibri" w:cs="Calibri"/>
            <w:sz w:val="24"/>
            <w:szCs w:val="24"/>
          </w:rPr>
          <w:t>https://doi.org/10.1007/s11135-025-02421-2</w:t>
        </w:r>
      </w:hyperlink>
    </w:p>
    <w:p w14:paraId="762E7423" w14:textId="77777777" w:rsidR="000928FE" w:rsidRPr="000928FE"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Weller, J. M., Mahajan, R., Williams, K. F., &amp; Webster, C. S. (2024). Teamwork matters: Team situation awareness to build high-performing healthcare teams, a narrative review. </w:t>
      </w:r>
      <w:r w:rsidRPr="000928FE">
        <w:rPr>
          <w:rFonts w:ascii="Calibri" w:hAnsi="Calibri" w:cs="Calibri"/>
          <w:i/>
          <w:iCs/>
          <w:sz w:val="24"/>
          <w:szCs w:val="24"/>
        </w:rPr>
        <w:t>British Journal of Anaesthesia</w:t>
      </w:r>
      <w:r w:rsidRPr="000928FE">
        <w:rPr>
          <w:rFonts w:ascii="Calibri" w:hAnsi="Calibri" w:cs="Calibri"/>
          <w:sz w:val="24"/>
          <w:szCs w:val="24"/>
        </w:rPr>
        <w:t xml:space="preserve">, </w:t>
      </w:r>
      <w:r w:rsidRPr="000928FE">
        <w:rPr>
          <w:rFonts w:ascii="Calibri" w:hAnsi="Calibri" w:cs="Calibri"/>
          <w:i/>
          <w:iCs/>
          <w:sz w:val="24"/>
          <w:szCs w:val="24"/>
        </w:rPr>
        <w:t>132</w:t>
      </w:r>
      <w:r w:rsidRPr="000928FE">
        <w:rPr>
          <w:rFonts w:ascii="Calibri" w:hAnsi="Calibri" w:cs="Calibri"/>
          <w:sz w:val="24"/>
          <w:szCs w:val="24"/>
        </w:rPr>
        <w:t xml:space="preserve">(4), 771–778. </w:t>
      </w:r>
      <w:hyperlink r:id="rId62" w:history="1">
        <w:r w:rsidRPr="000928FE">
          <w:rPr>
            <w:rStyle w:val="Hyperlink"/>
            <w:rFonts w:ascii="Calibri" w:hAnsi="Calibri" w:cs="Calibri"/>
            <w:sz w:val="24"/>
            <w:szCs w:val="24"/>
          </w:rPr>
          <w:t>https://doi.org/10.1016/j.bja.2023.12.035</w:t>
        </w:r>
      </w:hyperlink>
    </w:p>
    <w:p w14:paraId="08CE4A92" w14:textId="2FB3BE09" w:rsidR="002D6ABC" w:rsidRPr="002D6ABC" w:rsidRDefault="000928FE" w:rsidP="005B3476">
      <w:pPr>
        <w:spacing w:line="360" w:lineRule="auto"/>
        <w:ind w:left="720" w:hanging="720"/>
        <w:rPr>
          <w:rFonts w:ascii="Calibri" w:hAnsi="Calibri" w:cs="Calibri"/>
          <w:sz w:val="24"/>
          <w:szCs w:val="24"/>
        </w:rPr>
      </w:pPr>
      <w:r w:rsidRPr="000928FE">
        <w:rPr>
          <w:rFonts w:ascii="Calibri" w:hAnsi="Calibri" w:cs="Calibri"/>
          <w:sz w:val="24"/>
          <w:szCs w:val="24"/>
        </w:rPr>
        <w:t xml:space="preserve">West, M., Chowla, R., Eckert, R., &amp; Collins, B. (2017). </w:t>
      </w:r>
      <w:r w:rsidRPr="000928FE">
        <w:rPr>
          <w:rFonts w:ascii="Calibri" w:hAnsi="Calibri" w:cs="Calibri"/>
          <w:i/>
          <w:iCs/>
          <w:sz w:val="24"/>
          <w:szCs w:val="24"/>
        </w:rPr>
        <w:t xml:space="preserve">Caring to </w:t>
      </w:r>
      <w:proofErr w:type="gramStart"/>
      <w:r w:rsidRPr="000928FE">
        <w:rPr>
          <w:rFonts w:ascii="Calibri" w:hAnsi="Calibri" w:cs="Calibri"/>
          <w:i/>
          <w:iCs/>
          <w:sz w:val="24"/>
          <w:szCs w:val="24"/>
        </w:rPr>
        <w:t>change:</w:t>
      </w:r>
      <w:proofErr w:type="gramEnd"/>
      <w:r w:rsidRPr="000928FE">
        <w:rPr>
          <w:rFonts w:ascii="Calibri" w:hAnsi="Calibri" w:cs="Calibri"/>
          <w:i/>
          <w:iCs/>
          <w:sz w:val="24"/>
          <w:szCs w:val="24"/>
        </w:rPr>
        <w:t xml:space="preserve"> how compassionate leadership can stimulate innovation in health care</w:t>
      </w:r>
      <w:r w:rsidRPr="000928FE">
        <w:rPr>
          <w:rFonts w:ascii="Calibri" w:hAnsi="Calibri" w:cs="Calibri"/>
          <w:sz w:val="24"/>
          <w:szCs w:val="24"/>
        </w:rPr>
        <w:t xml:space="preserve">. The King’s Fund. </w:t>
      </w:r>
      <w:hyperlink r:id="rId63" w:history="1">
        <w:r w:rsidRPr="000928FE">
          <w:rPr>
            <w:rStyle w:val="Hyperlink"/>
            <w:rFonts w:ascii="Calibri" w:hAnsi="Calibri" w:cs="Calibri"/>
            <w:sz w:val="24"/>
            <w:szCs w:val="24"/>
          </w:rPr>
          <w:t>https://www.kingsfund.org.uk/insight-and-analysis/reports/caring-change</w:t>
        </w:r>
      </w:hyperlink>
    </w:p>
    <w:p w14:paraId="7545754D" w14:textId="77777777" w:rsidR="0054004E" w:rsidRPr="0054004E" w:rsidRDefault="0054004E" w:rsidP="0054004E">
      <w:pPr>
        <w:rPr>
          <w:rFonts w:ascii="Calibri" w:hAnsi="Calibri" w:cs="Calibri"/>
          <w:sz w:val="24"/>
          <w:szCs w:val="24"/>
        </w:rPr>
      </w:pPr>
    </w:p>
    <w:p w14:paraId="7AAFDB8C" w14:textId="4786930E" w:rsidR="0054004E" w:rsidRDefault="0054004E">
      <w:pPr>
        <w:rPr>
          <w:rFonts w:ascii="Calibri" w:hAnsi="Calibri" w:cs="Calibri"/>
          <w:sz w:val="24"/>
          <w:szCs w:val="24"/>
        </w:rPr>
      </w:pPr>
      <w:r>
        <w:rPr>
          <w:rFonts w:ascii="Calibri" w:hAnsi="Calibri" w:cs="Calibri"/>
          <w:sz w:val="24"/>
          <w:szCs w:val="24"/>
        </w:rPr>
        <w:br w:type="page"/>
      </w:r>
    </w:p>
    <w:p w14:paraId="6555E59A" w14:textId="1238B5FD" w:rsidR="00253B76" w:rsidRPr="003D1A7C" w:rsidRDefault="003D1A7C" w:rsidP="003D1A7C">
      <w:pPr>
        <w:pStyle w:val="Heading1"/>
        <w:rPr>
          <w:rFonts w:ascii="Calibri" w:hAnsi="Calibri" w:cs="Calibri"/>
        </w:rPr>
      </w:pPr>
      <w:bookmarkStart w:id="31" w:name="_Toc230003902"/>
      <w:r w:rsidRPr="003D1A7C">
        <w:rPr>
          <w:rFonts w:ascii="Calibri" w:hAnsi="Calibri" w:cs="Calibri"/>
        </w:rPr>
        <w:lastRenderedPageBreak/>
        <w:t>Appendices</w:t>
      </w:r>
      <w:bookmarkEnd w:id="31"/>
    </w:p>
    <w:p w14:paraId="38E7F722" w14:textId="1302C258" w:rsidR="003D1A7C" w:rsidRPr="003D1A7C" w:rsidRDefault="003D1A7C" w:rsidP="003D1A7C">
      <w:pPr>
        <w:pStyle w:val="Heading2"/>
        <w:rPr>
          <w:rFonts w:ascii="Calibri" w:hAnsi="Calibri" w:cs="Calibri"/>
        </w:rPr>
      </w:pPr>
      <w:bookmarkStart w:id="32" w:name="_Appendix_A"/>
      <w:bookmarkStart w:id="33" w:name="_Toc230003903"/>
      <w:bookmarkEnd w:id="32"/>
      <w:r w:rsidRPr="003D1A7C">
        <w:rPr>
          <w:rFonts w:ascii="Calibri" w:hAnsi="Calibri" w:cs="Calibri"/>
        </w:rPr>
        <w:t>Appendix A</w:t>
      </w:r>
      <w:bookmarkEnd w:id="33"/>
    </w:p>
    <w:tbl>
      <w:tblPr>
        <w:tblStyle w:val="GridTable5Dark-Accent1"/>
        <w:tblW w:w="5000" w:type="pct"/>
        <w:tblLook w:val="04A0" w:firstRow="1" w:lastRow="0" w:firstColumn="1" w:lastColumn="0" w:noHBand="0" w:noVBand="1"/>
      </w:tblPr>
      <w:tblGrid>
        <w:gridCol w:w="9016"/>
      </w:tblGrid>
      <w:tr w:rsidR="00C24374" w14:paraId="0B8BCED2" w14:textId="77777777" w:rsidTr="007847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F6ADB9" w14:textId="77777777" w:rsidR="00C24374" w:rsidRPr="007847E6" w:rsidRDefault="00C24374">
            <w:pPr>
              <w:jc w:val="center"/>
              <w:rPr>
                <w:rFonts w:ascii="Calibri" w:hAnsi="Calibri" w:cs="Calibri"/>
                <w:sz w:val="24"/>
                <w:szCs w:val="24"/>
                <w:lang w:eastAsia="en-GB"/>
              </w:rPr>
            </w:pPr>
            <w:r w:rsidRPr="007847E6">
              <w:rPr>
                <w:rFonts w:ascii="Calibri" w:hAnsi="Calibri" w:cs="Calibri"/>
                <w:b w:val="0"/>
                <w:bCs w:val="0"/>
                <w:sz w:val="24"/>
                <w:szCs w:val="24"/>
              </w:rPr>
              <w:t>Appendix A: Relationship Between Emotional Intelligence, Mindfulness and Workplace Performance</w:t>
            </w:r>
          </w:p>
          <w:tbl>
            <w:tblPr>
              <w:tblW w:w="3500" w:type="pct"/>
              <w:jc w:val="center"/>
              <w:tblCellSpacing w:w="15" w:type="dxa"/>
              <w:tblCellMar>
                <w:top w:w="15" w:type="dxa"/>
                <w:left w:w="15" w:type="dxa"/>
                <w:bottom w:w="15" w:type="dxa"/>
                <w:right w:w="15" w:type="dxa"/>
              </w:tblCellMar>
              <w:tblLook w:val="04A0" w:firstRow="1" w:lastRow="0" w:firstColumn="1" w:lastColumn="0" w:noHBand="0" w:noVBand="1"/>
            </w:tblPr>
            <w:tblGrid>
              <w:gridCol w:w="6160"/>
            </w:tblGrid>
            <w:tr w:rsidR="00C24374" w:rsidRPr="007847E6" w14:paraId="57FB540E" w14:textId="77777777">
              <w:trPr>
                <w:tblCellSpacing w:w="15" w:type="dxa"/>
                <w:jc w:val="center"/>
              </w:trPr>
              <w:tc>
                <w:tcPr>
                  <w:tcW w:w="0" w:type="auto"/>
                  <w:shd w:val="clear" w:color="auto" w:fill="E7F3F8"/>
                  <w:vAlign w:val="center"/>
                  <w:hideMark/>
                </w:tcPr>
                <w:p w14:paraId="06AA8D4C" w14:textId="77777777" w:rsidR="00C24374" w:rsidRPr="007847E6" w:rsidRDefault="00C24374">
                  <w:pPr>
                    <w:jc w:val="center"/>
                    <w:rPr>
                      <w:rFonts w:ascii="Calibri" w:hAnsi="Calibri" w:cs="Calibri"/>
                      <w:sz w:val="24"/>
                      <w:szCs w:val="24"/>
                      <w:lang w:eastAsia="en-GB"/>
                    </w:rPr>
                  </w:pPr>
                  <w:r w:rsidRPr="007847E6">
                    <w:rPr>
                      <w:rFonts w:ascii="Calibri" w:hAnsi="Calibri" w:cs="Calibri"/>
                      <w:b/>
                      <w:bCs/>
                      <w:sz w:val="24"/>
                      <w:szCs w:val="24"/>
                    </w:rPr>
                    <w:t>Mindfulness</w:t>
                  </w:r>
                  <w:r w:rsidRPr="007847E6">
                    <w:rPr>
                      <w:rFonts w:ascii="Calibri" w:hAnsi="Calibri" w:cs="Calibri"/>
                      <w:sz w:val="24"/>
                      <w:szCs w:val="24"/>
                    </w:rPr>
                    <w:br/>
                    <w:t>(Self-awareness &amp; Presence)</w:t>
                  </w:r>
                </w:p>
              </w:tc>
            </w:tr>
            <w:tr w:rsidR="00C24374" w:rsidRPr="007847E6" w14:paraId="77449859" w14:textId="77777777">
              <w:trPr>
                <w:tblCellSpacing w:w="15" w:type="dxa"/>
                <w:jc w:val="center"/>
              </w:trPr>
              <w:tc>
                <w:tcPr>
                  <w:tcW w:w="0" w:type="auto"/>
                  <w:vAlign w:val="center"/>
                  <w:hideMark/>
                </w:tcPr>
                <w:p w14:paraId="5FD486CF" w14:textId="77777777" w:rsidR="00C24374" w:rsidRPr="007847E6" w:rsidRDefault="00C24374">
                  <w:pPr>
                    <w:jc w:val="center"/>
                    <w:rPr>
                      <w:rFonts w:ascii="Calibri" w:hAnsi="Calibri" w:cs="Calibri"/>
                      <w:sz w:val="24"/>
                      <w:szCs w:val="24"/>
                    </w:rPr>
                  </w:pPr>
                  <w:r w:rsidRPr="007847E6">
                    <w:rPr>
                      <w:rFonts w:ascii="Calibri" w:hAnsi="Calibri" w:cs="Calibri"/>
                      <w:sz w:val="24"/>
                      <w:szCs w:val="24"/>
                    </w:rPr>
                    <w:t>↓</w:t>
                  </w:r>
                </w:p>
              </w:tc>
            </w:tr>
            <w:tr w:rsidR="00C24374" w:rsidRPr="007847E6" w14:paraId="0EC6214B" w14:textId="77777777">
              <w:trPr>
                <w:tblCellSpacing w:w="15" w:type="dxa"/>
                <w:jc w:val="center"/>
              </w:trPr>
              <w:tc>
                <w:tcPr>
                  <w:tcW w:w="0" w:type="auto"/>
                  <w:shd w:val="clear" w:color="auto" w:fill="F2F2F2"/>
                  <w:vAlign w:val="center"/>
                  <w:hideMark/>
                </w:tcPr>
                <w:p w14:paraId="1D9596C7" w14:textId="77777777" w:rsidR="00C24374" w:rsidRPr="007847E6" w:rsidRDefault="00C24374">
                  <w:pPr>
                    <w:jc w:val="center"/>
                    <w:rPr>
                      <w:rFonts w:ascii="Calibri" w:hAnsi="Calibri" w:cs="Calibri"/>
                      <w:sz w:val="24"/>
                      <w:szCs w:val="24"/>
                    </w:rPr>
                  </w:pPr>
                  <w:r w:rsidRPr="007847E6">
                    <w:rPr>
                      <w:rFonts w:ascii="Calibri" w:hAnsi="Calibri" w:cs="Calibri"/>
                      <w:b/>
                      <w:bCs/>
                      <w:sz w:val="24"/>
                      <w:szCs w:val="24"/>
                    </w:rPr>
                    <w:t>Emotional Intelligence</w:t>
                  </w:r>
                  <w:r w:rsidRPr="007847E6">
                    <w:rPr>
                      <w:rFonts w:ascii="Calibri" w:hAnsi="Calibri" w:cs="Calibri"/>
                      <w:sz w:val="24"/>
                      <w:szCs w:val="24"/>
                    </w:rPr>
                    <w:br/>
                    <w:t>(Self-regulation, Empathy, Social Skills)</w:t>
                  </w:r>
                </w:p>
              </w:tc>
            </w:tr>
            <w:tr w:rsidR="00C24374" w:rsidRPr="007847E6" w14:paraId="016FEC7A" w14:textId="77777777">
              <w:trPr>
                <w:tblCellSpacing w:w="15" w:type="dxa"/>
                <w:jc w:val="center"/>
              </w:trPr>
              <w:tc>
                <w:tcPr>
                  <w:tcW w:w="0" w:type="auto"/>
                  <w:vAlign w:val="center"/>
                  <w:hideMark/>
                </w:tcPr>
                <w:p w14:paraId="61F7FB48" w14:textId="77777777" w:rsidR="00C24374" w:rsidRPr="007847E6" w:rsidRDefault="00C24374">
                  <w:pPr>
                    <w:jc w:val="center"/>
                    <w:rPr>
                      <w:rFonts w:ascii="Calibri" w:hAnsi="Calibri" w:cs="Calibri"/>
                      <w:sz w:val="24"/>
                      <w:szCs w:val="24"/>
                    </w:rPr>
                  </w:pPr>
                  <w:r w:rsidRPr="007847E6">
                    <w:rPr>
                      <w:rFonts w:ascii="Calibri" w:hAnsi="Calibri" w:cs="Calibri"/>
                      <w:sz w:val="24"/>
                      <w:szCs w:val="24"/>
                    </w:rPr>
                    <w:t>↓</w:t>
                  </w:r>
                </w:p>
              </w:tc>
            </w:tr>
            <w:tr w:rsidR="00C24374" w:rsidRPr="007847E6" w14:paraId="622D1CEA" w14:textId="77777777">
              <w:trPr>
                <w:tblCellSpacing w:w="15" w:type="dxa"/>
                <w:jc w:val="center"/>
              </w:trPr>
              <w:tc>
                <w:tcPr>
                  <w:tcW w:w="0" w:type="auto"/>
                  <w:shd w:val="clear" w:color="auto" w:fill="F2F2F2"/>
                  <w:vAlign w:val="center"/>
                  <w:hideMark/>
                </w:tcPr>
                <w:p w14:paraId="3DCFA657" w14:textId="77777777" w:rsidR="00C24374" w:rsidRPr="007847E6" w:rsidRDefault="00C24374">
                  <w:pPr>
                    <w:jc w:val="center"/>
                    <w:rPr>
                      <w:rFonts w:ascii="Calibri" w:hAnsi="Calibri" w:cs="Calibri"/>
                      <w:sz w:val="24"/>
                      <w:szCs w:val="24"/>
                    </w:rPr>
                  </w:pPr>
                  <w:r w:rsidRPr="007847E6">
                    <w:rPr>
                      <w:rFonts w:ascii="Calibri" w:hAnsi="Calibri" w:cs="Calibri"/>
                      <w:b/>
                      <w:bCs/>
                      <w:sz w:val="24"/>
                      <w:szCs w:val="24"/>
                    </w:rPr>
                    <w:t>Workplace Behaviours</w:t>
                  </w:r>
                  <w:r w:rsidRPr="007847E6">
                    <w:rPr>
                      <w:rFonts w:ascii="Calibri" w:hAnsi="Calibri" w:cs="Calibri"/>
                      <w:sz w:val="24"/>
                      <w:szCs w:val="24"/>
                    </w:rPr>
                    <w:br/>
                    <w:t>(Communication, Leadership, Resilience)</w:t>
                  </w:r>
                </w:p>
              </w:tc>
            </w:tr>
            <w:tr w:rsidR="00C24374" w:rsidRPr="007847E6" w14:paraId="6139FF8D" w14:textId="77777777">
              <w:trPr>
                <w:tblCellSpacing w:w="15" w:type="dxa"/>
                <w:jc w:val="center"/>
              </w:trPr>
              <w:tc>
                <w:tcPr>
                  <w:tcW w:w="0" w:type="auto"/>
                  <w:vAlign w:val="center"/>
                  <w:hideMark/>
                </w:tcPr>
                <w:p w14:paraId="77BB22FB" w14:textId="77777777" w:rsidR="00C24374" w:rsidRPr="007847E6" w:rsidRDefault="00C24374">
                  <w:pPr>
                    <w:jc w:val="center"/>
                    <w:rPr>
                      <w:rFonts w:ascii="Calibri" w:hAnsi="Calibri" w:cs="Calibri"/>
                      <w:sz w:val="24"/>
                      <w:szCs w:val="24"/>
                    </w:rPr>
                  </w:pPr>
                  <w:r w:rsidRPr="007847E6">
                    <w:rPr>
                      <w:rFonts w:ascii="Calibri" w:hAnsi="Calibri" w:cs="Calibri"/>
                      <w:sz w:val="24"/>
                      <w:szCs w:val="24"/>
                    </w:rPr>
                    <w:t>↓</w:t>
                  </w:r>
                </w:p>
              </w:tc>
            </w:tr>
            <w:tr w:rsidR="00C24374" w:rsidRPr="007847E6" w14:paraId="6DD3F6AF" w14:textId="77777777">
              <w:trPr>
                <w:tblCellSpacing w:w="15" w:type="dxa"/>
                <w:jc w:val="center"/>
              </w:trPr>
              <w:tc>
                <w:tcPr>
                  <w:tcW w:w="0" w:type="auto"/>
                  <w:shd w:val="clear" w:color="auto" w:fill="EDE7F6"/>
                  <w:vAlign w:val="center"/>
                  <w:hideMark/>
                </w:tcPr>
                <w:p w14:paraId="090DB48B" w14:textId="77777777" w:rsidR="00C24374" w:rsidRPr="007847E6" w:rsidRDefault="00C24374">
                  <w:pPr>
                    <w:jc w:val="center"/>
                    <w:rPr>
                      <w:rFonts w:ascii="Calibri" w:hAnsi="Calibri" w:cs="Calibri"/>
                      <w:sz w:val="24"/>
                      <w:szCs w:val="24"/>
                    </w:rPr>
                  </w:pPr>
                  <w:r w:rsidRPr="007847E6">
                    <w:rPr>
                      <w:rFonts w:ascii="Calibri" w:hAnsi="Calibri" w:cs="Calibri"/>
                      <w:b/>
                      <w:bCs/>
                      <w:sz w:val="24"/>
                      <w:szCs w:val="24"/>
                    </w:rPr>
                    <w:t>Workforce Development &amp; Business Performance</w:t>
                  </w:r>
                  <w:r w:rsidRPr="007847E6">
                    <w:rPr>
                      <w:rFonts w:ascii="Calibri" w:hAnsi="Calibri" w:cs="Calibri"/>
                      <w:sz w:val="24"/>
                      <w:szCs w:val="24"/>
                    </w:rPr>
                    <w:br/>
                    <w:t>(Patient Care, Teamwork, Retention)</w:t>
                  </w:r>
                </w:p>
              </w:tc>
            </w:tr>
          </w:tbl>
          <w:p w14:paraId="77AB8EA2" w14:textId="77777777" w:rsidR="00C24374" w:rsidRDefault="00C24374">
            <w:pPr>
              <w:spacing w:line="278" w:lineRule="auto"/>
              <w:jc w:val="center"/>
              <w:rPr>
                <w:rFonts w:ascii="Times New Roman" w:hAnsi="Times New Roman"/>
                <w:sz w:val="24"/>
                <w:szCs w:val="24"/>
              </w:rPr>
            </w:pPr>
          </w:p>
        </w:tc>
      </w:tr>
    </w:tbl>
    <w:p w14:paraId="2E03E3E0" w14:textId="4EE5D2F6" w:rsidR="00845297" w:rsidRDefault="00845297"/>
    <w:p w14:paraId="61DAF4C4" w14:textId="77777777" w:rsidR="00845297" w:rsidRDefault="00845297">
      <w:r>
        <w:br w:type="page"/>
      </w:r>
    </w:p>
    <w:p w14:paraId="347A9288" w14:textId="6A0A553E" w:rsidR="00233F13" w:rsidRPr="004A70AA" w:rsidRDefault="00845297" w:rsidP="004A70AA">
      <w:pPr>
        <w:pStyle w:val="Heading2"/>
        <w:rPr>
          <w:rFonts w:ascii="Calibri" w:hAnsi="Calibri" w:cs="Calibri"/>
        </w:rPr>
      </w:pPr>
      <w:bookmarkStart w:id="34" w:name="_Appendix_B"/>
      <w:bookmarkStart w:id="35" w:name="_Toc230003904"/>
      <w:bookmarkEnd w:id="34"/>
      <w:r w:rsidRPr="004A70AA">
        <w:rPr>
          <w:rFonts w:ascii="Calibri" w:hAnsi="Calibri" w:cs="Calibri"/>
        </w:rPr>
        <w:lastRenderedPageBreak/>
        <w:t>Appendix B</w:t>
      </w:r>
      <w:bookmarkEnd w:id="35"/>
    </w:p>
    <w:p w14:paraId="554CB361" w14:textId="31C148E4" w:rsidR="0097525F" w:rsidRPr="004A70AA" w:rsidRDefault="004A70AA" w:rsidP="0097525F">
      <w:pPr>
        <w:rPr>
          <w:rFonts w:ascii="Calibri" w:hAnsi="Calibri" w:cs="Calibri"/>
          <w:sz w:val="24"/>
          <w:szCs w:val="24"/>
        </w:rPr>
      </w:pPr>
      <w:r w:rsidRPr="004A70AA">
        <w:rPr>
          <w:noProof/>
          <w:sz w:val="24"/>
          <w:szCs w:val="24"/>
        </w:rPr>
        <w:drawing>
          <wp:anchor distT="0" distB="0" distL="114300" distR="114300" simplePos="0" relativeHeight="251658240" behindDoc="1" locked="0" layoutInCell="1" allowOverlap="1" wp14:anchorId="7B269C75" wp14:editId="24A164D8">
            <wp:simplePos x="0" y="0"/>
            <wp:positionH relativeFrom="margin">
              <wp:posOffset>-69331</wp:posOffset>
            </wp:positionH>
            <wp:positionV relativeFrom="paragraph">
              <wp:posOffset>274031</wp:posOffset>
            </wp:positionV>
            <wp:extent cx="4170045" cy="4031615"/>
            <wp:effectExtent l="0" t="0" r="1905" b="6985"/>
            <wp:wrapTight wrapText="bothSides">
              <wp:wrapPolygon edited="0">
                <wp:start x="0" y="0"/>
                <wp:lineTo x="0" y="21535"/>
                <wp:lineTo x="21511" y="21535"/>
                <wp:lineTo x="21511" y="0"/>
                <wp:lineTo x="0" y="0"/>
              </wp:wrapPolygon>
            </wp:wrapTight>
            <wp:docPr id="1991114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14987" name=""/>
                    <pic:cNvPicPr/>
                  </pic:nvPicPr>
                  <pic:blipFill rotWithShape="1">
                    <a:blip r:embed="rId64" cstate="print">
                      <a:extLst>
                        <a:ext uri="{28A0092B-C50C-407E-A947-70E740481C1C}">
                          <a14:useLocalDpi xmlns:a14="http://schemas.microsoft.com/office/drawing/2010/main" val="0"/>
                        </a:ext>
                      </a:extLst>
                    </a:blip>
                    <a:srcRect l="-500" t="13173" r="166" b="22164"/>
                    <a:stretch>
                      <a:fillRect/>
                    </a:stretch>
                  </pic:blipFill>
                  <pic:spPr bwMode="auto">
                    <a:xfrm>
                      <a:off x="0" y="0"/>
                      <a:ext cx="4170045" cy="4031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t>A</w:t>
      </w:r>
      <w:r w:rsidR="0097525F" w:rsidRPr="004A70AA">
        <w:rPr>
          <w:sz w:val="24"/>
          <w:szCs w:val="24"/>
        </w:rPr>
        <w:t>ppendix B: Gibbs’ Reflective Cycle (1988)</w:t>
      </w:r>
    </w:p>
    <w:p w14:paraId="133145C4" w14:textId="43948AFF" w:rsidR="0097525F" w:rsidRDefault="0097525F" w:rsidP="00845297"/>
    <w:p w14:paraId="799CDB33" w14:textId="11CC88E9" w:rsidR="004A70AA" w:rsidRDefault="004A70AA">
      <w:r>
        <w:br w:type="page"/>
      </w:r>
    </w:p>
    <w:p w14:paraId="6EAD019F" w14:textId="5A41C47F" w:rsidR="004A70AA" w:rsidRPr="004A70AA" w:rsidRDefault="004A70AA" w:rsidP="004A70AA">
      <w:pPr>
        <w:pStyle w:val="Heading2"/>
        <w:rPr>
          <w:rFonts w:ascii="Calibri" w:hAnsi="Calibri" w:cs="Calibri"/>
        </w:rPr>
      </w:pPr>
      <w:bookmarkStart w:id="36" w:name="_Appendix_C"/>
      <w:bookmarkStart w:id="37" w:name="_Toc230003905"/>
      <w:bookmarkEnd w:id="36"/>
      <w:r w:rsidRPr="004A70AA">
        <w:rPr>
          <w:rFonts w:ascii="Calibri" w:hAnsi="Calibri" w:cs="Calibri"/>
        </w:rPr>
        <w:lastRenderedPageBreak/>
        <w:t>Appendix C</w:t>
      </w:r>
      <w:bookmarkEnd w:id="37"/>
    </w:p>
    <w:p w14:paraId="276D21E1" w14:textId="4A79BE7C" w:rsidR="00E20F29" w:rsidRPr="00E20F29" w:rsidRDefault="00E20F29" w:rsidP="00E20F29">
      <w:pPr>
        <w:rPr>
          <w:rFonts w:ascii="Calibri" w:hAnsi="Calibri" w:cs="Calibri"/>
          <w:sz w:val="24"/>
          <w:szCs w:val="24"/>
        </w:rPr>
      </w:pPr>
      <w:r w:rsidRPr="00E20F29">
        <w:rPr>
          <w:rFonts w:ascii="Calibri" w:hAnsi="Calibri" w:cs="Calibri"/>
          <w:sz w:val="24"/>
          <w:szCs w:val="24"/>
        </w:rPr>
        <w:t>Comparison of Emotional Intelligence Models</w:t>
      </w:r>
    </w:p>
    <w:tbl>
      <w:tblPr>
        <w:tblStyle w:val="PlainTable3"/>
        <w:tblW w:w="0" w:type="auto"/>
        <w:tblLook w:val="04A0" w:firstRow="1" w:lastRow="0" w:firstColumn="1" w:lastColumn="0" w:noHBand="0" w:noVBand="1"/>
      </w:tblPr>
      <w:tblGrid>
        <w:gridCol w:w="1450"/>
        <w:gridCol w:w="2652"/>
        <w:gridCol w:w="2620"/>
        <w:gridCol w:w="2304"/>
      </w:tblGrid>
      <w:tr w:rsidR="00E20F29" w:rsidRPr="00E20F29" w14:paraId="26D1281D" w14:textId="77777777" w:rsidTr="00E343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0B97ACC" w14:textId="77777777" w:rsidR="00E20F29" w:rsidRPr="00E34352" w:rsidRDefault="00E20F29" w:rsidP="00E20F29">
            <w:pPr>
              <w:spacing w:after="160" w:line="259" w:lineRule="auto"/>
              <w:rPr>
                <w:rFonts w:ascii="Calibri" w:hAnsi="Calibri" w:cs="Calibri"/>
                <w:sz w:val="24"/>
                <w:szCs w:val="24"/>
              </w:rPr>
            </w:pPr>
            <w:r w:rsidRPr="00E34352">
              <w:rPr>
                <w:rFonts w:ascii="Calibri" w:hAnsi="Calibri" w:cs="Calibri"/>
                <w:sz w:val="24"/>
                <w:szCs w:val="24"/>
              </w:rPr>
              <w:t>Theorist / Model</w:t>
            </w:r>
          </w:p>
        </w:tc>
        <w:tc>
          <w:tcPr>
            <w:tcW w:w="0" w:type="auto"/>
            <w:hideMark/>
          </w:tcPr>
          <w:p w14:paraId="06A8B795" w14:textId="77777777" w:rsidR="00E20F29" w:rsidRPr="00E34352" w:rsidRDefault="00E20F29" w:rsidP="00E20F29">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Main Focus</w:t>
            </w:r>
          </w:p>
        </w:tc>
        <w:tc>
          <w:tcPr>
            <w:tcW w:w="0" w:type="auto"/>
            <w:hideMark/>
          </w:tcPr>
          <w:p w14:paraId="11978FF2" w14:textId="77777777" w:rsidR="00E20F29" w:rsidRPr="00E34352" w:rsidRDefault="00E20F29" w:rsidP="00E20F29">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Strengths</w:t>
            </w:r>
          </w:p>
        </w:tc>
        <w:tc>
          <w:tcPr>
            <w:tcW w:w="0" w:type="auto"/>
            <w:hideMark/>
          </w:tcPr>
          <w:p w14:paraId="7E79EEF5" w14:textId="77777777" w:rsidR="00E20F29" w:rsidRPr="00E34352" w:rsidRDefault="00E20F29" w:rsidP="00E20F29">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Limitations</w:t>
            </w:r>
          </w:p>
        </w:tc>
      </w:tr>
      <w:tr w:rsidR="00E20F29" w:rsidRPr="00E20F29" w14:paraId="64B2CCCD" w14:textId="77777777" w:rsidTr="00E3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FCA4CC" w14:textId="77777777" w:rsidR="00E20F29" w:rsidRPr="00E34352" w:rsidRDefault="00E20F29" w:rsidP="00E20F29">
            <w:pPr>
              <w:spacing w:after="160" w:line="259" w:lineRule="auto"/>
              <w:rPr>
                <w:rFonts w:ascii="Calibri" w:hAnsi="Calibri" w:cs="Calibri"/>
                <w:sz w:val="24"/>
                <w:szCs w:val="24"/>
              </w:rPr>
            </w:pPr>
            <w:r w:rsidRPr="00E34352">
              <w:rPr>
                <w:rFonts w:ascii="Calibri" w:hAnsi="Calibri" w:cs="Calibri"/>
                <w:sz w:val="24"/>
                <w:szCs w:val="24"/>
              </w:rPr>
              <w:t>Mayer &amp; Salovey (1997) Ability Model</w:t>
            </w:r>
          </w:p>
        </w:tc>
        <w:tc>
          <w:tcPr>
            <w:tcW w:w="0" w:type="auto"/>
            <w:hideMark/>
          </w:tcPr>
          <w:p w14:paraId="374AEBCB"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Emotional intelligence viewed as a cognitive ability involving the perception, understanding, management, and use of emotions.</w:t>
            </w:r>
          </w:p>
        </w:tc>
        <w:tc>
          <w:tcPr>
            <w:tcW w:w="0" w:type="auto"/>
            <w:hideMark/>
          </w:tcPr>
          <w:p w14:paraId="5044A1BD"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Considered one of the most academically rigorous EI models. Focuses clearly on emotional processing and measurable abilities. Strong theoretical foundation.</w:t>
            </w:r>
          </w:p>
        </w:tc>
        <w:tc>
          <w:tcPr>
            <w:tcW w:w="0" w:type="auto"/>
            <w:hideMark/>
          </w:tcPr>
          <w:p w14:paraId="73FDA513"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Criticised for being too narrow and difficult to apply practically within workplace settings. Emotional abilities can be difficult to measure accurately.</w:t>
            </w:r>
          </w:p>
        </w:tc>
      </w:tr>
      <w:tr w:rsidR="00E20F29" w:rsidRPr="00E20F29" w14:paraId="51A92400" w14:textId="77777777" w:rsidTr="00E34352">
        <w:tc>
          <w:tcPr>
            <w:cnfStyle w:val="001000000000" w:firstRow="0" w:lastRow="0" w:firstColumn="1" w:lastColumn="0" w:oddVBand="0" w:evenVBand="0" w:oddHBand="0" w:evenHBand="0" w:firstRowFirstColumn="0" w:firstRowLastColumn="0" w:lastRowFirstColumn="0" w:lastRowLastColumn="0"/>
            <w:tcW w:w="0" w:type="auto"/>
            <w:hideMark/>
          </w:tcPr>
          <w:p w14:paraId="3A67BAE6" w14:textId="77777777" w:rsidR="00E20F29" w:rsidRPr="00E34352" w:rsidRDefault="00E20F29" w:rsidP="00E20F29">
            <w:pPr>
              <w:spacing w:after="160" w:line="259" w:lineRule="auto"/>
              <w:rPr>
                <w:rFonts w:ascii="Calibri" w:hAnsi="Calibri" w:cs="Calibri"/>
                <w:sz w:val="24"/>
                <w:szCs w:val="24"/>
              </w:rPr>
            </w:pPr>
            <w:r w:rsidRPr="00E34352">
              <w:rPr>
                <w:rFonts w:ascii="Calibri" w:hAnsi="Calibri" w:cs="Calibri"/>
                <w:sz w:val="24"/>
                <w:szCs w:val="24"/>
              </w:rPr>
              <w:t>Goleman (1998) Mixed Model</w:t>
            </w:r>
          </w:p>
        </w:tc>
        <w:tc>
          <w:tcPr>
            <w:tcW w:w="0" w:type="auto"/>
            <w:hideMark/>
          </w:tcPr>
          <w:p w14:paraId="3879EF02" w14:textId="77777777" w:rsidR="00E20F29" w:rsidRPr="00E34352" w:rsidRDefault="00E20F29" w:rsidP="00E20F2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Focuses on emotional competencies linked to workplace performance, including self-awareness, self-regulation, motivation, empathy, and social skills.</w:t>
            </w:r>
          </w:p>
        </w:tc>
        <w:tc>
          <w:tcPr>
            <w:tcW w:w="0" w:type="auto"/>
            <w:hideMark/>
          </w:tcPr>
          <w:p w14:paraId="38D2F752" w14:textId="77777777" w:rsidR="00E20F29" w:rsidRPr="00E34352" w:rsidRDefault="00E20F29" w:rsidP="00E20F2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Highly practical and widely used within leadership and organisational development. Strong relevance to communication, teamwork, and healthcare leadership.</w:t>
            </w:r>
          </w:p>
        </w:tc>
        <w:tc>
          <w:tcPr>
            <w:tcW w:w="0" w:type="auto"/>
            <w:hideMark/>
          </w:tcPr>
          <w:p w14:paraId="1066C53B" w14:textId="77777777" w:rsidR="00E20F29" w:rsidRPr="00E34352" w:rsidRDefault="00E20F29" w:rsidP="00E20F2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Criticised for broad definitions and overlap with personality traits and social behaviours. Some researchers question its scientific validity.</w:t>
            </w:r>
          </w:p>
        </w:tc>
      </w:tr>
      <w:tr w:rsidR="00E20F29" w:rsidRPr="00E20F29" w14:paraId="53EC219B" w14:textId="77777777" w:rsidTr="00E3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D6FD59" w14:textId="77777777" w:rsidR="00E20F29" w:rsidRPr="00E34352" w:rsidRDefault="00E20F29" w:rsidP="00E20F29">
            <w:pPr>
              <w:spacing w:after="160" w:line="259" w:lineRule="auto"/>
              <w:rPr>
                <w:rFonts w:ascii="Calibri" w:hAnsi="Calibri" w:cs="Calibri"/>
                <w:sz w:val="24"/>
                <w:szCs w:val="24"/>
              </w:rPr>
            </w:pPr>
            <w:r w:rsidRPr="00E34352">
              <w:rPr>
                <w:rFonts w:ascii="Calibri" w:hAnsi="Calibri" w:cs="Calibri"/>
                <w:sz w:val="24"/>
                <w:szCs w:val="24"/>
              </w:rPr>
              <w:t>Bar-On (1997) Trait Model</w:t>
            </w:r>
          </w:p>
        </w:tc>
        <w:tc>
          <w:tcPr>
            <w:tcW w:w="0" w:type="auto"/>
            <w:hideMark/>
          </w:tcPr>
          <w:p w14:paraId="32C22802"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Emotional intelligence viewed as a collection of emotional and social competencies influencing wellbeing and adaptation. Includes stress tolerance, optimism, and interpersonal skills.</w:t>
            </w:r>
          </w:p>
        </w:tc>
        <w:tc>
          <w:tcPr>
            <w:tcW w:w="0" w:type="auto"/>
            <w:hideMark/>
          </w:tcPr>
          <w:p w14:paraId="5D85A50C"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Recognises the importance of wellbeing, resilience, and emotional adaptation within workplace environments. Relevant to stress management in healthcare.</w:t>
            </w:r>
          </w:p>
        </w:tc>
        <w:tc>
          <w:tcPr>
            <w:tcW w:w="0" w:type="auto"/>
            <w:hideMark/>
          </w:tcPr>
          <w:p w14:paraId="6B19B2C5" w14:textId="77777777" w:rsidR="00E20F29" w:rsidRPr="00E34352" w:rsidRDefault="00E20F29" w:rsidP="00E20F29">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E34352">
              <w:rPr>
                <w:rFonts w:ascii="Calibri" w:hAnsi="Calibri" w:cs="Calibri"/>
                <w:sz w:val="24"/>
                <w:szCs w:val="24"/>
              </w:rPr>
              <w:t>Criticised for overlapping heavily with personality theory. Some concepts may lack clear distinction from general psychological wellbeing.</w:t>
            </w:r>
          </w:p>
        </w:tc>
      </w:tr>
    </w:tbl>
    <w:p w14:paraId="24D222D5" w14:textId="77777777" w:rsidR="00E20F29" w:rsidRPr="00E20F29" w:rsidRDefault="00E20F29" w:rsidP="00E20F29">
      <w:pPr>
        <w:rPr>
          <w:vanish/>
        </w:rPr>
      </w:pPr>
      <w:r w:rsidRPr="00E20F29">
        <w:rPr>
          <w:vanish/>
        </w:rPr>
        <w:t>Top of Form</w:t>
      </w:r>
    </w:p>
    <w:p w14:paraId="2C8F11F5" w14:textId="77777777" w:rsidR="00E20F29" w:rsidRPr="00E20F29" w:rsidRDefault="00E20F29" w:rsidP="00E20F29"/>
    <w:p w14:paraId="7A427206" w14:textId="77777777" w:rsidR="00E34352" w:rsidRDefault="00E34352">
      <w:r>
        <w:br w:type="page"/>
      </w:r>
    </w:p>
    <w:p w14:paraId="5B91C650" w14:textId="5327360E" w:rsidR="004A70AA" w:rsidRPr="00497788" w:rsidRDefault="00E34352" w:rsidP="00E34352">
      <w:pPr>
        <w:pStyle w:val="Heading2"/>
        <w:rPr>
          <w:rFonts w:ascii="Calibri" w:hAnsi="Calibri" w:cs="Calibri"/>
        </w:rPr>
      </w:pPr>
      <w:bookmarkStart w:id="38" w:name="_Appendix_D"/>
      <w:bookmarkStart w:id="39" w:name="_Toc230003906"/>
      <w:bookmarkEnd w:id="38"/>
      <w:r w:rsidRPr="00497788">
        <w:rPr>
          <w:rFonts w:ascii="Calibri" w:hAnsi="Calibri" w:cs="Calibri"/>
        </w:rPr>
        <w:lastRenderedPageBreak/>
        <w:t>Appendix D</w:t>
      </w:r>
      <w:bookmarkEnd w:id="39"/>
    </w:p>
    <w:p w14:paraId="29D4AE55" w14:textId="7642875A" w:rsidR="00AE4C25" w:rsidRPr="00497788" w:rsidRDefault="00AE4C25" w:rsidP="00AE4C25">
      <w:pPr>
        <w:rPr>
          <w:rFonts w:ascii="Calibri" w:hAnsi="Calibri" w:cs="Calibri"/>
          <w:sz w:val="24"/>
          <w:szCs w:val="24"/>
        </w:rPr>
      </w:pPr>
      <w:r w:rsidRPr="00497788">
        <w:rPr>
          <w:rFonts w:ascii="Calibri" w:hAnsi="Calibri" w:cs="Calibri"/>
          <w:sz w:val="24"/>
          <w:szCs w:val="24"/>
        </w:rPr>
        <w:t>SWOT Analysis of NHS Surgical Ward Environment</w:t>
      </w:r>
    </w:p>
    <w:tbl>
      <w:tblPr>
        <w:tblStyle w:val="PlainTable4"/>
        <w:tblW w:w="0" w:type="auto"/>
        <w:tblLook w:val="04A0" w:firstRow="1" w:lastRow="0" w:firstColumn="1" w:lastColumn="0" w:noHBand="0" w:noVBand="1"/>
      </w:tblPr>
      <w:tblGrid>
        <w:gridCol w:w="5083"/>
        <w:gridCol w:w="3943"/>
      </w:tblGrid>
      <w:tr w:rsidR="00AE4C25" w:rsidRPr="00497788" w14:paraId="216C8FF9" w14:textId="77777777" w:rsidTr="00AE4C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30B39E" w14:textId="77777777" w:rsidR="00AE4C25" w:rsidRPr="00497788" w:rsidRDefault="00AE4C25" w:rsidP="00AE4C25">
            <w:pPr>
              <w:spacing w:after="160" w:line="259" w:lineRule="auto"/>
              <w:rPr>
                <w:rFonts w:ascii="Calibri" w:hAnsi="Calibri" w:cs="Calibri"/>
                <w:sz w:val="24"/>
                <w:szCs w:val="24"/>
              </w:rPr>
            </w:pPr>
            <w:r w:rsidRPr="00497788">
              <w:rPr>
                <w:rFonts w:ascii="Calibri" w:hAnsi="Calibri" w:cs="Calibri"/>
                <w:sz w:val="24"/>
                <w:szCs w:val="24"/>
              </w:rPr>
              <w:t>Strengths</w:t>
            </w:r>
          </w:p>
        </w:tc>
        <w:tc>
          <w:tcPr>
            <w:tcW w:w="0" w:type="auto"/>
            <w:hideMark/>
          </w:tcPr>
          <w:p w14:paraId="6A678BD6" w14:textId="77777777" w:rsidR="00AE4C25" w:rsidRPr="00497788" w:rsidRDefault="00AE4C25" w:rsidP="00AE4C25">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Weaknesses</w:t>
            </w:r>
          </w:p>
        </w:tc>
      </w:tr>
      <w:tr w:rsidR="00AE4C25" w:rsidRPr="00497788" w14:paraId="731F0DB0" w14:textId="77777777" w:rsidTr="00AE4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DC0744"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Strong teamwork and multidisciplinary collaboration</w:t>
            </w:r>
          </w:p>
        </w:tc>
        <w:tc>
          <w:tcPr>
            <w:tcW w:w="0" w:type="auto"/>
            <w:hideMark/>
          </w:tcPr>
          <w:p w14:paraId="000FA44F" w14:textId="77777777" w:rsidR="00AE4C25" w:rsidRPr="00497788" w:rsidRDefault="00AE4C25" w:rsidP="00AE4C25">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Staff shortages and workforce pressures</w:t>
            </w:r>
          </w:p>
        </w:tc>
      </w:tr>
      <w:tr w:rsidR="00AE4C25" w:rsidRPr="00497788" w14:paraId="0CEEF614" w14:textId="77777777" w:rsidTr="00AE4C25">
        <w:tc>
          <w:tcPr>
            <w:cnfStyle w:val="001000000000" w:firstRow="0" w:lastRow="0" w:firstColumn="1" w:lastColumn="0" w:oddVBand="0" w:evenVBand="0" w:oddHBand="0" w:evenHBand="0" w:firstRowFirstColumn="0" w:firstRowLastColumn="0" w:lastRowFirstColumn="0" w:lastRowLastColumn="0"/>
            <w:tcW w:w="0" w:type="auto"/>
            <w:hideMark/>
          </w:tcPr>
          <w:p w14:paraId="095D127A"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Skilled and experienced healthcare professionals</w:t>
            </w:r>
          </w:p>
        </w:tc>
        <w:tc>
          <w:tcPr>
            <w:tcW w:w="0" w:type="auto"/>
            <w:hideMark/>
          </w:tcPr>
          <w:p w14:paraId="529A850C" w14:textId="77777777" w:rsidR="00AE4C25" w:rsidRPr="00497788" w:rsidRDefault="00AE4C25" w:rsidP="00AE4C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High levels of stress and burnout</w:t>
            </w:r>
          </w:p>
        </w:tc>
      </w:tr>
      <w:tr w:rsidR="00AE4C25" w:rsidRPr="00497788" w14:paraId="3988348E" w14:textId="77777777" w:rsidTr="00AE4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31324"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Patient-centred care approach</w:t>
            </w:r>
          </w:p>
        </w:tc>
        <w:tc>
          <w:tcPr>
            <w:tcW w:w="0" w:type="auto"/>
            <w:hideMark/>
          </w:tcPr>
          <w:p w14:paraId="61E2168E" w14:textId="77777777" w:rsidR="00AE4C25" w:rsidRPr="00497788" w:rsidRDefault="00AE4C25" w:rsidP="00AE4C25">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Heavy workload and time pressures</w:t>
            </w:r>
          </w:p>
        </w:tc>
      </w:tr>
      <w:tr w:rsidR="00AE4C25" w:rsidRPr="00497788" w14:paraId="734A59E8" w14:textId="77777777" w:rsidTr="00AE4C25">
        <w:tc>
          <w:tcPr>
            <w:cnfStyle w:val="001000000000" w:firstRow="0" w:lastRow="0" w:firstColumn="1" w:lastColumn="0" w:oddVBand="0" w:evenVBand="0" w:oddHBand="0" w:evenHBand="0" w:firstRowFirstColumn="0" w:firstRowLastColumn="0" w:lastRowFirstColumn="0" w:lastRowLastColumn="0"/>
            <w:tcW w:w="0" w:type="auto"/>
            <w:hideMark/>
          </w:tcPr>
          <w:p w14:paraId="395505CD"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Leadership and clinical support structures</w:t>
            </w:r>
          </w:p>
        </w:tc>
        <w:tc>
          <w:tcPr>
            <w:tcW w:w="0" w:type="auto"/>
            <w:hideMark/>
          </w:tcPr>
          <w:p w14:paraId="0DCC57A0" w14:textId="77777777" w:rsidR="00AE4C25" w:rsidRPr="00497788" w:rsidRDefault="00AE4C25" w:rsidP="00AE4C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Emotional fatigue and emotional labour</w:t>
            </w:r>
          </w:p>
        </w:tc>
      </w:tr>
    </w:tbl>
    <w:p w14:paraId="06680FBF" w14:textId="77777777" w:rsidR="00AE4C25" w:rsidRPr="00497788" w:rsidRDefault="00AE4C25" w:rsidP="00AE4C25">
      <w:pPr>
        <w:rPr>
          <w:rFonts w:ascii="Calibri" w:hAnsi="Calibri" w:cs="Calibri"/>
          <w:vanish/>
          <w:sz w:val="24"/>
          <w:szCs w:val="24"/>
        </w:rPr>
      </w:pPr>
    </w:p>
    <w:tbl>
      <w:tblPr>
        <w:tblStyle w:val="PlainTable4"/>
        <w:tblW w:w="0" w:type="auto"/>
        <w:tblLook w:val="04A0" w:firstRow="1" w:lastRow="0" w:firstColumn="1" w:lastColumn="0" w:noHBand="0" w:noVBand="1"/>
      </w:tblPr>
      <w:tblGrid>
        <w:gridCol w:w="4829"/>
        <w:gridCol w:w="4197"/>
      </w:tblGrid>
      <w:tr w:rsidR="00AE4C25" w:rsidRPr="00497788" w14:paraId="5CD84A8D" w14:textId="77777777" w:rsidTr="00AE4C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30CC9B" w14:textId="77777777" w:rsidR="00AE4C25" w:rsidRPr="00497788" w:rsidRDefault="00AE4C25" w:rsidP="00AE4C25">
            <w:pPr>
              <w:spacing w:after="160" w:line="259" w:lineRule="auto"/>
              <w:rPr>
                <w:rFonts w:ascii="Calibri" w:hAnsi="Calibri" w:cs="Calibri"/>
                <w:sz w:val="24"/>
                <w:szCs w:val="24"/>
              </w:rPr>
            </w:pPr>
            <w:r w:rsidRPr="00497788">
              <w:rPr>
                <w:rFonts w:ascii="Calibri" w:hAnsi="Calibri" w:cs="Calibri"/>
                <w:sz w:val="24"/>
                <w:szCs w:val="24"/>
              </w:rPr>
              <w:t>Opportunities</w:t>
            </w:r>
          </w:p>
        </w:tc>
        <w:tc>
          <w:tcPr>
            <w:tcW w:w="0" w:type="auto"/>
            <w:hideMark/>
          </w:tcPr>
          <w:p w14:paraId="28263552" w14:textId="77777777" w:rsidR="00AE4C25" w:rsidRPr="00497788" w:rsidRDefault="00AE4C25" w:rsidP="00AE4C25">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Threats</w:t>
            </w:r>
          </w:p>
        </w:tc>
      </w:tr>
      <w:tr w:rsidR="00AE4C25" w:rsidRPr="00497788" w14:paraId="35FAF442" w14:textId="77777777" w:rsidTr="00AE4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0F32A"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Emotional intelligence and mindfulness training</w:t>
            </w:r>
          </w:p>
        </w:tc>
        <w:tc>
          <w:tcPr>
            <w:tcW w:w="0" w:type="auto"/>
            <w:hideMark/>
          </w:tcPr>
          <w:p w14:paraId="4F6D7A55" w14:textId="77777777" w:rsidR="00AE4C25" w:rsidRPr="00497788" w:rsidRDefault="00AE4C25" w:rsidP="00AE4C25">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NHS funding and resource constraints</w:t>
            </w:r>
          </w:p>
        </w:tc>
      </w:tr>
      <w:tr w:rsidR="00AE4C25" w:rsidRPr="00497788" w14:paraId="5573C67E" w14:textId="77777777" w:rsidTr="00AE4C25">
        <w:tc>
          <w:tcPr>
            <w:cnfStyle w:val="001000000000" w:firstRow="0" w:lastRow="0" w:firstColumn="1" w:lastColumn="0" w:oddVBand="0" w:evenVBand="0" w:oddHBand="0" w:evenHBand="0" w:firstRowFirstColumn="0" w:firstRowLastColumn="0" w:lastRowFirstColumn="0" w:lastRowLastColumn="0"/>
            <w:tcW w:w="0" w:type="auto"/>
            <w:hideMark/>
          </w:tcPr>
          <w:p w14:paraId="77795899" w14:textId="77777777" w:rsidR="00AE4C25" w:rsidRPr="00497788" w:rsidRDefault="00AE4C25" w:rsidP="00AE4C25">
            <w:pPr>
              <w:spacing w:after="160" w:line="259" w:lineRule="auto"/>
              <w:rPr>
                <w:rFonts w:ascii="Calibri" w:hAnsi="Calibri" w:cs="Calibri"/>
                <w:b w:val="0"/>
                <w:bCs w:val="0"/>
                <w:sz w:val="24"/>
                <w:szCs w:val="24"/>
              </w:rPr>
            </w:pPr>
            <w:r w:rsidRPr="00497788">
              <w:rPr>
                <w:rFonts w:ascii="Calibri" w:hAnsi="Calibri" w:cs="Calibri"/>
                <w:b w:val="0"/>
                <w:bCs w:val="0"/>
                <w:sz w:val="24"/>
                <w:szCs w:val="24"/>
              </w:rPr>
              <w:t>Staff wellbeing and resilience initiatives</w:t>
            </w:r>
          </w:p>
        </w:tc>
        <w:tc>
          <w:tcPr>
            <w:tcW w:w="0" w:type="auto"/>
            <w:hideMark/>
          </w:tcPr>
          <w:p w14:paraId="0548D082" w14:textId="77777777" w:rsidR="00AE4C25" w:rsidRPr="00497788" w:rsidRDefault="00AE4C25" w:rsidP="00AE4C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Workforce retention and recruitment challenges</w:t>
            </w:r>
          </w:p>
        </w:tc>
      </w:tr>
      <w:tr w:rsidR="00AE4C25" w:rsidRPr="00497788" w14:paraId="63C92A34" w14:textId="77777777" w:rsidTr="00AE4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2C39D" w14:textId="77777777" w:rsidR="00AE4C25" w:rsidRPr="00497788" w:rsidRDefault="00AE4C25" w:rsidP="00AE4C25">
            <w:pPr>
              <w:spacing w:after="160" w:line="259" w:lineRule="auto"/>
              <w:rPr>
                <w:rFonts w:ascii="Calibri" w:hAnsi="Calibri" w:cs="Calibri"/>
                <w:sz w:val="24"/>
                <w:szCs w:val="24"/>
              </w:rPr>
            </w:pPr>
            <w:r w:rsidRPr="00497788">
              <w:rPr>
                <w:rFonts w:ascii="Calibri" w:hAnsi="Calibri" w:cs="Calibri"/>
                <w:sz w:val="24"/>
                <w:szCs w:val="24"/>
              </w:rPr>
              <w:t>Leadership and professional development programmes</w:t>
            </w:r>
          </w:p>
        </w:tc>
        <w:tc>
          <w:tcPr>
            <w:tcW w:w="0" w:type="auto"/>
            <w:hideMark/>
          </w:tcPr>
          <w:p w14:paraId="7A6730D4" w14:textId="77777777" w:rsidR="00AE4C25" w:rsidRPr="00497788" w:rsidRDefault="00AE4C25" w:rsidP="00AE4C25">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Increasing patient demand and service pressures</w:t>
            </w:r>
          </w:p>
        </w:tc>
      </w:tr>
      <w:tr w:rsidR="00AE4C25" w:rsidRPr="00497788" w14:paraId="1304F7E4" w14:textId="77777777" w:rsidTr="00AE4C25">
        <w:tc>
          <w:tcPr>
            <w:cnfStyle w:val="001000000000" w:firstRow="0" w:lastRow="0" w:firstColumn="1" w:lastColumn="0" w:oddVBand="0" w:evenVBand="0" w:oddHBand="0" w:evenHBand="0" w:firstRowFirstColumn="0" w:firstRowLastColumn="0" w:lastRowFirstColumn="0" w:lastRowLastColumn="0"/>
            <w:tcW w:w="0" w:type="auto"/>
            <w:hideMark/>
          </w:tcPr>
          <w:p w14:paraId="3764EA07" w14:textId="77777777" w:rsidR="00AE4C25" w:rsidRPr="00497788" w:rsidRDefault="00AE4C25" w:rsidP="00AE4C25">
            <w:pPr>
              <w:spacing w:after="160" w:line="259" w:lineRule="auto"/>
              <w:rPr>
                <w:rFonts w:ascii="Calibri" w:hAnsi="Calibri" w:cs="Calibri"/>
                <w:sz w:val="24"/>
                <w:szCs w:val="24"/>
              </w:rPr>
            </w:pPr>
            <w:r w:rsidRPr="00497788">
              <w:rPr>
                <w:rFonts w:ascii="Calibri" w:hAnsi="Calibri" w:cs="Calibri"/>
                <w:sz w:val="24"/>
                <w:szCs w:val="24"/>
              </w:rPr>
              <w:t>Improved reflective practice and communication</w:t>
            </w:r>
          </w:p>
        </w:tc>
        <w:tc>
          <w:tcPr>
            <w:tcW w:w="0" w:type="auto"/>
            <w:hideMark/>
          </w:tcPr>
          <w:p w14:paraId="3572DFEB" w14:textId="77777777" w:rsidR="00AE4C25" w:rsidRPr="00497788" w:rsidRDefault="00AE4C25" w:rsidP="00AE4C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Burnout, absenteeism, and reduced morale</w:t>
            </w:r>
          </w:p>
        </w:tc>
      </w:tr>
    </w:tbl>
    <w:p w14:paraId="2F2E9A64" w14:textId="637710EE" w:rsidR="00497788" w:rsidRDefault="00497788" w:rsidP="00E34352"/>
    <w:p w14:paraId="69D16515" w14:textId="77777777" w:rsidR="00497788" w:rsidRDefault="00497788">
      <w:r>
        <w:br w:type="page"/>
      </w:r>
    </w:p>
    <w:p w14:paraId="79D109EF" w14:textId="1B103FAF" w:rsidR="00E34352" w:rsidRPr="00497788" w:rsidRDefault="00497788" w:rsidP="00497788">
      <w:pPr>
        <w:pStyle w:val="Heading2"/>
        <w:rPr>
          <w:rFonts w:ascii="Calibri" w:hAnsi="Calibri" w:cs="Calibri"/>
        </w:rPr>
      </w:pPr>
      <w:bookmarkStart w:id="40" w:name="_Appendix_E"/>
      <w:bookmarkStart w:id="41" w:name="_Toc230003907"/>
      <w:bookmarkEnd w:id="40"/>
      <w:r w:rsidRPr="00497788">
        <w:rPr>
          <w:rFonts w:ascii="Calibri" w:hAnsi="Calibri" w:cs="Calibri"/>
        </w:rPr>
        <w:lastRenderedPageBreak/>
        <w:t>Appendix E</w:t>
      </w:r>
      <w:bookmarkEnd w:id="41"/>
    </w:p>
    <w:p w14:paraId="47BB2F61" w14:textId="45975C57" w:rsidR="00497788" w:rsidRPr="00497788" w:rsidRDefault="00497788" w:rsidP="00497788">
      <w:pPr>
        <w:rPr>
          <w:rFonts w:ascii="Calibri" w:hAnsi="Calibri" w:cs="Calibri"/>
          <w:sz w:val="24"/>
          <w:szCs w:val="24"/>
        </w:rPr>
      </w:pPr>
      <w:r w:rsidRPr="00497788">
        <w:rPr>
          <w:rFonts w:ascii="Calibri" w:hAnsi="Calibri" w:cs="Calibri"/>
          <w:sz w:val="24"/>
          <w:szCs w:val="24"/>
        </w:rPr>
        <w:t>PESTLE Analysis of NHS Healthcare Environment</w:t>
      </w:r>
    </w:p>
    <w:tbl>
      <w:tblPr>
        <w:tblStyle w:val="PlainTable4"/>
        <w:tblW w:w="0" w:type="auto"/>
        <w:tblLook w:val="04A0" w:firstRow="1" w:lastRow="0" w:firstColumn="1" w:lastColumn="0" w:noHBand="0" w:noVBand="1"/>
      </w:tblPr>
      <w:tblGrid>
        <w:gridCol w:w="1683"/>
        <w:gridCol w:w="7343"/>
      </w:tblGrid>
      <w:tr w:rsidR="00497788" w:rsidRPr="00497788" w14:paraId="3213FD6A" w14:textId="77777777" w:rsidTr="004977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576F9"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Factor</w:t>
            </w:r>
          </w:p>
        </w:tc>
        <w:tc>
          <w:tcPr>
            <w:tcW w:w="0" w:type="auto"/>
            <w:hideMark/>
          </w:tcPr>
          <w:p w14:paraId="19822D63" w14:textId="77777777" w:rsidR="00497788" w:rsidRPr="00497788" w:rsidRDefault="00497788" w:rsidP="00497788">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Example</w:t>
            </w:r>
          </w:p>
        </w:tc>
      </w:tr>
      <w:tr w:rsidR="00497788" w:rsidRPr="00497788" w14:paraId="6BECB8CD" w14:textId="77777777" w:rsidTr="004977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EDAC2A"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Political</w:t>
            </w:r>
          </w:p>
        </w:tc>
        <w:tc>
          <w:tcPr>
            <w:tcW w:w="0" w:type="auto"/>
            <w:hideMark/>
          </w:tcPr>
          <w:p w14:paraId="0FF2AD3D" w14:textId="77777777" w:rsidR="00497788" w:rsidRPr="00497788" w:rsidRDefault="00497788" w:rsidP="004977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NHS policy changes, staffing pressures, and government healthcare reforms</w:t>
            </w:r>
          </w:p>
        </w:tc>
      </w:tr>
      <w:tr w:rsidR="00497788" w:rsidRPr="00497788" w14:paraId="7DA60CD4" w14:textId="77777777" w:rsidTr="00497788">
        <w:tc>
          <w:tcPr>
            <w:cnfStyle w:val="001000000000" w:firstRow="0" w:lastRow="0" w:firstColumn="1" w:lastColumn="0" w:oddVBand="0" w:evenVBand="0" w:oddHBand="0" w:evenHBand="0" w:firstRowFirstColumn="0" w:firstRowLastColumn="0" w:lastRowFirstColumn="0" w:lastRowLastColumn="0"/>
            <w:tcW w:w="0" w:type="auto"/>
            <w:hideMark/>
          </w:tcPr>
          <w:p w14:paraId="737A80CA"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Economic</w:t>
            </w:r>
          </w:p>
        </w:tc>
        <w:tc>
          <w:tcPr>
            <w:tcW w:w="0" w:type="auto"/>
            <w:hideMark/>
          </w:tcPr>
          <w:p w14:paraId="3DABAA03" w14:textId="77777777" w:rsidR="00497788" w:rsidRPr="00497788" w:rsidRDefault="00497788" w:rsidP="004977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Budget constraints, funding pressures, and rising operational costs</w:t>
            </w:r>
          </w:p>
        </w:tc>
      </w:tr>
      <w:tr w:rsidR="00497788" w:rsidRPr="00497788" w14:paraId="1FEC7051" w14:textId="77777777" w:rsidTr="004977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4715C0"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Social</w:t>
            </w:r>
          </w:p>
        </w:tc>
        <w:tc>
          <w:tcPr>
            <w:tcW w:w="0" w:type="auto"/>
            <w:hideMark/>
          </w:tcPr>
          <w:p w14:paraId="501A66F4" w14:textId="77777777" w:rsidR="00497788" w:rsidRPr="00497788" w:rsidRDefault="00497788" w:rsidP="004977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Ageing population increasing healthcare demand and long-term care needs</w:t>
            </w:r>
          </w:p>
        </w:tc>
      </w:tr>
      <w:tr w:rsidR="00497788" w:rsidRPr="00497788" w14:paraId="5DCE87E6" w14:textId="77777777" w:rsidTr="00497788">
        <w:tc>
          <w:tcPr>
            <w:cnfStyle w:val="001000000000" w:firstRow="0" w:lastRow="0" w:firstColumn="1" w:lastColumn="0" w:oddVBand="0" w:evenVBand="0" w:oddHBand="0" w:evenHBand="0" w:firstRowFirstColumn="0" w:firstRowLastColumn="0" w:lastRowFirstColumn="0" w:lastRowLastColumn="0"/>
            <w:tcW w:w="0" w:type="auto"/>
            <w:hideMark/>
          </w:tcPr>
          <w:p w14:paraId="4C9D8674"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Technological</w:t>
            </w:r>
          </w:p>
        </w:tc>
        <w:tc>
          <w:tcPr>
            <w:tcW w:w="0" w:type="auto"/>
            <w:hideMark/>
          </w:tcPr>
          <w:p w14:paraId="523BDE5D" w14:textId="77777777" w:rsidR="00497788" w:rsidRPr="00497788" w:rsidRDefault="00497788" w:rsidP="004977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Digital healthcare systems, electronic patient records, and clinical documentation requirements</w:t>
            </w:r>
          </w:p>
        </w:tc>
      </w:tr>
      <w:tr w:rsidR="00497788" w:rsidRPr="00497788" w14:paraId="1FDFEB6C" w14:textId="77777777" w:rsidTr="004977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074E5"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Legal</w:t>
            </w:r>
          </w:p>
        </w:tc>
        <w:tc>
          <w:tcPr>
            <w:tcW w:w="0" w:type="auto"/>
            <w:hideMark/>
          </w:tcPr>
          <w:p w14:paraId="5ED15612" w14:textId="77777777" w:rsidR="00497788" w:rsidRPr="00497788" w:rsidRDefault="00497788" w:rsidP="00497788">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Patient safety regulations, safeguarding responsibilities, and professional accountability standards</w:t>
            </w:r>
          </w:p>
        </w:tc>
      </w:tr>
      <w:tr w:rsidR="00497788" w:rsidRPr="00497788" w14:paraId="54112110" w14:textId="77777777" w:rsidTr="00497788">
        <w:tc>
          <w:tcPr>
            <w:cnfStyle w:val="001000000000" w:firstRow="0" w:lastRow="0" w:firstColumn="1" w:lastColumn="0" w:oddVBand="0" w:evenVBand="0" w:oddHBand="0" w:evenHBand="0" w:firstRowFirstColumn="0" w:firstRowLastColumn="0" w:lastRowFirstColumn="0" w:lastRowLastColumn="0"/>
            <w:tcW w:w="0" w:type="auto"/>
            <w:hideMark/>
          </w:tcPr>
          <w:p w14:paraId="6C5763E0" w14:textId="77777777" w:rsidR="00497788" w:rsidRPr="00497788" w:rsidRDefault="00497788" w:rsidP="00497788">
            <w:pPr>
              <w:spacing w:after="160" w:line="259" w:lineRule="auto"/>
              <w:rPr>
                <w:rFonts w:ascii="Calibri" w:hAnsi="Calibri" w:cs="Calibri"/>
                <w:sz w:val="24"/>
                <w:szCs w:val="24"/>
              </w:rPr>
            </w:pPr>
            <w:r w:rsidRPr="00497788">
              <w:rPr>
                <w:rFonts w:ascii="Calibri" w:hAnsi="Calibri" w:cs="Calibri"/>
                <w:sz w:val="24"/>
                <w:szCs w:val="24"/>
              </w:rPr>
              <w:t>Environmental</w:t>
            </w:r>
          </w:p>
        </w:tc>
        <w:tc>
          <w:tcPr>
            <w:tcW w:w="0" w:type="auto"/>
            <w:hideMark/>
          </w:tcPr>
          <w:p w14:paraId="6F9F79D0" w14:textId="77777777" w:rsidR="00497788" w:rsidRPr="00497788" w:rsidRDefault="00497788" w:rsidP="00497788">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497788">
              <w:rPr>
                <w:rFonts w:ascii="Calibri" w:hAnsi="Calibri" w:cs="Calibri"/>
                <w:sz w:val="24"/>
                <w:szCs w:val="24"/>
              </w:rPr>
              <w:t>Infection control procedures, hospital capacity pressures, and healthcare sustainability challenges</w:t>
            </w:r>
          </w:p>
        </w:tc>
      </w:tr>
    </w:tbl>
    <w:p w14:paraId="02400AE3" w14:textId="77777777" w:rsidR="00497788" w:rsidRPr="00497788" w:rsidRDefault="00497788" w:rsidP="00497788"/>
    <w:sectPr w:rsidR="00497788" w:rsidRPr="00497788">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56A93" w14:textId="77777777" w:rsidR="00990FC5" w:rsidRDefault="00990FC5" w:rsidP="00253B76">
      <w:pPr>
        <w:spacing w:after="0" w:line="240" w:lineRule="auto"/>
      </w:pPr>
      <w:r>
        <w:separator/>
      </w:r>
    </w:p>
  </w:endnote>
  <w:endnote w:type="continuationSeparator" w:id="0">
    <w:p w14:paraId="75592AFD" w14:textId="77777777" w:rsidR="00990FC5" w:rsidRDefault="00990FC5" w:rsidP="00253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421341"/>
      <w:docPartObj>
        <w:docPartGallery w:val="Page Numbers (Bottom of Page)"/>
        <w:docPartUnique/>
      </w:docPartObj>
    </w:sdtPr>
    <w:sdtContent>
      <w:p w14:paraId="05732167" w14:textId="1F04DF0A" w:rsidR="00253B76" w:rsidRDefault="00253B76">
        <w:pPr>
          <w:pStyle w:val="Footer"/>
          <w:jc w:val="right"/>
        </w:pPr>
        <w:r>
          <w:fldChar w:fldCharType="begin"/>
        </w:r>
        <w:r>
          <w:instrText>PAGE   \* MERGEFORMAT</w:instrText>
        </w:r>
        <w:r>
          <w:fldChar w:fldCharType="separate"/>
        </w:r>
        <w:r>
          <w:t>2</w:t>
        </w:r>
        <w:r>
          <w:fldChar w:fldCharType="end"/>
        </w:r>
      </w:p>
    </w:sdtContent>
  </w:sdt>
  <w:p w14:paraId="7501BD7F" w14:textId="77777777" w:rsidR="00253B76" w:rsidRDefault="00253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8B789" w14:textId="77777777" w:rsidR="00990FC5" w:rsidRDefault="00990FC5" w:rsidP="00253B76">
      <w:pPr>
        <w:spacing w:after="0" w:line="240" w:lineRule="auto"/>
      </w:pPr>
      <w:r>
        <w:separator/>
      </w:r>
    </w:p>
  </w:footnote>
  <w:footnote w:type="continuationSeparator" w:id="0">
    <w:p w14:paraId="3120C736" w14:textId="77777777" w:rsidR="00990FC5" w:rsidRDefault="00990FC5" w:rsidP="00253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61A8"/>
    <w:multiLevelType w:val="multilevel"/>
    <w:tmpl w:val="7FDA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70EBD"/>
    <w:multiLevelType w:val="multilevel"/>
    <w:tmpl w:val="3940D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11639"/>
    <w:multiLevelType w:val="multilevel"/>
    <w:tmpl w:val="7C48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4D92"/>
    <w:multiLevelType w:val="multilevel"/>
    <w:tmpl w:val="2E1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85487"/>
    <w:multiLevelType w:val="multilevel"/>
    <w:tmpl w:val="F31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14A2E"/>
    <w:multiLevelType w:val="multilevel"/>
    <w:tmpl w:val="34527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777FB"/>
    <w:multiLevelType w:val="multilevel"/>
    <w:tmpl w:val="4992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94214"/>
    <w:multiLevelType w:val="multilevel"/>
    <w:tmpl w:val="8BDE5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DB7709"/>
    <w:multiLevelType w:val="multilevel"/>
    <w:tmpl w:val="E68A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71AB2"/>
    <w:multiLevelType w:val="multilevel"/>
    <w:tmpl w:val="C8F03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331AD"/>
    <w:multiLevelType w:val="multilevel"/>
    <w:tmpl w:val="E518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5357F"/>
    <w:multiLevelType w:val="multilevel"/>
    <w:tmpl w:val="ED346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93A22"/>
    <w:multiLevelType w:val="multilevel"/>
    <w:tmpl w:val="BDF4E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077BA"/>
    <w:multiLevelType w:val="multilevel"/>
    <w:tmpl w:val="F40E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23EC5"/>
    <w:multiLevelType w:val="multilevel"/>
    <w:tmpl w:val="A746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66FFB"/>
    <w:multiLevelType w:val="multilevel"/>
    <w:tmpl w:val="5D4CC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1670B"/>
    <w:multiLevelType w:val="multilevel"/>
    <w:tmpl w:val="9DD6B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CC4767"/>
    <w:multiLevelType w:val="multilevel"/>
    <w:tmpl w:val="E75A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45BD4"/>
    <w:multiLevelType w:val="multilevel"/>
    <w:tmpl w:val="40FA2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D1765"/>
    <w:multiLevelType w:val="multilevel"/>
    <w:tmpl w:val="67103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3E7545"/>
    <w:multiLevelType w:val="multilevel"/>
    <w:tmpl w:val="4E186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E50A2"/>
    <w:multiLevelType w:val="multilevel"/>
    <w:tmpl w:val="1AE8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43D99"/>
    <w:multiLevelType w:val="multilevel"/>
    <w:tmpl w:val="C516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975AB"/>
    <w:multiLevelType w:val="multilevel"/>
    <w:tmpl w:val="E1E46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7E63D9"/>
    <w:multiLevelType w:val="multilevel"/>
    <w:tmpl w:val="AB684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58CB"/>
    <w:multiLevelType w:val="multilevel"/>
    <w:tmpl w:val="76DC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1062BF"/>
    <w:multiLevelType w:val="multilevel"/>
    <w:tmpl w:val="F0D6F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586CC2"/>
    <w:multiLevelType w:val="multilevel"/>
    <w:tmpl w:val="2B027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0F0935"/>
    <w:multiLevelType w:val="multilevel"/>
    <w:tmpl w:val="E948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7592282">
    <w:abstractNumId w:val="11"/>
  </w:num>
  <w:num w:numId="2" w16cid:durableId="407191776">
    <w:abstractNumId w:val="9"/>
  </w:num>
  <w:num w:numId="3" w16cid:durableId="440493686">
    <w:abstractNumId w:val="10"/>
  </w:num>
  <w:num w:numId="4" w16cid:durableId="1100371843">
    <w:abstractNumId w:val="2"/>
  </w:num>
  <w:num w:numId="5" w16cid:durableId="362170283">
    <w:abstractNumId w:val="8"/>
  </w:num>
  <w:num w:numId="6" w16cid:durableId="776873525">
    <w:abstractNumId w:val="12"/>
  </w:num>
  <w:num w:numId="7" w16cid:durableId="1870751656">
    <w:abstractNumId w:val="28"/>
  </w:num>
  <w:num w:numId="8" w16cid:durableId="1296646462">
    <w:abstractNumId w:val="23"/>
  </w:num>
  <w:num w:numId="9" w16cid:durableId="320549978">
    <w:abstractNumId w:val="16"/>
  </w:num>
  <w:num w:numId="10" w16cid:durableId="1446535866">
    <w:abstractNumId w:val="3"/>
  </w:num>
  <w:num w:numId="11" w16cid:durableId="2127387626">
    <w:abstractNumId w:val="15"/>
  </w:num>
  <w:num w:numId="12" w16cid:durableId="1902906702">
    <w:abstractNumId w:val="22"/>
  </w:num>
  <w:num w:numId="13" w16cid:durableId="35783129">
    <w:abstractNumId w:val="0"/>
  </w:num>
  <w:num w:numId="14" w16cid:durableId="49960681">
    <w:abstractNumId w:val="1"/>
  </w:num>
  <w:num w:numId="15" w16cid:durableId="57899256">
    <w:abstractNumId w:val="24"/>
  </w:num>
  <w:num w:numId="16" w16cid:durableId="310838264">
    <w:abstractNumId w:val="7"/>
  </w:num>
  <w:num w:numId="17" w16cid:durableId="1947928958">
    <w:abstractNumId w:val="21"/>
  </w:num>
  <w:num w:numId="18" w16cid:durableId="2054890088">
    <w:abstractNumId w:val="19"/>
  </w:num>
  <w:num w:numId="19" w16cid:durableId="1658849090">
    <w:abstractNumId w:val="6"/>
  </w:num>
  <w:num w:numId="20" w16cid:durableId="1770854242">
    <w:abstractNumId w:val="13"/>
  </w:num>
  <w:num w:numId="21" w16cid:durableId="1729373414">
    <w:abstractNumId w:val="18"/>
  </w:num>
  <w:num w:numId="22" w16cid:durableId="1412309437">
    <w:abstractNumId w:val="20"/>
  </w:num>
  <w:num w:numId="23" w16cid:durableId="786005501">
    <w:abstractNumId w:val="27"/>
  </w:num>
  <w:num w:numId="24" w16cid:durableId="71586670">
    <w:abstractNumId w:val="5"/>
  </w:num>
  <w:num w:numId="25" w16cid:durableId="861895235">
    <w:abstractNumId w:val="25"/>
  </w:num>
  <w:num w:numId="26" w16cid:durableId="2017077891">
    <w:abstractNumId w:val="17"/>
  </w:num>
  <w:num w:numId="27" w16cid:durableId="575290418">
    <w:abstractNumId w:val="14"/>
  </w:num>
  <w:num w:numId="28" w16cid:durableId="1236087109">
    <w:abstractNumId w:val="4"/>
  </w:num>
  <w:num w:numId="29" w16cid:durableId="11714837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6C7"/>
    <w:rsid w:val="0000218C"/>
    <w:rsid w:val="00007A34"/>
    <w:rsid w:val="000113F5"/>
    <w:rsid w:val="0001564C"/>
    <w:rsid w:val="00016BDE"/>
    <w:rsid w:val="00020796"/>
    <w:rsid w:val="00020AF8"/>
    <w:rsid w:val="00022783"/>
    <w:rsid w:val="00023056"/>
    <w:rsid w:val="00023C7B"/>
    <w:rsid w:val="00024E41"/>
    <w:rsid w:val="00027A39"/>
    <w:rsid w:val="000331DB"/>
    <w:rsid w:val="000334E0"/>
    <w:rsid w:val="00033519"/>
    <w:rsid w:val="0003386D"/>
    <w:rsid w:val="00035D07"/>
    <w:rsid w:val="00040805"/>
    <w:rsid w:val="00045A9F"/>
    <w:rsid w:val="0005009D"/>
    <w:rsid w:val="00050930"/>
    <w:rsid w:val="000509E9"/>
    <w:rsid w:val="00051BC8"/>
    <w:rsid w:val="0006696B"/>
    <w:rsid w:val="0007029F"/>
    <w:rsid w:val="0007757A"/>
    <w:rsid w:val="00081797"/>
    <w:rsid w:val="00082D2C"/>
    <w:rsid w:val="0008433C"/>
    <w:rsid w:val="00084DFE"/>
    <w:rsid w:val="00085B0F"/>
    <w:rsid w:val="00087536"/>
    <w:rsid w:val="00087B4E"/>
    <w:rsid w:val="00087D6B"/>
    <w:rsid w:val="0009162F"/>
    <w:rsid w:val="00091C1F"/>
    <w:rsid w:val="000928FE"/>
    <w:rsid w:val="000971A0"/>
    <w:rsid w:val="000976BC"/>
    <w:rsid w:val="000A0954"/>
    <w:rsid w:val="000A1FAD"/>
    <w:rsid w:val="000A223E"/>
    <w:rsid w:val="000A51A8"/>
    <w:rsid w:val="000A5DA6"/>
    <w:rsid w:val="000A678F"/>
    <w:rsid w:val="000B1DCD"/>
    <w:rsid w:val="000B2F94"/>
    <w:rsid w:val="000B3681"/>
    <w:rsid w:val="000B45E5"/>
    <w:rsid w:val="000B5563"/>
    <w:rsid w:val="000B7A46"/>
    <w:rsid w:val="000C0299"/>
    <w:rsid w:val="000C08ED"/>
    <w:rsid w:val="000C2B60"/>
    <w:rsid w:val="000C38E0"/>
    <w:rsid w:val="000C48D3"/>
    <w:rsid w:val="000C7DD9"/>
    <w:rsid w:val="000D3C3A"/>
    <w:rsid w:val="000D3D6B"/>
    <w:rsid w:val="000E07AC"/>
    <w:rsid w:val="000E1106"/>
    <w:rsid w:val="000E1AC8"/>
    <w:rsid w:val="000E218C"/>
    <w:rsid w:val="000E38A9"/>
    <w:rsid w:val="000E5553"/>
    <w:rsid w:val="000F0954"/>
    <w:rsid w:val="000F3127"/>
    <w:rsid w:val="000F316B"/>
    <w:rsid w:val="000F3F32"/>
    <w:rsid w:val="000F5BB3"/>
    <w:rsid w:val="000F6428"/>
    <w:rsid w:val="000F7526"/>
    <w:rsid w:val="000F7943"/>
    <w:rsid w:val="00100CFD"/>
    <w:rsid w:val="00101966"/>
    <w:rsid w:val="00101D4C"/>
    <w:rsid w:val="001026D6"/>
    <w:rsid w:val="001028F7"/>
    <w:rsid w:val="00103CEB"/>
    <w:rsid w:val="001045EF"/>
    <w:rsid w:val="00104FE6"/>
    <w:rsid w:val="001102F3"/>
    <w:rsid w:val="00110ED1"/>
    <w:rsid w:val="00113708"/>
    <w:rsid w:val="001149DA"/>
    <w:rsid w:val="00114CC6"/>
    <w:rsid w:val="00115385"/>
    <w:rsid w:val="0011576F"/>
    <w:rsid w:val="00115CB7"/>
    <w:rsid w:val="00115E49"/>
    <w:rsid w:val="00120A56"/>
    <w:rsid w:val="00120B6C"/>
    <w:rsid w:val="001225E3"/>
    <w:rsid w:val="00122628"/>
    <w:rsid w:val="0012483E"/>
    <w:rsid w:val="00125161"/>
    <w:rsid w:val="00125AEC"/>
    <w:rsid w:val="001262AB"/>
    <w:rsid w:val="0012736D"/>
    <w:rsid w:val="00130774"/>
    <w:rsid w:val="00131ECD"/>
    <w:rsid w:val="00131EF6"/>
    <w:rsid w:val="00132FFA"/>
    <w:rsid w:val="00137DA5"/>
    <w:rsid w:val="00142189"/>
    <w:rsid w:val="00142396"/>
    <w:rsid w:val="00142E6E"/>
    <w:rsid w:val="001461FC"/>
    <w:rsid w:val="0014692D"/>
    <w:rsid w:val="00151960"/>
    <w:rsid w:val="001530D5"/>
    <w:rsid w:val="00153D14"/>
    <w:rsid w:val="00154358"/>
    <w:rsid w:val="00160C1D"/>
    <w:rsid w:val="00162C44"/>
    <w:rsid w:val="0017082D"/>
    <w:rsid w:val="00171425"/>
    <w:rsid w:val="001741FE"/>
    <w:rsid w:val="0018024A"/>
    <w:rsid w:val="001843FA"/>
    <w:rsid w:val="00185461"/>
    <w:rsid w:val="00194256"/>
    <w:rsid w:val="00194C32"/>
    <w:rsid w:val="00196131"/>
    <w:rsid w:val="00197E92"/>
    <w:rsid w:val="001A0C94"/>
    <w:rsid w:val="001A131A"/>
    <w:rsid w:val="001A2156"/>
    <w:rsid w:val="001A22E1"/>
    <w:rsid w:val="001A7022"/>
    <w:rsid w:val="001A79EB"/>
    <w:rsid w:val="001B0306"/>
    <w:rsid w:val="001B2FF7"/>
    <w:rsid w:val="001B4778"/>
    <w:rsid w:val="001B64EF"/>
    <w:rsid w:val="001C0DAE"/>
    <w:rsid w:val="001C38F8"/>
    <w:rsid w:val="001D44D3"/>
    <w:rsid w:val="001D453B"/>
    <w:rsid w:val="001E3CA2"/>
    <w:rsid w:val="001E455C"/>
    <w:rsid w:val="001E6D40"/>
    <w:rsid w:val="001F0BFB"/>
    <w:rsid w:val="001F19A9"/>
    <w:rsid w:val="001F4882"/>
    <w:rsid w:val="00200AFC"/>
    <w:rsid w:val="00202A90"/>
    <w:rsid w:val="002032F6"/>
    <w:rsid w:val="00206933"/>
    <w:rsid w:val="002070ED"/>
    <w:rsid w:val="00207995"/>
    <w:rsid w:val="00207DF2"/>
    <w:rsid w:val="00212C47"/>
    <w:rsid w:val="0021408A"/>
    <w:rsid w:val="00214892"/>
    <w:rsid w:val="00215550"/>
    <w:rsid w:val="002178D9"/>
    <w:rsid w:val="00217B35"/>
    <w:rsid w:val="00225FF6"/>
    <w:rsid w:val="00226679"/>
    <w:rsid w:val="00227D17"/>
    <w:rsid w:val="00231380"/>
    <w:rsid w:val="00232850"/>
    <w:rsid w:val="00233424"/>
    <w:rsid w:val="00233C10"/>
    <w:rsid w:val="00233F13"/>
    <w:rsid w:val="00234BB8"/>
    <w:rsid w:val="00234E83"/>
    <w:rsid w:val="00235C17"/>
    <w:rsid w:val="00236803"/>
    <w:rsid w:val="00240FD5"/>
    <w:rsid w:val="00241347"/>
    <w:rsid w:val="002465A9"/>
    <w:rsid w:val="002475A2"/>
    <w:rsid w:val="00251545"/>
    <w:rsid w:val="00251A15"/>
    <w:rsid w:val="00253874"/>
    <w:rsid w:val="00253B76"/>
    <w:rsid w:val="002545E1"/>
    <w:rsid w:val="0025625D"/>
    <w:rsid w:val="002564F5"/>
    <w:rsid w:val="00261765"/>
    <w:rsid w:val="00265252"/>
    <w:rsid w:val="002717E3"/>
    <w:rsid w:val="0027411C"/>
    <w:rsid w:val="002769EA"/>
    <w:rsid w:val="00281862"/>
    <w:rsid w:val="00281E57"/>
    <w:rsid w:val="00283A8F"/>
    <w:rsid w:val="0028535E"/>
    <w:rsid w:val="00290F4B"/>
    <w:rsid w:val="002927B6"/>
    <w:rsid w:val="002932B0"/>
    <w:rsid w:val="002A0025"/>
    <w:rsid w:val="002A1C08"/>
    <w:rsid w:val="002A1FF0"/>
    <w:rsid w:val="002A29A6"/>
    <w:rsid w:val="002A5510"/>
    <w:rsid w:val="002A5948"/>
    <w:rsid w:val="002B10A5"/>
    <w:rsid w:val="002B2CB3"/>
    <w:rsid w:val="002B37AB"/>
    <w:rsid w:val="002B46EC"/>
    <w:rsid w:val="002B7863"/>
    <w:rsid w:val="002C5E86"/>
    <w:rsid w:val="002C6FA4"/>
    <w:rsid w:val="002D13E4"/>
    <w:rsid w:val="002D41DE"/>
    <w:rsid w:val="002D4CCB"/>
    <w:rsid w:val="002D5C0B"/>
    <w:rsid w:val="002D5C20"/>
    <w:rsid w:val="002D6ABC"/>
    <w:rsid w:val="002D794A"/>
    <w:rsid w:val="002E259C"/>
    <w:rsid w:val="002E7880"/>
    <w:rsid w:val="002F0E3D"/>
    <w:rsid w:val="002F4CBE"/>
    <w:rsid w:val="002F71A4"/>
    <w:rsid w:val="002F7E42"/>
    <w:rsid w:val="0030053E"/>
    <w:rsid w:val="0030344E"/>
    <w:rsid w:val="00303EE5"/>
    <w:rsid w:val="003040CE"/>
    <w:rsid w:val="00306849"/>
    <w:rsid w:val="00306F2A"/>
    <w:rsid w:val="00312193"/>
    <w:rsid w:val="00312197"/>
    <w:rsid w:val="003121F8"/>
    <w:rsid w:val="00314014"/>
    <w:rsid w:val="00326825"/>
    <w:rsid w:val="00327333"/>
    <w:rsid w:val="0033005C"/>
    <w:rsid w:val="003343C3"/>
    <w:rsid w:val="00336585"/>
    <w:rsid w:val="003371B0"/>
    <w:rsid w:val="00345535"/>
    <w:rsid w:val="00345B75"/>
    <w:rsid w:val="00345BD7"/>
    <w:rsid w:val="00352BE4"/>
    <w:rsid w:val="003536B9"/>
    <w:rsid w:val="00353C63"/>
    <w:rsid w:val="003550DE"/>
    <w:rsid w:val="003561C3"/>
    <w:rsid w:val="00357075"/>
    <w:rsid w:val="003579AA"/>
    <w:rsid w:val="00362A35"/>
    <w:rsid w:val="003663D1"/>
    <w:rsid w:val="0036756E"/>
    <w:rsid w:val="00367C57"/>
    <w:rsid w:val="00377076"/>
    <w:rsid w:val="00377214"/>
    <w:rsid w:val="0037761E"/>
    <w:rsid w:val="0038322C"/>
    <w:rsid w:val="003835C9"/>
    <w:rsid w:val="00385567"/>
    <w:rsid w:val="00391242"/>
    <w:rsid w:val="0039183A"/>
    <w:rsid w:val="00391C92"/>
    <w:rsid w:val="00392B0C"/>
    <w:rsid w:val="00392E74"/>
    <w:rsid w:val="00393D16"/>
    <w:rsid w:val="0039612C"/>
    <w:rsid w:val="003963BB"/>
    <w:rsid w:val="00397ED1"/>
    <w:rsid w:val="003A102A"/>
    <w:rsid w:val="003A2D1B"/>
    <w:rsid w:val="003A3CB5"/>
    <w:rsid w:val="003A5C66"/>
    <w:rsid w:val="003A6CAF"/>
    <w:rsid w:val="003A74AD"/>
    <w:rsid w:val="003B0C69"/>
    <w:rsid w:val="003B33D4"/>
    <w:rsid w:val="003B7930"/>
    <w:rsid w:val="003C1F54"/>
    <w:rsid w:val="003C2452"/>
    <w:rsid w:val="003C2615"/>
    <w:rsid w:val="003C3E5D"/>
    <w:rsid w:val="003C49AF"/>
    <w:rsid w:val="003C62EB"/>
    <w:rsid w:val="003C6C85"/>
    <w:rsid w:val="003C7527"/>
    <w:rsid w:val="003D1A7C"/>
    <w:rsid w:val="003D2353"/>
    <w:rsid w:val="003D5EC1"/>
    <w:rsid w:val="003D6778"/>
    <w:rsid w:val="003D7801"/>
    <w:rsid w:val="003D7C9E"/>
    <w:rsid w:val="003E0D58"/>
    <w:rsid w:val="003E1E84"/>
    <w:rsid w:val="003E3F6F"/>
    <w:rsid w:val="003E5568"/>
    <w:rsid w:val="003E6748"/>
    <w:rsid w:val="003F18B8"/>
    <w:rsid w:val="003F1C06"/>
    <w:rsid w:val="003F39BB"/>
    <w:rsid w:val="003F3ED3"/>
    <w:rsid w:val="003F46B6"/>
    <w:rsid w:val="003F7C67"/>
    <w:rsid w:val="003F7F5F"/>
    <w:rsid w:val="00402062"/>
    <w:rsid w:val="00402392"/>
    <w:rsid w:val="00402888"/>
    <w:rsid w:val="00406BF8"/>
    <w:rsid w:val="00410E33"/>
    <w:rsid w:val="00411D20"/>
    <w:rsid w:val="004142F1"/>
    <w:rsid w:val="004177AF"/>
    <w:rsid w:val="00417D0A"/>
    <w:rsid w:val="00421DAF"/>
    <w:rsid w:val="00425C16"/>
    <w:rsid w:val="004300D3"/>
    <w:rsid w:val="004302F1"/>
    <w:rsid w:val="00432BB6"/>
    <w:rsid w:val="00433DE6"/>
    <w:rsid w:val="00435F11"/>
    <w:rsid w:val="0044300E"/>
    <w:rsid w:val="00443700"/>
    <w:rsid w:val="00443838"/>
    <w:rsid w:val="004442AB"/>
    <w:rsid w:val="00444460"/>
    <w:rsid w:val="004444B1"/>
    <w:rsid w:val="0044546C"/>
    <w:rsid w:val="00446C6C"/>
    <w:rsid w:val="00447B81"/>
    <w:rsid w:val="00450CB9"/>
    <w:rsid w:val="00450EA8"/>
    <w:rsid w:val="00454CA9"/>
    <w:rsid w:val="0045589A"/>
    <w:rsid w:val="004613A8"/>
    <w:rsid w:val="004634B4"/>
    <w:rsid w:val="00463B88"/>
    <w:rsid w:val="00464E58"/>
    <w:rsid w:val="00465542"/>
    <w:rsid w:val="00465E6C"/>
    <w:rsid w:val="004662E5"/>
    <w:rsid w:val="004679F5"/>
    <w:rsid w:val="00467A90"/>
    <w:rsid w:val="00467E3D"/>
    <w:rsid w:val="00472B57"/>
    <w:rsid w:val="0047418B"/>
    <w:rsid w:val="0047574A"/>
    <w:rsid w:val="00482777"/>
    <w:rsid w:val="004849E0"/>
    <w:rsid w:val="0048690E"/>
    <w:rsid w:val="0048764F"/>
    <w:rsid w:val="0048791E"/>
    <w:rsid w:val="00490E52"/>
    <w:rsid w:val="00492591"/>
    <w:rsid w:val="004932D4"/>
    <w:rsid w:val="00496839"/>
    <w:rsid w:val="00497788"/>
    <w:rsid w:val="004A15B2"/>
    <w:rsid w:val="004A19E9"/>
    <w:rsid w:val="004A28DE"/>
    <w:rsid w:val="004A367F"/>
    <w:rsid w:val="004A5984"/>
    <w:rsid w:val="004A5B0F"/>
    <w:rsid w:val="004A657A"/>
    <w:rsid w:val="004A70AA"/>
    <w:rsid w:val="004A711E"/>
    <w:rsid w:val="004B22CD"/>
    <w:rsid w:val="004B2C9B"/>
    <w:rsid w:val="004B3664"/>
    <w:rsid w:val="004B3B87"/>
    <w:rsid w:val="004B4025"/>
    <w:rsid w:val="004B4B00"/>
    <w:rsid w:val="004B4DDE"/>
    <w:rsid w:val="004C045A"/>
    <w:rsid w:val="004C102F"/>
    <w:rsid w:val="004C2964"/>
    <w:rsid w:val="004C2FBE"/>
    <w:rsid w:val="004C3585"/>
    <w:rsid w:val="004C5725"/>
    <w:rsid w:val="004C7BD2"/>
    <w:rsid w:val="004D0053"/>
    <w:rsid w:val="004D18DE"/>
    <w:rsid w:val="004D2D60"/>
    <w:rsid w:val="004D4452"/>
    <w:rsid w:val="004E521B"/>
    <w:rsid w:val="004F421E"/>
    <w:rsid w:val="004F754F"/>
    <w:rsid w:val="004F7C87"/>
    <w:rsid w:val="005015C1"/>
    <w:rsid w:val="00501775"/>
    <w:rsid w:val="0050570B"/>
    <w:rsid w:val="0050616F"/>
    <w:rsid w:val="00507707"/>
    <w:rsid w:val="00507E3F"/>
    <w:rsid w:val="00514CA5"/>
    <w:rsid w:val="0051601D"/>
    <w:rsid w:val="005171AA"/>
    <w:rsid w:val="00521862"/>
    <w:rsid w:val="00525389"/>
    <w:rsid w:val="00527EF1"/>
    <w:rsid w:val="005302D4"/>
    <w:rsid w:val="00531231"/>
    <w:rsid w:val="00533873"/>
    <w:rsid w:val="00534364"/>
    <w:rsid w:val="005344F8"/>
    <w:rsid w:val="00535CF1"/>
    <w:rsid w:val="00535F1B"/>
    <w:rsid w:val="0054004E"/>
    <w:rsid w:val="00542C18"/>
    <w:rsid w:val="00543A88"/>
    <w:rsid w:val="00544032"/>
    <w:rsid w:val="0054448F"/>
    <w:rsid w:val="0054707E"/>
    <w:rsid w:val="005525E2"/>
    <w:rsid w:val="00554CCC"/>
    <w:rsid w:val="0055771E"/>
    <w:rsid w:val="005605D0"/>
    <w:rsid w:val="005611E8"/>
    <w:rsid w:val="005611EF"/>
    <w:rsid w:val="0056127D"/>
    <w:rsid w:val="00563268"/>
    <w:rsid w:val="00566967"/>
    <w:rsid w:val="005678AA"/>
    <w:rsid w:val="00567D21"/>
    <w:rsid w:val="005719C2"/>
    <w:rsid w:val="00571D36"/>
    <w:rsid w:val="005759AE"/>
    <w:rsid w:val="00576303"/>
    <w:rsid w:val="00581E2E"/>
    <w:rsid w:val="00583726"/>
    <w:rsid w:val="005840CF"/>
    <w:rsid w:val="00584B8F"/>
    <w:rsid w:val="00585417"/>
    <w:rsid w:val="005865E7"/>
    <w:rsid w:val="00586ADA"/>
    <w:rsid w:val="005870A1"/>
    <w:rsid w:val="00587799"/>
    <w:rsid w:val="00591463"/>
    <w:rsid w:val="00595898"/>
    <w:rsid w:val="005966ED"/>
    <w:rsid w:val="005A1A28"/>
    <w:rsid w:val="005A2E0B"/>
    <w:rsid w:val="005A3B6E"/>
    <w:rsid w:val="005A597A"/>
    <w:rsid w:val="005B3476"/>
    <w:rsid w:val="005B34FE"/>
    <w:rsid w:val="005B3D1E"/>
    <w:rsid w:val="005B5059"/>
    <w:rsid w:val="005B583C"/>
    <w:rsid w:val="005B5DFB"/>
    <w:rsid w:val="005C0CC3"/>
    <w:rsid w:val="005C3206"/>
    <w:rsid w:val="005D2BCD"/>
    <w:rsid w:val="005D37E5"/>
    <w:rsid w:val="005E1B3A"/>
    <w:rsid w:val="005E432F"/>
    <w:rsid w:val="005F13F0"/>
    <w:rsid w:val="005F17B4"/>
    <w:rsid w:val="005F2633"/>
    <w:rsid w:val="0060037B"/>
    <w:rsid w:val="006017E3"/>
    <w:rsid w:val="00611DAA"/>
    <w:rsid w:val="00614FCD"/>
    <w:rsid w:val="00616680"/>
    <w:rsid w:val="00616838"/>
    <w:rsid w:val="00620318"/>
    <w:rsid w:val="006240CB"/>
    <w:rsid w:val="00625C2D"/>
    <w:rsid w:val="00626AD9"/>
    <w:rsid w:val="006303B2"/>
    <w:rsid w:val="00630B18"/>
    <w:rsid w:val="006310C5"/>
    <w:rsid w:val="00631207"/>
    <w:rsid w:val="006327D5"/>
    <w:rsid w:val="00636BA6"/>
    <w:rsid w:val="006372FB"/>
    <w:rsid w:val="006405BE"/>
    <w:rsid w:val="006415AD"/>
    <w:rsid w:val="00642734"/>
    <w:rsid w:val="0064320E"/>
    <w:rsid w:val="00643BB4"/>
    <w:rsid w:val="0064458D"/>
    <w:rsid w:val="006458FB"/>
    <w:rsid w:val="0065089D"/>
    <w:rsid w:val="0065575C"/>
    <w:rsid w:val="00655990"/>
    <w:rsid w:val="006606E5"/>
    <w:rsid w:val="0066185A"/>
    <w:rsid w:val="006648E7"/>
    <w:rsid w:val="006702C1"/>
    <w:rsid w:val="00674682"/>
    <w:rsid w:val="0067614C"/>
    <w:rsid w:val="00680397"/>
    <w:rsid w:val="006806E0"/>
    <w:rsid w:val="00680E54"/>
    <w:rsid w:val="00681630"/>
    <w:rsid w:val="00682A62"/>
    <w:rsid w:val="0068450E"/>
    <w:rsid w:val="00684978"/>
    <w:rsid w:val="0068798C"/>
    <w:rsid w:val="0069080A"/>
    <w:rsid w:val="00691B9D"/>
    <w:rsid w:val="0069207A"/>
    <w:rsid w:val="006A014E"/>
    <w:rsid w:val="006A1A50"/>
    <w:rsid w:val="006A1FBF"/>
    <w:rsid w:val="006A7FD1"/>
    <w:rsid w:val="006B0E79"/>
    <w:rsid w:val="006B4497"/>
    <w:rsid w:val="006C029A"/>
    <w:rsid w:val="006C1A5B"/>
    <w:rsid w:val="006C1F28"/>
    <w:rsid w:val="006C2414"/>
    <w:rsid w:val="006C3689"/>
    <w:rsid w:val="006C46F8"/>
    <w:rsid w:val="006C4A12"/>
    <w:rsid w:val="006C5A6F"/>
    <w:rsid w:val="006C63C2"/>
    <w:rsid w:val="006C6FF5"/>
    <w:rsid w:val="006D1EFF"/>
    <w:rsid w:val="006D5744"/>
    <w:rsid w:val="006D6BC7"/>
    <w:rsid w:val="006D7106"/>
    <w:rsid w:val="006E0828"/>
    <w:rsid w:val="006E1C66"/>
    <w:rsid w:val="006E1E15"/>
    <w:rsid w:val="006E3127"/>
    <w:rsid w:val="006E73C6"/>
    <w:rsid w:val="006F0651"/>
    <w:rsid w:val="006F4604"/>
    <w:rsid w:val="007015E8"/>
    <w:rsid w:val="00707A78"/>
    <w:rsid w:val="00713852"/>
    <w:rsid w:val="00721E27"/>
    <w:rsid w:val="00722B9E"/>
    <w:rsid w:val="00724D30"/>
    <w:rsid w:val="00724E47"/>
    <w:rsid w:val="00731293"/>
    <w:rsid w:val="00731FA6"/>
    <w:rsid w:val="007320F2"/>
    <w:rsid w:val="00737201"/>
    <w:rsid w:val="007408B2"/>
    <w:rsid w:val="00740A53"/>
    <w:rsid w:val="00745495"/>
    <w:rsid w:val="00753E5C"/>
    <w:rsid w:val="00754446"/>
    <w:rsid w:val="00754CBC"/>
    <w:rsid w:val="00760F27"/>
    <w:rsid w:val="00760FBE"/>
    <w:rsid w:val="00761352"/>
    <w:rsid w:val="00765385"/>
    <w:rsid w:val="0077229C"/>
    <w:rsid w:val="007731F6"/>
    <w:rsid w:val="007750F8"/>
    <w:rsid w:val="00777CAA"/>
    <w:rsid w:val="00780C82"/>
    <w:rsid w:val="00784652"/>
    <w:rsid w:val="007847E6"/>
    <w:rsid w:val="007900CA"/>
    <w:rsid w:val="007905E5"/>
    <w:rsid w:val="00791CC9"/>
    <w:rsid w:val="00792657"/>
    <w:rsid w:val="0079372A"/>
    <w:rsid w:val="00793971"/>
    <w:rsid w:val="00794468"/>
    <w:rsid w:val="0079530D"/>
    <w:rsid w:val="007960FD"/>
    <w:rsid w:val="007961E8"/>
    <w:rsid w:val="00796E55"/>
    <w:rsid w:val="007A1F40"/>
    <w:rsid w:val="007A20F2"/>
    <w:rsid w:val="007A257C"/>
    <w:rsid w:val="007A5365"/>
    <w:rsid w:val="007B012D"/>
    <w:rsid w:val="007C01A2"/>
    <w:rsid w:val="007C11FC"/>
    <w:rsid w:val="007C3052"/>
    <w:rsid w:val="007C470D"/>
    <w:rsid w:val="007C6A32"/>
    <w:rsid w:val="007D0295"/>
    <w:rsid w:val="007D5E5D"/>
    <w:rsid w:val="007E2FB8"/>
    <w:rsid w:val="007E6FD3"/>
    <w:rsid w:val="007E6FD4"/>
    <w:rsid w:val="007E7659"/>
    <w:rsid w:val="007F0B76"/>
    <w:rsid w:val="007F7C16"/>
    <w:rsid w:val="00802ADE"/>
    <w:rsid w:val="0080363B"/>
    <w:rsid w:val="00803D95"/>
    <w:rsid w:val="0081087D"/>
    <w:rsid w:val="00810C50"/>
    <w:rsid w:val="00810CC2"/>
    <w:rsid w:val="008114BB"/>
    <w:rsid w:val="0081739C"/>
    <w:rsid w:val="00820529"/>
    <w:rsid w:val="00820CB4"/>
    <w:rsid w:val="00826C32"/>
    <w:rsid w:val="00826ECB"/>
    <w:rsid w:val="00827F46"/>
    <w:rsid w:val="008316D0"/>
    <w:rsid w:val="008331E0"/>
    <w:rsid w:val="008340E3"/>
    <w:rsid w:val="008361A9"/>
    <w:rsid w:val="0083657B"/>
    <w:rsid w:val="00837AE2"/>
    <w:rsid w:val="0084214B"/>
    <w:rsid w:val="008424B0"/>
    <w:rsid w:val="00843AAB"/>
    <w:rsid w:val="008444A7"/>
    <w:rsid w:val="008445F2"/>
    <w:rsid w:val="00845297"/>
    <w:rsid w:val="008503F1"/>
    <w:rsid w:val="00860326"/>
    <w:rsid w:val="0086186F"/>
    <w:rsid w:val="008626EB"/>
    <w:rsid w:val="008656DF"/>
    <w:rsid w:val="00867F91"/>
    <w:rsid w:val="00870707"/>
    <w:rsid w:val="008708F3"/>
    <w:rsid w:val="00872BD3"/>
    <w:rsid w:val="00873670"/>
    <w:rsid w:val="00880CF7"/>
    <w:rsid w:val="0088233D"/>
    <w:rsid w:val="00882BBE"/>
    <w:rsid w:val="00883937"/>
    <w:rsid w:val="008841D8"/>
    <w:rsid w:val="00884C84"/>
    <w:rsid w:val="0088566D"/>
    <w:rsid w:val="008879ED"/>
    <w:rsid w:val="00892F55"/>
    <w:rsid w:val="00895735"/>
    <w:rsid w:val="008963B0"/>
    <w:rsid w:val="00896B2B"/>
    <w:rsid w:val="00897303"/>
    <w:rsid w:val="008A021A"/>
    <w:rsid w:val="008A140F"/>
    <w:rsid w:val="008A519D"/>
    <w:rsid w:val="008B5505"/>
    <w:rsid w:val="008B7FC4"/>
    <w:rsid w:val="008C07EE"/>
    <w:rsid w:val="008C1251"/>
    <w:rsid w:val="008C225B"/>
    <w:rsid w:val="008C4D41"/>
    <w:rsid w:val="008C697A"/>
    <w:rsid w:val="008C7F73"/>
    <w:rsid w:val="008D201E"/>
    <w:rsid w:val="008D2044"/>
    <w:rsid w:val="008D31A9"/>
    <w:rsid w:val="008D31F9"/>
    <w:rsid w:val="008D4A8C"/>
    <w:rsid w:val="008D64D9"/>
    <w:rsid w:val="008D7E17"/>
    <w:rsid w:val="008E02B8"/>
    <w:rsid w:val="008E1730"/>
    <w:rsid w:val="008E31BE"/>
    <w:rsid w:val="008E620D"/>
    <w:rsid w:val="008F30FE"/>
    <w:rsid w:val="008F6313"/>
    <w:rsid w:val="008F73B4"/>
    <w:rsid w:val="008F7634"/>
    <w:rsid w:val="00900D3B"/>
    <w:rsid w:val="009037C4"/>
    <w:rsid w:val="00905976"/>
    <w:rsid w:val="00906E18"/>
    <w:rsid w:val="00910E9F"/>
    <w:rsid w:val="009140DB"/>
    <w:rsid w:val="0091668F"/>
    <w:rsid w:val="00917D3E"/>
    <w:rsid w:val="0092071B"/>
    <w:rsid w:val="00921C36"/>
    <w:rsid w:val="00923B4C"/>
    <w:rsid w:val="0092631D"/>
    <w:rsid w:val="00927B22"/>
    <w:rsid w:val="00927E74"/>
    <w:rsid w:val="009306A0"/>
    <w:rsid w:val="009307B0"/>
    <w:rsid w:val="0093158F"/>
    <w:rsid w:val="00932B7B"/>
    <w:rsid w:val="009335EB"/>
    <w:rsid w:val="00935217"/>
    <w:rsid w:val="0093531E"/>
    <w:rsid w:val="0093794D"/>
    <w:rsid w:val="00942314"/>
    <w:rsid w:val="00943A3E"/>
    <w:rsid w:val="009502A7"/>
    <w:rsid w:val="00950B85"/>
    <w:rsid w:val="00951E7C"/>
    <w:rsid w:val="00954CAD"/>
    <w:rsid w:val="0095517C"/>
    <w:rsid w:val="00955C44"/>
    <w:rsid w:val="009574BB"/>
    <w:rsid w:val="00962E9D"/>
    <w:rsid w:val="009654FD"/>
    <w:rsid w:val="00966E95"/>
    <w:rsid w:val="0096714C"/>
    <w:rsid w:val="00970C71"/>
    <w:rsid w:val="00970DCB"/>
    <w:rsid w:val="0097525F"/>
    <w:rsid w:val="0097668A"/>
    <w:rsid w:val="00977C24"/>
    <w:rsid w:val="00977C2E"/>
    <w:rsid w:val="00977C47"/>
    <w:rsid w:val="00977DA6"/>
    <w:rsid w:val="00980B20"/>
    <w:rsid w:val="00980FFB"/>
    <w:rsid w:val="0098251D"/>
    <w:rsid w:val="00983567"/>
    <w:rsid w:val="00983BAF"/>
    <w:rsid w:val="00984273"/>
    <w:rsid w:val="00985ADC"/>
    <w:rsid w:val="00990C1B"/>
    <w:rsid w:val="00990FC5"/>
    <w:rsid w:val="00991F8E"/>
    <w:rsid w:val="0099495D"/>
    <w:rsid w:val="00996018"/>
    <w:rsid w:val="00996616"/>
    <w:rsid w:val="00997E3E"/>
    <w:rsid w:val="00997F80"/>
    <w:rsid w:val="009A0C21"/>
    <w:rsid w:val="009A1B19"/>
    <w:rsid w:val="009A545E"/>
    <w:rsid w:val="009A7F63"/>
    <w:rsid w:val="009B335D"/>
    <w:rsid w:val="009B3985"/>
    <w:rsid w:val="009B55E0"/>
    <w:rsid w:val="009B7480"/>
    <w:rsid w:val="009C1AB7"/>
    <w:rsid w:val="009C439D"/>
    <w:rsid w:val="009C65C2"/>
    <w:rsid w:val="009C7CE7"/>
    <w:rsid w:val="009D1A28"/>
    <w:rsid w:val="009D2D5A"/>
    <w:rsid w:val="009D53E3"/>
    <w:rsid w:val="009E070D"/>
    <w:rsid w:val="009E4A45"/>
    <w:rsid w:val="009F4E91"/>
    <w:rsid w:val="009F6E97"/>
    <w:rsid w:val="009F77DB"/>
    <w:rsid w:val="009F792B"/>
    <w:rsid w:val="009F7C84"/>
    <w:rsid w:val="00A003DA"/>
    <w:rsid w:val="00A05495"/>
    <w:rsid w:val="00A10FFC"/>
    <w:rsid w:val="00A125CF"/>
    <w:rsid w:val="00A12A76"/>
    <w:rsid w:val="00A15D50"/>
    <w:rsid w:val="00A21C45"/>
    <w:rsid w:val="00A22AD6"/>
    <w:rsid w:val="00A22C65"/>
    <w:rsid w:val="00A23015"/>
    <w:rsid w:val="00A242D7"/>
    <w:rsid w:val="00A24702"/>
    <w:rsid w:val="00A32D24"/>
    <w:rsid w:val="00A33919"/>
    <w:rsid w:val="00A343CB"/>
    <w:rsid w:val="00A353E2"/>
    <w:rsid w:val="00A472D7"/>
    <w:rsid w:val="00A47CBB"/>
    <w:rsid w:val="00A521EC"/>
    <w:rsid w:val="00A531EE"/>
    <w:rsid w:val="00A54ED6"/>
    <w:rsid w:val="00A54F99"/>
    <w:rsid w:val="00A564A7"/>
    <w:rsid w:val="00A56C7A"/>
    <w:rsid w:val="00A56E02"/>
    <w:rsid w:val="00A5727E"/>
    <w:rsid w:val="00A5750C"/>
    <w:rsid w:val="00A61720"/>
    <w:rsid w:val="00A61745"/>
    <w:rsid w:val="00A64823"/>
    <w:rsid w:val="00A66901"/>
    <w:rsid w:val="00A70F60"/>
    <w:rsid w:val="00A714EA"/>
    <w:rsid w:val="00A71E8D"/>
    <w:rsid w:val="00A72006"/>
    <w:rsid w:val="00A7208B"/>
    <w:rsid w:val="00A72099"/>
    <w:rsid w:val="00A721FE"/>
    <w:rsid w:val="00A737A5"/>
    <w:rsid w:val="00A73F8D"/>
    <w:rsid w:val="00A74503"/>
    <w:rsid w:val="00A7775E"/>
    <w:rsid w:val="00A80341"/>
    <w:rsid w:val="00A82CCB"/>
    <w:rsid w:val="00A86E73"/>
    <w:rsid w:val="00A9067B"/>
    <w:rsid w:val="00A90E93"/>
    <w:rsid w:val="00A91713"/>
    <w:rsid w:val="00A920BB"/>
    <w:rsid w:val="00A9312D"/>
    <w:rsid w:val="00A96A3A"/>
    <w:rsid w:val="00A97B13"/>
    <w:rsid w:val="00AA1BE6"/>
    <w:rsid w:val="00AB14EF"/>
    <w:rsid w:val="00AB4B02"/>
    <w:rsid w:val="00AC0CC3"/>
    <w:rsid w:val="00AC176F"/>
    <w:rsid w:val="00AC5B0A"/>
    <w:rsid w:val="00AD0833"/>
    <w:rsid w:val="00AD0CBA"/>
    <w:rsid w:val="00AD38B0"/>
    <w:rsid w:val="00AD482A"/>
    <w:rsid w:val="00AE0442"/>
    <w:rsid w:val="00AE19F1"/>
    <w:rsid w:val="00AE1A37"/>
    <w:rsid w:val="00AE2CE3"/>
    <w:rsid w:val="00AE4C25"/>
    <w:rsid w:val="00AF1209"/>
    <w:rsid w:val="00AF2CAF"/>
    <w:rsid w:val="00AF3253"/>
    <w:rsid w:val="00B002A8"/>
    <w:rsid w:val="00B006DC"/>
    <w:rsid w:val="00B01EB1"/>
    <w:rsid w:val="00B02DBE"/>
    <w:rsid w:val="00B03710"/>
    <w:rsid w:val="00B053C0"/>
    <w:rsid w:val="00B10A9C"/>
    <w:rsid w:val="00B117C2"/>
    <w:rsid w:val="00B12070"/>
    <w:rsid w:val="00B13B18"/>
    <w:rsid w:val="00B16F43"/>
    <w:rsid w:val="00B17401"/>
    <w:rsid w:val="00B2325A"/>
    <w:rsid w:val="00B239D1"/>
    <w:rsid w:val="00B23D70"/>
    <w:rsid w:val="00B23F88"/>
    <w:rsid w:val="00B248D4"/>
    <w:rsid w:val="00B24F2A"/>
    <w:rsid w:val="00B26906"/>
    <w:rsid w:val="00B276B6"/>
    <w:rsid w:val="00B2790F"/>
    <w:rsid w:val="00B3408C"/>
    <w:rsid w:val="00B40CF1"/>
    <w:rsid w:val="00B41F4E"/>
    <w:rsid w:val="00B43240"/>
    <w:rsid w:val="00B438A4"/>
    <w:rsid w:val="00B44942"/>
    <w:rsid w:val="00B451E2"/>
    <w:rsid w:val="00B46523"/>
    <w:rsid w:val="00B4697D"/>
    <w:rsid w:val="00B47E75"/>
    <w:rsid w:val="00B51AA7"/>
    <w:rsid w:val="00B52F1E"/>
    <w:rsid w:val="00B533CA"/>
    <w:rsid w:val="00B5355D"/>
    <w:rsid w:val="00B57E61"/>
    <w:rsid w:val="00B6268D"/>
    <w:rsid w:val="00B626FA"/>
    <w:rsid w:val="00B64EE8"/>
    <w:rsid w:val="00B66F19"/>
    <w:rsid w:val="00B67D81"/>
    <w:rsid w:val="00B70278"/>
    <w:rsid w:val="00B72D47"/>
    <w:rsid w:val="00B73229"/>
    <w:rsid w:val="00B74475"/>
    <w:rsid w:val="00B77B6A"/>
    <w:rsid w:val="00B817E9"/>
    <w:rsid w:val="00B83067"/>
    <w:rsid w:val="00B83807"/>
    <w:rsid w:val="00B863A9"/>
    <w:rsid w:val="00B86872"/>
    <w:rsid w:val="00B87004"/>
    <w:rsid w:val="00B9024C"/>
    <w:rsid w:val="00B922A4"/>
    <w:rsid w:val="00B94111"/>
    <w:rsid w:val="00B94133"/>
    <w:rsid w:val="00B94F56"/>
    <w:rsid w:val="00B954C4"/>
    <w:rsid w:val="00B9750B"/>
    <w:rsid w:val="00B97641"/>
    <w:rsid w:val="00BA056F"/>
    <w:rsid w:val="00BA0D43"/>
    <w:rsid w:val="00BA35A7"/>
    <w:rsid w:val="00BA4142"/>
    <w:rsid w:val="00BA466C"/>
    <w:rsid w:val="00BA5B1C"/>
    <w:rsid w:val="00BA791E"/>
    <w:rsid w:val="00BB059C"/>
    <w:rsid w:val="00BB0759"/>
    <w:rsid w:val="00BB0790"/>
    <w:rsid w:val="00BB1C8B"/>
    <w:rsid w:val="00BB259A"/>
    <w:rsid w:val="00BB3900"/>
    <w:rsid w:val="00BB4712"/>
    <w:rsid w:val="00BB5F94"/>
    <w:rsid w:val="00BB600D"/>
    <w:rsid w:val="00BB65E1"/>
    <w:rsid w:val="00BB7E33"/>
    <w:rsid w:val="00BC18F2"/>
    <w:rsid w:val="00BC2109"/>
    <w:rsid w:val="00BC27AA"/>
    <w:rsid w:val="00BC485D"/>
    <w:rsid w:val="00BC59BA"/>
    <w:rsid w:val="00BC67F6"/>
    <w:rsid w:val="00BD0861"/>
    <w:rsid w:val="00BD32E5"/>
    <w:rsid w:val="00BD3C8C"/>
    <w:rsid w:val="00BD5D39"/>
    <w:rsid w:val="00BD61B2"/>
    <w:rsid w:val="00BD7667"/>
    <w:rsid w:val="00BD76A2"/>
    <w:rsid w:val="00BD7B5B"/>
    <w:rsid w:val="00BE0491"/>
    <w:rsid w:val="00BE0C75"/>
    <w:rsid w:val="00BF130A"/>
    <w:rsid w:val="00BF1898"/>
    <w:rsid w:val="00BF26C7"/>
    <w:rsid w:val="00BF3577"/>
    <w:rsid w:val="00BF4533"/>
    <w:rsid w:val="00BF5555"/>
    <w:rsid w:val="00BF6364"/>
    <w:rsid w:val="00C00220"/>
    <w:rsid w:val="00C00CD6"/>
    <w:rsid w:val="00C01127"/>
    <w:rsid w:val="00C0322A"/>
    <w:rsid w:val="00C05978"/>
    <w:rsid w:val="00C06563"/>
    <w:rsid w:val="00C14E82"/>
    <w:rsid w:val="00C16B07"/>
    <w:rsid w:val="00C1735A"/>
    <w:rsid w:val="00C21117"/>
    <w:rsid w:val="00C24374"/>
    <w:rsid w:val="00C258B5"/>
    <w:rsid w:val="00C266BB"/>
    <w:rsid w:val="00C323D8"/>
    <w:rsid w:val="00C34AEF"/>
    <w:rsid w:val="00C34DCC"/>
    <w:rsid w:val="00C37654"/>
    <w:rsid w:val="00C414C8"/>
    <w:rsid w:val="00C41689"/>
    <w:rsid w:val="00C4297E"/>
    <w:rsid w:val="00C439C6"/>
    <w:rsid w:val="00C4686F"/>
    <w:rsid w:val="00C479C4"/>
    <w:rsid w:val="00C60386"/>
    <w:rsid w:val="00C66E26"/>
    <w:rsid w:val="00C676F6"/>
    <w:rsid w:val="00C67893"/>
    <w:rsid w:val="00C67938"/>
    <w:rsid w:val="00C679B3"/>
    <w:rsid w:val="00C7115F"/>
    <w:rsid w:val="00C74D3E"/>
    <w:rsid w:val="00C8128E"/>
    <w:rsid w:val="00C8147F"/>
    <w:rsid w:val="00C81F9B"/>
    <w:rsid w:val="00C83431"/>
    <w:rsid w:val="00C83700"/>
    <w:rsid w:val="00C8458C"/>
    <w:rsid w:val="00C8531B"/>
    <w:rsid w:val="00C8638F"/>
    <w:rsid w:val="00C87DDA"/>
    <w:rsid w:val="00C91140"/>
    <w:rsid w:val="00C937F7"/>
    <w:rsid w:val="00C94271"/>
    <w:rsid w:val="00C95C62"/>
    <w:rsid w:val="00CA0A42"/>
    <w:rsid w:val="00CA0D71"/>
    <w:rsid w:val="00CA22F8"/>
    <w:rsid w:val="00CA4D9C"/>
    <w:rsid w:val="00CA65F6"/>
    <w:rsid w:val="00CA6B7E"/>
    <w:rsid w:val="00CB0332"/>
    <w:rsid w:val="00CB3C6B"/>
    <w:rsid w:val="00CB7100"/>
    <w:rsid w:val="00CB7A50"/>
    <w:rsid w:val="00CC1697"/>
    <w:rsid w:val="00CC1895"/>
    <w:rsid w:val="00CC480A"/>
    <w:rsid w:val="00CC56D0"/>
    <w:rsid w:val="00CD4841"/>
    <w:rsid w:val="00CE13BF"/>
    <w:rsid w:val="00CE330F"/>
    <w:rsid w:val="00CE4FE1"/>
    <w:rsid w:val="00CF08C9"/>
    <w:rsid w:val="00CF11BD"/>
    <w:rsid w:val="00CF14F9"/>
    <w:rsid w:val="00CF1C0F"/>
    <w:rsid w:val="00CF1C68"/>
    <w:rsid w:val="00CF3CF6"/>
    <w:rsid w:val="00CF5AD2"/>
    <w:rsid w:val="00CF7AB0"/>
    <w:rsid w:val="00D00D99"/>
    <w:rsid w:val="00D02613"/>
    <w:rsid w:val="00D04A0F"/>
    <w:rsid w:val="00D0525A"/>
    <w:rsid w:val="00D12FA2"/>
    <w:rsid w:val="00D1307B"/>
    <w:rsid w:val="00D20443"/>
    <w:rsid w:val="00D22726"/>
    <w:rsid w:val="00D229AF"/>
    <w:rsid w:val="00D22CC3"/>
    <w:rsid w:val="00D26B9B"/>
    <w:rsid w:val="00D26C50"/>
    <w:rsid w:val="00D32D14"/>
    <w:rsid w:val="00D346D9"/>
    <w:rsid w:val="00D4545E"/>
    <w:rsid w:val="00D501FC"/>
    <w:rsid w:val="00D51700"/>
    <w:rsid w:val="00D53194"/>
    <w:rsid w:val="00D55081"/>
    <w:rsid w:val="00D57D0C"/>
    <w:rsid w:val="00D57EB0"/>
    <w:rsid w:val="00D652BD"/>
    <w:rsid w:val="00D656A2"/>
    <w:rsid w:val="00D70D6A"/>
    <w:rsid w:val="00D72173"/>
    <w:rsid w:val="00D753FE"/>
    <w:rsid w:val="00D754CB"/>
    <w:rsid w:val="00D75681"/>
    <w:rsid w:val="00D80432"/>
    <w:rsid w:val="00D827CE"/>
    <w:rsid w:val="00D837B4"/>
    <w:rsid w:val="00D86807"/>
    <w:rsid w:val="00D8710F"/>
    <w:rsid w:val="00D87EE2"/>
    <w:rsid w:val="00D93262"/>
    <w:rsid w:val="00D94068"/>
    <w:rsid w:val="00D944D6"/>
    <w:rsid w:val="00D94DDB"/>
    <w:rsid w:val="00D959C8"/>
    <w:rsid w:val="00DA0FFD"/>
    <w:rsid w:val="00DA2883"/>
    <w:rsid w:val="00DA2BB5"/>
    <w:rsid w:val="00DA2D3B"/>
    <w:rsid w:val="00DA2EFC"/>
    <w:rsid w:val="00DA4187"/>
    <w:rsid w:val="00DA4857"/>
    <w:rsid w:val="00DA6C32"/>
    <w:rsid w:val="00DB193D"/>
    <w:rsid w:val="00DB328A"/>
    <w:rsid w:val="00DB339D"/>
    <w:rsid w:val="00DB55FB"/>
    <w:rsid w:val="00DB5EB3"/>
    <w:rsid w:val="00DC1266"/>
    <w:rsid w:val="00DC54BD"/>
    <w:rsid w:val="00DC6D15"/>
    <w:rsid w:val="00DD0C18"/>
    <w:rsid w:val="00DD0D83"/>
    <w:rsid w:val="00DD2573"/>
    <w:rsid w:val="00DD2EAF"/>
    <w:rsid w:val="00DD3505"/>
    <w:rsid w:val="00DD4489"/>
    <w:rsid w:val="00DD545F"/>
    <w:rsid w:val="00DD5480"/>
    <w:rsid w:val="00DD6601"/>
    <w:rsid w:val="00DE0F8E"/>
    <w:rsid w:val="00DE37FB"/>
    <w:rsid w:val="00DE398D"/>
    <w:rsid w:val="00DE4196"/>
    <w:rsid w:val="00DE4212"/>
    <w:rsid w:val="00DE4705"/>
    <w:rsid w:val="00DF140C"/>
    <w:rsid w:val="00DF145B"/>
    <w:rsid w:val="00E0204C"/>
    <w:rsid w:val="00E027E8"/>
    <w:rsid w:val="00E040DA"/>
    <w:rsid w:val="00E0675C"/>
    <w:rsid w:val="00E1542D"/>
    <w:rsid w:val="00E1588C"/>
    <w:rsid w:val="00E15BDB"/>
    <w:rsid w:val="00E16B4B"/>
    <w:rsid w:val="00E17522"/>
    <w:rsid w:val="00E2095F"/>
    <w:rsid w:val="00E20F29"/>
    <w:rsid w:val="00E2537C"/>
    <w:rsid w:val="00E26E4F"/>
    <w:rsid w:val="00E27ADB"/>
    <w:rsid w:val="00E34352"/>
    <w:rsid w:val="00E34A15"/>
    <w:rsid w:val="00E35CA0"/>
    <w:rsid w:val="00E42500"/>
    <w:rsid w:val="00E45160"/>
    <w:rsid w:val="00E45E2F"/>
    <w:rsid w:val="00E5025A"/>
    <w:rsid w:val="00E5097B"/>
    <w:rsid w:val="00E518AF"/>
    <w:rsid w:val="00E521A9"/>
    <w:rsid w:val="00E5228D"/>
    <w:rsid w:val="00E54FB4"/>
    <w:rsid w:val="00E55A78"/>
    <w:rsid w:val="00E57CCB"/>
    <w:rsid w:val="00E57FD6"/>
    <w:rsid w:val="00E60395"/>
    <w:rsid w:val="00E612EA"/>
    <w:rsid w:val="00E65A61"/>
    <w:rsid w:val="00E65EF0"/>
    <w:rsid w:val="00E662B7"/>
    <w:rsid w:val="00E665E0"/>
    <w:rsid w:val="00E67224"/>
    <w:rsid w:val="00E67D49"/>
    <w:rsid w:val="00E71FD0"/>
    <w:rsid w:val="00E809B3"/>
    <w:rsid w:val="00E83693"/>
    <w:rsid w:val="00E83E09"/>
    <w:rsid w:val="00E83F85"/>
    <w:rsid w:val="00E8518A"/>
    <w:rsid w:val="00E902EF"/>
    <w:rsid w:val="00E918C7"/>
    <w:rsid w:val="00E91F22"/>
    <w:rsid w:val="00EA03B8"/>
    <w:rsid w:val="00EA3223"/>
    <w:rsid w:val="00EA3C3C"/>
    <w:rsid w:val="00EA46A7"/>
    <w:rsid w:val="00EB2F49"/>
    <w:rsid w:val="00EC0678"/>
    <w:rsid w:val="00EC0C66"/>
    <w:rsid w:val="00EC1D20"/>
    <w:rsid w:val="00EC1DA9"/>
    <w:rsid w:val="00EC30A4"/>
    <w:rsid w:val="00EC328E"/>
    <w:rsid w:val="00EC3A5E"/>
    <w:rsid w:val="00EC6759"/>
    <w:rsid w:val="00ED2B6B"/>
    <w:rsid w:val="00ED367A"/>
    <w:rsid w:val="00ED4130"/>
    <w:rsid w:val="00ED6B30"/>
    <w:rsid w:val="00ED7817"/>
    <w:rsid w:val="00ED7B61"/>
    <w:rsid w:val="00EE0018"/>
    <w:rsid w:val="00EE01AD"/>
    <w:rsid w:val="00EE29C8"/>
    <w:rsid w:val="00EE6D1B"/>
    <w:rsid w:val="00EE7016"/>
    <w:rsid w:val="00EE7EFF"/>
    <w:rsid w:val="00EF3086"/>
    <w:rsid w:val="00EF35B2"/>
    <w:rsid w:val="00EF391C"/>
    <w:rsid w:val="00EF3B3D"/>
    <w:rsid w:val="00F009C3"/>
    <w:rsid w:val="00F01907"/>
    <w:rsid w:val="00F02791"/>
    <w:rsid w:val="00F0321D"/>
    <w:rsid w:val="00F05678"/>
    <w:rsid w:val="00F07D15"/>
    <w:rsid w:val="00F111BA"/>
    <w:rsid w:val="00F111D0"/>
    <w:rsid w:val="00F2087B"/>
    <w:rsid w:val="00F20B06"/>
    <w:rsid w:val="00F213CF"/>
    <w:rsid w:val="00F23684"/>
    <w:rsid w:val="00F24379"/>
    <w:rsid w:val="00F2460E"/>
    <w:rsid w:val="00F25142"/>
    <w:rsid w:val="00F266CD"/>
    <w:rsid w:val="00F30B86"/>
    <w:rsid w:val="00F32B7D"/>
    <w:rsid w:val="00F3384B"/>
    <w:rsid w:val="00F35987"/>
    <w:rsid w:val="00F35B8A"/>
    <w:rsid w:val="00F369BC"/>
    <w:rsid w:val="00F432BF"/>
    <w:rsid w:val="00F442BD"/>
    <w:rsid w:val="00F44C89"/>
    <w:rsid w:val="00F474AB"/>
    <w:rsid w:val="00F509B1"/>
    <w:rsid w:val="00F53EC4"/>
    <w:rsid w:val="00F55D6E"/>
    <w:rsid w:val="00F576C2"/>
    <w:rsid w:val="00F649C7"/>
    <w:rsid w:val="00F67399"/>
    <w:rsid w:val="00F67A9E"/>
    <w:rsid w:val="00F67F7F"/>
    <w:rsid w:val="00F72A73"/>
    <w:rsid w:val="00F739ED"/>
    <w:rsid w:val="00F74540"/>
    <w:rsid w:val="00F76462"/>
    <w:rsid w:val="00F80649"/>
    <w:rsid w:val="00F8128B"/>
    <w:rsid w:val="00F81510"/>
    <w:rsid w:val="00F82574"/>
    <w:rsid w:val="00F82E84"/>
    <w:rsid w:val="00F83C98"/>
    <w:rsid w:val="00F83D50"/>
    <w:rsid w:val="00F83E6A"/>
    <w:rsid w:val="00F87439"/>
    <w:rsid w:val="00F94D1A"/>
    <w:rsid w:val="00F95E38"/>
    <w:rsid w:val="00F9662C"/>
    <w:rsid w:val="00F96F15"/>
    <w:rsid w:val="00FA0271"/>
    <w:rsid w:val="00FA6A43"/>
    <w:rsid w:val="00FA6B33"/>
    <w:rsid w:val="00FB07DE"/>
    <w:rsid w:val="00FB1FC2"/>
    <w:rsid w:val="00FB469A"/>
    <w:rsid w:val="00FB574B"/>
    <w:rsid w:val="00FB5AAB"/>
    <w:rsid w:val="00FB7C3C"/>
    <w:rsid w:val="00FC0564"/>
    <w:rsid w:val="00FC2BCD"/>
    <w:rsid w:val="00FC2FFA"/>
    <w:rsid w:val="00FC7C98"/>
    <w:rsid w:val="00FD08DB"/>
    <w:rsid w:val="00FD0D2B"/>
    <w:rsid w:val="00FD34C4"/>
    <w:rsid w:val="00FD40DB"/>
    <w:rsid w:val="00FD4708"/>
    <w:rsid w:val="00FD4F98"/>
    <w:rsid w:val="00FD7043"/>
    <w:rsid w:val="00FE0545"/>
    <w:rsid w:val="00FE1163"/>
    <w:rsid w:val="00FE2F08"/>
    <w:rsid w:val="00FF1AF7"/>
    <w:rsid w:val="00FF2BA4"/>
    <w:rsid w:val="00FF6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D3464"/>
  <w15:chartTrackingRefBased/>
  <w15:docId w15:val="{AE39E3C2-3B0F-41DD-AA1A-583C01B16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C7"/>
    <w:rPr>
      <w:kern w:val="0"/>
      <w14:ligatures w14:val="none"/>
    </w:rPr>
  </w:style>
  <w:style w:type="paragraph" w:styleId="Heading1">
    <w:name w:val="heading 1"/>
    <w:basedOn w:val="Normal"/>
    <w:next w:val="Normal"/>
    <w:link w:val="Heading1Char"/>
    <w:uiPriority w:val="9"/>
    <w:qFormat/>
    <w:rsid w:val="00BF2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2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26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6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6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6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6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6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6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6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26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26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6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6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6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6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6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6C7"/>
    <w:rPr>
      <w:rFonts w:eastAsiaTheme="majorEastAsia" w:cstheme="majorBidi"/>
      <w:color w:val="272727" w:themeColor="text1" w:themeTint="D8"/>
    </w:rPr>
  </w:style>
  <w:style w:type="paragraph" w:styleId="Title">
    <w:name w:val="Title"/>
    <w:basedOn w:val="Normal"/>
    <w:next w:val="Normal"/>
    <w:link w:val="TitleChar"/>
    <w:uiPriority w:val="10"/>
    <w:qFormat/>
    <w:rsid w:val="00BF2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6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6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6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6C7"/>
    <w:pPr>
      <w:spacing w:before="160"/>
      <w:jc w:val="center"/>
    </w:pPr>
    <w:rPr>
      <w:i/>
      <w:iCs/>
      <w:color w:val="404040" w:themeColor="text1" w:themeTint="BF"/>
    </w:rPr>
  </w:style>
  <w:style w:type="character" w:customStyle="1" w:styleId="QuoteChar">
    <w:name w:val="Quote Char"/>
    <w:basedOn w:val="DefaultParagraphFont"/>
    <w:link w:val="Quote"/>
    <w:uiPriority w:val="29"/>
    <w:rsid w:val="00BF26C7"/>
    <w:rPr>
      <w:i/>
      <w:iCs/>
      <w:color w:val="404040" w:themeColor="text1" w:themeTint="BF"/>
    </w:rPr>
  </w:style>
  <w:style w:type="paragraph" w:styleId="ListParagraph">
    <w:name w:val="List Paragraph"/>
    <w:basedOn w:val="Normal"/>
    <w:uiPriority w:val="34"/>
    <w:qFormat/>
    <w:rsid w:val="00BF26C7"/>
    <w:pPr>
      <w:ind w:left="720"/>
      <w:contextualSpacing/>
    </w:pPr>
  </w:style>
  <w:style w:type="character" w:styleId="IntenseEmphasis">
    <w:name w:val="Intense Emphasis"/>
    <w:basedOn w:val="DefaultParagraphFont"/>
    <w:uiPriority w:val="21"/>
    <w:qFormat/>
    <w:rsid w:val="00BF26C7"/>
    <w:rPr>
      <w:i/>
      <w:iCs/>
      <w:color w:val="0F4761" w:themeColor="accent1" w:themeShade="BF"/>
    </w:rPr>
  </w:style>
  <w:style w:type="paragraph" w:styleId="IntenseQuote">
    <w:name w:val="Intense Quote"/>
    <w:basedOn w:val="Normal"/>
    <w:next w:val="Normal"/>
    <w:link w:val="IntenseQuoteChar"/>
    <w:uiPriority w:val="30"/>
    <w:qFormat/>
    <w:rsid w:val="00BF2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6C7"/>
    <w:rPr>
      <w:i/>
      <w:iCs/>
      <w:color w:val="0F4761" w:themeColor="accent1" w:themeShade="BF"/>
    </w:rPr>
  </w:style>
  <w:style w:type="character" w:styleId="IntenseReference">
    <w:name w:val="Intense Reference"/>
    <w:basedOn w:val="DefaultParagraphFont"/>
    <w:uiPriority w:val="32"/>
    <w:qFormat/>
    <w:rsid w:val="00BF26C7"/>
    <w:rPr>
      <w:b/>
      <w:bCs/>
      <w:smallCaps/>
      <w:color w:val="0F4761" w:themeColor="accent1" w:themeShade="BF"/>
      <w:spacing w:val="5"/>
    </w:rPr>
  </w:style>
  <w:style w:type="paragraph" w:styleId="TOCHeading">
    <w:name w:val="TOC Heading"/>
    <w:basedOn w:val="Heading1"/>
    <w:next w:val="Normal"/>
    <w:uiPriority w:val="39"/>
    <w:unhideWhenUsed/>
    <w:qFormat/>
    <w:rsid w:val="00BF26C7"/>
    <w:pPr>
      <w:spacing w:before="240" w:after="0"/>
      <w:outlineLvl w:val="9"/>
    </w:pPr>
    <w:rPr>
      <w:sz w:val="32"/>
      <w:szCs w:val="32"/>
      <w:lang w:eastAsia="en-GB"/>
    </w:rPr>
  </w:style>
  <w:style w:type="paragraph" w:styleId="TOC1">
    <w:name w:val="toc 1"/>
    <w:basedOn w:val="Normal"/>
    <w:next w:val="Normal"/>
    <w:autoRedefine/>
    <w:uiPriority w:val="39"/>
    <w:unhideWhenUsed/>
    <w:rsid w:val="00253B76"/>
    <w:pPr>
      <w:spacing w:after="100"/>
    </w:pPr>
  </w:style>
  <w:style w:type="character" w:styleId="Hyperlink">
    <w:name w:val="Hyperlink"/>
    <w:basedOn w:val="DefaultParagraphFont"/>
    <w:uiPriority w:val="99"/>
    <w:unhideWhenUsed/>
    <w:rsid w:val="00253B76"/>
    <w:rPr>
      <w:color w:val="467886" w:themeColor="hyperlink"/>
      <w:u w:val="single"/>
    </w:rPr>
  </w:style>
  <w:style w:type="paragraph" w:styleId="Header">
    <w:name w:val="header"/>
    <w:basedOn w:val="Normal"/>
    <w:link w:val="HeaderChar"/>
    <w:uiPriority w:val="99"/>
    <w:unhideWhenUsed/>
    <w:rsid w:val="00253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B76"/>
    <w:rPr>
      <w:kern w:val="0"/>
      <w14:ligatures w14:val="none"/>
    </w:rPr>
  </w:style>
  <w:style w:type="paragraph" w:styleId="Footer">
    <w:name w:val="footer"/>
    <w:basedOn w:val="Normal"/>
    <w:link w:val="FooterChar"/>
    <w:uiPriority w:val="99"/>
    <w:unhideWhenUsed/>
    <w:rsid w:val="00253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B76"/>
    <w:rPr>
      <w:kern w:val="0"/>
      <w14:ligatures w14:val="none"/>
    </w:rPr>
  </w:style>
  <w:style w:type="character" w:styleId="UnresolvedMention">
    <w:name w:val="Unresolved Mention"/>
    <w:basedOn w:val="DefaultParagraphFont"/>
    <w:uiPriority w:val="99"/>
    <w:semiHidden/>
    <w:unhideWhenUsed/>
    <w:rsid w:val="002D794A"/>
    <w:rPr>
      <w:color w:val="605E5C"/>
      <w:shd w:val="clear" w:color="auto" w:fill="E1DFDD"/>
    </w:rPr>
  </w:style>
  <w:style w:type="paragraph" w:styleId="TOC2">
    <w:name w:val="toc 2"/>
    <w:basedOn w:val="Normal"/>
    <w:next w:val="Normal"/>
    <w:autoRedefine/>
    <w:uiPriority w:val="39"/>
    <w:unhideWhenUsed/>
    <w:rsid w:val="00892F55"/>
    <w:pPr>
      <w:spacing w:after="100"/>
      <w:ind w:left="220"/>
    </w:pPr>
  </w:style>
  <w:style w:type="table" w:styleId="PlainTable1">
    <w:name w:val="Plain Table 1"/>
    <w:basedOn w:val="TableNormal"/>
    <w:uiPriority w:val="41"/>
    <w:rsid w:val="007847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847E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847E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847E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7847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urful">
    <w:name w:val="Grid Table 6 Colorful"/>
    <w:basedOn w:val="TableNormal"/>
    <w:uiPriority w:val="51"/>
    <w:rsid w:val="007847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7847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FollowedHyperlink">
    <w:name w:val="FollowedHyperlink"/>
    <w:basedOn w:val="DefaultParagraphFont"/>
    <w:uiPriority w:val="99"/>
    <w:semiHidden/>
    <w:unhideWhenUsed/>
    <w:rsid w:val="00EC0C66"/>
    <w:rPr>
      <w:color w:val="96607D" w:themeColor="followedHyperlink"/>
      <w:u w:val="single"/>
    </w:rPr>
  </w:style>
  <w:style w:type="table" w:styleId="PlainTable5">
    <w:name w:val="Plain Table 5"/>
    <w:basedOn w:val="TableNormal"/>
    <w:uiPriority w:val="45"/>
    <w:rsid w:val="0049778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978-3-032-00353-9_17" TargetMode="External"/><Relationship Id="rId21" Type="http://schemas.openxmlformats.org/officeDocument/2006/relationships/hyperlink" Target="https://www.bmj.com/content/384/bmj-2024-079474" TargetMode="External"/><Relationship Id="rId34" Type="http://schemas.openxmlformats.org/officeDocument/2006/relationships/hyperlink" Target="https://doi.org/10.1016/j.ctcp.2023.101805" TargetMode="External"/><Relationship Id="rId42" Type="http://schemas.openxmlformats.org/officeDocument/2006/relationships/hyperlink" Target="https://doi.org/10.1037/0003-066X.63.6.503" TargetMode="External"/><Relationship Id="rId47" Type="http://schemas.openxmlformats.org/officeDocument/2006/relationships/hyperlink" Target="https://doi.org/10.1016/j.ijnurstu.2018.01.006" TargetMode="External"/><Relationship Id="rId50" Type="http://schemas.openxmlformats.org/officeDocument/2006/relationships/hyperlink" Target="https://doi.org/10.4081/itjm.2025.2074" TargetMode="External"/><Relationship Id="rId55" Type="http://schemas.openxmlformats.org/officeDocument/2006/relationships/hyperlink" Target="https://doi.org/10.3390/admsci15080300" TargetMode="External"/><Relationship Id="rId63" Type="http://schemas.openxmlformats.org/officeDocument/2006/relationships/hyperlink" Target="https://www.kingsfund.org.uk/insight-and-analysis/reports/caring-change"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007/s12671-024-02507-2" TargetMode="External"/><Relationship Id="rId29" Type="http://schemas.openxmlformats.org/officeDocument/2006/relationships/hyperlink" Target="https://www.mentalhealth.com/library/emotional-intelligence-self-awareness" TargetMode="External"/><Relationship Id="rId11" Type="http://schemas.openxmlformats.org/officeDocument/2006/relationships/hyperlink" Target="https://doi.org/10.1176/appi.psychotherapy.1957.11.2.293" TargetMode="External"/><Relationship Id="rId24" Type="http://schemas.openxmlformats.org/officeDocument/2006/relationships/hyperlink" Target="https://dsdweb.co.uk/wp-content/uploads/2021/10/learning-by-doing-graham-gibbs.pdf" TargetMode="External"/><Relationship Id="rId32" Type="http://schemas.openxmlformats.org/officeDocument/2006/relationships/hyperlink" Target="https://doi.org/10.1037/a0017286" TargetMode="External"/><Relationship Id="rId37" Type="http://schemas.openxmlformats.org/officeDocument/2006/relationships/hyperlink" Target="https://doi.org/10.1177/17540739251333990" TargetMode="External"/><Relationship Id="rId40" Type="http://schemas.openxmlformats.org/officeDocument/2006/relationships/hyperlink" Target="https://doi.org/10.1108/14777260510615369" TargetMode="External"/><Relationship Id="rId45" Type="http://schemas.openxmlformats.org/officeDocument/2006/relationships/hyperlink" Target="https://www.hee.nhs.uk/our-work/talent-care-widening-participation/support-worker-help-resources/healthcare-support-worker-learning-development-roadmap/wellbeing-resilience" TargetMode="External"/><Relationship Id="rId53" Type="http://schemas.openxmlformats.org/officeDocument/2006/relationships/hyperlink" Target="https://doi.org/10.3389/fpsyg.2018.02162" TargetMode="External"/><Relationship Id="rId58" Type="http://schemas.openxmlformats.org/officeDocument/2006/relationships/hyperlink" Target="https://doi.org/10.1186/s12911-020-01128-8"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oi.org/10.1007/s11135-025-02421-2" TargetMode="External"/><Relationship Id="rId19" Type="http://schemas.openxmlformats.org/officeDocument/2006/relationships/hyperlink" Target="https://www.cipd.org/en/views-and-insights/thought-leadership/insight/learning-value-skills-development/" TargetMode="External"/><Relationship Id="rId14" Type="http://schemas.openxmlformats.org/officeDocument/2006/relationships/hyperlink" Target="https://hbr.org/2022/12/research-when-mindfulness-does-and-doesnt-help-at-work" TargetMode="External"/><Relationship Id="rId22" Type="http://schemas.openxmlformats.org/officeDocument/2006/relationships/hyperlink" Target="https://easysociology.com/sociology-of-emotion/arlie-hochschilds-theory-of-emotion/" TargetMode="External"/><Relationship Id="rId27" Type="http://schemas.openxmlformats.org/officeDocument/2006/relationships/hyperlink" Target="https://doi.org/10.1136/bmj.333.7557.s8" TargetMode="External"/><Relationship Id="rId30" Type="http://schemas.openxmlformats.org/officeDocument/2006/relationships/hyperlink" Target="https://www.kingsfund.org.uk/insight-and-analysis/long-reads/tight-budgets-tough-choices" TargetMode="External"/><Relationship Id="rId35" Type="http://schemas.openxmlformats.org/officeDocument/2006/relationships/hyperlink" Target="https://doi.org/10.1002/job.317" TargetMode="External"/><Relationship Id="rId43" Type="http://schemas.openxmlformats.org/officeDocument/2006/relationships/hyperlink" Target="https://doi.org/10.3390/healthcare8010026" TargetMode="External"/><Relationship Id="rId48" Type="http://schemas.openxmlformats.org/officeDocument/2006/relationships/hyperlink" Target="https://doi.org/10.1108/ejtd-07-2024-0088" TargetMode="External"/><Relationship Id="rId56" Type="http://schemas.openxmlformats.org/officeDocument/2006/relationships/hyperlink" Target="https://doi.org/10.1016/j.trip.2025.101627" TargetMode="External"/><Relationship Id="rId64" Type="http://schemas.openxmlformats.org/officeDocument/2006/relationships/image" Target="media/image2.png"/><Relationship Id="rId8" Type="http://schemas.openxmlformats.org/officeDocument/2006/relationships/hyperlink" Target="https://www.apa.org/pubs/journals/features/cpb-cpb0000070.pdf" TargetMode="External"/><Relationship Id="rId51" Type="http://schemas.openxmlformats.org/officeDocument/2006/relationships/hyperlink" Target="https://doi.org/10.3389/fpsyg.2024.1437035" TargetMode="External"/><Relationship Id="rId3" Type="http://schemas.openxmlformats.org/officeDocument/2006/relationships/settings" Target="settings.xml"/><Relationship Id="rId12" Type="http://schemas.openxmlformats.org/officeDocument/2006/relationships/hyperlink" Target="https://doi.org/10.1016/j.radi.2006.01.010" TargetMode="External"/><Relationship Id="rId17" Type="http://schemas.openxmlformats.org/officeDocument/2006/relationships/hyperlink" Target="https://www.simplypsychology.com/articles/mindfulness-at-work" TargetMode="External"/><Relationship Id="rId25" Type="http://schemas.openxmlformats.org/officeDocument/2006/relationships/hyperlink" Target="https://doi.org/10.1177/0149206315617003" TargetMode="External"/><Relationship Id="rId33" Type="http://schemas.openxmlformats.org/officeDocument/2006/relationships/hyperlink" Target="https://doi.org/10.1016/j.cpr.2011.04.006" TargetMode="External"/><Relationship Id="rId38" Type="http://schemas.openxmlformats.org/officeDocument/2006/relationships/hyperlink" Target="https://www.ncbi.nlm.nih.gov/books/NBK603153/" TargetMode="External"/><Relationship Id="rId46" Type="http://schemas.openxmlformats.org/officeDocument/2006/relationships/hyperlink" Target="https://www.england.nhs.uk/long-read/improving-patient-safety-culture-a-practical-guide/" TargetMode="External"/><Relationship Id="rId59" Type="http://schemas.openxmlformats.org/officeDocument/2006/relationships/hyperlink" Target="https://doi.org/10.1016/j.jbusres.2023.114285" TargetMode="External"/><Relationship Id="rId67" Type="http://schemas.openxmlformats.org/officeDocument/2006/relationships/theme" Target="theme/theme1.xml"/><Relationship Id="rId20" Type="http://schemas.openxmlformats.org/officeDocument/2006/relationships/hyperlink" Target="https://doi.org/10.3389/fpsyg.2013.00055" TargetMode="External"/><Relationship Id="rId41" Type="http://schemas.openxmlformats.org/officeDocument/2006/relationships/hyperlink" Target="https://doi.org/10.1037/cpb0000293" TargetMode="External"/><Relationship Id="rId54" Type="http://schemas.openxmlformats.org/officeDocument/2006/relationships/hyperlink" Target="https://www.rcn.org.uk/Professional-Development/The-*nursing-workforce" TargetMode="External"/><Relationship Id="rId62" Type="http://schemas.openxmlformats.org/officeDocument/2006/relationships/hyperlink" Target="https://doi.org/10.1016/j.bja.2023.12.03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qc.org.uk/publications/monitoring-mental-health-act/2021-2022/staff-shortages" TargetMode="External"/><Relationship Id="rId23" Type="http://schemas.openxmlformats.org/officeDocument/2006/relationships/hyperlink" Target="https://doi.org/10.1007/s11136-008-9321-x" TargetMode="External"/><Relationship Id="rId28" Type="http://schemas.openxmlformats.org/officeDocument/2006/relationships/hyperlink" Target="https://doi.org/10.1136/bmjopen-2024-085312" TargetMode="External"/><Relationship Id="rId36" Type="http://schemas.openxmlformats.org/officeDocument/2006/relationships/hyperlink" Target="https://doi.org/10.1080/02642069.2010.545397" TargetMode="External"/><Relationship Id="rId49" Type="http://schemas.openxmlformats.org/officeDocument/2006/relationships/hyperlink" Target="https://doi.org/10.1016/j.ijnurstu.2022.104257" TargetMode="External"/><Relationship Id="rId57" Type="http://schemas.openxmlformats.org/officeDocument/2006/relationships/hyperlink" Target="https://doi.org/10.1186/s12912-025-03913-0" TargetMode="External"/><Relationship Id="rId10" Type="http://schemas.openxmlformats.org/officeDocument/2006/relationships/hyperlink" Target="https://www.eiconsortium.org/reprints/bar-on_model_of_emotional-social_intelligence.htm" TargetMode="External"/><Relationship Id="rId31" Type="http://schemas.openxmlformats.org/officeDocument/2006/relationships/hyperlink" Target="https://doi.org/10.3390/ijerph20010478" TargetMode="External"/><Relationship Id="rId44" Type="http://schemas.openxmlformats.org/officeDocument/2006/relationships/hyperlink" Target="https://doi.org/10.1177/23970022251315650" TargetMode="External"/><Relationship Id="rId52" Type="http://schemas.openxmlformats.org/officeDocument/2006/relationships/hyperlink" Target="https://doi.org/10.1186/s12912-025-03175-w" TargetMode="External"/><Relationship Id="rId60" Type="http://schemas.openxmlformats.org/officeDocument/2006/relationships/hyperlink" Target="https://doi.org/10.1155/2023/5543299"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dfs.semanticscholar.org/01fd/901d7b6a987dc06497bea64f3b506eb0d4ea.pdf" TargetMode="External"/><Relationship Id="rId13" Type="http://schemas.openxmlformats.org/officeDocument/2006/relationships/hyperlink" Target="https://doi.org/10.1037/0022-3514.84.4.822" TargetMode="External"/><Relationship Id="rId18" Type="http://schemas.openxmlformats.org/officeDocument/2006/relationships/hyperlink" Target="https://doi.org/10.1111/j.1754-9434.2010.01231.x" TargetMode="External"/><Relationship Id="rId39" Type="http://schemas.openxmlformats.org/officeDocument/2006/relationships/hyperlink" Target="https://doi.org/10.1016/j.heliyon.2023.e203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12037</TotalTime>
  <Pages>34</Pages>
  <Words>8076</Words>
  <Characters>55889</Characters>
  <Application>Microsoft Office Word</Application>
  <DocSecurity>0</DocSecurity>
  <Lines>1054</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63553</CharactersWithSpaces>
  <SharedDoc>false</SharedDoc>
  <HLinks>
    <vt:vector size="504" baseType="variant">
      <vt:variant>
        <vt:i4>2818091</vt:i4>
      </vt:variant>
      <vt:variant>
        <vt:i4>324</vt:i4>
      </vt:variant>
      <vt:variant>
        <vt:i4>0</vt:i4>
      </vt:variant>
      <vt:variant>
        <vt:i4>5</vt:i4>
      </vt:variant>
      <vt:variant>
        <vt:lpwstr>https://doi.org/10.1016/j.ctcp.2023.101805</vt:lpwstr>
      </vt:variant>
      <vt:variant>
        <vt:lpwstr/>
      </vt:variant>
      <vt:variant>
        <vt:i4>3407993</vt:i4>
      </vt:variant>
      <vt:variant>
        <vt:i4>321</vt:i4>
      </vt:variant>
      <vt:variant>
        <vt:i4>0</vt:i4>
      </vt:variant>
      <vt:variant>
        <vt:i4>5</vt:i4>
      </vt:variant>
      <vt:variant>
        <vt:lpwstr>https://doi.org/10.1037/0022-3514.84.4.822</vt:lpwstr>
      </vt:variant>
      <vt:variant>
        <vt:lpwstr/>
      </vt:variant>
      <vt:variant>
        <vt:i4>1572956</vt:i4>
      </vt:variant>
      <vt:variant>
        <vt:i4>318</vt:i4>
      </vt:variant>
      <vt:variant>
        <vt:i4>0</vt:i4>
      </vt:variant>
      <vt:variant>
        <vt:i4>5</vt:i4>
      </vt:variant>
      <vt:variant>
        <vt:lpwstr>https://doi.org/10.1177/0149206315617003</vt:lpwstr>
      </vt:variant>
      <vt:variant>
        <vt:lpwstr/>
      </vt:variant>
      <vt:variant>
        <vt:i4>7995477</vt:i4>
      </vt:variant>
      <vt:variant>
        <vt:i4>315</vt:i4>
      </vt:variant>
      <vt:variant>
        <vt:i4>0</vt:i4>
      </vt:variant>
      <vt:variant>
        <vt:i4>5</vt:i4>
      </vt:variant>
      <vt:variant>
        <vt:lpwstr>https://doi.org/10.1007/978-3-032-00353-9_17</vt:lpwstr>
      </vt:variant>
      <vt:variant>
        <vt:lpwstr/>
      </vt:variant>
      <vt:variant>
        <vt:i4>262237</vt:i4>
      </vt:variant>
      <vt:variant>
        <vt:i4>312</vt:i4>
      </vt:variant>
      <vt:variant>
        <vt:i4>0</vt:i4>
      </vt:variant>
      <vt:variant>
        <vt:i4>5</vt:i4>
      </vt:variant>
      <vt:variant>
        <vt:lpwstr>https://www.mindfulness-life.org/post/kabat-zinns-influence-how-mindfulness-reached-the-world</vt:lpwstr>
      </vt:variant>
      <vt:variant>
        <vt:lpwstr/>
      </vt:variant>
      <vt:variant>
        <vt:i4>7798823</vt:i4>
      </vt:variant>
      <vt:variant>
        <vt:i4>309</vt:i4>
      </vt:variant>
      <vt:variant>
        <vt:i4>0</vt:i4>
      </vt:variant>
      <vt:variant>
        <vt:i4>5</vt:i4>
      </vt:variant>
      <vt:variant>
        <vt:lpwstr>https://hbr.org/2022/12/research-when-mindfulness-does-and-doesnt-help-at-work</vt:lpwstr>
      </vt:variant>
      <vt:variant>
        <vt:lpwstr/>
      </vt:variant>
      <vt:variant>
        <vt:i4>4063275</vt:i4>
      </vt:variant>
      <vt:variant>
        <vt:i4>306</vt:i4>
      </vt:variant>
      <vt:variant>
        <vt:i4>0</vt:i4>
      </vt:variant>
      <vt:variant>
        <vt:i4>5</vt:i4>
      </vt:variant>
      <vt:variant>
        <vt:lpwstr>https://doi.org/10.1016/j.ijnurstu.2022.104257</vt:lpwstr>
      </vt:variant>
      <vt:variant>
        <vt:lpwstr/>
      </vt:variant>
      <vt:variant>
        <vt:i4>2162742</vt:i4>
      </vt:variant>
      <vt:variant>
        <vt:i4>303</vt:i4>
      </vt:variant>
      <vt:variant>
        <vt:i4>0</vt:i4>
      </vt:variant>
      <vt:variant>
        <vt:i4>5</vt:i4>
      </vt:variant>
      <vt:variant>
        <vt:lpwstr>https://doi.org/10.1007/s12671-024-02507-2</vt:lpwstr>
      </vt:variant>
      <vt:variant>
        <vt:lpwstr/>
      </vt:variant>
      <vt:variant>
        <vt:i4>5767173</vt:i4>
      </vt:variant>
      <vt:variant>
        <vt:i4>300</vt:i4>
      </vt:variant>
      <vt:variant>
        <vt:i4>0</vt:i4>
      </vt:variant>
      <vt:variant>
        <vt:i4>5</vt:i4>
      </vt:variant>
      <vt:variant>
        <vt:lpwstr>https://doi.org/10.1016/j.jbusres.2023.114285</vt:lpwstr>
      </vt:variant>
      <vt:variant>
        <vt:lpwstr/>
      </vt:variant>
      <vt:variant>
        <vt:i4>7209068</vt:i4>
      </vt:variant>
      <vt:variant>
        <vt:i4>297</vt:i4>
      </vt:variant>
      <vt:variant>
        <vt:i4>0</vt:i4>
      </vt:variant>
      <vt:variant>
        <vt:i4>5</vt:i4>
      </vt:variant>
      <vt:variant>
        <vt:lpwstr>https://www.mentalhealth.com/library/emotional-intelligence-self-awareness</vt:lpwstr>
      </vt:variant>
      <vt:variant>
        <vt:lpwstr/>
      </vt:variant>
      <vt:variant>
        <vt:i4>4849678</vt:i4>
      </vt:variant>
      <vt:variant>
        <vt:i4>294</vt:i4>
      </vt:variant>
      <vt:variant>
        <vt:i4>0</vt:i4>
      </vt:variant>
      <vt:variant>
        <vt:i4>5</vt:i4>
      </vt:variant>
      <vt:variant>
        <vt:lpwstr>https://www.simplypsychology.com/articles/mindfulness-at-work</vt:lpwstr>
      </vt:variant>
      <vt:variant>
        <vt:lpwstr/>
      </vt:variant>
      <vt:variant>
        <vt:i4>6881320</vt:i4>
      </vt:variant>
      <vt:variant>
        <vt:i4>291</vt:i4>
      </vt:variant>
      <vt:variant>
        <vt:i4>0</vt:i4>
      </vt:variant>
      <vt:variant>
        <vt:i4>5</vt:i4>
      </vt:variant>
      <vt:variant>
        <vt:lpwstr>https://www.cqc.org.uk/publications/monitoring-mental-health-act/2021-2022/staff-shortages</vt:lpwstr>
      </vt:variant>
      <vt:variant>
        <vt:lpwstr/>
      </vt:variant>
      <vt:variant>
        <vt:i4>5177356</vt:i4>
      </vt:variant>
      <vt:variant>
        <vt:i4>288</vt:i4>
      </vt:variant>
      <vt:variant>
        <vt:i4>0</vt:i4>
      </vt:variant>
      <vt:variant>
        <vt:i4>5</vt:i4>
      </vt:variant>
      <vt:variant>
        <vt:lpwstr>https://doi.org/10.3390/healthcare8010026</vt:lpwstr>
      </vt:variant>
      <vt:variant>
        <vt:lpwstr/>
      </vt:variant>
      <vt:variant>
        <vt:i4>2031694</vt:i4>
      </vt:variant>
      <vt:variant>
        <vt:i4>285</vt:i4>
      </vt:variant>
      <vt:variant>
        <vt:i4>0</vt:i4>
      </vt:variant>
      <vt:variant>
        <vt:i4>5</vt:i4>
      </vt:variant>
      <vt:variant>
        <vt:lpwstr>https://doi.org/10.1155/2023/5543299</vt:lpwstr>
      </vt:variant>
      <vt:variant>
        <vt:lpwstr/>
      </vt:variant>
      <vt:variant>
        <vt:i4>2359347</vt:i4>
      </vt:variant>
      <vt:variant>
        <vt:i4>282</vt:i4>
      </vt:variant>
      <vt:variant>
        <vt:i4>0</vt:i4>
      </vt:variant>
      <vt:variant>
        <vt:i4>5</vt:i4>
      </vt:variant>
      <vt:variant>
        <vt:lpwstr>https://doi.org/10.1007/s11135-025-02421-2</vt:lpwstr>
      </vt:variant>
      <vt:variant>
        <vt:lpwstr/>
      </vt:variant>
      <vt:variant>
        <vt:i4>1179658</vt:i4>
      </vt:variant>
      <vt:variant>
        <vt:i4>279</vt:i4>
      </vt:variant>
      <vt:variant>
        <vt:i4>0</vt:i4>
      </vt:variant>
      <vt:variant>
        <vt:i4>5</vt:i4>
      </vt:variant>
      <vt:variant>
        <vt:lpwstr>https://doi.org/10.1016/j.heliyon.2023.e20356</vt:lpwstr>
      </vt:variant>
      <vt:variant>
        <vt:lpwstr/>
      </vt:variant>
      <vt:variant>
        <vt:i4>2162738</vt:i4>
      </vt:variant>
      <vt:variant>
        <vt:i4>276</vt:i4>
      </vt:variant>
      <vt:variant>
        <vt:i4>0</vt:i4>
      </vt:variant>
      <vt:variant>
        <vt:i4>5</vt:i4>
      </vt:variant>
      <vt:variant>
        <vt:lpwstr>https://doi.org/10.1016/j.trip.2025.101627</vt:lpwstr>
      </vt:variant>
      <vt:variant>
        <vt:lpwstr/>
      </vt:variant>
      <vt:variant>
        <vt:i4>6946925</vt:i4>
      </vt:variant>
      <vt:variant>
        <vt:i4>273</vt:i4>
      </vt:variant>
      <vt:variant>
        <vt:i4>0</vt:i4>
      </vt:variant>
      <vt:variant>
        <vt:i4>5</vt:i4>
      </vt:variant>
      <vt:variant>
        <vt:lpwstr>https://doi.org/10.1136/bmjopen-2024-085312</vt:lpwstr>
      </vt:variant>
      <vt:variant>
        <vt:lpwstr/>
      </vt:variant>
      <vt:variant>
        <vt:i4>6619168</vt:i4>
      </vt:variant>
      <vt:variant>
        <vt:i4>270</vt:i4>
      </vt:variant>
      <vt:variant>
        <vt:i4>0</vt:i4>
      </vt:variant>
      <vt:variant>
        <vt:i4>5</vt:i4>
      </vt:variant>
      <vt:variant>
        <vt:lpwstr>https://doi.org/10.3390/ijerph20010478</vt:lpwstr>
      </vt:variant>
      <vt:variant>
        <vt:lpwstr/>
      </vt:variant>
      <vt:variant>
        <vt:i4>917585</vt:i4>
      </vt:variant>
      <vt:variant>
        <vt:i4>267</vt:i4>
      </vt:variant>
      <vt:variant>
        <vt:i4>0</vt:i4>
      </vt:variant>
      <vt:variant>
        <vt:i4>5</vt:i4>
      </vt:variant>
      <vt:variant>
        <vt:lpwstr>https://www.kingsfund.org.uk/insight-and-analysis/long-reads/tight-budgets-tough-choices</vt:lpwstr>
      </vt:variant>
      <vt:variant>
        <vt:lpwstr/>
      </vt:variant>
      <vt:variant>
        <vt:i4>1245202</vt:i4>
      </vt:variant>
      <vt:variant>
        <vt:i4>264</vt:i4>
      </vt:variant>
      <vt:variant>
        <vt:i4>0</vt:i4>
      </vt:variant>
      <vt:variant>
        <vt:i4>5</vt:i4>
      </vt:variant>
      <vt:variant>
        <vt:lpwstr>https://www.ibm.com/think/topics/business-performance-management</vt:lpwstr>
      </vt:variant>
      <vt:variant>
        <vt:lpwstr/>
      </vt:variant>
      <vt:variant>
        <vt:i4>4128831</vt:i4>
      </vt:variant>
      <vt:variant>
        <vt:i4>261</vt:i4>
      </vt:variant>
      <vt:variant>
        <vt:i4>0</vt:i4>
      </vt:variant>
      <vt:variant>
        <vt:i4>5</vt:i4>
      </vt:variant>
      <vt:variant>
        <vt:lpwstr>https://doi.org/10.1016/j.ijnurstu.2018.01.006</vt:lpwstr>
      </vt:variant>
      <vt:variant>
        <vt:lpwstr/>
      </vt:variant>
      <vt:variant>
        <vt:i4>524298</vt:i4>
      </vt:variant>
      <vt:variant>
        <vt:i4>258</vt:i4>
      </vt:variant>
      <vt:variant>
        <vt:i4>0</vt:i4>
      </vt:variant>
      <vt:variant>
        <vt:i4>5</vt:i4>
      </vt:variant>
      <vt:variant>
        <vt:lpwstr>https://doi.org/10.3389/fpsyg.2013.00055</vt:lpwstr>
      </vt:variant>
      <vt:variant>
        <vt:lpwstr/>
      </vt:variant>
      <vt:variant>
        <vt:i4>3997756</vt:i4>
      </vt:variant>
      <vt:variant>
        <vt:i4>255</vt:i4>
      </vt:variant>
      <vt:variant>
        <vt:i4>0</vt:i4>
      </vt:variant>
      <vt:variant>
        <vt:i4>5</vt:i4>
      </vt:variant>
      <vt:variant>
        <vt:lpwstr>https://doi.org/10.3389/fpsyg.2024.1437035</vt:lpwstr>
      </vt:variant>
      <vt:variant>
        <vt:lpwstr/>
      </vt:variant>
      <vt:variant>
        <vt:i4>1310801</vt:i4>
      </vt:variant>
      <vt:variant>
        <vt:i4>252</vt:i4>
      </vt:variant>
      <vt:variant>
        <vt:i4>0</vt:i4>
      </vt:variant>
      <vt:variant>
        <vt:i4>5</vt:i4>
      </vt:variant>
      <vt:variant>
        <vt:lpwstr>https://doi.org/10.1177/23970022251315650</vt:lpwstr>
      </vt:variant>
      <vt:variant>
        <vt:lpwstr/>
      </vt:variant>
      <vt:variant>
        <vt:i4>2687015</vt:i4>
      </vt:variant>
      <vt:variant>
        <vt:i4>249</vt:i4>
      </vt:variant>
      <vt:variant>
        <vt:i4>0</vt:i4>
      </vt:variant>
      <vt:variant>
        <vt:i4>5</vt:i4>
      </vt:variant>
      <vt:variant>
        <vt:lpwstr>https://doi.org/10.1016/j.radi.2006.01.010</vt:lpwstr>
      </vt:variant>
      <vt:variant>
        <vt:lpwstr/>
      </vt:variant>
      <vt:variant>
        <vt:i4>4128889</vt:i4>
      </vt:variant>
      <vt:variant>
        <vt:i4>246</vt:i4>
      </vt:variant>
      <vt:variant>
        <vt:i4>0</vt:i4>
      </vt:variant>
      <vt:variant>
        <vt:i4>5</vt:i4>
      </vt:variant>
      <vt:variant>
        <vt:lpwstr>https://doi.org/10.1136/bmj.333.7557.s8</vt:lpwstr>
      </vt:variant>
      <vt:variant>
        <vt:lpwstr/>
      </vt:variant>
      <vt:variant>
        <vt:i4>8061043</vt:i4>
      </vt:variant>
      <vt:variant>
        <vt:i4>243</vt:i4>
      </vt:variant>
      <vt:variant>
        <vt:i4>0</vt:i4>
      </vt:variant>
      <vt:variant>
        <vt:i4>5</vt:i4>
      </vt:variant>
      <vt:variant>
        <vt:lpwstr>https://www.simplypsychology.org/transactional-analysis-eric-berne.html</vt:lpwstr>
      </vt:variant>
      <vt:variant>
        <vt:lpwstr/>
      </vt:variant>
      <vt:variant>
        <vt:i4>917584</vt:i4>
      </vt:variant>
      <vt:variant>
        <vt:i4>240</vt:i4>
      </vt:variant>
      <vt:variant>
        <vt:i4>0</vt:i4>
      </vt:variant>
      <vt:variant>
        <vt:i4>5</vt:i4>
      </vt:variant>
      <vt:variant>
        <vt:lpwstr>https://news.harvard.edu/gazette/story/2025/08/what-is-emotional-intelligence-and-why-is-it-crucial-in-the-workplace/</vt:lpwstr>
      </vt:variant>
      <vt:variant>
        <vt:lpwstr/>
      </vt:variant>
      <vt:variant>
        <vt:i4>4128801</vt:i4>
      </vt:variant>
      <vt:variant>
        <vt:i4>237</vt:i4>
      </vt:variant>
      <vt:variant>
        <vt:i4>0</vt:i4>
      </vt:variant>
      <vt:variant>
        <vt:i4>5</vt:i4>
      </vt:variant>
      <vt:variant>
        <vt:lpwstr>https://www.kingsfund.org.uk/insight-and-analysis/reports/caring-change</vt:lpwstr>
      </vt:variant>
      <vt:variant>
        <vt:lpwstr/>
      </vt:variant>
      <vt:variant>
        <vt:i4>2031710</vt:i4>
      </vt:variant>
      <vt:variant>
        <vt:i4>234</vt:i4>
      </vt:variant>
      <vt:variant>
        <vt:i4>0</vt:i4>
      </vt:variant>
      <vt:variant>
        <vt:i4>5</vt:i4>
      </vt:variant>
      <vt:variant>
        <vt:lpwstr>https://www.ncbi.nlm.nih.gov/books/NBK603153/</vt:lpwstr>
      </vt:variant>
      <vt:variant>
        <vt:lpwstr/>
      </vt:variant>
      <vt:variant>
        <vt:i4>2228325</vt:i4>
      </vt:variant>
      <vt:variant>
        <vt:i4>231</vt:i4>
      </vt:variant>
      <vt:variant>
        <vt:i4>0</vt:i4>
      </vt:variant>
      <vt:variant>
        <vt:i4>5</vt:i4>
      </vt:variant>
      <vt:variant>
        <vt:lpwstr>https://pdfs.semanticscholar.org/01fd/901d7b6a987dc06497bea64f3b506eb0d4ea.pdf</vt:lpwstr>
      </vt:variant>
      <vt:variant>
        <vt:lpwstr/>
      </vt:variant>
      <vt:variant>
        <vt:i4>7274609</vt:i4>
      </vt:variant>
      <vt:variant>
        <vt:i4>228</vt:i4>
      </vt:variant>
      <vt:variant>
        <vt:i4>0</vt:i4>
      </vt:variant>
      <vt:variant>
        <vt:i4>5</vt:i4>
      </vt:variant>
      <vt:variant>
        <vt:lpwstr>https://learn.hms.harvard.edu/insights/all-insights/emotional-intelligence-medical-and-health-professions-education</vt:lpwstr>
      </vt:variant>
      <vt:variant>
        <vt:lpwstr/>
      </vt:variant>
      <vt:variant>
        <vt:i4>4915211</vt:i4>
      </vt:variant>
      <vt:variant>
        <vt:i4>225</vt:i4>
      </vt:variant>
      <vt:variant>
        <vt:i4>0</vt:i4>
      </vt:variant>
      <vt:variant>
        <vt:i4>5</vt:i4>
      </vt:variant>
      <vt:variant>
        <vt:lpwstr>https://doi.org/10.1016/j.pec.2023.108063</vt:lpwstr>
      </vt:variant>
      <vt:variant>
        <vt:lpwstr/>
      </vt:variant>
      <vt:variant>
        <vt:i4>6488187</vt:i4>
      </vt:variant>
      <vt:variant>
        <vt:i4>222</vt:i4>
      </vt:variant>
      <vt:variant>
        <vt:i4>0</vt:i4>
      </vt:variant>
      <vt:variant>
        <vt:i4>5</vt:i4>
      </vt:variant>
      <vt:variant>
        <vt:lpwstr>https://easysociology.com/sociology-of-emotion/arlie-hochschilds-theory-of-emotion/</vt:lpwstr>
      </vt:variant>
      <vt:variant>
        <vt:lpwstr/>
      </vt:variant>
      <vt:variant>
        <vt:i4>7864427</vt:i4>
      </vt:variant>
      <vt:variant>
        <vt:i4>219</vt:i4>
      </vt:variant>
      <vt:variant>
        <vt:i4>0</vt:i4>
      </vt:variant>
      <vt:variant>
        <vt:i4>5</vt:i4>
      </vt:variant>
      <vt:variant>
        <vt:lpwstr>https://www.rcn.org.uk/Professional-Development/The-*nursing-workforce</vt:lpwstr>
      </vt:variant>
      <vt:variant>
        <vt:lpwstr/>
      </vt:variant>
      <vt:variant>
        <vt:i4>2490478</vt:i4>
      </vt:variant>
      <vt:variant>
        <vt:i4>216</vt:i4>
      </vt:variant>
      <vt:variant>
        <vt:i4>0</vt:i4>
      </vt:variant>
      <vt:variant>
        <vt:i4>5</vt:i4>
      </vt:variant>
      <vt:variant>
        <vt:lpwstr>https://www.simplypsychology.org/emotional-intelligence-workplace.html</vt:lpwstr>
      </vt:variant>
      <vt:variant>
        <vt:lpwstr/>
      </vt:variant>
      <vt:variant>
        <vt:i4>8126587</vt:i4>
      </vt:variant>
      <vt:variant>
        <vt:i4>213</vt:i4>
      </vt:variant>
      <vt:variant>
        <vt:i4>0</vt:i4>
      </vt:variant>
      <vt:variant>
        <vt:i4>5</vt:i4>
      </vt:variant>
      <vt:variant>
        <vt:lpwstr>https://www.bmj.com/content/384/bmj-2024-079474</vt:lpwstr>
      </vt:variant>
      <vt:variant>
        <vt:lpwstr/>
      </vt:variant>
      <vt:variant>
        <vt:i4>786501</vt:i4>
      </vt:variant>
      <vt:variant>
        <vt:i4>210</vt:i4>
      </vt:variant>
      <vt:variant>
        <vt:i4>0</vt:i4>
      </vt:variant>
      <vt:variant>
        <vt:i4>5</vt:i4>
      </vt:variant>
      <vt:variant>
        <vt:lpwstr>https://doi.org/10.1108/ejtd-07-2024-0088</vt:lpwstr>
      </vt:variant>
      <vt:variant>
        <vt:lpwstr/>
      </vt:variant>
      <vt:variant>
        <vt:i4>6815799</vt:i4>
      </vt:variant>
      <vt:variant>
        <vt:i4>207</vt:i4>
      </vt:variant>
      <vt:variant>
        <vt:i4>0</vt:i4>
      </vt:variant>
      <vt:variant>
        <vt:i4>5</vt:i4>
      </vt:variant>
      <vt:variant>
        <vt:lpwstr>https://doi.org/10.3390/admsci15080300</vt:lpwstr>
      </vt:variant>
      <vt:variant>
        <vt:lpwstr/>
      </vt:variant>
      <vt:variant>
        <vt:i4>2031638</vt:i4>
      </vt:variant>
      <vt:variant>
        <vt:i4>204</vt:i4>
      </vt:variant>
      <vt:variant>
        <vt:i4>0</vt:i4>
      </vt:variant>
      <vt:variant>
        <vt:i4>5</vt:i4>
      </vt:variant>
      <vt:variant>
        <vt:lpwstr>https://www.hee.nhs.uk/our-work/talent-care-widening-participation/support-worker-help-resources/healthcare-support-worker-learning-development-roadmap/wellbeing-resilience</vt:lpwstr>
      </vt:variant>
      <vt:variant>
        <vt:lpwstr/>
      </vt:variant>
      <vt:variant>
        <vt:i4>69</vt:i4>
      </vt:variant>
      <vt:variant>
        <vt:i4>201</vt:i4>
      </vt:variant>
      <vt:variant>
        <vt:i4>0</vt:i4>
      </vt:variant>
      <vt:variant>
        <vt:i4>5</vt:i4>
      </vt:variant>
      <vt:variant>
        <vt:lpwstr>https://www.cipd.org/en/views-and-insights/thought-leadership/insight/learning-value-skills-development/</vt:lpwstr>
      </vt:variant>
      <vt:variant>
        <vt:lpwstr/>
      </vt:variant>
      <vt:variant>
        <vt:i4>327691</vt:i4>
      </vt:variant>
      <vt:variant>
        <vt:i4>198</vt:i4>
      </vt:variant>
      <vt:variant>
        <vt:i4>0</vt:i4>
      </vt:variant>
      <vt:variant>
        <vt:i4>5</vt:i4>
      </vt:variant>
      <vt:variant>
        <vt:lpwstr>https://doi.org/10.3389/fpsyg.2018.02162</vt:lpwstr>
      </vt:variant>
      <vt:variant>
        <vt:lpwstr/>
      </vt:variant>
      <vt:variant>
        <vt:i4>5308503</vt:i4>
      </vt:variant>
      <vt:variant>
        <vt:i4>195</vt:i4>
      </vt:variant>
      <vt:variant>
        <vt:i4>0</vt:i4>
      </vt:variant>
      <vt:variant>
        <vt:i4>5</vt:i4>
      </vt:variant>
      <vt:variant>
        <vt:lpwstr>https://www.england.nhs.uk/long-read/improving-patient-safety-culture-a-practical-guide/</vt:lpwstr>
      </vt:variant>
      <vt:variant>
        <vt:lpwstr/>
      </vt:variant>
      <vt:variant>
        <vt:i4>5046286</vt:i4>
      </vt:variant>
      <vt:variant>
        <vt:i4>192</vt:i4>
      </vt:variant>
      <vt:variant>
        <vt:i4>0</vt:i4>
      </vt:variant>
      <vt:variant>
        <vt:i4>5</vt:i4>
      </vt:variant>
      <vt:variant>
        <vt:lpwstr>https://doi.org/10.1016/j.cpr.2011.04.006</vt:lpwstr>
      </vt:variant>
      <vt:variant>
        <vt:lpwstr/>
      </vt:variant>
      <vt:variant>
        <vt:i4>1704031</vt:i4>
      </vt:variant>
      <vt:variant>
        <vt:i4>189</vt:i4>
      </vt:variant>
      <vt:variant>
        <vt:i4>0</vt:i4>
      </vt:variant>
      <vt:variant>
        <vt:i4>5</vt:i4>
      </vt:variant>
      <vt:variant>
        <vt:lpwstr>https://doi.org/10.1177/1470593117706530</vt:lpwstr>
      </vt:variant>
      <vt:variant>
        <vt:lpwstr/>
      </vt:variant>
      <vt:variant>
        <vt:i4>1376259</vt:i4>
      </vt:variant>
      <vt:variant>
        <vt:i4>186</vt:i4>
      </vt:variant>
      <vt:variant>
        <vt:i4>0</vt:i4>
      </vt:variant>
      <vt:variant>
        <vt:i4>5</vt:i4>
      </vt:variant>
      <vt:variant>
        <vt:lpwstr>https://doi.org/10.1037/a0017286</vt:lpwstr>
      </vt:variant>
      <vt:variant>
        <vt:lpwstr/>
      </vt:variant>
      <vt:variant>
        <vt:i4>5242904</vt:i4>
      </vt:variant>
      <vt:variant>
        <vt:i4>183</vt:i4>
      </vt:variant>
      <vt:variant>
        <vt:i4>0</vt:i4>
      </vt:variant>
      <vt:variant>
        <vt:i4>5</vt:i4>
      </vt:variant>
      <vt:variant>
        <vt:lpwstr>https://doi.org/10.1111/j.1754-9434.2010.01231.x</vt:lpwstr>
      </vt:variant>
      <vt:variant>
        <vt:lpwstr/>
      </vt:variant>
      <vt:variant>
        <vt:i4>3014704</vt:i4>
      </vt:variant>
      <vt:variant>
        <vt:i4>180</vt:i4>
      </vt:variant>
      <vt:variant>
        <vt:i4>0</vt:i4>
      </vt:variant>
      <vt:variant>
        <vt:i4>5</vt:i4>
      </vt:variant>
      <vt:variant>
        <vt:lpwstr>https://doi.org/10.1186/s12912-025-03913-0</vt:lpwstr>
      </vt:variant>
      <vt:variant>
        <vt:lpwstr/>
      </vt:variant>
      <vt:variant>
        <vt:i4>1179679</vt:i4>
      </vt:variant>
      <vt:variant>
        <vt:i4>177</vt:i4>
      </vt:variant>
      <vt:variant>
        <vt:i4>0</vt:i4>
      </vt:variant>
      <vt:variant>
        <vt:i4>5</vt:i4>
      </vt:variant>
      <vt:variant>
        <vt:lpwstr>https://www.apa.org/pubs/journals/features/cpb-cpb0000070.pdf</vt:lpwstr>
      </vt:variant>
      <vt:variant>
        <vt:lpwstr/>
      </vt:variant>
      <vt:variant>
        <vt:i4>6357093</vt:i4>
      </vt:variant>
      <vt:variant>
        <vt:i4>174</vt:i4>
      </vt:variant>
      <vt:variant>
        <vt:i4>0</vt:i4>
      </vt:variant>
      <vt:variant>
        <vt:i4>5</vt:i4>
      </vt:variant>
      <vt:variant>
        <vt:lpwstr>https://doi.org/10.1037/cpb0000293</vt:lpwstr>
      </vt:variant>
      <vt:variant>
        <vt:lpwstr/>
      </vt:variant>
      <vt:variant>
        <vt:i4>2293809</vt:i4>
      </vt:variant>
      <vt:variant>
        <vt:i4>171</vt:i4>
      </vt:variant>
      <vt:variant>
        <vt:i4>0</vt:i4>
      </vt:variant>
      <vt:variant>
        <vt:i4>5</vt:i4>
      </vt:variant>
      <vt:variant>
        <vt:lpwstr>https://doi.org/10.1186/s12911-020-01128-8</vt:lpwstr>
      </vt:variant>
      <vt:variant>
        <vt:lpwstr/>
      </vt:variant>
      <vt:variant>
        <vt:i4>3670072</vt:i4>
      </vt:variant>
      <vt:variant>
        <vt:i4>168</vt:i4>
      </vt:variant>
      <vt:variant>
        <vt:i4>0</vt:i4>
      </vt:variant>
      <vt:variant>
        <vt:i4>5</vt:i4>
      </vt:variant>
      <vt:variant>
        <vt:lpwstr>https://doi.org/10.1037/0003-066X.63.6.503</vt:lpwstr>
      </vt:variant>
      <vt:variant>
        <vt:lpwstr/>
      </vt:variant>
      <vt:variant>
        <vt:i4>1376338</vt:i4>
      </vt:variant>
      <vt:variant>
        <vt:i4>165</vt:i4>
      </vt:variant>
      <vt:variant>
        <vt:i4>0</vt:i4>
      </vt:variant>
      <vt:variant>
        <vt:i4>5</vt:i4>
      </vt:variant>
      <vt:variant>
        <vt:lpwstr>https://doi.org/10.1177/17540739251333990</vt:lpwstr>
      </vt:variant>
      <vt:variant>
        <vt:lpwstr/>
      </vt:variant>
      <vt:variant>
        <vt:i4>5046386</vt:i4>
      </vt:variant>
      <vt:variant>
        <vt:i4>162</vt:i4>
      </vt:variant>
      <vt:variant>
        <vt:i4>0</vt:i4>
      </vt:variant>
      <vt:variant>
        <vt:i4>5</vt:i4>
      </vt:variant>
      <vt:variant>
        <vt:lpwstr>https://www.researchgate.net/publication/229462304_Why_Emotional_Intelligence_is_an_Invalid_Concept</vt:lpwstr>
      </vt:variant>
      <vt:variant>
        <vt:lpwstr/>
      </vt:variant>
      <vt:variant>
        <vt:i4>6488163</vt:i4>
      </vt:variant>
      <vt:variant>
        <vt:i4>159</vt:i4>
      </vt:variant>
      <vt:variant>
        <vt:i4>0</vt:i4>
      </vt:variant>
      <vt:variant>
        <vt:i4>5</vt:i4>
      </vt:variant>
      <vt:variant>
        <vt:lpwstr>https://doi.org/10.1002/job.317</vt:lpwstr>
      </vt:variant>
      <vt:variant>
        <vt:lpwstr/>
      </vt:variant>
      <vt:variant>
        <vt:i4>5701657</vt:i4>
      </vt:variant>
      <vt:variant>
        <vt:i4>156</vt:i4>
      </vt:variant>
      <vt:variant>
        <vt:i4>0</vt:i4>
      </vt:variant>
      <vt:variant>
        <vt:i4>5</vt:i4>
      </vt:variant>
      <vt:variant>
        <vt:lpwstr>https://doi.org/10.1016/j.bja.2023.12.035</vt:lpwstr>
      </vt:variant>
      <vt:variant>
        <vt:lpwstr/>
      </vt:variant>
      <vt:variant>
        <vt:i4>1048576</vt:i4>
      </vt:variant>
      <vt:variant>
        <vt:i4>153</vt:i4>
      </vt:variant>
      <vt:variant>
        <vt:i4>0</vt:i4>
      </vt:variant>
      <vt:variant>
        <vt:i4>5</vt:i4>
      </vt:variant>
      <vt:variant>
        <vt:lpwstr>https://www.eiconsortium.org/reprints/bar-on_model_of_emotional-social_intelligence.htm</vt:lpwstr>
      </vt:variant>
      <vt:variant>
        <vt:lpwstr/>
      </vt:variant>
      <vt:variant>
        <vt:i4>2818173</vt:i4>
      </vt:variant>
      <vt:variant>
        <vt:i4>150</vt:i4>
      </vt:variant>
      <vt:variant>
        <vt:i4>0</vt:i4>
      </vt:variant>
      <vt:variant>
        <vt:i4>5</vt:i4>
      </vt:variant>
      <vt:variant>
        <vt:lpwstr>https://www.scribd.com/doc/314986475/Mayer-Salovey-1997-What-is-Emotional-Intelligence</vt:lpwstr>
      </vt:variant>
      <vt:variant>
        <vt:lpwstr/>
      </vt:variant>
      <vt:variant>
        <vt:i4>4784214</vt:i4>
      </vt:variant>
      <vt:variant>
        <vt:i4>147</vt:i4>
      </vt:variant>
      <vt:variant>
        <vt:i4>0</vt:i4>
      </vt:variant>
      <vt:variant>
        <vt:i4>5</vt:i4>
      </vt:variant>
      <vt:variant>
        <vt:lpwstr/>
      </vt:variant>
      <vt:variant>
        <vt:lpwstr>_Appendix_A</vt:lpwstr>
      </vt:variant>
      <vt:variant>
        <vt:i4>1048630</vt:i4>
      </vt:variant>
      <vt:variant>
        <vt:i4>140</vt:i4>
      </vt:variant>
      <vt:variant>
        <vt:i4>0</vt:i4>
      </vt:variant>
      <vt:variant>
        <vt:i4>5</vt:i4>
      </vt:variant>
      <vt:variant>
        <vt:lpwstr/>
      </vt:variant>
      <vt:variant>
        <vt:lpwstr>_Toc229584547</vt:lpwstr>
      </vt:variant>
      <vt:variant>
        <vt:i4>1048630</vt:i4>
      </vt:variant>
      <vt:variant>
        <vt:i4>134</vt:i4>
      </vt:variant>
      <vt:variant>
        <vt:i4>0</vt:i4>
      </vt:variant>
      <vt:variant>
        <vt:i4>5</vt:i4>
      </vt:variant>
      <vt:variant>
        <vt:lpwstr/>
      </vt:variant>
      <vt:variant>
        <vt:lpwstr>_Toc229584546</vt:lpwstr>
      </vt:variant>
      <vt:variant>
        <vt:i4>1048630</vt:i4>
      </vt:variant>
      <vt:variant>
        <vt:i4>128</vt:i4>
      </vt:variant>
      <vt:variant>
        <vt:i4>0</vt:i4>
      </vt:variant>
      <vt:variant>
        <vt:i4>5</vt:i4>
      </vt:variant>
      <vt:variant>
        <vt:lpwstr/>
      </vt:variant>
      <vt:variant>
        <vt:lpwstr>_Toc229584545</vt:lpwstr>
      </vt:variant>
      <vt:variant>
        <vt:i4>1048630</vt:i4>
      </vt:variant>
      <vt:variant>
        <vt:i4>122</vt:i4>
      </vt:variant>
      <vt:variant>
        <vt:i4>0</vt:i4>
      </vt:variant>
      <vt:variant>
        <vt:i4>5</vt:i4>
      </vt:variant>
      <vt:variant>
        <vt:lpwstr/>
      </vt:variant>
      <vt:variant>
        <vt:lpwstr>_Toc229584544</vt:lpwstr>
      </vt:variant>
      <vt:variant>
        <vt:i4>1048630</vt:i4>
      </vt:variant>
      <vt:variant>
        <vt:i4>116</vt:i4>
      </vt:variant>
      <vt:variant>
        <vt:i4>0</vt:i4>
      </vt:variant>
      <vt:variant>
        <vt:i4>5</vt:i4>
      </vt:variant>
      <vt:variant>
        <vt:lpwstr/>
      </vt:variant>
      <vt:variant>
        <vt:lpwstr>_Toc229584543</vt:lpwstr>
      </vt:variant>
      <vt:variant>
        <vt:i4>1048630</vt:i4>
      </vt:variant>
      <vt:variant>
        <vt:i4>110</vt:i4>
      </vt:variant>
      <vt:variant>
        <vt:i4>0</vt:i4>
      </vt:variant>
      <vt:variant>
        <vt:i4>5</vt:i4>
      </vt:variant>
      <vt:variant>
        <vt:lpwstr/>
      </vt:variant>
      <vt:variant>
        <vt:lpwstr>_Toc229584542</vt:lpwstr>
      </vt:variant>
      <vt:variant>
        <vt:i4>1048630</vt:i4>
      </vt:variant>
      <vt:variant>
        <vt:i4>104</vt:i4>
      </vt:variant>
      <vt:variant>
        <vt:i4>0</vt:i4>
      </vt:variant>
      <vt:variant>
        <vt:i4>5</vt:i4>
      </vt:variant>
      <vt:variant>
        <vt:lpwstr/>
      </vt:variant>
      <vt:variant>
        <vt:lpwstr>_Toc229584541</vt:lpwstr>
      </vt:variant>
      <vt:variant>
        <vt:i4>1048630</vt:i4>
      </vt:variant>
      <vt:variant>
        <vt:i4>98</vt:i4>
      </vt:variant>
      <vt:variant>
        <vt:i4>0</vt:i4>
      </vt:variant>
      <vt:variant>
        <vt:i4>5</vt:i4>
      </vt:variant>
      <vt:variant>
        <vt:lpwstr/>
      </vt:variant>
      <vt:variant>
        <vt:lpwstr>_Toc229584540</vt:lpwstr>
      </vt:variant>
      <vt:variant>
        <vt:i4>1507382</vt:i4>
      </vt:variant>
      <vt:variant>
        <vt:i4>92</vt:i4>
      </vt:variant>
      <vt:variant>
        <vt:i4>0</vt:i4>
      </vt:variant>
      <vt:variant>
        <vt:i4>5</vt:i4>
      </vt:variant>
      <vt:variant>
        <vt:lpwstr/>
      </vt:variant>
      <vt:variant>
        <vt:lpwstr>_Toc229584539</vt:lpwstr>
      </vt:variant>
      <vt:variant>
        <vt:i4>1507382</vt:i4>
      </vt:variant>
      <vt:variant>
        <vt:i4>86</vt:i4>
      </vt:variant>
      <vt:variant>
        <vt:i4>0</vt:i4>
      </vt:variant>
      <vt:variant>
        <vt:i4>5</vt:i4>
      </vt:variant>
      <vt:variant>
        <vt:lpwstr/>
      </vt:variant>
      <vt:variant>
        <vt:lpwstr>_Toc229584538</vt:lpwstr>
      </vt:variant>
      <vt:variant>
        <vt:i4>1507382</vt:i4>
      </vt:variant>
      <vt:variant>
        <vt:i4>80</vt:i4>
      </vt:variant>
      <vt:variant>
        <vt:i4>0</vt:i4>
      </vt:variant>
      <vt:variant>
        <vt:i4>5</vt:i4>
      </vt:variant>
      <vt:variant>
        <vt:lpwstr/>
      </vt:variant>
      <vt:variant>
        <vt:lpwstr>_Toc229584537</vt:lpwstr>
      </vt:variant>
      <vt:variant>
        <vt:i4>1507382</vt:i4>
      </vt:variant>
      <vt:variant>
        <vt:i4>74</vt:i4>
      </vt:variant>
      <vt:variant>
        <vt:i4>0</vt:i4>
      </vt:variant>
      <vt:variant>
        <vt:i4>5</vt:i4>
      </vt:variant>
      <vt:variant>
        <vt:lpwstr/>
      </vt:variant>
      <vt:variant>
        <vt:lpwstr>_Toc229584536</vt:lpwstr>
      </vt:variant>
      <vt:variant>
        <vt:i4>1507382</vt:i4>
      </vt:variant>
      <vt:variant>
        <vt:i4>68</vt:i4>
      </vt:variant>
      <vt:variant>
        <vt:i4>0</vt:i4>
      </vt:variant>
      <vt:variant>
        <vt:i4>5</vt:i4>
      </vt:variant>
      <vt:variant>
        <vt:lpwstr/>
      </vt:variant>
      <vt:variant>
        <vt:lpwstr>_Toc229584535</vt:lpwstr>
      </vt:variant>
      <vt:variant>
        <vt:i4>1507382</vt:i4>
      </vt:variant>
      <vt:variant>
        <vt:i4>62</vt:i4>
      </vt:variant>
      <vt:variant>
        <vt:i4>0</vt:i4>
      </vt:variant>
      <vt:variant>
        <vt:i4>5</vt:i4>
      </vt:variant>
      <vt:variant>
        <vt:lpwstr/>
      </vt:variant>
      <vt:variant>
        <vt:lpwstr>_Toc229584534</vt:lpwstr>
      </vt:variant>
      <vt:variant>
        <vt:i4>1507382</vt:i4>
      </vt:variant>
      <vt:variant>
        <vt:i4>56</vt:i4>
      </vt:variant>
      <vt:variant>
        <vt:i4>0</vt:i4>
      </vt:variant>
      <vt:variant>
        <vt:i4>5</vt:i4>
      </vt:variant>
      <vt:variant>
        <vt:lpwstr/>
      </vt:variant>
      <vt:variant>
        <vt:lpwstr>_Toc229584533</vt:lpwstr>
      </vt:variant>
      <vt:variant>
        <vt:i4>1507382</vt:i4>
      </vt:variant>
      <vt:variant>
        <vt:i4>50</vt:i4>
      </vt:variant>
      <vt:variant>
        <vt:i4>0</vt:i4>
      </vt:variant>
      <vt:variant>
        <vt:i4>5</vt:i4>
      </vt:variant>
      <vt:variant>
        <vt:lpwstr/>
      </vt:variant>
      <vt:variant>
        <vt:lpwstr>_Toc229584532</vt:lpwstr>
      </vt:variant>
      <vt:variant>
        <vt:i4>1507382</vt:i4>
      </vt:variant>
      <vt:variant>
        <vt:i4>44</vt:i4>
      </vt:variant>
      <vt:variant>
        <vt:i4>0</vt:i4>
      </vt:variant>
      <vt:variant>
        <vt:i4>5</vt:i4>
      </vt:variant>
      <vt:variant>
        <vt:lpwstr/>
      </vt:variant>
      <vt:variant>
        <vt:lpwstr>_Toc229584531</vt:lpwstr>
      </vt:variant>
      <vt:variant>
        <vt:i4>1507382</vt:i4>
      </vt:variant>
      <vt:variant>
        <vt:i4>38</vt:i4>
      </vt:variant>
      <vt:variant>
        <vt:i4>0</vt:i4>
      </vt:variant>
      <vt:variant>
        <vt:i4>5</vt:i4>
      </vt:variant>
      <vt:variant>
        <vt:lpwstr/>
      </vt:variant>
      <vt:variant>
        <vt:lpwstr>_Toc229584530</vt:lpwstr>
      </vt:variant>
      <vt:variant>
        <vt:i4>1441846</vt:i4>
      </vt:variant>
      <vt:variant>
        <vt:i4>32</vt:i4>
      </vt:variant>
      <vt:variant>
        <vt:i4>0</vt:i4>
      </vt:variant>
      <vt:variant>
        <vt:i4>5</vt:i4>
      </vt:variant>
      <vt:variant>
        <vt:lpwstr/>
      </vt:variant>
      <vt:variant>
        <vt:lpwstr>_Toc229584529</vt:lpwstr>
      </vt:variant>
      <vt:variant>
        <vt:i4>1441846</vt:i4>
      </vt:variant>
      <vt:variant>
        <vt:i4>26</vt:i4>
      </vt:variant>
      <vt:variant>
        <vt:i4>0</vt:i4>
      </vt:variant>
      <vt:variant>
        <vt:i4>5</vt:i4>
      </vt:variant>
      <vt:variant>
        <vt:lpwstr/>
      </vt:variant>
      <vt:variant>
        <vt:lpwstr>_Toc229584528</vt:lpwstr>
      </vt:variant>
      <vt:variant>
        <vt:i4>1441846</vt:i4>
      </vt:variant>
      <vt:variant>
        <vt:i4>20</vt:i4>
      </vt:variant>
      <vt:variant>
        <vt:i4>0</vt:i4>
      </vt:variant>
      <vt:variant>
        <vt:i4>5</vt:i4>
      </vt:variant>
      <vt:variant>
        <vt:lpwstr/>
      </vt:variant>
      <vt:variant>
        <vt:lpwstr>_Toc229584527</vt:lpwstr>
      </vt:variant>
      <vt:variant>
        <vt:i4>1441846</vt:i4>
      </vt:variant>
      <vt:variant>
        <vt:i4>14</vt:i4>
      </vt:variant>
      <vt:variant>
        <vt:i4>0</vt:i4>
      </vt:variant>
      <vt:variant>
        <vt:i4>5</vt:i4>
      </vt:variant>
      <vt:variant>
        <vt:lpwstr/>
      </vt:variant>
      <vt:variant>
        <vt:lpwstr>_Toc229584526</vt:lpwstr>
      </vt:variant>
      <vt:variant>
        <vt:i4>1441846</vt:i4>
      </vt:variant>
      <vt:variant>
        <vt:i4>8</vt:i4>
      </vt:variant>
      <vt:variant>
        <vt:i4>0</vt:i4>
      </vt:variant>
      <vt:variant>
        <vt:i4>5</vt:i4>
      </vt:variant>
      <vt:variant>
        <vt:lpwstr/>
      </vt:variant>
      <vt:variant>
        <vt:lpwstr>_Toc229584525</vt:lpwstr>
      </vt:variant>
      <vt:variant>
        <vt:i4>1441846</vt:i4>
      </vt:variant>
      <vt:variant>
        <vt:i4>2</vt:i4>
      </vt:variant>
      <vt:variant>
        <vt:i4>0</vt:i4>
      </vt:variant>
      <vt:variant>
        <vt:i4>5</vt:i4>
      </vt:variant>
      <vt:variant>
        <vt:lpwstr/>
      </vt:variant>
      <vt:variant>
        <vt:lpwstr>_Toc229584524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1122</cp:revision>
  <dcterms:created xsi:type="dcterms:W3CDTF">2026-05-07T20:26:00Z</dcterms:created>
  <dcterms:modified xsi:type="dcterms:W3CDTF">2026-05-18T18:31:00Z</dcterms:modified>
</cp:coreProperties>
</file>