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48A9ADB1" w:rsidR="00511B5B" w:rsidRPr="00511B5B" w:rsidRDefault="007F72AE" w:rsidP="000514C0">
      <w:pPr>
        <w:jc w:val="center"/>
        <w:rPr>
          <w:rFonts w:asciiTheme="minorHAnsi" w:hAnsiTheme="minorHAnsi"/>
          <w:b/>
          <w:color w:val="000000" w:themeColor="text1"/>
          <w:sz w:val="44"/>
        </w:rPr>
      </w:pPr>
      <w:r>
        <w:rPr>
          <w:rFonts w:asciiTheme="minorHAnsi" w:hAnsiTheme="minorHAnsi"/>
          <w:b/>
          <w:color w:val="000000" w:themeColor="text1"/>
          <w:sz w:val="44"/>
        </w:rPr>
        <w:t xml:space="preserve">Data </w:t>
      </w:r>
      <w:r w:rsidR="00CA2269">
        <w:rPr>
          <w:rFonts w:asciiTheme="minorHAnsi" w:hAnsiTheme="minorHAnsi"/>
          <w:b/>
          <w:color w:val="000000" w:themeColor="text1"/>
          <w:sz w:val="44"/>
        </w:rPr>
        <w:t xml:space="preserve">Warehousing &amp; </w:t>
      </w:r>
      <w:r>
        <w:rPr>
          <w:rFonts w:asciiTheme="minorHAnsi" w:hAnsiTheme="minorHAnsi"/>
          <w:b/>
          <w:color w:val="000000" w:themeColor="text1"/>
          <w:sz w:val="44"/>
        </w:rPr>
        <w:t>Mining</w:t>
      </w:r>
    </w:p>
    <w:p w14:paraId="4BF6AD38" w14:textId="77777777" w:rsidR="00511B5B" w:rsidRPr="00511B5B" w:rsidRDefault="00511B5B" w:rsidP="00511B5B">
      <w:pPr>
        <w:jc w:val="center"/>
        <w:rPr>
          <w:rFonts w:asciiTheme="minorHAnsi" w:hAnsiTheme="minorHAnsi"/>
          <w:color w:val="000000" w:themeColor="text1"/>
          <w:sz w:val="40"/>
        </w:rPr>
      </w:pPr>
    </w:p>
    <w:p w14:paraId="498A0E5F" w14:textId="77777777" w:rsidR="00771F2F" w:rsidRDefault="00771F2F" w:rsidP="00511B5B">
      <w:pPr>
        <w:jc w:val="center"/>
        <w:rPr>
          <w:rFonts w:asciiTheme="minorHAnsi" w:hAnsiTheme="minorHAnsi"/>
          <w:color w:val="000000" w:themeColor="text1"/>
          <w:sz w:val="40"/>
        </w:rPr>
      </w:pPr>
    </w:p>
    <w:p w14:paraId="51600A4B" w14:textId="63FF05B0"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6703AAE3" w:rsidR="00511B5B" w:rsidRPr="00511B5B" w:rsidRDefault="00F25847" w:rsidP="00511B5B">
      <w:pPr>
        <w:jc w:val="center"/>
        <w:rPr>
          <w:rFonts w:asciiTheme="minorHAnsi" w:hAnsiTheme="minorHAnsi"/>
          <w:color w:val="000000" w:themeColor="text1"/>
          <w:sz w:val="40"/>
        </w:rPr>
      </w:pPr>
      <w:r>
        <w:rPr>
          <w:rFonts w:asciiTheme="minorHAnsi" w:hAnsiTheme="minorHAnsi"/>
          <w:color w:val="000000" w:themeColor="text1"/>
          <w:sz w:val="40"/>
        </w:rPr>
        <w:t>Kieran Brown</w:t>
      </w:r>
    </w:p>
    <w:p w14:paraId="2A6D5179" w14:textId="77777777" w:rsidR="00511B5B" w:rsidRPr="00511B5B" w:rsidRDefault="00511B5B" w:rsidP="00D87330">
      <w:pP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6B97A39D" w:rsidR="00F37D13" w:rsidRPr="0019360C" w:rsidRDefault="00F37D13" w:rsidP="000514C0">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FA0AA7">
        <w:rPr>
          <w:rFonts w:asciiTheme="minorHAnsi" w:hAnsiTheme="minorHAnsi"/>
          <w:i/>
          <w:color w:val="000000" w:themeColor="text1"/>
          <w:sz w:val="40"/>
        </w:rPr>
        <w:t xml:space="preserve">Applied </w:t>
      </w:r>
      <w:r w:rsidR="0019360C">
        <w:rPr>
          <w:rFonts w:asciiTheme="minorHAnsi" w:hAnsiTheme="minorHAnsi"/>
          <w:i/>
          <w:color w:val="000000" w:themeColor="text1"/>
          <w:sz w:val="40"/>
        </w:rPr>
        <w:t>Computing</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76FA6E13" w:rsidR="00511B5B" w:rsidRPr="00511B5B" w:rsidRDefault="007F72AE" w:rsidP="007F72AE">
      <w:pPr>
        <w:ind w:firstLine="720"/>
        <w:jc w:val="center"/>
        <w:rPr>
          <w:rFonts w:asciiTheme="minorHAnsi" w:hAnsiTheme="minorHAnsi"/>
          <w:color w:val="000000" w:themeColor="text1"/>
          <w:sz w:val="40"/>
        </w:rPr>
      </w:pPr>
      <w:r>
        <w:rPr>
          <w:rFonts w:asciiTheme="minorHAnsi" w:hAnsiTheme="minorHAnsi"/>
          <w:color w:val="000000" w:themeColor="text1"/>
          <w:sz w:val="40"/>
        </w:rPr>
        <w:t>Ma</w:t>
      </w:r>
      <w:r w:rsidR="00FA0AA7">
        <w:rPr>
          <w:rFonts w:asciiTheme="minorHAnsi" w:hAnsiTheme="minorHAnsi"/>
          <w:color w:val="000000" w:themeColor="text1"/>
          <w:sz w:val="40"/>
        </w:rPr>
        <w:t xml:space="preserve">y </w:t>
      </w:r>
      <w:r w:rsidR="00511B5B" w:rsidRPr="00511B5B">
        <w:rPr>
          <w:rFonts w:asciiTheme="minorHAnsi" w:hAnsiTheme="minorHAnsi"/>
          <w:color w:val="000000" w:themeColor="text1"/>
          <w:sz w:val="40"/>
        </w:rPr>
        <w:t>20</w:t>
      </w:r>
      <w:r w:rsidR="0019360C">
        <w:rPr>
          <w:rFonts w:asciiTheme="minorHAnsi" w:hAnsiTheme="minorHAnsi"/>
          <w:color w:val="000000" w:themeColor="text1"/>
          <w:sz w:val="40"/>
        </w:rPr>
        <w:t>2</w:t>
      </w:r>
      <w:r w:rsidR="000514C0">
        <w:rPr>
          <w:rFonts w:asciiTheme="minorHAnsi" w:hAnsiTheme="minorHAnsi"/>
          <w:color w:val="000000" w:themeColor="text1"/>
          <w:sz w:val="40"/>
        </w:rPr>
        <w:t>6</w:t>
      </w:r>
    </w:p>
    <w:p w14:paraId="5418B7A5" w14:textId="77777777" w:rsidR="005946B6" w:rsidRDefault="005946B6"/>
    <w:p w14:paraId="784B330E" w14:textId="77777777" w:rsidR="005E7EFF" w:rsidRDefault="005E7EFF"/>
    <w:p w14:paraId="318BED99" w14:textId="77777777" w:rsidR="005E7EFF" w:rsidRDefault="005E7EFF"/>
    <w:p w14:paraId="4F84D502" w14:textId="77777777" w:rsidR="005E7EFF" w:rsidRDefault="005E7EFF"/>
    <w:p w14:paraId="1AFB8527" w14:textId="77777777" w:rsidR="005E7EFF" w:rsidRDefault="005E7EFF"/>
    <w:p w14:paraId="4C72C026" w14:textId="77777777" w:rsidR="005E7EFF" w:rsidRDefault="005E7EFF"/>
    <w:p w14:paraId="38ECE3CB" w14:textId="77777777" w:rsidR="000514C0" w:rsidRDefault="000514C0"/>
    <w:p w14:paraId="7ABFEC75" w14:textId="77777777" w:rsidR="00D87330" w:rsidRDefault="00D87330"/>
    <w:p w14:paraId="2202B506" w14:textId="77777777" w:rsidR="00D87330" w:rsidRDefault="00D87330"/>
    <w:p w14:paraId="32E6CCB2" w14:textId="77777777" w:rsidR="00D87330" w:rsidRDefault="00D87330"/>
    <w:p w14:paraId="643AF72A" w14:textId="77777777" w:rsidR="00D87330" w:rsidRDefault="00D87330"/>
    <w:p w14:paraId="22B56D60" w14:textId="77777777" w:rsidR="00405D13" w:rsidRDefault="00405D13"/>
    <w:sdt>
      <w:sdtPr>
        <w:rPr>
          <w:rFonts w:ascii="Times New Roman" w:eastAsia="Times New Roman" w:hAnsi="Times New Roman" w:cs="Times New Roman"/>
          <w:b w:val="0"/>
          <w:bCs w:val="0"/>
          <w:color w:val="auto"/>
          <w:sz w:val="24"/>
          <w:szCs w:val="24"/>
          <w:lang w:val="en-GB" w:eastAsia="en-GB"/>
        </w:rPr>
        <w:id w:val="-1906678580"/>
        <w:docPartObj>
          <w:docPartGallery w:val="Table of Contents"/>
          <w:docPartUnique/>
        </w:docPartObj>
      </w:sdtPr>
      <w:sdtEndPr>
        <w:rPr>
          <w:noProof/>
        </w:rPr>
      </w:sdtEndPr>
      <w:sdtContent>
        <w:p w14:paraId="0CBE6E10" w14:textId="352BB410" w:rsidR="00226B18" w:rsidRDefault="00226B18">
          <w:pPr>
            <w:pStyle w:val="TOCHeading"/>
          </w:pPr>
          <w:r>
            <w:t>Table of Contents</w:t>
          </w:r>
        </w:p>
        <w:p w14:paraId="102C44B4" w14:textId="621906DA" w:rsidR="00226B18" w:rsidRDefault="00226B18">
          <w:pPr>
            <w:pStyle w:val="TOC2"/>
            <w:tabs>
              <w:tab w:val="left" w:pos="960"/>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29153976" w:history="1">
            <w:r w:rsidRPr="0050113D">
              <w:rPr>
                <w:rStyle w:val="Hyperlink"/>
                <w:rFonts w:eastAsiaTheme="majorEastAsia"/>
                <w:noProof/>
              </w:rPr>
              <w:t>1.1</w:t>
            </w:r>
            <w:r>
              <w:rPr>
                <w:rFonts w:eastAsiaTheme="minorEastAsia" w:cstheme="minorBidi"/>
                <w:b w:val="0"/>
                <w:bCs w:val="0"/>
                <w:noProof/>
                <w:kern w:val="2"/>
                <w:sz w:val="24"/>
                <w:szCs w:val="24"/>
                <w14:ligatures w14:val="standardContextual"/>
              </w:rPr>
              <w:tab/>
            </w:r>
            <w:r w:rsidRPr="0050113D">
              <w:rPr>
                <w:rStyle w:val="Hyperlink"/>
                <w:rFonts w:eastAsiaTheme="majorEastAsia"/>
                <w:noProof/>
              </w:rPr>
              <w:t>OLTP vs Data Warehousing</w:t>
            </w:r>
            <w:r>
              <w:rPr>
                <w:noProof/>
                <w:webHidden/>
              </w:rPr>
              <w:tab/>
            </w:r>
            <w:r>
              <w:rPr>
                <w:noProof/>
                <w:webHidden/>
              </w:rPr>
              <w:fldChar w:fldCharType="begin"/>
            </w:r>
            <w:r>
              <w:rPr>
                <w:noProof/>
                <w:webHidden/>
              </w:rPr>
              <w:instrText xml:space="preserve"> PAGEREF _Toc229153976 \h </w:instrText>
            </w:r>
            <w:r>
              <w:rPr>
                <w:noProof/>
                <w:webHidden/>
              </w:rPr>
            </w:r>
            <w:r>
              <w:rPr>
                <w:noProof/>
                <w:webHidden/>
              </w:rPr>
              <w:fldChar w:fldCharType="separate"/>
            </w:r>
            <w:r>
              <w:rPr>
                <w:noProof/>
                <w:webHidden/>
              </w:rPr>
              <w:t>3</w:t>
            </w:r>
            <w:r>
              <w:rPr>
                <w:noProof/>
                <w:webHidden/>
              </w:rPr>
              <w:fldChar w:fldCharType="end"/>
            </w:r>
          </w:hyperlink>
        </w:p>
        <w:p w14:paraId="0D54607F" w14:textId="0F6DBFD5" w:rsidR="00226B18" w:rsidRDefault="00000000">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9153977" w:history="1">
            <w:r w:rsidR="00226B18" w:rsidRPr="0050113D">
              <w:rPr>
                <w:rStyle w:val="Hyperlink"/>
                <w:rFonts w:eastAsiaTheme="majorEastAsia"/>
                <w:noProof/>
              </w:rPr>
              <w:t>1.2</w:t>
            </w:r>
            <w:r w:rsidR="00226B18">
              <w:rPr>
                <w:rFonts w:eastAsiaTheme="minorEastAsia" w:cstheme="minorBidi"/>
                <w:b w:val="0"/>
                <w:bCs w:val="0"/>
                <w:noProof/>
                <w:kern w:val="2"/>
                <w:sz w:val="24"/>
                <w:szCs w:val="24"/>
                <w14:ligatures w14:val="standardContextual"/>
              </w:rPr>
              <w:tab/>
            </w:r>
            <w:r w:rsidR="00226B18" w:rsidRPr="0050113D">
              <w:rPr>
                <w:rStyle w:val="Hyperlink"/>
                <w:rFonts w:eastAsiaTheme="majorEastAsia"/>
                <w:noProof/>
              </w:rPr>
              <w:t>Data Warehouse Architecture and ETL</w:t>
            </w:r>
            <w:r w:rsidR="00226B18">
              <w:rPr>
                <w:noProof/>
                <w:webHidden/>
              </w:rPr>
              <w:tab/>
            </w:r>
            <w:r w:rsidR="00226B18">
              <w:rPr>
                <w:noProof/>
                <w:webHidden/>
              </w:rPr>
              <w:fldChar w:fldCharType="begin"/>
            </w:r>
            <w:r w:rsidR="00226B18">
              <w:rPr>
                <w:noProof/>
                <w:webHidden/>
              </w:rPr>
              <w:instrText xml:space="preserve"> PAGEREF _Toc229153977 \h </w:instrText>
            </w:r>
            <w:r w:rsidR="00226B18">
              <w:rPr>
                <w:noProof/>
                <w:webHidden/>
              </w:rPr>
            </w:r>
            <w:r w:rsidR="00226B18">
              <w:rPr>
                <w:noProof/>
                <w:webHidden/>
              </w:rPr>
              <w:fldChar w:fldCharType="separate"/>
            </w:r>
            <w:r w:rsidR="00226B18">
              <w:rPr>
                <w:noProof/>
                <w:webHidden/>
              </w:rPr>
              <w:t>3</w:t>
            </w:r>
            <w:r w:rsidR="00226B18">
              <w:rPr>
                <w:noProof/>
                <w:webHidden/>
              </w:rPr>
              <w:fldChar w:fldCharType="end"/>
            </w:r>
          </w:hyperlink>
        </w:p>
        <w:p w14:paraId="790696F7" w14:textId="3317448A"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78" w:history="1">
            <w:r w:rsidR="00226B18" w:rsidRPr="0050113D">
              <w:rPr>
                <w:rStyle w:val="Hyperlink"/>
                <w:rFonts w:eastAsiaTheme="majorEastAsia"/>
                <w:noProof/>
              </w:rPr>
              <w:t>1.3 Data Marts</w:t>
            </w:r>
            <w:r w:rsidR="00226B18">
              <w:rPr>
                <w:noProof/>
                <w:webHidden/>
              </w:rPr>
              <w:tab/>
            </w:r>
            <w:r w:rsidR="00226B18">
              <w:rPr>
                <w:noProof/>
                <w:webHidden/>
              </w:rPr>
              <w:fldChar w:fldCharType="begin"/>
            </w:r>
            <w:r w:rsidR="00226B18">
              <w:rPr>
                <w:noProof/>
                <w:webHidden/>
              </w:rPr>
              <w:instrText xml:space="preserve"> PAGEREF _Toc229153978 \h </w:instrText>
            </w:r>
            <w:r w:rsidR="00226B18">
              <w:rPr>
                <w:noProof/>
                <w:webHidden/>
              </w:rPr>
            </w:r>
            <w:r w:rsidR="00226B18">
              <w:rPr>
                <w:noProof/>
                <w:webHidden/>
              </w:rPr>
              <w:fldChar w:fldCharType="separate"/>
            </w:r>
            <w:r w:rsidR="00226B18">
              <w:rPr>
                <w:noProof/>
                <w:webHidden/>
              </w:rPr>
              <w:t>4</w:t>
            </w:r>
            <w:r w:rsidR="00226B18">
              <w:rPr>
                <w:noProof/>
                <w:webHidden/>
              </w:rPr>
              <w:fldChar w:fldCharType="end"/>
            </w:r>
          </w:hyperlink>
        </w:p>
        <w:p w14:paraId="0CDA6FBB" w14:textId="518B50D7"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79" w:history="1">
            <w:r w:rsidR="00226B18" w:rsidRPr="0050113D">
              <w:rPr>
                <w:rStyle w:val="Hyperlink"/>
                <w:rFonts w:eastAsiaTheme="majorEastAsia"/>
                <w:noProof/>
              </w:rPr>
              <w:t>1.4 Star Schema and Dimensional Modelling</w:t>
            </w:r>
            <w:r w:rsidR="00226B18">
              <w:rPr>
                <w:noProof/>
                <w:webHidden/>
              </w:rPr>
              <w:tab/>
            </w:r>
            <w:r w:rsidR="00226B18">
              <w:rPr>
                <w:noProof/>
                <w:webHidden/>
              </w:rPr>
              <w:fldChar w:fldCharType="begin"/>
            </w:r>
            <w:r w:rsidR="00226B18">
              <w:rPr>
                <w:noProof/>
                <w:webHidden/>
              </w:rPr>
              <w:instrText xml:space="preserve"> PAGEREF _Toc229153979 \h </w:instrText>
            </w:r>
            <w:r w:rsidR="00226B18">
              <w:rPr>
                <w:noProof/>
                <w:webHidden/>
              </w:rPr>
            </w:r>
            <w:r w:rsidR="00226B18">
              <w:rPr>
                <w:noProof/>
                <w:webHidden/>
              </w:rPr>
              <w:fldChar w:fldCharType="separate"/>
            </w:r>
            <w:r w:rsidR="00226B18">
              <w:rPr>
                <w:noProof/>
                <w:webHidden/>
              </w:rPr>
              <w:t>5</w:t>
            </w:r>
            <w:r w:rsidR="00226B18">
              <w:rPr>
                <w:noProof/>
                <w:webHidden/>
              </w:rPr>
              <w:fldChar w:fldCharType="end"/>
            </w:r>
          </w:hyperlink>
        </w:p>
        <w:p w14:paraId="32FCFEEC" w14:textId="28C1F515"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80" w:history="1">
            <w:r w:rsidR="00226B18" w:rsidRPr="0050113D">
              <w:rPr>
                <w:rStyle w:val="Hyperlink"/>
                <w:rFonts w:eastAsiaTheme="majorEastAsia"/>
                <w:noProof/>
              </w:rPr>
              <w:t>2.1 Internal and External source systems</w:t>
            </w:r>
            <w:r w:rsidR="00226B18">
              <w:rPr>
                <w:noProof/>
                <w:webHidden/>
              </w:rPr>
              <w:tab/>
            </w:r>
            <w:r w:rsidR="00226B18">
              <w:rPr>
                <w:noProof/>
                <w:webHidden/>
              </w:rPr>
              <w:fldChar w:fldCharType="begin"/>
            </w:r>
            <w:r w:rsidR="00226B18">
              <w:rPr>
                <w:noProof/>
                <w:webHidden/>
              </w:rPr>
              <w:instrText xml:space="preserve"> PAGEREF _Toc229153980 \h </w:instrText>
            </w:r>
            <w:r w:rsidR="00226B18">
              <w:rPr>
                <w:noProof/>
                <w:webHidden/>
              </w:rPr>
            </w:r>
            <w:r w:rsidR="00226B18">
              <w:rPr>
                <w:noProof/>
                <w:webHidden/>
              </w:rPr>
              <w:fldChar w:fldCharType="separate"/>
            </w:r>
            <w:r w:rsidR="00226B18">
              <w:rPr>
                <w:noProof/>
                <w:webHidden/>
              </w:rPr>
              <w:t>6</w:t>
            </w:r>
            <w:r w:rsidR="00226B18">
              <w:rPr>
                <w:noProof/>
                <w:webHidden/>
              </w:rPr>
              <w:fldChar w:fldCharType="end"/>
            </w:r>
          </w:hyperlink>
        </w:p>
        <w:p w14:paraId="2ECC8119" w14:textId="533081FA"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81" w:history="1">
            <w:r w:rsidR="00226B18" w:rsidRPr="0050113D">
              <w:rPr>
                <w:rStyle w:val="Hyperlink"/>
                <w:rFonts w:eastAsiaTheme="majorEastAsia"/>
                <w:noProof/>
              </w:rPr>
              <w:t>2.2 Star Schema Design</w:t>
            </w:r>
            <w:r w:rsidR="00226B18">
              <w:rPr>
                <w:noProof/>
                <w:webHidden/>
              </w:rPr>
              <w:tab/>
            </w:r>
            <w:r w:rsidR="00226B18">
              <w:rPr>
                <w:noProof/>
                <w:webHidden/>
              </w:rPr>
              <w:fldChar w:fldCharType="begin"/>
            </w:r>
            <w:r w:rsidR="00226B18">
              <w:rPr>
                <w:noProof/>
                <w:webHidden/>
              </w:rPr>
              <w:instrText xml:space="preserve"> PAGEREF _Toc229153981 \h </w:instrText>
            </w:r>
            <w:r w:rsidR="00226B18">
              <w:rPr>
                <w:noProof/>
                <w:webHidden/>
              </w:rPr>
            </w:r>
            <w:r w:rsidR="00226B18">
              <w:rPr>
                <w:noProof/>
                <w:webHidden/>
              </w:rPr>
              <w:fldChar w:fldCharType="separate"/>
            </w:r>
            <w:r w:rsidR="00226B18">
              <w:rPr>
                <w:noProof/>
                <w:webHidden/>
              </w:rPr>
              <w:t>6</w:t>
            </w:r>
            <w:r w:rsidR="00226B18">
              <w:rPr>
                <w:noProof/>
                <w:webHidden/>
              </w:rPr>
              <w:fldChar w:fldCharType="end"/>
            </w:r>
          </w:hyperlink>
        </w:p>
        <w:p w14:paraId="76815BFE" w14:textId="1D0C98F8"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82" w:history="1">
            <w:r w:rsidR="00226B18" w:rsidRPr="0050113D">
              <w:rPr>
                <w:rStyle w:val="Hyperlink"/>
                <w:rFonts w:eastAsiaTheme="majorEastAsia"/>
                <w:noProof/>
              </w:rPr>
              <w:t>2.3 Data Marts and Their Schemas</w:t>
            </w:r>
            <w:r w:rsidR="00226B18">
              <w:rPr>
                <w:noProof/>
                <w:webHidden/>
              </w:rPr>
              <w:tab/>
            </w:r>
            <w:r w:rsidR="00226B18">
              <w:rPr>
                <w:noProof/>
                <w:webHidden/>
              </w:rPr>
              <w:fldChar w:fldCharType="begin"/>
            </w:r>
            <w:r w:rsidR="00226B18">
              <w:rPr>
                <w:noProof/>
                <w:webHidden/>
              </w:rPr>
              <w:instrText xml:space="preserve"> PAGEREF _Toc229153982 \h </w:instrText>
            </w:r>
            <w:r w:rsidR="00226B18">
              <w:rPr>
                <w:noProof/>
                <w:webHidden/>
              </w:rPr>
            </w:r>
            <w:r w:rsidR="00226B18">
              <w:rPr>
                <w:noProof/>
                <w:webHidden/>
              </w:rPr>
              <w:fldChar w:fldCharType="separate"/>
            </w:r>
            <w:r w:rsidR="00226B18">
              <w:rPr>
                <w:noProof/>
                <w:webHidden/>
              </w:rPr>
              <w:t>8</w:t>
            </w:r>
            <w:r w:rsidR="00226B18">
              <w:rPr>
                <w:noProof/>
                <w:webHidden/>
              </w:rPr>
              <w:fldChar w:fldCharType="end"/>
            </w:r>
          </w:hyperlink>
        </w:p>
        <w:p w14:paraId="5BB31D27" w14:textId="753CDC81"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83" w:history="1">
            <w:r w:rsidR="00226B18" w:rsidRPr="0050113D">
              <w:rPr>
                <w:rStyle w:val="Hyperlink"/>
                <w:rFonts w:eastAsiaTheme="majorEastAsia"/>
                <w:noProof/>
              </w:rPr>
              <w:t>2.4 Simplified ETL Plan</w:t>
            </w:r>
            <w:r w:rsidR="00226B18">
              <w:rPr>
                <w:noProof/>
                <w:webHidden/>
              </w:rPr>
              <w:tab/>
            </w:r>
            <w:r w:rsidR="00226B18">
              <w:rPr>
                <w:noProof/>
                <w:webHidden/>
              </w:rPr>
              <w:fldChar w:fldCharType="begin"/>
            </w:r>
            <w:r w:rsidR="00226B18">
              <w:rPr>
                <w:noProof/>
                <w:webHidden/>
              </w:rPr>
              <w:instrText xml:space="preserve"> PAGEREF _Toc229153983 \h </w:instrText>
            </w:r>
            <w:r w:rsidR="00226B18">
              <w:rPr>
                <w:noProof/>
                <w:webHidden/>
              </w:rPr>
            </w:r>
            <w:r w:rsidR="00226B18">
              <w:rPr>
                <w:noProof/>
                <w:webHidden/>
              </w:rPr>
              <w:fldChar w:fldCharType="separate"/>
            </w:r>
            <w:r w:rsidR="00226B18">
              <w:rPr>
                <w:noProof/>
                <w:webHidden/>
              </w:rPr>
              <w:t>9</w:t>
            </w:r>
            <w:r w:rsidR="00226B18">
              <w:rPr>
                <w:noProof/>
                <w:webHidden/>
              </w:rPr>
              <w:fldChar w:fldCharType="end"/>
            </w:r>
          </w:hyperlink>
        </w:p>
        <w:p w14:paraId="01724101" w14:textId="0593C0F9"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84" w:history="1">
            <w:r w:rsidR="00226B18" w:rsidRPr="0050113D">
              <w:rPr>
                <w:rStyle w:val="Hyperlink"/>
                <w:rFonts w:eastAsiaTheme="majorEastAsia"/>
                <w:noProof/>
              </w:rPr>
              <w:t>2.5 Data Quality and Information Governance</w:t>
            </w:r>
            <w:r w:rsidR="00226B18">
              <w:rPr>
                <w:noProof/>
                <w:webHidden/>
              </w:rPr>
              <w:tab/>
            </w:r>
            <w:r w:rsidR="00226B18">
              <w:rPr>
                <w:noProof/>
                <w:webHidden/>
              </w:rPr>
              <w:fldChar w:fldCharType="begin"/>
            </w:r>
            <w:r w:rsidR="00226B18">
              <w:rPr>
                <w:noProof/>
                <w:webHidden/>
              </w:rPr>
              <w:instrText xml:space="preserve"> PAGEREF _Toc229153984 \h </w:instrText>
            </w:r>
            <w:r w:rsidR="00226B18">
              <w:rPr>
                <w:noProof/>
                <w:webHidden/>
              </w:rPr>
            </w:r>
            <w:r w:rsidR="00226B18">
              <w:rPr>
                <w:noProof/>
                <w:webHidden/>
              </w:rPr>
              <w:fldChar w:fldCharType="separate"/>
            </w:r>
            <w:r w:rsidR="00226B18">
              <w:rPr>
                <w:noProof/>
                <w:webHidden/>
              </w:rPr>
              <w:t>10</w:t>
            </w:r>
            <w:r w:rsidR="00226B18">
              <w:rPr>
                <w:noProof/>
                <w:webHidden/>
              </w:rPr>
              <w:fldChar w:fldCharType="end"/>
            </w:r>
          </w:hyperlink>
        </w:p>
        <w:p w14:paraId="1734830E" w14:textId="50716DDC" w:rsidR="00226B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229153985" w:history="1">
            <w:r w:rsidR="00226B18" w:rsidRPr="0050113D">
              <w:rPr>
                <w:rStyle w:val="Hyperlink"/>
                <w:rFonts w:eastAsiaTheme="majorEastAsia"/>
                <w:noProof/>
              </w:rPr>
              <w:t>Bibliography</w:t>
            </w:r>
            <w:r w:rsidR="00226B18">
              <w:rPr>
                <w:noProof/>
                <w:webHidden/>
              </w:rPr>
              <w:tab/>
            </w:r>
            <w:r w:rsidR="00226B18">
              <w:rPr>
                <w:noProof/>
                <w:webHidden/>
              </w:rPr>
              <w:fldChar w:fldCharType="begin"/>
            </w:r>
            <w:r w:rsidR="00226B18">
              <w:rPr>
                <w:noProof/>
                <w:webHidden/>
              </w:rPr>
              <w:instrText xml:space="preserve"> PAGEREF _Toc229153985 \h </w:instrText>
            </w:r>
            <w:r w:rsidR="00226B18">
              <w:rPr>
                <w:noProof/>
                <w:webHidden/>
              </w:rPr>
            </w:r>
            <w:r w:rsidR="00226B18">
              <w:rPr>
                <w:noProof/>
                <w:webHidden/>
              </w:rPr>
              <w:fldChar w:fldCharType="separate"/>
            </w:r>
            <w:r w:rsidR="00226B18">
              <w:rPr>
                <w:noProof/>
                <w:webHidden/>
              </w:rPr>
              <w:t>11</w:t>
            </w:r>
            <w:r w:rsidR="00226B18">
              <w:rPr>
                <w:noProof/>
                <w:webHidden/>
              </w:rPr>
              <w:fldChar w:fldCharType="end"/>
            </w:r>
          </w:hyperlink>
        </w:p>
        <w:p w14:paraId="0091016E" w14:textId="549472B3" w:rsidR="00226B18" w:rsidRDefault="00226B18">
          <w:r>
            <w:rPr>
              <w:b/>
              <w:bCs/>
              <w:noProof/>
            </w:rPr>
            <w:fldChar w:fldCharType="end"/>
          </w:r>
        </w:p>
      </w:sdtContent>
    </w:sdt>
    <w:p w14:paraId="4F138A1B" w14:textId="77777777" w:rsidR="00405D13" w:rsidRDefault="00405D13"/>
    <w:p w14:paraId="6EE038F8" w14:textId="77777777" w:rsidR="00FA0AA7" w:rsidRDefault="00FA0AA7"/>
    <w:p w14:paraId="49CCBF01" w14:textId="77777777" w:rsidR="00FA0AA7" w:rsidRDefault="00FA0AA7"/>
    <w:p w14:paraId="766D8C43" w14:textId="77777777" w:rsidR="00FA0AA7" w:rsidRDefault="00FA0AA7"/>
    <w:p w14:paraId="2B83F4E4" w14:textId="77777777" w:rsidR="00FA0AA7" w:rsidRDefault="00FA0AA7"/>
    <w:p w14:paraId="12C61105" w14:textId="77777777" w:rsidR="00FA0AA7" w:rsidRDefault="00FA0AA7"/>
    <w:p w14:paraId="144B66BB" w14:textId="77777777" w:rsidR="00FA0AA7" w:rsidRDefault="00FA0AA7"/>
    <w:p w14:paraId="375A9EC4" w14:textId="77777777" w:rsidR="00FA0AA7" w:rsidRDefault="00FA0AA7"/>
    <w:p w14:paraId="7C3FBF52" w14:textId="77777777" w:rsidR="00FA0AA7" w:rsidRDefault="00FA0AA7"/>
    <w:p w14:paraId="5273A797" w14:textId="77777777" w:rsidR="00FA0AA7" w:rsidRDefault="00FA0AA7"/>
    <w:p w14:paraId="73EF4772" w14:textId="77777777" w:rsidR="00FA0AA7" w:rsidRDefault="00FA0AA7"/>
    <w:p w14:paraId="103B2473" w14:textId="77777777" w:rsidR="00FA0AA7" w:rsidRDefault="00FA0AA7"/>
    <w:p w14:paraId="2AA48417" w14:textId="77777777" w:rsidR="00FA0AA7" w:rsidRDefault="00FA0AA7"/>
    <w:p w14:paraId="43166751" w14:textId="77777777" w:rsidR="00FA0AA7" w:rsidRDefault="00FA0AA7"/>
    <w:p w14:paraId="38C52597" w14:textId="77777777" w:rsidR="00FA0AA7" w:rsidRDefault="00FA0AA7"/>
    <w:p w14:paraId="7555FC6D" w14:textId="77777777" w:rsidR="00FA0AA7" w:rsidRDefault="00FA0AA7"/>
    <w:p w14:paraId="705EF770" w14:textId="77777777" w:rsidR="00FA0AA7" w:rsidRDefault="00FA0AA7"/>
    <w:p w14:paraId="00FD4F2F" w14:textId="77777777" w:rsidR="00FA0AA7" w:rsidRDefault="00FA0AA7"/>
    <w:p w14:paraId="17F1FFD8" w14:textId="77777777" w:rsidR="00FA0AA7" w:rsidRDefault="00FA0AA7"/>
    <w:p w14:paraId="6153756B" w14:textId="77777777" w:rsidR="00FA0AA7" w:rsidRDefault="00FA0AA7"/>
    <w:p w14:paraId="12EE99B6" w14:textId="77777777" w:rsidR="00FA0AA7" w:rsidRDefault="00FA0AA7"/>
    <w:p w14:paraId="15AA6F35" w14:textId="77777777" w:rsidR="00FA0AA7" w:rsidRDefault="00FA0AA7"/>
    <w:p w14:paraId="2D9E8640" w14:textId="77777777" w:rsidR="00FA0AA7" w:rsidRDefault="00FA0AA7"/>
    <w:p w14:paraId="16749FCE" w14:textId="77777777" w:rsidR="00FA0AA7" w:rsidRDefault="00FA0AA7"/>
    <w:p w14:paraId="4E644609" w14:textId="77777777" w:rsidR="00FA0AA7" w:rsidRDefault="00FA0AA7"/>
    <w:p w14:paraId="58CFE55E" w14:textId="77777777" w:rsidR="00FA0AA7" w:rsidRDefault="00FA0AA7"/>
    <w:p w14:paraId="0A1129ED" w14:textId="77777777" w:rsidR="00FA0AA7" w:rsidRDefault="00FA0AA7"/>
    <w:p w14:paraId="4C0DD667" w14:textId="77777777" w:rsidR="00FA0AA7" w:rsidRDefault="00FA0AA7"/>
    <w:p w14:paraId="4141A74D" w14:textId="77777777" w:rsidR="00FA0AA7" w:rsidRDefault="00FA0AA7"/>
    <w:p w14:paraId="5F2F57A1" w14:textId="77777777" w:rsidR="00FA0AA7" w:rsidRDefault="00FA0AA7"/>
    <w:p w14:paraId="10B95EC6" w14:textId="77777777" w:rsidR="00FA0AA7" w:rsidRDefault="00FA0AA7"/>
    <w:p w14:paraId="602188BF" w14:textId="77777777" w:rsidR="00FA0AA7" w:rsidRDefault="00FA0AA7"/>
    <w:p w14:paraId="3E0D74C4" w14:textId="77777777" w:rsidR="00FA0AA7" w:rsidRDefault="00FA0AA7"/>
    <w:p w14:paraId="69B1C0F4" w14:textId="2007F0D7" w:rsidR="00FA0AA7" w:rsidRDefault="00FA0AA7" w:rsidP="00FA0AA7">
      <w:pPr>
        <w:pStyle w:val="Heading2"/>
        <w:numPr>
          <w:ilvl w:val="1"/>
          <w:numId w:val="8"/>
        </w:numPr>
      </w:pPr>
      <w:bookmarkStart w:id="0" w:name="_Toc229153976"/>
      <w:r>
        <w:lastRenderedPageBreak/>
        <w:t>OLTP vs Data Warehousing</w:t>
      </w:r>
      <w:bookmarkEnd w:id="0"/>
    </w:p>
    <w:p w14:paraId="39E13C5C" w14:textId="77777777" w:rsidR="00FA0AA7" w:rsidRDefault="00FA0AA7" w:rsidP="00FA0AA7"/>
    <w:p w14:paraId="654E43B4" w14:textId="0634CC18" w:rsidR="00FA0AA7" w:rsidRDefault="00FA0AA7" w:rsidP="00FA0AA7">
      <w:pPr>
        <w:rPr>
          <w:rFonts w:asciiTheme="minorHAnsi" w:hAnsiTheme="minorHAnsi" w:cstheme="minorHAnsi"/>
        </w:rPr>
      </w:pPr>
      <w:proofErr w:type="spellStart"/>
      <w:r>
        <w:rPr>
          <w:rFonts w:asciiTheme="minorHAnsi" w:hAnsiTheme="minorHAnsi" w:cstheme="minorHAnsi"/>
        </w:rPr>
        <w:t>Rags’n’Riches</w:t>
      </w:r>
      <w:proofErr w:type="spellEnd"/>
      <w:r>
        <w:rPr>
          <w:rFonts w:asciiTheme="minorHAnsi" w:hAnsiTheme="minorHAnsi" w:cstheme="minorHAnsi"/>
        </w:rPr>
        <w:t xml:space="preserve"> currently relies on an Online Transaction Processing (OLTP) system to manage its daily operations. These systems are engineered for speed and accuracy across high volumes of small, discrete transactions such as recording orders, tracking stock movements across the six warehouses, and processing client invoices [1]</w:t>
      </w:r>
    </w:p>
    <w:p w14:paraId="69FD6066" w14:textId="77777777" w:rsidR="00FA0AA7" w:rsidRDefault="00FA0AA7" w:rsidP="00FA0AA7">
      <w:pPr>
        <w:rPr>
          <w:rFonts w:asciiTheme="minorHAnsi" w:hAnsiTheme="minorHAnsi" w:cstheme="minorHAnsi"/>
        </w:rPr>
      </w:pPr>
    </w:p>
    <w:p w14:paraId="0B0E5847" w14:textId="320137DF" w:rsidR="00FA0AA7" w:rsidRDefault="00FA0AA7" w:rsidP="00FA0AA7">
      <w:pPr>
        <w:rPr>
          <w:rFonts w:asciiTheme="minorHAnsi" w:hAnsiTheme="minorHAnsi" w:cstheme="minorHAnsi"/>
        </w:rPr>
      </w:pPr>
      <w:r>
        <w:rPr>
          <w:rFonts w:asciiTheme="minorHAnsi" w:hAnsiTheme="minorHAnsi" w:cstheme="minorHAnsi"/>
        </w:rPr>
        <w:t xml:space="preserve">The very design that makes OLTP systems effective at </w:t>
      </w:r>
      <w:proofErr w:type="gramStart"/>
      <w:r>
        <w:rPr>
          <w:rFonts w:asciiTheme="minorHAnsi" w:hAnsiTheme="minorHAnsi" w:cstheme="minorHAnsi"/>
        </w:rPr>
        <w:t>this</w:t>
      </w:r>
      <w:proofErr w:type="gramEnd"/>
      <w:r>
        <w:rPr>
          <w:rFonts w:asciiTheme="minorHAnsi" w:hAnsiTheme="minorHAnsi" w:cstheme="minorHAnsi"/>
        </w:rPr>
        <w:t xml:space="preserve"> however, makes them ill-suited for </w:t>
      </w:r>
      <w:r w:rsidR="005F1BDB">
        <w:rPr>
          <w:rFonts w:asciiTheme="minorHAnsi" w:hAnsiTheme="minorHAnsi" w:cstheme="minorHAnsi"/>
        </w:rPr>
        <w:t xml:space="preserve">strategic analysis. The data is highly normalised, meaning that it is spread across many related tables to reduce redundancy. This is ideal for recording </w:t>
      </w:r>
      <w:proofErr w:type="gramStart"/>
      <w:r w:rsidR="005F1BDB">
        <w:rPr>
          <w:rFonts w:asciiTheme="minorHAnsi" w:hAnsiTheme="minorHAnsi" w:cstheme="minorHAnsi"/>
        </w:rPr>
        <w:t>a new rental tables</w:t>
      </w:r>
      <w:proofErr w:type="gramEnd"/>
      <w:r w:rsidR="005F1BDB">
        <w:rPr>
          <w:rFonts w:asciiTheme="minorHAnsi" w:hAnsiTheme="minorHAnsi" w:cstheme="minorHAnsi"/>
        </w:rPr>
        <w:t xml:space="preserve"> order quickly, but it becomes a significant limitation when a director wants to interrogate months of historical data across multiple dimensions simultaneously. Running those kinds of queries against a live operational database is not only slow but risks degrading performance for the staff who depend on it daily.</w:t>
      </w:r>
    </w:p>
    <w:p w14:paraId="089B1747" w14:textId="77777777" w:rsidR="005F1BDB" w:rsidRDefault="005F1BDB" w:rsidP="00FA0AA7">
      <w:pPr>
        <w:rPr>
          <w:rFonts w:asciiTheme="minorHAnsi" w:hAnsiTheme="minorHAnsi" w:cstheme="minorHAnsi"/>
        </w:rPr>
      </w:pPr>
    </w:p>
    <w:p w14:paraId="56B9F607" w14:textId="404C3FBC" w:rsidR="005F1BDB" w:rsidRDefault="005F1BDB" w:rsidP="00FA0AA7">
      <w:pPr>
        <w:rPr>
          <w:rFonts w:asciiTheme="minorHAnsi" w:hAnsiTheme="minorHAnsi" w:cstheme="minorHAnsi"/>
        </w:rPr>
      </w:pPr>
      <w:r>
        <w:rPr>
          <w:rFonts w:asciiTheme="minorHAnsi" w:hAnsiTheme="minorHAnsi" w:cstheme="minorHAnsi"/>
        </w:rPr>
        <w:t>A data warehouse addresses this fundamentally differently. Rather than optimising for write speed, it consolidates and organises historical data from across the business into a structure built entirely for reading and analysis</w:t>
      </w:r>
      <w:r w:rsidR="009E18A1">
        <w:rPr>
          <w:rFonts w:asciiTheme="minorHAnsi" w:hAnsiTheme="minorHAnsi" w:cstheme="minorHAnsi"/>
        </w:rPr>
        <w:t xml:space="preserve"> as data warehouses are “primarily concerned with decision analysis”</w:t>
      </w:r>
      <w:r>
        <w:rPr>
          <w:rFonts w:asciiTheme="minorHAnsi" w:hAnsiTheme="minorHAnsi" w:cstheme="minorHAnsi"/>
        </w:rPr>
        <w:t xml:space="preserve"> [2]</w:t>
      </w:r>
    </w:p>
    <w:p w14:paraId="4E4A309B" w14:textId="77777777" w:rsidR="005F1BDB" w:rsidRDefault="005F1BDB" w:rsidP="00FA0AA7">
      <w:pPr>
        <w:rPr>
          <w:rFonts w:asciiTheme="minorHAnsi" w:hAnsiTheme="minorHAnsi" w:cstheme="minorHAnsi"/>
        </w:rPr>
      </w:pPr>
    </w:p>
    <w:p w14:paraId="62031E63" w14:textId="111FC114" w:rsidR="005F1BDB" w:rsidRDefault="005F1BDB" w:rsidP="00FA0AA7">
      <w:pPr>
        <w:rPr>
          <w:rFonts w:asciiTheme="minorHAnsi" w:hAnsiTheme="minorHAnsi" w:cstheme="minorHAnsi"/>
        </w:rPr>
      </w:pPr>
      <w:r>
        <w:rPr>
          <w:rFonts w:asciiTheme="minorHAnsi" w:hAnsiTheme="minorHAnsi" w:cstheme="minorHAnsi"/>
        </w:rPr>
        <w:t xml:space="preserve">For </w:t>
      </w:r>
      <w:proofErr w:type="spellStart"/>
      <w:r>
        <w:rPr>
          <w:rFonts w:asciiTheme="minorHAnsi" w:hAnsiTheme="minorHAnsi" w:cstheme="minorHAnsi"/>
        </w:rPr>
        <w:t>Rags’n’Riches</w:t>
      </w:r>
      <w:proofErr w:type="spellEnd"/>
      <w:r>
        <w:rPr>
          <w:rFonts w:asciiTheme="minorHAnsi" w:hAnsiTheme="minorHAnsi" w:cstheme="minorHAnsi"/>
        </w:rPr>
        <w:t>, this distinction matters practically. The finance director needs to analyse which rental schemes are most profit</w:t>
      </w:r>
      <w:r w:rsidR="00226B18">
        <w:rPr>
          <w:rFonts w:asciiTheme="minorHAnsi" w:hAnsiTheme="minorHAnsi" w:cstheme="minorHAnsi"/>
        </w:rPr>
        <w:t>able</w:t>
      </w:r>
      <w:r>
        <w:rPr>
          <w:rFonts w:asciiTheme="minorHAnsi" w:hAnsiTheme="minorHAnsi" w:cstheme="minorHAnsi"/>
        </w:rPr>
        <w:t xml:space="preserve"> over time. The sales </w:t>
      </w:r>
      <w:r w:rsidR="00932BAD">
        <w:rPr>
          <w:rFonts w:asciiTheme="minorHAnsi" w:hAnsiTheme="minorHAnsi" w:cstheme="minorHAnsi"/>
        </w:rPr>
        <w:t>t</w:t>
      </w:r>
      <w:r>
        <w:rPr>
          <w:rFonts w:asciiTheme="minorHAnsi" w:hAnsiTheme="minorHAnsi" w:cstheme="minorHAnsi"/>
        </w:rPr>
        <w:t xml:space="preserve">eam needs to understand which clients generate </w:t>
      </w:r>
      <w:r w:rsidR="00932BAD">
        <w:rPr>
          <w:rFonts w:asciiTheme="minorHAnsi" w:hAnsiTheme="minorHAnsi" w:cstheme="minorHAnsi"/>
        </w:rPr>
        <w:t>repeat business. Neither of these questions can be answered without compromising its performance. A data warehouse enables the board the strategic visibility need</w:t>
      </w:r>
      <w:r w:rsidR="00226B18">
        <w:rPr>
          <w:rFonts w:asciiTheme="minorHAnsi" w:hAnsiTheme="minorHAnsi" w:cstheme="minorHAnsi"/>
        </w:rPr>
        <w:t>ed</w:t>
      </w:r>
      <w:r w:rsidR="00932BAD">
        <w:rPr>
          <w:rFonts w:asciiTheme="minorHAnsi" w:hAnsiTheme="minorHAnsi" w:cstheme="minorHAnsi"/>
        </w:rPr>
        <w:t xml:space="preserve"> to grow confidently.</w:t>
      </w:r>
    </w:p>
    <w:p w14:paraId="0B4DC050" w14:textId="77777777" w:rsidR="00932BAD" w:rsidRDefault="00932BAD" w:rsidP="00FA0AA7">
      <w:pPr>
        <w:rPr>
          <w:rFonts w:asciiTheme="minorHAnsi" w:hAnsiTheme="minorHAnsi" w:cstheme="minorHAnsi"/>
        </w:rPr>
      </w:pPr>
    </w:p>
    <w:p w14:paraId="27638902" w14:textId="5D08B3E6" w:rsidR="00932BAD" w:rsidRDefault="00932BAD" w:rsidP="00932BAD">
      <w:pPr>
        <w:pStyle w:val="Heading2"/>
        <w:numPr>
          <w:ilvl w:val="1"/>
          <w:numId w:val="8"/>
        </w:numPr>
      </w:pPr>
      <w:bookmarkStart w:id="1" w:name="_Toc229153977"/>
      <w:r>
        <w:t>Data Warehouse Architecture and ETL</w:t>
      </w:r>
      <w:bookmarkEnd w:id="1"/>
    </w:p>
    <w:p w14:paraId="531B6544" w14:textId="77777777" w:rsidR="00932BAD" w:rsidRDefault="00932BAD" w:rsidP="00932BAD"/>
    <w:p w14:paraId="034ED792" w14:textId="340AA59D" w:rsidR="00932BAD" w:rsidRDefault="00932BAD" w:rsidP="00932BAD">
      <w:pPr>
        <w:rPr>
          <w:rFonts w:asciiTheme="minorHAnsi" w:hAnsiTheme="minorHAnsi" w:cstheme="minorHAnsi"/>
        </w:rPr>
      </w:pPr>
      <w:r>
        <w:rPr>
          <w:rFonts w:asciiTheme="minorHAnsi" w:hAnsiTheme="minorHAnsi" w:cstheme="minorHAnsi"/>
        </w:rPr>
        <w:t>A data warehouse does not exist in isolation. It sits at the centre of a broader architecture that connects the company’s existing operational systems to a single, unified analytical environment. At a high level, this architecture consists of three layers. The source systems, the ETL process, and the warehouse itself [3]</w:t>
      </w:r>
    </w:p>
    <w:p w14:paraId="2C76823A" w14:textId="77777777" w:rsidR="00932BAD" w:rsidRDefault="00932BAD" w:rsidP="00932BAD">
      <w:pPr>
        <w:rPr>
          <w:rFonts w:asciiTheme="minorHAnsi" w:hAnsiTheme="minorHAnsi" w:cstheme="minorHAnsi"/>
        </w:rPr>
      </w:pPr>
    </w:p>
    <w:p w14:paraId="079C464E" w14:textId="5884E2BC" w:rsidR="00932BAD" w:rsidRDefault="00932BAD" w:rsidP="00932BAD">
      <w:pPr>
        <w:rPr>
          <w:rFonts w:asciiTheme="minorHAnsi" w:hAnsiTheme="minorHAnsi" w:cstheme="minorHAnsi"/>
        </w:rPr>
      </w:pPr>
      <w:r>
        <w:rPr>
          <w:rFonts w:asciiTheme="minorHAnsi" w:hAnsiTheme="minorHAnsi" w:cstheme="minorHAnsi"/>
        </w:rPr>
        <w:t xml:space="preserve">For </w:t>
      </w:r>
      <w:proofErr w:type="spellStart"/>
      <w:r>
        <w:rPr>
          <w:rFonts w:asciiTheme="minorHAnsi" w:hAnsiTheme="minorHAnsi" w:cstheme="minorHAnsi"/>
        </w:rPr>
        <w:t>Rags’n’Riches</w:t>
      </w:r>
      <w:proofErr w:type="spellEnd"/>
      <w:r>
        <w:rPr>
          <w:rFonts w:asciiTheme="minorHAnsi" w:hAnsiTheme="minorHAnsi" w:cstheme="minorHAnsi"/>
        </w:rPr>
        <w:t xml:space="preserve"> the source systems are various operational databases already in use across the business. These include the orders database, the transport and stock movement system, the delivery and returns database, the inventory and damage records, and the finance system. Each of these captures a different part of the business, but none of them communicate with each other in a way that allow </w:t>
      </w:r>
      <w:r w:rsidR="004A4BC4">
        <w:rPr>
          <w:rFonts w:asciiTheme="minorHAnsi" w:hAnsiTheme="minorHAnsi" w:cstheme="minorHAnsi"/>
        </w:rPr>
        <w:t xml:space="preserve">for meaningful cross-functional analysis. External data sources such as fuel card transaction records mileage tracking also feed into this layer, providing additional operational context that would otherwise be lost. This is where ETL comes in. ETL stands for Extract, Transform and Load. It is the process by which data is pulled from each source system, </w:t>
      </w:r>
      <w:proofErr w:type="gramStart"/>
      <w:r w:rsidR="004A4BC4">
        <w:rPr>
          <w:rFonts w:asciiTheme="minorHAnsi" w:hAnsiTheme="minorHAnsi" w:cstheme="minorHAnsi"/>
        </w:rPr>
        <w:t>cleaned</w:t>
      </w:r>
      <w:proofErr w:type="gramEnd"/>
      <w:r w:rsidR="004A4BC4">
        <w:rPr>
          <w:rFonts w:asciiTheme="minorHAnsi" w:hAnsiTheme="minorHAnsi" w:cstheme="minorHAnsi"/>
        </w:rPr>
        <w:t xml:space="preserve"> and restructured into a consistent format, and then loaded into the data warehouse [4]</w:t>
      </w:r>
    </w:p>
    <w:p w14:paraId="49D30777" w14:textId="77777777" w:rsidR="004A4BC4" w:rsidRDefault="004A4BC4" w:rsidP="00932BAD">
      <w:pPr>
        <w:rPr>
          <w:rFonts w:asciiTheme="minorHAnsi" w:hAnsiTheme="minorHAnsi" w:cstheme="minorHAnsi"/>
        </w:rPr>
      </w:pPr>
    </w:p>
    <w:p w14:paraId="7C9DB224" w14:textId="322CDE32" w:rsidR="004A4BC4" w:rsidRDefault="004A4BC4" w:rsidP="00932BAD">
      <w:pPr>
        <w:rPr>
          <w:rFonts w:asciiTheme="minorHAnsi" w:hAnsiTheme="minorHAnsi" w:cstheme="minorHAnsi"/>
        </w:rPr>
      </w:pPr>
      <w:r>
        <w:rPr>
          <w:rFonts w:asciiTheme="minorHAnsi" w:hAnsiTheme="minorHAnsi" w:cstheme="minorHAnsi"/>
        </w:rPr>
        <w:t xml:space="preserve">It is important to reassure the board that this process runs entirely in the background, typically overnight or at scheduled intervals, and has no impact on </w:t>
      </w:r>
      <w:proofErr w:type="gramStart"/>
      <w:r>
        <w:rPr>
          <w:rFonts w:asciiTheme="minorHAnsi" w:hAnsiTheme="minorHAnsi" w:cstheme="minorHAnsi"/>
        </w:rPr>
        <w:t>day to day</w:t>
      </w:r>
      <w:proofErr w:type="gramEnd"/>
      <w:r>
        <w:rPr>
          <w:rFonts w:asciiTheme="minorHAnsi" w:hAnsiTheme="minorHAnsi" w:cstheme="minorHAnsi"/>
        </w:rPr>
        <w:t xml:space="preserve"> operations. Staff processing orders in Abergavenny or logging a damage report in Durham will notice no </w:t>
      </w:r>
      <w:r>
        <w:rPr>
          <w:rFonts w:asciiTheme="minorHAnsi" w:hAnsiTheme="minorHAnsi" w:cstheme="minorHAnsi"/>
        </w:rPr>
        <w:lastRenderedPageBreak/>
        <w:t xml:space="preserve">difference. The warehouse </w:t>
      </w:r>
      <w:r w:rsidR="00022F43">
        <w:rPr>
          <w:rFonts w:asciiTheme="minorHAnsi" w:hAnsiTheme="minorHAnsi" w:cstheme="minorHAnsi"/>
        </w:rPr>
        <w:t>receives a steady, scheduled flow of refreshed data without ever interrupting the systems that staff rely on.</w:t>
      </w:r>
    </w:p>
    <w:p w14:paraId="1DE63AEF" w14:textId="77777777" w:rsidR="00022F43" w:rsidRDefault="00022F43" w:rsidP="00932BAD">
      <w:pPr>
        <w:rPr>
          <w:rFonts w:asciiTheme="minorHAnsi" w:hAnsiTheme="minorHAnsi" w:cstheme="minorHAnsi"/>
        </w:rPr>
      </w:pPr>
    </w:p>
    <w:p w14:paraId="6A417E7C" w14:textId="04D5CD2C" w:rsidR="00022F43" w:rsidRDefault="00022F43" w:rsidP="00932BAD">
      <w:pPr>
        <w:rPr>
          <w:rFonts w:asciiTheme="minorHAnsi" w:hAnsiTheme="minorHAnsi" w:cstheme="minorHAnsi"/>
        </w:rPr>
      </w:pPr>
      <w:r>
        <w:rPr>
          <w:rFonts w:asciiTheme="minorHAnsi" w:hAnsiTheme="minorHAnsi" w:cstheme="minorHAnsi"/>
        </w:rPr>
        <w:t>The transformation stage deserves particular attention. Data arriving from different source systems will often be inconsistent. A client recorded as “BBC studios” in the orders system might appear as “BBC” in the invoicing system. The ETL resolves these inconsistencies before the data reaches the warehouse, ensuring that every report and analysis the board relies on is built on clean, trustworthy data rather than a fragmented collection of operational records.</w:t>
      </w:r>
    </w:p>
    <w:p w14:paraId="1CBA1D9E" w14:textId="77777777" w:rsidR="00022F43" w:rsidRDefault="00022F43" w:rsidP="00932BAD">
      <w:pPr>
        <w:rPr>
          <w:rFonts w:asciiTheme="minorHAnsi" w:hAnsiTheme="minorHAnsi" w:cstheme="minorHAnsi"/>
        </w:rPr>
      </w:pPr>
    </w:p>
    <w:p w14:paraId="22CE4DC8" w14:textId="05ED637C" w:rsidR="00073AD0" w:rsidRDefault="00073AD0" w:rsidP="00073AD0">
      <w:pPr>
        <w:jc w:val="center"/>
        <w:rPr>
          <w:rFonts w:asciiTheme="minorHAnsi" w:hAnsiTheme="minorHAnsi" w:cstheme="minorHAnsi"/>
        </w:rPr>
      </w:pPr>
      <w:r>
        <w:rPr>
          <w:noProof/>
        </w:rPr>
        <w:drawing>
          <wp:inline distT="0" distB="0" distL="0" distR="0" wp14:anchorId="7F0E413E" wp14:editId="60E9E660">
            <wp:extent cx="5152453" cy="3387969"/>
            <wp:effectExtent l="0" t="0" r="3810" b="3175"/>
            <wp:docPr id="359532083" name="Picture 1" descr="A diagram of data sto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32083" name="Picture 1" descr="A diagram of data storag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92917" cy="3414576"/>
                    </a:xfrm>
                    <a:prstGeom prst="rect">
                      <a:avLst/>
                    </a:prstGeom>
                  </pic:spPr>
                </pic:pic>
              </a:graphicData>
            </a:graphic>
          </wp:inline>
        </w:drawing>
      </w:r>
    </w:p>
    <w:p w14:paraId="667A892D" w14:textId="77777777" w:rsidR="00073AD0" w:rsidRDefault="00073AD0" w:rsidP="00932BAD">
      <w:pPr>
        <w:rPr>
          <w:rFonts w:asciiTheme="minorHAnsi" w:hAnsiTheme="minorHAnsi" w:cstheme="minorHAnsi"/>
        </w:rPr>
      </w:pPr>
    </w:p>
    <w:p w14:paraId="799BC099" w14:textId="56E4197D" w:rsidR="00022F43" w:rsidRDefault="00022F43" w:rsidP="00932BAD">
      <w:pPr>
        <w:rPr>
          <w:rFonts w:asciiTheme="minorHAnsi" w:hAnsiTheme="minorHAnsi" w:cstheme="minorHAnsi"/>
        </w:rPr>
      </w:pPr>
      <w:r>
        <w:rPr>
          <w:rFonts w:asciiTheme="minorHAnsi" w:hAnsiTheme="minorHAnsi" w:cstheme="minorHAnsi"/>
        </w:rPr>
        <w:t xml:space="preserve">The result is a single, reliable version of the </w:t>
      </w:r>
      <w:r w:rsidR="00267301">
        <w:rPr>
          <w:rFonts w:asciiTheme="minorHAnsi" w:hAnsiTheme="minorHAnsi" w:cstheme="minorHAnsi"/>
        </w:rPr>
        <w:t>businesses’</w:t>
      </w:r>
      <w:r>
        <w:rPr>
          <w:rFonts w:asciiTheme="minorHAnsi" w:hAnsiTheme="minorHAnsi" w:cstheme="minorHAnsi"/>
        </w:rPr>
        <w:t xml:space="preserve"> data that any authorised user </w:t>
      </w:r>
      <w:r w:rsidR="00267301">
        <w:rPr>
          <w:rFonts w:asciiTheme="minorHAnsi" w:hAnsiTheme="minorHAnsi" w:cstheme="minorHAnsi"/>
        </w:rPr>
        <w:t>c</w:t>
      </w:r>
      <w:r>
        <w:rPr>
          <w:rFonts w:asciiTheme="minorHAnsi" w:hAnsiTheme="minorHAnsi" w:cstheme="minorHAnsi"/>
        </w:rPr>
        <w:t>an query without placing any load on the operational systems underneath.</w:t>
      </w:r>
    </w:p>
    <w:p w14:paraId="380C980C" w14:textId="77777777" w:rsidR="00804856" w:rsidRDefault="00804856" w:rsidP="00022F43">
      <w:pPr>
        <w:pStyle w:val="Heading2"/>
      </w:pPr>
    </w:p>
    <w:p w14:paraId="0A894E31" w14:textId="4886BEE2" w:rsidR="00022F43" w:rsidRDefault="00804856" w:rsidP="00022F43">
      <w:pPr>
        <w:pStyle w:val="Heading2"/>
      </w:pPr>
      <w:bookmarkStart w:id="2" w:name="_Toc229153978"/>
      <w:r>
        <w:t>1.3</w:t>
      </w:r>
      <w:r w:rsidR="00022F43">
        <w:t xml:space="preserve"> Data Marts</w:t>
      </w:r>
      <w:bookmarkEnd w:id="2"/>
    </w:p>
    <w:p w14:paraId="3EA00245" w14:textId="77777777" w:rsidR="00022F43" w:rsidRDefault="00022F43" w:rsidP="00022F43"/>
    <w:p w14:paraId="308C844C" w14:textId="356D4841" w:rsidR="00022F43" w:rsidRDefault="00022F43" w:rsidP="00022F43">
      <w:pPr>
        <w:rPr>
          <w:rFonts w:asciiTheme="minorHAnsi" w:hAnsiTheme="minorHAnsi" w:cstheme="minorHAnsi"/>
        </w:rPr>
      </w:pPr>
      <w:r>
        <w:rPr>
          <w:rFonts w:asciiTheme="minorHAnsi" w:hAnsiTheme="minorHAnsi" w:cstheme="minorHAnsi"/>
        </w:rPr>
        <w:t xml:space="preserve">While the central data warehouse holds the full breadth of the company’s historical data, </w:t>
      </w:r>
      <w:r w:rsidR="00FD6EBE">
        <w:rPr>
          <w:rFonts w:asciiTheme="minorHAnsi" w:hAnsiTheme="minorHAnsi" w:cstheme="minorHAnsi"/>
        </w:rPr>
        <w:t>not every director needs access to all of it. A data mart is a focused subset of the warehouse, designed to serve the specific analytical needs of a particular department or user group. [</w:t>
      </w:r>
      <w:r w:rsidR="00294C80">
        <w:rPr>
          <w:rFonts w:asciiTheme="minorHAnsi" w:hAnsiTheme="minorHAnsi" w:cstheme="minorHAnsi"/>
        </w:rPr>
        <w:t>2</w:t>
      </w:r>
      <w:r w:rsidR="00FD6EBE">
        <w:rPr>
          <w:rFonts w:asciiTheme="minorHAnsi" w:hAnsiTheme="minorHAnsi" w:cstheme="minorHAnsi"/>
        </w:rPr>
        <w:t xml:space="preserve">] For </w:t>
      </w:r>
      <w:proofErr w:type="spellStart"/>
      <w:r w:rsidR="00FD6EBE">
        <w:rPr>
          <w:rFonts w:asciiTheme="minorHAnsi" w:hAnsiTheme="minorHAnsi" w:cstheme="minorHAnsi"/>
        </w:rPr>
        <w:t>Rags’n’Riches</w:t>
      </w:r>
      <w:proofErr w:type="spellEnd"/>
      <w:r w:rsidR="00FD6EBE">
        <w:rPr>
          <w:rFonts w:asciiTheme="minorHAnsi" w:hAnsiTheme="minorHAnsi" w:cstheme="minorHAnsi"/>
        </w:rPr>
        <w:t xml:space="preserve"> three data marts are proposed. One for the managing director, one for the finance director and one for the sales and marketing director.</w:t>
      </w:r>
    </w:p>
    <w:p w14:paraId="34DEDE03" w14:textId="77777777" w:rsidR="00FD6EBE" w:rsidRDefault="00FD6EBE" w:rsidP="00022F43">
      <w:pPr>
        <w:rPr>
          <w:rFonts w:asciiTheme="minorHAnsi" w:hAnsiTheme="minorHAnsi" w:cstheme="minorHAnsi"/>
        </w:rPr>
      </w:pPr>
    </w:p>
    <w:p w14:paraId="1860186D" w14:textId="413FF50B" w:rsidR="00FD6EBE" w:rsidRDefault="00FD6EBE" w:rsidP="00022F43">
      <w:pPr>
        <w:rPr>
          <w:rFonts w:asciiTheme="minorHAnsi" w:hAnsiTheme="minorHAnsi" w:cstheme="minorHAnsi"/>
        </w:rPr>
      </w:pPr>
      <w:r>
        <w:rPr>
          <w:rFonts w:asciiTheme="minorHAnsi" w:hAnsiTheme="minorHAnsi" w:cstheme="minorHAnsi"/>
        </w:rPr>
        <w:t>The managing director requires a broad overview of business performance rather than granular operational detail. Their data mart would draw together high-level metrics from across the warehouse including utilisation rates, overall rental volumes, stock write-off trends and acquisition activity. This gives the managing director the kind of cross functional visibility needed to make informed decisions about where the business should be investing and where it may be underperforming.</w:t>
      </w:r>
    </w:p>
    <w:p w14:paraId="5175252B" w14:textId="77777777" w:rsidR="00FD6EBE" w:rsidRDefault="00FD6EBE" w:rsidP="00022F43">
      <w:pPr>
        <w:rPr>
          <w:rFonts w:asciiTheme="minorHAnsi" w:hAnsiTheme="minorHAnsi" w:cstheme="minorHAnsi"/>
        </w:rPr>
      </w:pPr>
    </w:p>
    <w:p w14:paraId="5AB32ADB" w14:textId="243CE7A0" w:rsidR="00FD6EBE" w:rsidRDefault="00FD6EBE" w:rsidP="00022F43">
      <w:pPr>
        <w:rPr>
          <w:rFonts w:asciiTheme="minorHAnsi" w:hAnsiTheme="minorHAnsi" w:cstheme="minorHAnsi"/>
        </w:rPr>
      </w:pPr>
      <w:r>
        <w:rPr>
          <w:rFonts w:asciiTheme="minorHAnsi" w:hAnsiTheme="minorHAnsi" w:cstheme="minorHAnsi"/>
        </w:rPr>
        <w:lastRenderedPageBreak/>
        <w:t xml:space="preserve">The finance director has a more specific set of needs. Their data mart would focus on revenue, </w:t>
      </w:r>
      <w:proofErr w:type="gramStart"/>
      <w:r w:rsidR="004E1109">
        <w:rPr>
          <w:rFonts w:asciiTheme="minorHAnsi" w:hAnsiTheme="minorHAnsi" w:cstheme="minorHAnsi"/>
        </w:rPr>
        <w:t>cost</w:t>
      </w:r>
      <w:proofErr w:type="gramEnd"/>
      <w:r w:rsidR="004E1109">
        <w:rPr>
          <w:rFonts w:asciiTheme="minorHAnsi" w:hAnsiTheme="minorHAnsi" w:cstheme="minorHAnsi"/>
        </w:rPr>
        <w:t xml:space="preserve"> and profitability data. This includes rental income broken down by scheme type, delivery cost analysis using the fuel card and milage records, invoice payment timelines and damage compensation claims. Given that the company’s monthly finance reports are already a key management tool a dedicated mart would allow these reports to be generated far more efficiency and with greater analytical depth than is currently possible.</w:t>
      </w:r>
      <w:r w:rsidR="001E7BD0">
        <w:rPr>
          <w:rFonts w:asciiTheme="minorHAnsi" w:hAnsiTheme="minorHAnsi" w:cstheme="minorHAnsi"/>
        </w:rPr>
        <w:t xml:space="preserve"> [</w:t>
      </w:r>
      <w:r w:rsidR="00294C80">
        <w:rPr>
          <w:rFonts w:asciiTheme="minorHAnsi" w:hAnsiTheme="minorHAnsi" w:cstheme="minorHAnsi"/>
        </w:rPr>
        <w:t>5</w:t>
      </w:r>
      <w:r w:rsidR="001E7BD0">
        <w:rPr>
          <w:rFonts w:asciiTheme="minorHAnsi" w:hAnsiTheme="minorHAnsi" w:cstheme="minorHAnsi"/>
        </w:rPr>
        <w:t>]</w:t>
      </w:r>
    </w:p>
    <w:p w14:paraId="5C3FFAD3" w14:textId="77777777" w:rsidR="004E1109" w:rsidRDefault="004E1109" w:rsidP="00022F43">
      <w:pPr>
        <w:rPr>
          <w:rFonts w:asciiTheme="minorHAnsi" w:hAnsiTheme="minorHAnsi" w:cstheme="minorHAnsi"/>
        </w:rPr>
      </w:pPr>
    </w:p>
    <w:p w14:paraId="47DB47CB" w14:textId="174ED177" w:rsidR="004E1109" w:rsidRDefault="004E1109" w:rsidP="00022F43">
      <w:pPr>
        <w:rPr>
          <w:rFonts w:asciiTheme="minorHAnsi" w:hAnsiTheme="minorHAnsi" w:cstheme="minorHAnsi"/>
        </w:rPr>
      </w:pPr>
      <w:r>
        <w:rPr>
          <w:rFonts w:asciiTheme="minorHAnsi" w:hAnsiTheme="minorHAnsi" w:cstheme="minorHAnsi"/>
        </w:rPr>
        <w:t xml:space="preserve">The sales and marketing director needs a different lens entirely. Their mart would centre on client behaviour and rental patterns. Which clients place the largest orders? Which costume categories are hired most frequently and in which seasons? Are there particular warehouses whose specialist stock is in higher demand? This kind of insight allows the sales team to make targeted decisions about pricing, </w:t>
      </w:r>
      <w:proofErr w:type="gramStart"/>
      <w:r>
        <w:rPr>
          <w:rFonts w:asciiTheme="minorHAnsi" w:hAnsiTheme="minorHAnsi" w:cstheme="minorHAnsi"/>
        </w:rPr>
        <w:t>promotions</w:t>
      </w:r>
      <w:proofErr w:type="gramEnd"/>
      <w:r>
        <w:rPr>
          <w:rFonts w:asciiTheme="minorHAnsi" w:hAnsiTheme="minorHAnsi" w:cstheme="minorHAnsi"/>
        </w:rPr>
        <w:t xml:space="preserve"> and client relationship management rather than relying on instinct alone. </w:t>
      </w:r>
    </w:p>
    <w:p w14:paraId="6CE8AC88" w14:textId="77777777" w:rsidR="004E1109" w:rsidRDefault="004E1109" w:rsidP="00022F43">
      <w:pPr>
        <w:rPr>
          <w:rFonts w:asciiTheme="minorHAnsi" w:hAnsiTheme="minorHAnsi" w:cstheme="minorHAnsi"/>
        </w:rPr>
      </w:pPr>
    </w:p>
    <w:p w14:paraId="0589BB8D" w14:textId="592F668C" w:rsidR="004E1109" w:rsidRDefault="004E1109" w:rsidP="00022F43">
      <w:pPr>
        <w:rPr>
          <w:rFonts w:asciiTheme="minorHAnsi" w:hAnsiTheme="minorHAnsi" w:cstheme="minorHAnsi"/>
        </w:rPr>
      </w:pPr>
      <w:r>
        <w:rPr>
          <w:rFonts w:asciiTheme="minorHAnsi" w:hAnsiTheme="minorHAnsi" w:cstheme="minorHAnsi"/>
        </w:rPr>
        <w:t>Each data mart pulls only the data relevant to its audience which not only improves query performance but also ensures that sensitive financial information remains accessible only to those who need it.</w:t>
      </w:r>
    </w:p>
    <w:p w14:paraId="574CD4D6" w14:textId="77777777" w:rsidR="00804856" w:rsidRDefault="00804856" w:rsidP="00804856">
      <w:pPr>
        <w:pStyle w:val="Heading2"/>
      </w:pPr>
    </w:p>
    <w:p w14:paraId="50CF5014" w14:textId="59283F47" w:rsidR="001E7BD0" w:rsidRDefault="00804856" w:rsidP="00804856">
      <w:pPr>
        <w:pStyle w:val="Heading2"/>
      </w:pPr>
      <w:bookmarkStart w:id="3" w:name="_Toc229153979"/>
      <w:r>
        <w:t>1.4 S</w:t>
      </w:r>
      <w:r w:rsidR="001E7BD0">
        <w:t>tar Schema and Dimensional Modelling</w:t>
      </w:r>
      <w:bookmarkEnd w:id="3"/>
    </w:p>
    <w:p w14:paraId="049A36D3" w14:textId="77777777" w:rsidR="001E7BD0" w:rsidRDefault="001E7BD0" w:rsidP="001E7BD0"/>
    <w:p w14:paraId="24371863" w14:textId="2693EA6F" w:rsidR="001E7BD0" w:rsidRDefault="001E7BD0" w:rsidP="001E7BD0">
      <w:pPr>
        <w:rPr>
          <w:rFonts w:asciiTheme="minorHAnsi" w:hAnsiTheme="minorHAnsi" w:cstheme="minorHAnsi"/>
        </w:rPr>
      </w:pPr>
      <w:r>
        <w:rPr>
          <w:rFonts w:asciiTheme="minorHAnsi" w:hAnsiTheme="minorHAnsi" w:cstheme="minorHAnsi"/>
        </w:rPr>
        <w:t>The IT director will be familiar with the normalised structure of the company’s existing OLTP system. In a normalised database, data is split across many tables to eliminate redundancy and ensure consistency during transaction processing. While this is the correct approach for operational systems, it is poorly suited to analytical queries, which typically need to join large volumes of data across multiple tables simultaneously.[</w:t>
      </w:r>
      <w:r w:rsidR="00294C80">
        <w:rPr>
          <w:rFonts w:asciiTheme="minorHAnsi" w:hAnsiTheme="minorHAnsi" w:cstheme="minorHAnsi"/>
        </w:rPr>
        <w:t>6</w:t>
      </w:r>
      <w:r>
        <w:rPr>
          <w:rFonts w:asciiTheme="minorHAnsi" w:hAnsiTheme="minorHAnsi" w:cstheme="minorHAnsi"/>
        </w:rPr>
        <w:t>]</w:t>
      </w:r>
    </w:p>
    <w:p w14:paraId="251F19E0" w14:textId="77777777" w:rsidR="001E7BD0" w:rsidRDefault="001E7BD0" w:rsidP="001E7BD0">
      <w:pPr>
        <w:rPr>
          <w:rFonts w:asciiTheme="minorHAnsi" w:hAnsiTheme="minorHAnsi" w:cstheme="minorHAnsi"/>
        </w:rPr>
      </w:pPr>
    </w:p>
    <w:p w14:paraId="1F26E180" w14:textId="09BF0E2B" w:rsidR="001E7BD0" w:rsidRDefault="001E7BD0" w:rsidP="001E7BD0">
      <w:pPr>
        <w:rPr>
          <w:rFonts w:asciiTheme="minorHAnsi" w:hAnsiTheme="minorHAnsi" w:cstheme="minorHAnsi"/>
        </w:rPr>
      </w:pPr>
      <w:r>
        <w:rPr>
          <w:rFonts w:asciiTheme="minorHAnsi" w:hAnsiTheme="minorHAnsi" w:cstheme="minorHAnsi"/>
        </w:rPr>
        <w:t xml:space="preserve">A data warehouse instead uses dimensional modelling. Rather than minimising redundancy, the goal is to make data as easy to query as possible. The primary structure used to achieve this is the star schema, named that because a </w:t>
      </w:r>
      <w:r w:rsidR="00267301">
        <w:rPr>
          <w:rFonts w:asciiTheme="minorHAnsi" w:hAnsiTheme="minorHAnsi" w:cstheme="minorHAnsi"/>
        </w:rPr>
        <w:t>central</w:t>
      </w:r>
      <w:r>
        <w:rPr>
          <w:rFonts w:asciiTheme="minorHAnsi" w:hAnsiTheme="minorHAnsi" w:cstheme="minorHAnsi"/>
        </w:rPr>
        <w:t xml:space="preserve"> fact table is surrounded by a series o</w:t>
      </w:r>
      <w:r w:rsidR="00267301">
        <w:rPr>
          <w:rFonts w:asciiTheme="minorHAnsi" w:hAnsiTheme="minorHAnsi" w:cstheme="minorHAnsi"/>
        </w:rPr>
        <w:t>f</w:t>
      </w:r>
      <w:r>
        <w:rPr>
          <w:rFonts w:asciiTheme="minorHAnsi" w:hAnsiTheme="minorHAnsi" w:cstheme="minorHAnsi"/>
        </w:rPr>
        <w:t xml:space="preserve"> dimension tables, forming a shape resembling a star. [</w:t>
      </w:r>
      <w:r w:rsidR="0091786E">
        <w:rPr>
          <w:rFonts w:asciiTheme="minorHAnsi" w:hAnsiTheme="minorHAnsi" w:cstheme="minorHAnsi"/>
        </w:rPr>
        <w:t>7</w:t>
      </w:r>
      <w:r>
        <w:rPr>
          <w:rFonts w:asciiTheme="minorHAnsi" w:hAnsiTheme="minorHAnsi" w:cstheme="minorHAnsi"/>
        </w:rPr>
        <w:t>]</w:t>
      </w:r>
    </w:p>
    <w:p w14:paraId="55F7CE15" w14:textId="77777777" w:rsidR="001E7BD0" w:rsidRDefault="001E7BD0" w:rsidP="001E7BD0">
      <w:pPr>
        <w:rPr>
          <w:rFonts w:asciiTheme="minorHAnsi" w:hAnsiTheme="minorHAnsi" w:cstheme="minorHAnsi"/>
        </w:rPr>
      </w:pPr>
    </w:p>
    <w:p w14:paraId="7543E4B1" w14:textId="5A00AE6B" w:rsidR="001E7BD0" w:rsidRPr="001E7BD0" w:rsidRDefault="001E7BD0" w:rsidP="001E7BD0">
      <w:pPr>
        <w:rPr>
          <w:rFonts w:asciiTheme="minorHAnsi" w:hAnsiTheme="minorHAnsi" w:cstheme="minorHAnsi"/>
        </w:rPr>
      </w:pPr>
      <w:r>
        <w:rPr>
          <w:rFonts w:asciiTheme="minorHAnsi" w:hAnsiTheme="minorHAnsi" w:cstheme="minorHAnsi"/>
        </w:rPr>
        <w:t xml:space="preserve">The fact table holds the measurable events of the business. For </w:t>
      </w:r>
      <w:proofErr w:type="spellStart"/>
      <w:r>
        <w:rPr>
          <w:rFonts w:asciiTheme="minorHAnsi" w:hAnsiTheme="minorHAnsi" w:cstheme="minorHAnsi"/>
        </w:rPr>
        <w:t>Rags’n’Riches</w:t>
      </w:r>
      <w:proofErr w:type="spellEnd"/>
      <w:r>
        <w:rPr>
          <w:rFonts w:asciiTheme="minorHAnsi" w:hAnsiTheme="minorHAnsi" w:cstheme="minorHAnsi"/>
        </w:rPr>
        <w:t xml:space="preserve"> this would include rental transactions, recording metrics such as rental duration, daily rate</w:t>
      </w:r>
      <w:r w:rsidR="00A570F7">
        <w:rPr>
          <w:rFonts w:asciiTheme="minorHAnsi" w:hAnsiTheme="minorHAnsi" w:cstheme="minorHAnsi"/>
        </w:rPr>
        <w:t xml:space="preserve">, discounts applied and delivery charges. The surrounding dimension tables provide the context for those facts. A date dimension allows analysis by day, week, </w:t>
      </w:r>
      <w:proofErr w:type="gramStart"/>
      <w:r w:rsidR="00A570F7">
        <w:rPr>
          <w:rFonts w:asciiTheme="minorHAnsi" w:hAnsiTheme="minorHAnsi" w:cstheme="minorHAnsi"/>
        </w:rPr>
        <w:t>month</w:t>
      </w:r>
      <w:proofErr w:type="gramEnd"/>
      <w:r w:rsidR="00A570F7">
        <w:rPr>
          <w:rFonts w:asciiTheme="minorHAnsi" w:hAnsiTheme="minorHAnsi" w:cstheme="minorHAnsi"/>
        </w:rPr>
        <w:t xml:space="preserve"> or season. A client dimension holds information about who placed the order. An item dimension captures what was hired, whether it is common core or specialist </w:t>
      </w:r>
      <w:proofErr w:type="gramStart"/>
      <w:r w:rsidR="00A570F7">
        <w:rPr>
          <w:rFonts w:asciiTheme="minorHAnsi" w:hAnsiTheme="minorHAnsi" w:cstheme="minorHAnsi"/>
        </w:rPr>
        <w:t>stock</w:t>
      </w:r>
      <w:proofErr w:type="gramEnd"/>
      <w:r w:rsidR="00A570F7">
        <w:rPr>
          <w:rFonts w:asciiTheme="minorHAnsi" w:hAnsiTheme="minorHAnsi" w:cstheme="minorHAnsi"/>
        </w:rPr>
        <w:t xml:space="preserve"> and which warehouse it belongs to.</w:t>
      </w:r>
    </w:p>
    <w:p w14:paraId="38BA82B3" w14:textId="62DE91EB" w:rsidR="00405D13" w:rsidRDefault="00405D13"/>
    <w:p w14:paraId="58E20459" w14:textId="5A5D16A2" w:rsidR="00A70B03" w:rsidRDefault="00A70B03" w:rsidP="00F3288E">
      <w:pPr>
        <w:jc w:val="center"/>
      </w:pPr>
    </w:p>
    <w:p w14:paraId="71D056CC" w14:textId="77777777" w:rsidR="00073AD0" w:rsidRDefault="00073AD0" w:rsidP="00F3288E">
      <w:pPr>
        <w:jc w:val="center"/>
      </w:pPr>
    </w:p>
    <w:p w14:paraId="4426A737" w14:textId="77777777" w:rsidR="00073AD0" w:rsidRDefault="00073AD0" w:rsidP="00F3288E">
      <w:pPr>
        <w:jc w:val="center"/>
      </w:pPr>
    </w:p>
    <w:p w14:paraId="35A7BDB3" w14:textId="77777777" w:rsidR="00073AD0" w:rsidRDefault="00073AD0" w:rsidP="00F3288E">
      <w:pPr>
        <w:jc w:val="center"/>
      </w:pPr>
    </w:p>
    <w:p w14:paraId="52B5C15A" w14:textId="77777777" w:rsidR="00073AD0" w:rsidRDefault="00073AD0" w:rsidP="00F3288E">
      <w:pPr>
        <w:jc w:val="center"/>
      </w:pPr>
    </w:p>
    <w:p w14:paraId="7B1866E8" w14:textId="77777777" w:rsidR="00073AD0" w:rsidRDefault="00073AD0" w:rsidP="00F3288E">
      <w:pPr>
        <w:jc w:val="center"/>
      </w:pPr>
    </w:p>
    <w:p w14:paraId="5258DB36" w14:textId="77777777" w:rsidR="00073AD0" w:rsidRDefault="00073AD0" w:rsidP="00F3288E">
      <w:pPr>
        <w:jc w:val="center"/>
      </w:pPr>
    </w:p>
    <w:p w14:paraId="3648BF47" w14:textId="77777777" w:rsidR="00073AD0" w:rsidRDefault="00073AD0" w:rsidP="00F3288E">
      <w:pPr>
        <w:jc w:val="center"/>
      </w:pPr>
    </w:p>
    <w:p w14:paraId="42515010" w14:textId="1A7A1735" w:rsidR="00073AD0" w:rsidRDefault="00073AD0" w:rsidP="00F3288E">
      <w:pPr>
        <w:jc w:val="center"/>
      </w:pPr>
      <w:r>
        <w:rPr>
          <w:rFonts w:asciiTheme="minorHAnsi" w:hAnsiTheme="minorHAnsi" w:cstheme="minorHAnsi"/>
          <w:noProof/>
        </w:rPr>
        <w:lastRenderedPageBreak/>
        <w:drawing>
          <wp:inline distT="0" distB="0" distL="0" distR="0" wp14:anchorId="58D91289" wp14:editId="1AA8FA26">
            <wp:extent cx="4654062" cy="3899698"/>
            <wp:effectExtent l="0" t="0" r="0" b="0"/>
            <wp:docPr id="1509258567"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258567" name="Picture 2" descr="A diagram of a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0831" cy="3913749"/>
                    </a:xfrm>
                    <a:prstGeom prst="rect">
                      <a:avLst/>
                    </a:prstGeom>
                  </pic:spPr>
                </pic:pic>
              </a:graphicData>
            </a:graphic>
          </wp:inline>
        </w:drawing>
      </w:r>
    </w:p>
    <w:p w14:paraId="17222690" w14:textId="77777777" w:rsidR="00073AD0" w:rsidRDefault="00073AD0" w:rsidP="00073AD0"/>
    <w:p w14:paraId="4A3CD311" w14:textId="77777777" w:rsidR="00073AD0" w:rsidRDefault="00073AD0" w:rsidP="00F3288E">
      <w:pPr>
        <w:jc w:val="center"/>
      </w:pPr>
    </w:p>
    <w:p w14:paraId="3EAFF15C" w14:textId="6EBD8A6E" w:rsidR="00A570F7" w:rsidRDefault="00A570F7">
      <w:pPr>
        <w:rPr>
          <w:rFonts w:asciiTheme="minorHAnsi" w:hAnsiTheme="minorHAnsi" w:cstheme="minorHAnsi"/>
        </w:rPr>
      </w:pPr>
      <w:r>
        <w:rPr>
          <w:rFonts w:asciiTheme="minorHAnsi" w:hAnsiTheme="minorHAnsi" w:cstheme="minorHAnsi"/>
        </w:rPr>
        <w:t xml:space="preserve">This structure allows complex business questions to be answered quickly without requiring deep technical knowledge to write the queries. </w:t>
      </w:r>
    </w:p>
    <w:p w14:paraId="68B517FB" w14:textId="77777777" w:rsidR="00405D13" w:rsidRDefault="00405D13"/>
    <w:p w14:paraId="0CF48DCF" w14:textId="4FC3F8BD" w:rsidR="00405D13" w:rsidRDefault="005B12DA" w:rsidP="005B12DA">
      <w:pPr>
        <w:pStyle w:val="Heading2"/>
      </w:pPr>
      <w:bookmarkStart w:id="4" w:name="_Toc229153980"/>
      <w:r>
        <w:t>2.1 Internal and External source systems</w:t>
      </w:r>
      <w:bookmarkEnd w:id="4"/>
    </w:p>
    <w:p w14:paraId="64659525" w14:textId="77777777" w:rsidR="00405D13" w:rsidRDefault="00405D13"/>
    <w:p w14:paraId="3797F4FB" w14:textId="53320871" w:rsidR="00405D13" w:rsidRDefault="005B12DA">
      <w:pPr>
        <w:rPr>
          <w:rFonts w:asciiTheme="minorHAnsi" w:hAnsiTheme="minorHAnsi" w:cstheme="minorHAnsi"/>
        </w:rPr>
      </w:pPr>
      <w:r>
        <w:rPr>
          <w:rFonts w:asciiTheme="minorHAnsi" w:hAnsiTheme="minorHAnsi" w:cstheme="minorHAnsi"/>
        </w:rPr>
        <w:t xml:space="preserve">Before a data warehouse can be designed, it is necessary to identify where the data will come from. For </w:t>
      </w:r>
      <w:proofErr w:type="spellStart"/>
      <w:r>
        <w:rPr>
          <w:rFonts w:asciiTheme="minorHAnsi" w:hAnsiTheme="minorHAnsi" w:cstheme="minorHAnsi"/>
        </w:rPr>
        <w:t>Rags’n’Riches</w:t>
      </w:r>
      <w:proofErr w:type="spellEnd"/>
      <w:r>
        <w:rPr>
          <w:rFonts w:asciiTheme="minorHAnsi" w:hAnsiTheme="minorHAnsi" w:cstheme="minorHAnsi"/>
        </w:rPr>
        <w:t xml:space="preserve">, sources fall into two categories. Internal and external data feeds. </w:t>
      </w:r>
    </w:p>
    <w:p w14:paraId="1E8A0258" w14:textId="77777777" w:rsidR="005B12DA" w:rsidRDefault="005B12DA">
      <w:pPr>
        <w:rPr>
          <w:rFonts w:asciiTheme="minorHAnsi" w:hAnsiTheme="minorHAnsi" w:cstheme="minorHAnsi"/>
        </w:rPr>
      </w:pPr>
    </w:p>
    <w:p w14:paraId="26DEF228" w14:textId="5D8FC9F7" w:rsidR="005B12DA" w:rsidRDefault="005B12DA">
      <w:pPr>
        <w:rPr>
          <w:rFonts w:asciiTheme="minorHAnsi" w:hAnsiTheme="minorHAnsi" w:cstheme="minorHAnsi"/>
        </w:rPr>
      </w:pPr>
      <w:r>
        <w:rPr>
          <w:rFonts w:asciiTheme="minorHAnsi" w:hAnsiTheme="minorHAnsi" w:cstheme="minorHAnsi"/>
        </w:rPr>
        <w:t xml:space="preserve">The internal sources include the orders database, the stock movement and transport system, the delivery and returns database, the inventory and damage records, and the finance </w:t>
      </w:r>
      <w:r w:rsidR="005A63E2">
        <w:rPr>
          <w:rFonts w:asciiTheme="minorHAnsi" w:hAnsiTheme="minorHAnsi" w:cstheme="minorHAnsi"/>
        </w:rPr>
        <w:t>and invoicing system. Each warehouse also maintains its own localised stock records which feed into the central system.</w:t>
      </w:r>
    </w:p>
    <w:p w14:paraId="77240F09" w14:textId="77777777" w:rsidR="005A63E2" w:rsidRDefault="005A63E2">
      <w:pPr>
        <w:rPr>
          <w:rFonts w:asciiTheme="minorHAnsi" w:hAnsiTheme="minorHAnsi" w:cstheme="minorHAnsi"/>
        </w:rPr>
      </w:pPr>
    </w:p>
    <w:p w14:paraId="6B7B14E0" w14:textId="30BE8450" w:rsidR="005A63E2" w:rsidRDefault="005A63E2">
      <w:r>
        <w:rPr>
          <w:rFonts w:asciiTheme="minorHAnsi" w:hAnsiTheme="minorHAnsi" w:cstheme="minorHAnsi"/>
        </w:rPr>
        <w:t>External sources include the fuel card transaction data provided by the company’s fuel card provider and mil</w:t>
      </w:r>
      <w:r w:rsidR="00267301">
        <w:rPr>
          <w:rFonts w:asciiTheme="minorHAnsi" w:hAnsiTheme="minorHAnsi" w:cstheme="minorHAnsi"/>
        </w:rPr>
        <w:t>e</w:t>
      </w:r>
      <w:r>
        <w:rPr>
          <w:rFonts w:asciiTheme="minorHAnsi" w:hAnsiTheme="minorHAnsi" w:cstheme="minorHAnsi"/>
        </w:rPr>
        <w:t xml:space="preserve">age records generated by company vehicles. These are particularly relevant for analysing and controlling delivery costs across the six warehouse </w:t>
      </w:r>
      <w:proofErr w:type="gramStart"/>
      <w:r>
        <w:rPr>
          <w:rFonts w:asciiTheme="minorHAnsi" w:hAnsiTheme="minorHAnsi" w:cstheme="minorHAnsi"/>
        </w:rPr>
        <w:t>locations</w:t>
      </w:r>
      <w:proofErr w:type="gramEnd"/>
    </w:p>
    <w:p w14:paraId="59631F2A" w14:textId="77777777" w:rsidR="00405D13" w:rsidRDefault="00405D13"/>
    <w:p w14:paraId="47478C99" w14:textId="383607B6" w:rsidR="00405D13" w:rsidRDefault="005A63E2" w:rsidP="005A63E2">
      <w:pPr>
        <w:pStyle w:val="Heading2"/>
      </w:pPr>
      <w:bookmarkStart w:id="5" w:name="_Toc229153981"/>
      <w:r>
        <w:t>2.2 Star Schema Design</w:t>
      </w:r>
      <w:bookmarkEnd w:id="5"/>
    </w:p>
    <w:p w14:paraId="2C850436" w14:textId="77777777" w:rsidR="005A63E2" w:rsidRDefault="005A63E2" w:rsidP="005A63E2"/>
    <w:p w14:paraId="2FB0A486" w14:textId="6F91A87B" w:rsidR="005A63E2" w:rsidRDefault="005B438D" w:rsidP="005A63E2">
      <w:pPr>
        <w:rPr>
          <w:rFonts w:asciiTheme="minorHAnsi" w:hAnsiTheme="minorHAnsi" w:cstheme="minorHAnsi"/>
        </w:rPr>
      </w:pPr>
      <w:r>
        <w:rPr>
          <w:rFonts w:asciiTheme="minorHAnsi" w:hAnsiTheme="minorHAnsi" w:cstheme="minorHAnsi"/>
        </w:rPr>
        <w:t xml:space="preserve">With the source systems identified, it is possible to design a star schema that reflects the core business processes of </w:t>
      </w:r>
      <w:proofErr w:type="spellStart"/>
      <w:r>
        <w:rPr>
          <w:rFonts w:asciiTheme="minorHAnsi" w:hAnsiTheme="minorHAnsi" w:cstheme="minorHAnsi"/>
        </w:rPr>
        <w:t>Rags’n’Riches</w:t>
      </w:r>
      <w:proofErr w:type="spellEnd"/>
      <w:r>
        <w:rPr>
          <w:rFonts w:asciiTheme="minorHAnsi" w:hAnsiTheme="minorHAnsi" w:cstheme="minorHAnsi"/>
        </w:rPr>
        <w:t xml:space="preserve">. Given the complexity of the business, two fact </w:t>
      </w:r>
      <w:r w:rsidR="00F2287E">
        <w:rPr>
          <w:rFonts w:asciiTheme="minorHAnsi" w:hAnsiTheme="minorHAnsi" w:cstheme="minorHAnsi"/>
        </w:rPr>
        <w:t xml:space="preserve">tables are proposed. A rental fact table and a delivery fact table. This approach, sometimes </w:t>
      </w:r>
      <w:r w:rsidR="005F6C08">
        <w:rPr>
          <w:rFonts w:asciiTheme="minorHAnsi" w:hAnsiTheme="minorHAnsi" w:cstheme="minorHAnsi"/>
        </w:rPr>
        <w:lastRenderedPageBreak/>
        <w:t>referred</w:t>
      </w:r>
      <w:r w:rsidR="00F2287E">
        <w:rPr>
          <w:rFonts w:asciiTheme="minorHAnsi" w:hAnsiTheme="minorHAnsi" w:cstheme="minorHAnsi"/>
        </w:rPr>
        <w:t xml:space="preserve"> to as galaxy schema, allows different business processes to be modelled accurately whilst still sharing common dimension tables [</w:t>
      </w:r>
      <w:r w:rsidR="00D1040A">
        <w:rPr>
          <w:rFonts w:asciiTheme="minorHAnsi" w:hAnsiTheme="minorHAnsi" w:cstheme="minorHAnsi"/>
        </w:rPr>
        <w:t>8</w:t>
      </w:r>
      <w:r w:rsidR="00F2287E">
        <w:rPr>
          <w:rFonts w:asciiTheme="minorHAnsi" w:hAnsiTheme="minorHAnsi" w:cstheme="minorHAnsi"/>
        </w:rPr>
        <w:t>]</w:t>
      </w:r>
    </w:p>
    <w:p w14:paraId="5FEF8594" w14:textId="77777777" w:rsidR="00F2287E" w:rsidRDefault="00F2287E" w:rsidP="005A63E2">
      <w:pPr>
        <w:rPr>
          <w:rFonts w:asciiTheme="minorHAnsi" w:hAnsiTheme="minorHAnsi" w:cstheme="minorHAnsi"/>
        </w:rPr>
      </w:pPr>
    </w:p>
    <w:p w14:paraId="337A728A" w14:textId="70397CE1" w:rsidR="00616726" w:rsidRPr="00616726" w:rsidRDefault="00616726" w:rsidP="00616726">
      <w:pPr>
        <w:rPr>
          <w:rFonts w:asciiTheme="minorHAnsi" w:hAnsiTheme="minorHAnsi" w:cstheme="minorHAnsi"/>
        </w:rPr>
      </w:pPr>
      <w:r>
        <w:rPr>
          <w:rFonts w:asciiTheme="minorHAnsi" w:hAnsiTheme="minorHAnsi" w:cstheme="minorHAnsi"/>
        </w:rPr>
        <w:t>The proposed schema use</w:t>
      </w:r>
      <w:r w:rsidR="00267301">
        <w:rPr>
          <w:rFonts w:asciiTheme="minorHAnsi" w:hAnsiTheme="minorHAnsi" w:cstheme="minorHAnsi"/>
        </w:rPr>
        <w:t>s</w:t>
      </w:r>
      <w:r>
        <w:rPr>
          <w:rFonts w:asciiTheme="minorHAnsi" w:hAnsiTheme="minorHAnsi" w:cstheme="minorHAnsi"/>
        </w:rPr>
        <w:t xml:space="preserve"> a shared-conformed-dimension approach so that rental income, delivery cost and warehouse performance can be compared consistently across the business. For example, the date, client, </w:t>
      </w:r>
      <w:proofErr w:type="gramStart"/>
      <w:r>
        <w:rPr>
          <w:rFonts w:asciiTheme="minorHAnsi" w:hAnsiTheme="minorHAnsi" w:cstheme="minorHAnsi"/>
        </w:rPr>
        <w:t>item</w:t>
      </w:r>
      <w:proofErr w:type="gramEnd"/>
      <w:r>
        <w:rPr>
          <w:rFonts w:asciiTheme="minorHAnsi" w:hAnsiTheme="minorHAnsi" w:cstheme="minorHAnsi"/>
        </w:rPr>
        <w:t xml:space="preserve"> and warehouse dimensions should </w:t>
      </w:r>
      <w:r w:rsidR="00267301">
        <w:rPr>
          <w:rFonts w:asciiTheme="minorHAnsi" w:hAnsiTheme="minorHAnsi" w:cstheme="minorHAnsi"/>
        </w:rPr>
        <w:t xml:space="preserve">use </w:t>
      </w:r>
      <w:r>
        <w:rPr>
          <w:rFonts w:asciiTheme="minorHAnsi" w:hAnsiTheme="minorHAnsi" w:cstheme="minorHAnsi"/>
        </w:rPr>
        <w:t>surrogate keys rather than operational IDs, allowing historical changes such as client name changes, warehouse reassignment or item reclassification to be tracked without</w:t>
      </w:r>
      <w:r w:rsidR="00484725">
        <w:rPr>
          <w:rFonts w:asciiTheme="minorHAnsi" w:hAnsiTheme="minorHAnsi" w:cstheme="minorHAnsi"/>
        </w:rPr>
        <w:t xml:space="preserve"> overwriting previous records. This is important for </w:t>
      </w:r>
      <w:proofErr w:type="spellStart"/>
      <w:r w:rsidR="00484725">
        <w:rPr>
          <w:rFonts w:asciiTheme="minorHAnsi" w:hAnsiTheme="minorHAnsi" w:cstheme="minorHAnsi"/>
        </w:rPr>
        <w:t>Rags’n’Riches</w:t>
      </w:r>
      <w:proofErr w:type="spellEnd"/>
      <w:r w:rsidR="00484725">
        <w:rPr>
          <w:rFonts w:asciiTheme="minorHAnsi" w:hAnsiTheme="minorHAnsi" w:cstheme="minorHAnsi"/>
        </w:rPr>
        <w:t xml:space="preserve"> because management decisions depend on trend analysis overtime, not just the current operational state. The rental fact table should therefore be stored at the grain of one rented item per order per rental period, while the delivery fact table should be stored at the grain of one delivery or collection event. Defining the grain explicitly avoids double counting revenue or transport costs when productions involve staggered deliveries, multi-warehouse fulfilment or multiple rental schemes. These design decisions make the warehouse more reliable for board-level reporting and support accurate comparison between profitability, </w:t>
      </w:r>
      <w:proofErr w:type="gramStart"/>
      <w:r w:rsidR="00484725">
        <w:rPr>
          <w:rFonts w:asciiTheme="minorHAnsi" w:hAnsiTheme="minorHAnsi" w:cstheme="minorHAnsi"/>
        </w:rPr>
        <w:t>utilisation</w:t>
      </w:r>
      <w:proofErr w:type="gramEnd"/>
      <w:r w:rsidR="00484725">
        <w:rPr>
          <w:rFonts w:asciiTheme="minorHAnsi" w:hAnsiTheme="minorHAnsi" w:cstheme="minorHAnsi"/>
        </w:rPr>
        <w:t xml:space="preserve"> and logistics performance.</w:t>
      </w:r>
    </w:p>
    <w:p w14:paraId="7B20C6E0" w14:textId="77777777" w:rsidR="00616726" w:rsidRDefault="00616726" w:rsidP="005A63E2">
      <w:pPr>
        <w:rPr>
          <w:rFonts w:asciiTheme="minorHAnsi" w:hAnsiTheme="minorHAnsi" w:cstheme="minorHAnsi"/>
        </w:rPr>
      </w:pPr>
    </w:p>
    <w:p w14:paraId="0EF10F6C" w14:textId="5290B1DA" w:rsidR="00F2287E" w:rsidRDefault="00F2287E" w:rsidP="005A63E2">
      <w:pPr>
        <w:rPr>
          <w:rFonts w:asciiTheme="minorHAnsi" w:hAnsiTheme="minorHAnsi" w:cstheme="minorHAnsi"/>
          <w:b/>
          <w:bCs/>
          <w:u w:val="single"/>
        </w:rPr>
      </w:pPr>
      <w:r w:rsidRPr="00F2287E">
        <w:rPr>
          <w:rFonts w:asciiTheme="minorHAnsi" w:hAnsiTheme="minorHAnsi" w:cstheme="minorHAnsi"/>
          <w:b/>
          <w:bCs/>
          <w:u w:val="single"/>
        </w:rPr>
        <w:t>Rental Fact Table</w:t>
      </w:r>
    </w:p>
    <w:p w14:paraId="45EB34DC" w14:textId="77777777" w:rsidR="00F2287E" w:rsidRDefault="00F2287E" w:rsidP="005A63E2">
      <w:pPr>
        <w:rPr>
          <w:rFonts w:asciiTheme="minorHAnsi" w:hAnsiTheme="minorHAnsi" w:cstheme="minorHAnsi"/>
          <w:b/>
          <w:bCs/>
          <w:u w:val="single"/>
        </w:rPr>
      </w:pPr>
    </w:p>
    <w:p w14:paraId="1EA2AE7D" w14:textId="329F6391" w:rsidR="00F2287E" w:rsidRDefault="00F2287E" w:rsidP="005A63E2">
      <w:pPr>
        <w:rPr>
          <w:rFonts w:asciiTheme="minorHAnsi" w:hAnsiTheme="minorHAnsi" w:cstheme="minorHAnsi"/>
        </w:rPr>
      </w:pPr>
      <w:r>
        <w:rPr>
          <w:rFonts w:asciiTheme="minorHAnsi" w:hAnsiTheme="minorHAnsi" w:cstheme="minorHAnsi"/>
        </w:rPr>
        <w:t>The rental fact table sits at the heart of the warehouse. Each row represents a single rental line item, capturing measurable values including the daily rental rate, number of days hired, any discounts applied, surcharges such as the fifteen percent emergency fee, and the total rental value. This granular level of detail allows the business to analyse revenue at any level from an individual item up to an entire production order.</w:t>
      </w:r>
    </w:p>
    <w:p w14:paraId="5CA86961" w14:textId="77777777" w:rsidR="00F2287E" w:rsidRDefault="00F2287E" w:rsidP="005A63E2">
      <w:pPr>
        <w:rPr>
          <w:rFonts w:asciiTheme="minorHAnsi" w:hAnsiTheme="minorHAnsi" w:cstheme="minorHAnsi"/>
        </w:rPr>
      </w:pPr>
    </w:p>
    <w:p w14:paraId="743FF8BC" w14:textId="0E241E74" w:rsidR="00F2287E" w:rsidRDefault="00F2287E" w:rsidP="005A63E2">
      <w:pPr>
        <w:rPr>
          <w:rFonts w:asciiTheme="minorHAnsi" w:hAnsiTheme="minorHAnsi" w:cstheme="minorHAnsi"/>
        </w:rPr>
      </w:pPr>
      <w:r>
        <w:rPr>
          <w:rFonts w:asciiTheme="minorHAnsi" w:hAnsiTheme="minorHAnsi" w:cstheme="minorHAnsi"/>
        </w:rPr>
        <w:t>The rental fact table links to the following dimension tables:</w:t>
      </w:r>
    </w:p>
    <w:p w14:paraId="10CBE3EE" w14:textId="77777777" w:rsidR="00F2287E" w:rsidRDefault="00F2287E" w:rsidP="005A63E2">
      <w:pPr>
        <w:rPr>
          <w:rFonts w:asciiTheme="minorHAnsi" w:hAnsiTheme="minorHAnsi" w:cstheme="minorHAnsi"/>
        </w:rPr>
      </w:pPr>
    </w:p>
    <w:p w14:paraId="3E0EA36B" w14:textId="68299852" w:rsidR="00F2287E" w:rsidRDefault="0055717A" w:rsidP="0055717A">
      <w:pPr>
        <w:pStyle w:val="ListParagraph"/>
        <w:numPr>
          <w:ilvl w:val="0"/>
          <w:numId w:val="9"/>
        </w:numPr>
        <w:rPr>
          <w:rFonts w:asciiTheme="minorHAnsi" w:hAnsiTheme="minorHAnsi" w:cstheme="minorHAnsi"/>
        </w:rPr>
      </w:pPr>
      <w:r>
        <w:rPr>
          <w:rFonts w:asciiTheme="minorHAnsi" w:hAnsiTheme="minorHAnsi" w:cstheme="minorHAnsi"/>
        </w:rPr>
        <w:t xml:space="preserve">Date Dimension – Covering order date, delivery date, and return date, allowing analysis by day, week, month, season, and </w:t>
      </w:r>
      <w:proofErr w:type="gramStart"/>
      <w:r>
        <w:rPr>
          <w:rFonts w:asciiTheme="minorHAnsi" w:hAnsiTheme="minorHAnsi" w:cstheme="minorHAnsi"/>
        </w:rPr>
        <w:t>year</w:t>
      </w:r>
      <w:proofErr w:type="gramEnd"/>
    </w:p>
    <w:p w14:paraId="15F12ECC" w14:textId="6C71908E" w:rsidR="0055717A" w:rsidRDefault="0055717A" w:rsidP="0055717A">
      <w:pPr>
        <w:pStyle w:val="ListParagraph"/>
        <w:numPr>
          <w:ilvl w:val="0"/>
          <w:numId w:val="9"/>
        </w:numPr>
        <w:rPr>
          <w:rFonts w:asciiTheme="minorHAnsi" w:hAnsiTheme="minorHAnsi" w:cstheme="minorHAnsi"/>
        </w:rPr>
      </w:pPr>
      <w:r>
        <w:rPr>
          <w:rFonts w:asciiTheme="minorHAnsi" w:hAnsiTheme="minorHAnsi" w:cstheme="minorHAnsi"/>
        </w:rPr>
        <w:t>Client Dimension – Holding client name, type (amateur, professional, film, studio) and location.</w:t>
      </w:r>
    </w:p>
    <w:p w14:paraId="74E5E8B4" w14:textId="0A528BEA" w:rsidR="0055717A" w:rsidRDefault="0055717A" w:rsidP="0055717A">
      <w:pPr>
        <w:pStyle w:val="ListParagraph"/>
        <w:numPr>
          <w:ilvl w:val="0"/>
          <w:numId w:val="9"/>
        </w:numPr>
        <w:rPr>
          <w:rFonts w:asciiTheme="minorHAnsi" w:hAnsiTheme="minorHAnsi" w:cstheme="minorHAnsi"/>
        </w:rPr>
      </w:pPr>
      <w:r>
        <w:rPr>
          <w:rFonts w:asciiTheme="minorHAnsi" w:hAnsiTheme="minorHAnsi" w:cstheme="minorHAnsi"/>
        </w:rPr>
        <w:t>Item Dimension – Capturing item ID, description, category (costume or prop), specialist or common core classification, and home warehouse.</w:t>
      </w:r>
    </w:p>
    <w:p w14:paraId="52A531CB" w14:textId="54CDEB53" w:rsidR="0055717A" w:rsidRDefault="0055717A" w:rsidP="0055717A">
      <w:pPr>
        <w:pStyle w:val="ListParagraph"/>
        <w:numPr>
          <w:ilvl w:val="0"/>
          <w:numId w:val="9"/>
        </w:numPr>
        <w:rPr>
          <w:rFonts w:asciiTheme="minorHAnsi" w:hAnsiTheme="minorHAnsi" w:cstheme="minorHAnsi"/>
        </w:rPr>
      </w:pPr>
      <w:r>
        <w:rPr>
          <w:rFonts w:asciiTheme="minorHAnsi" w:hAnsiTheme="minorHAnsi" w:cstheme="minorHAnsi"/>
        </w:rPr>
        <w:t>Rental Scheme Dimension – Recording the scheme type, such as complete production set, individual item, room in a box, or emergency hire</w:t>
      </w:r>
      <w:r w:rsidR="0044282F">
        <w:rPr>
          <w:rFonts w:asciiTheme="minorHAnsi" w:hAnsiTheme="minorHAnsi" w:cstheme="minorHAnsi"/>
        </w:rPr>
        <w:t>.</w:t>
      </w:r>
    </w:p>
    <w:p w14:paraId="5E85F8A0" w14:textId="7A16A40D" w:rsidR="0044282F" w:rsidRDefault="0044282F" w:rsidP="0055717A">
      <w:pPr>
        <w:pStyle w:val="ListParagraph"/>
        <w:numPr>
          <w:ilvl w:val="0"/>
          <w:numId w:val="9"/>
        </w:numPr>
        <w:rPr>
          <w:rFonts w:asciiTheme="minorHAnsi" w:hAnsiTheme="minorHAnsi" w:cstheme="minorHAnsi"/>
        </w:rPr>
      </w:pPr>
      <w:r>
        <w:rPr>
          <w:rFonts w:asciiTheme="minorHAnsi" w:hAnsiTheme="minorHAnsi" w:cstheme="minorHAnsi"/>
        </w:rPr>
        <w:t>Warehouse Dimension – identifying which warehouse fulfilled the order and its geographic location.</w:t>
      </w:r>
    </w:p>
    <w:p w14:paraId="1514B2E7" w14:textId="77777777" w:rsidR="0044282F" w:rsidRDefault="0044282F" w:rsidP="0044282F">
      <w:pPr>
        <w:rPr>
          <w:rFonts w:asciiTheme="minorHAnsi" w:hAnsiTheme="minorHAnsi" w:cstheme="minorHAnsi"/>
        </w:rPr>
      </w:pPr>
    </w:p>
    <w:p w14:paraId="26845D04" w14:textId="1199FD4E" w:rsidR="0044282F" w:rsidRDefault="0044282F" w:rsidP="0044282F">
      <w:pPr>
        <w:rPr>
          <w:rFonts w:asciiTheme="minorHAnsi" w:hAnsiTheme="minorHAnsi" w:cstheme="minorHAnsi"/>
        </w:rPr>
      </w:pPr>
      <w:r>
        <w:rPr>
          <w:rFonts w:asciiTheme="minorHAnsi" w:hAnsiTheme="minorHAnsi" w:cstheme="minorHAnsi"/>
        </w:rPr>
        <w:t>Master data is held within the dimension tables themselves. The item dimension serves as the authoritative record for every prop and costume in the company’s inventory, and It is essential that this is treated as a single, governed source of truth across the entire warehouse [</w:t>
      </w:r>
      <w:r w:rsidR="00D1040A">
        <w:rPr>
          <w:rFonts w:asciiTheme="minorHAnsi" w:hAnsiTheme="minorHAnsi" w:cstheme="minorHAnsi"/>
        </w:rPr>
        <w:t>9</w:t>
      </w:r>
      <w:r>
        <w:rPr>
          <w:rFonts w:asciiTheme="minorHAnsi" w:hAnsiTheme="minorHAnsi" w:cstheme="minorHAnsi"/>
        </w:rPr>
        <w:t>] Metadata, such as the date a record was last updated or the source system that it originated from is stored as additional attributes within each dimension to support data lineage and auditing.</w:t>
      </w:r>
    </w:p>
    <w:p w14:paraId="2E814000" w14:textId="77777777" w:rsidR="0044282F" w:rsidRDefault="0044282F" w:rsidP="0044282F">
      <w:pPr>
        <w:rPr>
          <w:rFonts w:asciiTheme="minorHAnsi" w:hAnsiTheme="minorHAnsi" w:cstheme="minorHAnsi"/>
        </w:rPr>
      </w:pPr>
    </w:p>
    <w:p w14:paraId="04D4F549" w14:textId="46616529" w:rsidR="0044282F" w:rsidRDefault="0044282F" w:rsidP="0044282F">
      <w:pPr>
        <w:rPr>
          <w:rFonts w:asciiTheme="minorHAnsi" w:hAnsiTheme="minorHAnsi" w:cstheme="minorHAnsi"/>
        </w:rPr>
      </w:pPr>
      <w:r>
        <w:rPr>
          <w:rFonts w:asciiTheme="minorHAnsi" w:hAnsiTheme="minorHAnsi" w:cstheme="minorHAnsi"/>
        </w:rPr>
        <w:lastRenderedPageBreak/>
        <w:t xml:space="preserve">Aggregate tables are proposed for the </w:t>
      </w:r>
      <w:proofErr w:type="gramStart"/>
      <w:r>
        <w:rPr>
          <w:rFonts w:asciiTheme="minorHAnsi" w:hAnsiTheme="minorHAnsi" w:cstheme="minorHAnsi"/>
        </w:rPr>
        <w:t>most commonly queried</w:t>
      </w:r>
      <w:proofErr w:type="gramEnd"/>
      <w:r>
        <w:rPr>
          <w:rFonts w:asciiTheme="minorHAnsi" w:hAnsiTheme="minorHAnsi" w:cstheme="minorHAnsi"/>
        </w:rPr>
        <w:t xml:space="preserve"> metrics, including monthly revenue by warehouse, rental frequency by item category, and client order totals by quarter. Pre calculated summaries of this kind significantly improve query performance for the reports that the board already relies on monthly which avoids the need to scan the full fact table on every request [1</w:t>
      </w:r>
      <w:r w:rsidR="00D1040A">
        <w:rPr>
          <w:rFonts w:asciiTheme="minorHAnsi" w:hAnsiTheme="minorHAnsi" w:cstheme="minorHAnsi"/>
        </w:rPr>
        <w:t>0</w:t>
      </w:r>
      <w:r>
        <w:rPr>
          <w:rFonts w:asciiTheme="minorHAnsi" w:hAnsiTheme="minorHAnsi" w:cstheme="minorHAnsi"/>
        </w:rPr>
        <w:t>]</w:t>
      </w:r>
    </w:p>
    <w:p w14:paraId="39177AC7" w14:textId="77777777" w:rsidR="0044282F" w:rsidRDefault="0044282F" w:rsidP="0044282F">
      <w:pPr>
        <w:rPr>
          <w:rFonts w:asciiTheme="minorHAnsi" w:hAnsiTheme="minorHAnsi" w:cstheme="minorHAnsi"/>
        </w:rPr>
      </w:pPr>
    </w:p>
    <w:p w14:paraId="2269C525" w14:textId="418701E8" w:rsidR="0044282F" w:rsidRDefault="0044282F" w:rsidP="0044282F">
      <w:pPr>
        <w:rPr>
          <w:rFonts w:asciiTheme="minorHAnsi" w:hAnsiTheme="minorHAnsi" w:cstheme="minorHAnsi"/>
          <w:b/>
          <w:bCs/>
          <w:u w:val="single"/>
        </w:rPr>
      </w:pPr>
      <w:r>
        <w:rPr>
          <w:rFonts w:asciiTheme="minorHAnsi" w:hAnsiTheme="minorHAnsi" w:cstheme="minorHAnsi"/>
          <w:b/>
          <w:bCs/>
          <w:u w:val="single"/>
        </w:rPr>
        <w:t>Delivery Fact Table</w:t>
      </w:r>
    </w:p>
    <w:p w14:paraId="6BED5627" w14:textId="77777777" w:rsidR="0044282F" w:rsidRDefault="0044282F" w:rsidP="0044282F">
      <w:pPr>
        <w:rPr>
          <w:rFonts w:asciiTheme="minorHAnsi" w:hAnsiTheme="minorHAnsi" w:cstheme="minorHAnsi"/>
          <w:b/>
          <w:bCs/>
          <w:u w:val="single"/>
        </w:rPr>
      </w:pPr>
    </w:p>
    <w:p w14:paraId="5C2D9404" w14:textId="596E4BAA" w:rsidR="0044282F" w:rsidRDefault="0044282F" w:rsidP="0044282F">
      <w:pPr>
        <w:rPr>
          <w:rFonts w:asciiTheme="minorHAnsi" w:hAnsiTheme="minorHAnsi" w:cstheme="minorHAnsi"/>
        </w:rPr>
      </w:pPr>
      <w:r>
        <w:rPr>
          <w:rFonts w:asciiTheme="minorHAnsi" w:hAnsiTheme="minorHAnsi" w:cstheme="minorHAnsi"/>
        </w:rPr>
        <w:t>The delivery fact table captures each delivery and collection event recording the distance travelled, vehicle used, driver ID, fuel cost, and whether the delivery was standard or</w:t>
      </w:r>
      <w:r w:rsidR="005F6C08">
        <w:rPr>
          <w:rFonts w:asciiTheme="minorHAnsi" w:hAnsiTheme="minorHAnsi" w:cstheme="minorHAnsi"/>
        </w:rPr>
        <w:t xml:space="preserve"> staggered. It shares the date, warehouse, and client dimensions with the rental fact table which avoids duplication whilst allowing delivery costs to be analysed independently of rental revenue.</w:t>
      </w:r>
    </w:p>
    <w:p w14:paraId="7BC5AF49" w14:textId="77777777" w:rsidR="00F3288E" w:rsidRDefault="00F3288E" w:rsidP="0044282F">
      <w:pPr>
        <w:rPr>
          <w:rFonts w:asciiTheme="minorHAnsi" w:hAnsiTheme="minorHAnsi" w:cstheme="minorHAnsi"/>
        </w:rPr>
      </w:pPr>
    </w:p>
    <w:p w14:paraId="6CDE153B" w14:textId="52BA815C" w:rsidR="005F6C08" w:rsidRDefault="005F6C08" w:rsidP="0044282F">
      <w:pPr>
        <w:rPr>
          <w:rFonts w:asciiTheme="minorHAnsi" w:hAnsiTheme="minorHAnsi" w:cstheme="minorHAnsi"/>
        </w:rPr>
      </w:pPr>
      <w:r>
        <w:rPr>
          <w:rFonts w:asciiTheme="minorHAnsi" w:hAnsiTheme="minorHAnsi" w:cstheme="minorHAnsi"/>
        </w:rPr>
        <w:t xml:space="preserve">Together these two stars give </w:t>
      </w:r>
      <w:proofErr w:type="spellStart"/>
      <w:r>
        <w:rPr>
          <w:rFonts w:asciiTheme="minorHAnsi" w:hAnsiTheme="minorHAnsi" w:cstheme="minorHAnsi"/>
        </w:rPr>
        <w:t>Rags’n’Riches</w:t>
      </w:r>
      <w:proofErr w:type="spellEnd"/>
      <w:r>
        <w:rPr>
          <w:rFonts w:asciiTheme="minorHAnsi" w:hAnsiTheme="minorHAnsi" w:cstheme="minorHAnsi"/>
        </w:rPr>
        <w:t xml:space="preserve"> a comprehensive analytical foundation that reflects how the business operates.</w:t>
      </w:r>
    </w:p>
    <w:p w14:paraId="391A17A8" w14:textId="77777777" w:rsidR="005F6C08" w:rsidRDefault="005F6C08" w:rsidP="0044282F">
      <w:pPr>
        <w:rPr>
          <w:rFonts w:asciiTheme="minorHAnsi" w:hAnsiTheme="minorHAnsi" w:cstheme="minorHAnsi"/>
        </w:rPr>
      </w:pPr>
    </w:p>
    <w:p w14:paraId="5F424F35" w14:textId="77777777" w:rsidR="005F6C08" w:rsidRPr="0044282F" w:rsidRDefault="005F6C08" w:rsidP="0044282F">
      <w:pPr>
        <w:rPr>
          <w:rFonts w:asciiTheme="minorHAnsi" w:hAnsiTheme="minorHAnsi" w:cstheme="minorHAnsi"/>
        </w:rPr>
      </w:pPr>
    </w:p>
    <w:p w14:paraId="038E3F27" w14:textId="1D266B87" w:rsidR="00405D13" w:rsidRDefault="005F6C08" w:rsidP="005F6C08">
      <w:pPr>
        <w:pStyle w:val="Heading2"/>
      </w:pPr>
      <w:bookmarkStart w:id="6" w:name="_Toc229153982"/>
      <w:r>
        <w:t>2.3 Data Marts and Their Schemas</w:t>
      </w:r>
      <w:bookmarkEnd w:id="6"/>
    </w:p>
    <w:p w14:paraId="7262AD25" w14:textId="77777777" w:rsidR="005F6C08" w:rsidRDefault="005F6C08" w:rsidP="005F6C08"/>
    <w:p w14:paraId="6B415BEF" w14:textId="4A1416B7" w:rsidR="005F6C08" w:rsidRDefault="005F6C08" w:rsidP="005F6C08">
      <w:pPr>
        <w:rPr>
          <w:rFonts w:asciiTheme="minorHAnsi" w:hAnsiTheme="minorHAnsi" w:cstheme="minorHAnsi"/>
        </w:rPr>
      </w:pPr>
      <w:r>
        <w:rPr>
          <w:rFonts w:asciiTheme="minorHAnsi" w:hAnsiTheme="minorHAnsi" w:cstheme="minorHAnsi"/>
        </w:rPr>
        <w:t xml:space="preserve">As outlined in section 1.3, three data marts are proposed for </w:t>
      </w:r>
      <w:proofErr w:type="spellStart"/>
      <w:r>
        <w:rPr>
          <w:rFonts w:asciiTheme="minorHAnsi" w:hAnsiTheme="minorHAnsi" w:cstheme="minorHAnsi"/>
        </w:rPr>
        <w:t>Rags’n’Riches</w:t>
      </w:r>
      <w:proofErr w:type="spellEnd"/>
      <w:r>
        <w:rPr>
          <w:rFonts w:asciiTheme="minorHAnsi" w:hAnsiTheme="minorHAnsi" w:cstheme="minorHAnsi"/>
        </w:rPr>
        <w:t>. Now that the full star schema has been established, it is possible to define precisely which data each mart will extract from the central warehouse [1</w:t>
      </w:r>
      <w:r w:rsidR="00D1040A">
        <w:rPr>
          <w:rFonts w:asciiTheme="minorHAnsi" w:hAnsiTheme="minorHAnsi" w:cstheme="minorHAnsi"/>
        </w:rPr>
        <w:t>1</w:t>
      </w:r>
      <w:r>
        <w:rPr>
          <w:rFonts w:asciiTheme="minorHAnsi" w:hAnsiTheme="minorHAnsi" w:cstheme="minorHAnsi"/>
        </w:rPr>
        <w:t>]</w:t>
      </w:r>
    </w:p>
    <w:p w14:paraId="6637DA40" w14:textId="77777777" w:rsidR="005F6C08" w:rsidRDefault="005F6C08" w:rsidP="005F6C08">
      <w:pPr>
        <w:rPr>
          <w:rFonts w:asciiTheme="minorHAnsi" w:hAnsiTheme="minorHAnsi" w:cstheme="minorHAnsi"/>
        </w:rPr>
      </w:pPr>
    </w:p>
    <w:p w14:paraId="702A5D14" w14:textId="76A28D22" w:rsidR="005F6C08" w:rsidRDefault="005F6C08" w:rsidP="005F6C08">
      <w:pPr>
        <w:rPr>
          <w:rFonts w:asciiTheme="minorHAnsi" w:hAnsiTheme="minorHAnsi" w:cstheme="minorHAnsi"/>
          <w:b/>
          <w:bCs/>
          <w:u w:val="single"/>
        </w:rPr>
      </w:pPr>
      <w:r>
        <w:rPr>
          <w:rFonts w:asciiTheme="minorHAnsi" w:hAnsiTheme="minorHAnsi" w:cstheme="minorHAnsi"/>
          <w:b/>
          <w:bCs/>
          <w:u w:val="single"/>
        </w:rPr>
        <w:t>Managing Director Data Mart</w:t>
      </w:r>
    </w:p>
    <w:p w14:paraId="7B26CFE8" w14:textId="77777777" w:rsidR="005F6C08" w:rsidRDefault="005F6C08" w:rsidP="005F6C08">
      <w:pPr>
        <w:rPr>
          <w:rFonts w:asciiTheme="minorHAnsi" w:hAnsiTheme="minorHAnsi" w:cstheme="minorHAnsi"/>
          <w:b/>
          <w:bCs/>
          <w:u w:val="single"/>
        </w:rPr>
      </w:pPr>
    </w:p>
    <w:p w14:paraId="5D726F7B" w14:textId="7EA49196" w:rsidR="005F6C08" w:rsidRDefault="005F6C08" w:rsidP="005F6C08">
      <w:pPr>
        <w:rPr>
          <w:rFonts w:asciiTheme="minorHAnsi" w:hAnsiTheme="minorHAnsi" w:cstheme="minorHAnsi"/>
        </w:rPr>
      </w:pPr>
      <w:r>
        <w:rPr>
          <w:rFonts w:asciiTheme="minorHAnsi" w:hAnsiTheme="minorHAnsi" w:cstheme="minorHAnsi"/>
        </w:rPr>
        <w:t xml:space="preserve">This mart draws from both the rental and delivery fact tables, aggregating data at a high level. It includes total rental revenue by warehouse, stock write-off rates, acquisition activity and overall order volumes by period. The managing director mart uses the warehouse, date, and item dimensions, pulling primarily from the aggregate tables to ensure fast and </w:t>
      </w:r>
      <w:proofErr w:type="gramStart"/>
      <w:r>
        <w:rPr>
          <w:rFonts w:asciiTheme="minorHAnsi" w:hAnsiTheme="minorHAnsi" w:cstheme="minorHAnsi"/>
        </w:rPr>
        <w:t>high level</w:t>
      </w:r>
      <w:proofErr w:type="gramEnd"/>
      <w:r>
        <w:rPr>
          <w:rFonts w:asciiTheme="minorHAnsi" w:hAnsiTheme="minorHAnsi" w:cstheme="minorHAnsi"/>
        </w:rPr>
        <w:t xml:space="preserve"> reporting.</w:t>
      </w:r>
    </w:p>
    <w:p w14:paraId="661C3AAB" w14:textId="77777777" w:rsidR="00B318AB" w:rsidRDefault="00B318AB" w:rsidP="005F6C08">
      <w:pPr>
        <w:rPr>
          <w:rFonts w:asciiTheme="minorHAnsi" w:hAnsiTheme="minorHAnsi" w:cstheme="minorHAnsi"/>
        </w:rPr>
      </w:pPr>
    </w:p>
    <w:p w14:paraId="03924E1C" w14:textId="77777777" w:rsidR="00484725" w:rsidRDefault="00484725" w:rsidP="005F6C08">
      <w:pPr>
        <w:rPr>
          <w:rFonts w:asciiTheme="minorHAnsi" w:hAnsiTheme="minorHAnsi" w:cstheme="minorHAnsi"/>
        </w:rPr>
      </w:pPr>
    </w:p>
    <w:p w14:paraId="54D96B6C" w14:textId="229F366E" w:rsidR="00B318AB" w:rsidRDefault="00B318AB" w:rsidP="005F6C08">
      <w:pPr>
        <w:rPr>
          <w:rFonts w:asciiTheme="minorHAnsi" w:hAnsiTheme="minorHAnsi" w:cstheme="minorHAnsi"/>
          <w:b/>
          <w:bCs/>
          <w:u w:val="single"/>
        </w:rPr>
      </w:pPr>
      <w:r>
        <w:rPr>
          <w:rFonts w:asciiTheme="minorHAnsi" w:hAnsiTheme="minorHAnsi" w:cstheme="minorHAnsi"/>
          <w:b/>
          <w:bCs/>
          <w:u w:val="single"/>
        </w:rPr>
        <w:t>Finance Director Data Mart</w:t>
      </w:r>
    </w:p>
    <w:p w14:paraId="5239FDB0" w14:textId="77777777" w:rsidR="00B318AB" w:rsidRDefault="00B318AB" w:rsidP="005F6C08">
      <w:pPr>
        <w:rPr>
          <w:rFonts w:asciiTheme="minorHAnsi" w:hAnsiTheme="minorHAnsi" w:cstheme="minorHAnsi"/>
          <w:b/>
          <w:bCs/>
          <w:u w:val="single"/>
        </w:rPr>
      </w:pPr>
    </w:p>
    <w:p w14:paraId="4DAEFB5A" w14:textId="5C2D236F" w:rsidR="00B318AB" w:rsidRDefault="00B318AB" w:rsidP="005F6C08">
      <w:pPr>
        <w:rPr>
          <w:rFonts w:asciiTheme="minorHAnsi" w:hAnsiTheme="minorHAnsi" w:cstheme="minorHAnsi"/>
        </w:rPr>
      </w:pPr>
      <w:r>
        <w:rPr>
          <w:rFonts w:asciiTheme="minorHAnsi" w:hAnsiTheme="minorHAnsi" w:cstheme="minorHAnsi"/>
        </w:rPr>
        <w:t>This mart focuses on the financial dimensions of the business. It extracts rental revenue, discount and surcharge breakdowns, delivery cost data from the delivery fact table, invoice payment timelines and damage compensation records. It draws on the client, date, rental scheme, and warehouse dimensions. Given the sensitivity of this data access controls at the mart level ensure that detailed financial records remain restricted to the finance team [1</w:t>
      </w:r>
      <w:r w:rsidR="00D1040A">
        <w:rPr>
          <w:rFonts w:asciiTheme="minorHAnsi" w:hAnsiTheme="minorHAnsi" w:cstheme="minorHAnsi"/>
        </w:rPr>
        <w:t>2</w:t>
      </w:r>
      <w:r>
        <w:rPr>
          <w:rFonts w:asciiTheme="minorHAnsi" w:hAnsiTheme="minorHAnsi" w:cstheme="minorHAnsi"/>
        </w:rPr>
        <w:t>]</w:t>
      </w:r>
    </w:p>
    <w:p w14:paraId="5230C786" w14:textId="77777777" w:rsidR="00B318AB" w:rsidRDefault="00B318AB" w:rsidP="005F6C08">
      <w:pPr>
        <w:rPr>
          <w:rFonts w:asciiTheme="minorHAnsi" w:hAnsiTheme="minorHAnsi" w:cstheme="minorHAnsi"/>
        </w:rPr>
      </w:pPr>
    </w:p>
    <w:p w14:paraId="0F7A09A6" w14:textId="77777777" w:rsidR="00B318AB" w:rsidRDefault="00B318AB" w:rsidP="005F6C08">
      <w:pPr>
        <w:rPr>
          <w:rFonts w:asciiTheme="minorHAnsi" w:hAnsiTheme="minorHAnsi" w:cstheme="minorHAnsi"/>
          <w:b/>
          <w:bCs/>
          <w:u w:val="single"/>
        </w:rPr>
      </w:pPr>
    </w:p>
    <w:p w14:paraId="6F89C2EF" w14:textId="1BD32D35" w:rsidR="00B318AB" w:rsidRDefault="00B318AB" w:rsidP="005F6C08">
      <w:pPr>
        <w:rPr>
          <w:rFonts w:asciiTheme="minorHAnsi" w:hAnsiTheme="minorHAnsi" w:cstheme="minorHAnsi"/>
        </w:rPr>
      </w:pPr>
      <w:r>
        <w:rPr>
          <w:rFonts w:asciiTheme="minorHAnsi" w:hAnsiTheme="minorHAnsi" w:cstheme="minorHAnsi"/>
          <w:b/>
          <w:bCs/>
          <w:u w:val="single"/>
        </w:rPr>
        <w:t>Sales and Marketing Data Mart</w:t>
      </w:r>
      <w:r>
        <w:rPr>
          <w:rFonts w:asciiTheme="minorHAnsi" w:hAnsiTheme="minorHAnsi" w:cstheme="minorHAnsi"/>
        </w:rPr>
        <w:t xml:space="preserve"> </w:t>
      </w:r>
    </w:p>
    <w:p w14:paraId="5289F13F" w14:textId="77777777" w:rsidR="00B318AB" w:rsidRDefault="00B318AB" w:rsidP="005F6C08">
      <w:pPr>
        <w:rPr>
          <w:rFonts w:asciiTheme="minorHAnsi" w:hAnsiTheme="minorHAnsi" w:cstheme="minorHAnsi"/>
        </w:rPr>
      </w:pPr>
    </w:p>
    <w:p w14:paraId="33C99FA4" w14:textId="180B1C49" w:rsidR="00B318AB" w:rsidRDefault="00B318AB" w:rsidP="005F6C08">
      <w:pPr>
        <w:rPr>
          <w:rFonts w:asciiTheme="minorHAnsi" w:hAnsiTheme="minorHAnsi" w:cstheme="minorHAnsi"/>
        </w:rPr>
      </w:pPr>
      <w:r>
        <w:rPr>
          <w:rFonts w:asciiTheme="minorHAnsi" w:hAnsiTheme="minorHAnsi" w:cstheme="minorHAnsi"/>
        </w:rPr>
        <w:t xml:space="preserve">This mart centres on client and product performance. It extracts rental frequency by item category, client order history, seasonal demand patterns and rental scheme popularity. It draws on the client, item, rental </w:t>
      </w:r>
      <w:proofErr w:type="gramStart"/>
      <w:r>
        <w:rPr>
          <w:rFonts w:asciiTheme="minorHAnsi" w:hAnsiTheme="minorHAnsi" w:cstheme="minorHAnsi"/>
        </w:rPr>
        <w:t>scheme</w:t>
      </w:r>
      <w:proofErr w:type="gramEnd"/>
      <w:r>
        <w:rPr>
          <w:rFonts w:asciiTheme="minorHAnsi" w:hAnsiTheme="minorHAnsi" w:cstheme="minorHAnsi"/>
        </w:rPr>
        <w:t xml:space="preserve"> and date dimensions which gives the sales team </w:t>
      </w:r>
      <w:r>
        <w:rPr>
          <w:rFonts w:asciiTheme="minorHAnsi" w:hAnsiTheme="minorHAnsi" w:cstheme="minorHAnsi"/>
        </w:rPr>
        <w:lastRenderedPageBreak/>
        <w:t xml:space="preserve">the insight needed to make informed </w:t>
      </w:r>
      <w:r w:rsidR="00D3207E">
        <w:rPr>
          <w:rFonts w:asciiTheme="minorHAnsi" w:hAnsiTheme="minorHAnsi" w:cstheme="minorHAnsi"/>
        </w:rPr>
        <w:t>decisions about pricing and client engagement without exposing underlying financial data.</w:t>
      </w:r>
    </w:p>
    <w:p w14:paraId="71B5C963" w14:textId="77777777" w:rsidR="00D3207E" w:rsidRDefault="00D3207E" w:rsidP="005F6C08">
      <w:pPr>
        <w:rPr>
          <w:rFonts w:asciiTheme="minorHAnsi" w:hAnsiTheme="minorHAnsi" w:cstheme="minorHAnsi"/>
        </w:rPr>
      </w:pPr>
    </w:p>
    <w:p w14:paraId="075671ED" w14:textId="35853258" w:rsidR="00D3207E" w:rsidRDefault="00D3207E" w:rsidP="00D3207E">
      <w:pPr>
        <w:pStyle w:val="Heading2"/>
      </w:pPr>
      <w:bookmarkStart w:id="7" w:name="_Toc229153983"/>
      <w:r>
        <w:t>2.4 Simplified ETL Plan</w:t>
      </w:r>
      <w:bookmarkEnd w:id="7"/>
    </w:p>
    <w:p w14:paraId="76424E3C" w14:textId="77777777" w:rsidR="00D3207E" w:rsidRDefault="00D3207E" w:rsidP="00D3207E"/>
    <w:p w14:paraId="3654CAE2" w14:textId="5264F21E" w:rsidR="00D3207E" w:rsidRDefault="00D3207E" w:rsidP="00D3207E">
      <w:pPr>
        <w:rPr>
          <w:rFonts w:asciiTheme="minorHAnsi" w:hAnsiTheme="minorHAnsi" w:cstheme="minorHAnsi"/>
        </w:rPr>
      </w:pPr>
      <w:r>
        <w:rPr>
          <w:rFonts w:asciiTheme="minorHAnsi" w:hAnsiTheme="minorHAnsi" w:cstheme="minorHAnsi"/>
        </w:rPr>
        <w:t>The table below summarises the source, transformation requirements and load destination for each major table in the warehouse:</w:t>
      </w:r>
    </w:p>
    <w:p w14:paraId="49DF596B" w14:textId="77777777" w:rsidR="00D3207E" w:rsidRDefault="00D3207E" w:rsidP="00D3207E">
      <w:pPr>
        <w:rPr>
          <w:rFonts w:asciiTheme="minorHAnsi" w:hAnsiTheme="minorHAnsi" w:cstheme="minorHAnsi"/>
        </w:rPr>
      </w:pPr>
    </w:p>
    <w:tbl>
      <w:tblPr>
        <w:tblStyle w:val="TableGrid"/>
        <w:tblW w:w="0" w:type="auto"/>
        <w:tblLook w:val="04A0" w:firstRow="1" w:lastRow="0" w:firstColumn="1" w:lastColumn="0" w:noHBand="0" w:noVBand="1"/>
      </w:tblPr>
      <w:tblGrid>
        <w:gridCol w:w="2254"/>
        <w:gridCol w:w="2254"/>
        <w:gridCol w:w="2254"/>
        <w:gridCol w:w="2254"/>
      </w:tblGrid>
      <w:tr w:rsidR="00D3207E" w14:paraId="6A0465F1" w14:textId="77777777" w:rsidTr="00D3207E">
        <w:tc>
          <w:tcPr>
            <w:tcW w:w="2254" w:type="dxa"/>
          </w:tcPr>
          <w:p w14:paraId="024C5D13" w14:textId="517B6DFC" w:rsidR="00D3207E" w:rsidRDefault="00D3207E" w:rsidP="00D3207E">
            <w:pPr>
              <w:rPr>
                <w:rFonts w:asciiTheme="minorHAnsi" w:hAnsiTheme="minorHAnsi" w:cstheme="minorHAnsi"/>
              </w:rPr>
            </w:pPr>
            <w:r>
              <w:rPr>
                <w:rFonts w:asciiTheme="minorHAnsi" w:hAnsiTheme="minorHAnsi" w:cstheme="minorHAnsi"/>
              </w:rPr>
              <w:t>Table</w:t>
            </w:r>
          </w:p>
        </w:tc>
        <w:tc>
          <w:tcPr>
            <w:tcW w:w="2254" w:type="dxa"/>
          </w:tcPr>
          <w:p w14:paraId="469B493D" w14:textId="02F03A63" w:rsidR="00D3207E" w:rsidRDefault="00D3207E" w:rsidP="00D3207E">
            <w:pPr>
              <w:rPr>
                <w:rFonts w:asciiTheme="minorHAnsi" w:hAnsiTheme="minorHAnsi" w:cstheme="minorHAnsi"/>
              </w:rPr>
            </w:pPr>
            <w:r>
              <w:rPr>
                <w:rFonts w:asciiTheme="minorHAnsi" w:hAnsiTheme="minorHAnsi" w:cstheme="minorHAnsi"/>
              </w:rPr>
              <w:t>Source System</w:t>
            </w:r>
          </w:p>
        </w:tc>
        <w:tc>
          <w:tcPr>
            <w:tcW w:w="2254" w:type="dxa"/>
          </w:tcPr>
          <w:p w14:paraId="4E5590DD" w14:textId="28ED9C5B" w:rsidR="00D3207E" w:rsidRDefault="00D3207E" w:rsidP="00D3207E">
            <w:pPr>
              <w:rPr>
                <w:rFonts w:asciiTheme="minorHAnsi" w:hAnsiTheme="minorHAnsi" w:cstheme="minorHAnsi"/>
              </w:rPr>
            </w:pPr>
            <w:r>
              <w:rPr>
                <w:rFonts w:asciiTheme="minorHAnsi" w:hAnsiTheme="minorHAnsi" w:cstheme="minorHAnsi"/>
              </w:rPr>
              <w:t>Transformations Required</w:t>
            </w:r>
          </w:p>
        </w:tc>
        <w:tc>
          <w:tcPr>
            <w:tcW w:w="2254" w:type="dxa"/>
          </w:tcPr>
          <w:p w14:paraId="43A347C0" w14:textId="0D026A1B" w:rsidR="00D3207E" w:rsidRDefault="00D3207E" w:rsidP="00D3207E">
            <w:pPr>
              <w:rPr>
                <w:rFonts w:asciiTheme="minorHAnsi" w:hAnsiTheme="minorHAnsi" w:cstheme="minorHAnsi"/>
              </w:rPr>
            </w:pPr>
            <w:r>
              <w:rPr>
                <w:rFonts w:asciiTheme="minorHAnsi" w:hAnsiTheme="minorHAnsi" w:cstheme="minorHAnsi"/>
              </w:rPr>
              <w:t>Load Destination</w:t>
            </w:r>
          </w:p>
        </w:tc>
      </w:tr>
      <w:tr w:rsidR="00D3207E" w14:paraId="029752AD" w14:textId="77777777" w:rsidTr="00D3207E">
        <w:tc>
          <w:tcPr>
            <w:tcW w:w="2254" w:type="dxa"/>
          </w:tcPr>
          <w:p w14:paraId="45C7BC8C" w14:textId="05DC7360" w:rsidR="00D3207E" w:rsidRDefault="00D3207E" w:rsidP="00D3207E">
            <w:pPr>
              <w:rPr>
                <w:rFonts w:asciiTheme="minorHAnsi" w:hAnsiTheme="minorHAnsi" w:cstheme="minorHAnsi"/>
              </w:rPr>
            </w:pPr>
            <w:r>
              <w:rPr>
                <w:rFonts w:asciiTheme="minorHAnsi" w:hAnsiTheme="minorHAnsi" w:cstheme="minorHAnsi"/>
              </w:rPr>
              <w:t>Rental Fact</w:t>
            </w:r>
          </w:p>
        </w:tc>
        <w:tc>
          <w:tcPr>
            <w:tcW w:w="2254" w:type="dxa"/>
          </w:tcPr>
          <w:p w14:paraId="1A991337" w14:textId="4F0A6224" w:rsidR="00D3207E" w:rsidRDefault="00D3207E" w:rsidP="00D3207E">
            <w:pPr>
              <w:rPr>
                <w:rFonts w:asciiTheme="minorHAnsi" w:hAnsiTheme="minorHAnsi" w:cstheme="minorHAnsi"/>
              </w:rPr>
            </w:pPr>
            <w:r>
              <w:rPr>
                <w:rFonts w:asciiTheme="minorHAnsi" w:hAnsiTheme="minorHAnsi" w:cstheme="minorHAnsi"/>
              </w:rPr>
              <w:t>Orders database</w:t>
            </w:r>
          </w:p>
        </w:tc>
        <w:tc>
          <w:tcPr>
            <w:tcW w:w="2254" w:type="dxa"/>
          </w:tcPr>
          <w:p w14:paraId="7D82DBF9" w14:textId="3062EDA6" w:rsidR="00D3207E" w:rsidRDefault="00D3207E" w:rsidP="00D3207E">
            <w:pPr>
              <w:rPr>
                <w:rFonts w:asciiTheme="minorHAnsi" w:hAnsiTheme="minorHAnsi" w:cstheme="minorHAnsi"/>
              </w:rPr>
            </w:pPr>
            <w:r>
              <w:rPr>
                <w:rFonts w:asciiTheme="minorHAnsi" w:hAnsiTheme="minorHAnsi" w:cstheme="minorHAnsi"/>
              </w:rPr>
              <w:t>Standardise client IDs calculate total rental value, apply discount and surcharge logic</w:t>
            </w:r>
          </w:p>
        </w:tc>
        <w:tc>
          <w:tcPr>
            <w:tcW w:w="2254" w:type="dxa"/>
          </w:tcPr>
          <w:p w14:paraId="203DEC1A" w14:textId="265F8AAC" w:rsidR="00D3207E" w:rsidRDefault="00D3207E" w:rsidP="00D3207E">
            <w:pPr>
              <w:rPr>
                <w:rFonts w:asciiTheme="minorHAnsi" w:hAnsiTheme="minorHAnsi" w:cstheme="minorHAnsi"/>
              </w:rPr>
            </w:pPr>
            <w:r>
              <w:rPr>
                <w:rFonts w:asciiTheme="minorHAnsi" w:hAnsiTheme="minorHAnsi" w:cstheme="minorHAnsi"/>
              </w:rPr>
              <w:t>Central Warehouse</w:t>
            </w:r>
          </w:p>
        </w:tc>
      </w:tr>
      <w:tr w:rsidR="00D3207E" w14:paraId="45CB1823" w14:textId="77777777" w:rsidTr="00D3207E">
        <w:tc>
          <w:tcPr>
            <w:tcW w:w="2254" w:type="dxa"/>
          </w:tcPr>
          <w:p w14:paraId="024B774A" w14:textId="0027DFD2" w:rsidR="00D3207E" w:rsidRDefault="00D3207E" w:rsidP="00D3207E">
            <w:pPr>
              <w:rPr>
                <w:rFonts w:asciiTheme="minorHAnsi" w:hAnsiTheme="minorHAnsi" w:cstheme="minorHAnsi"/>
              </w:rPr>
            </w:pPr>
            <w:r>
              <w:rPr>
                <w:rFonts w:asciiTheme="minorHAnsi" w:hAnsiTheme="minorHAnsi" w:cstheme="minorHAnsi"/>
              </w:rPr>
              <w:t>Delivery Fact</w:t>
            </w:r>
          </w:p>
        </w:tc>
        <w:tc>
          <w:tcPr>
            <w:tcW w:w="2254" w:type="dxa"/>
          </w:tcPr>
          <w:p w14:paraId="242C0D75" w14:textId="5A4AD5A9" w:rsidR="00D3207E" w:rsidRDefault="00D3207E" w:rsidP="00D3207E">
            <w:pPr>
              <w:rPr>
                <w:rFonts w:asciiTheme="minorHAnsi" w:hAnsiTheme="minorHAnsi" w:cstheme="minorHAnsi"/>
              </w:rPr>
            </w:pPr>
            <w:r>
              <w:rPr>
                <w:rFonts w:asciiTheme="minorHAnsi" w:hAnsiTheme="minorHAnsi" w:cstheme="minorHAnsi"/>
              </w:rPr>
              <w:t>Transport Database</w:t>
            </w:r>
          </w:p>
        </w:tc>
        <w:tc>
          <w:tcPr>
            <w:tcW w:w="2254" w:type="dxa"/>
          </w:tcPr>
          <w:p w14:paraId="490CF520" w14:textId="3622FBCE" w:rsidR="00D3207E" w:rsidRDefault="00D3207E" w:rsidP="00D3207E">
            <w:pPr>
              <w:rPr>
                <w:rFonts w:asciiTheme="minorHAnsi" w:hAnsiTheme="minorHAnsi" w:cstheme="minorHAnsi"/>
              </w:rPr>
            </w:pPr>
            <w:r>
              <w:rPr>
                <w:rFonts w:asciiTheme="minorHAnsi" w:hAnsiTheme="minorHAnsi" w:cstheme="minorHAnsi"/>
              </w:rPr>
              <w:t xml:space="preserve">Standardise vehicle and drivers IDs, calculate delivery cost from milage </w:t>
            </w:r>
            <w:r w:rsidR="000A5843">
              <w:rPr>
                <w:rFonts w:asciiTheme="minorHAnsi" w:hAnsiTheme="minorHAnsi" w:cstheme="minorHAnsi"/>
              </w:rPr>
              <w:t>and fuel card data</w:t>
            </w:r>
          </w:p>
        </w:tc>
        <w:tc>
          <w:tcPr>
            <w:tcW w:w="2254" w:type="dxa"/>
          </w:tcPr>
          <w:p w14:paraId="1124A498" w14:textId="508DC0F1" w:rsidR="00D3207E" w:rsidRDefault="00D3207E" w:rsidP="00D3207E">
            <w:pPr>
              <w:rPr>
                <w:rFonts w:asciiTheme="minorHAnsi" w:hAnsiTheme="minorHAnsi" w:cstheme="minorHAnsi"/>
              </w:rPr>
            </w:pPr>
            <w:r>
              <w:rPr>
                <w:rFonts w:asciiTheme="minorHAnsi" w:hAnsiTheme="minorHAnsi" w:cstheme="minorHAnsi"/>
              </w:rPr>
              <w:t>Central Warehouse</w:t>
            </w:r>
          </w:p>
        </w:tc>
      </w:tr>
      <w:tr w:rsidR="00D3207E" w14:paraId="6A743614" w14:textId="77777777" w:rsidTr="00D3207E">
        <w:tc>
          <w:tcPr>
            <w:tcW w:w="2254" w:type="dxa"/>
          </w:tcPr>
          <w:p w14:paraId="1B69C40B" w14:textId="0C5F849E" w:rsidR="00D3207E" w:rsidRDefault="00D3207E" w:rsidP="00D3207E">
            <w:pPr>
              <w:rPr>
                <w:rFonts w:asciiTheme="minorHAnsi" w:hAnsiTheme="minorHAnsi" w:cstheme="minorHAnsi"/>
              </w:rPr>
            </w:pPr>
            <w:r>
              <w:rPr>
                <w:rFonts w:asciiTheme="minorHAnsi" w:hAnsiTheme="minorHAnsi" w:cstheme="minorHAnsi"/>
              </w:rPr>
              <w:t>Date Dimension</w:t>
            </w:r>
          </w:p>
        </w:tc>
        <w:tc>
          <w:tcPr>
            <w:tcW w:w="2254" w:type="dxa"/>
          </w:tcPr>
          <w:p w14:paraId="43929EDB" w14:textId="2AB927AC" w:rsidR="00D3207E" w:rsidRDefault="000A5843" w:rsidP="00D3207E">
            <w:pPr>
              <w:rPr>
                <w:rFonts w:asciiTheme="minorHAnsi" w:hAnsiTheme="minorHAnsi" w:cstheme="minorHAnsi"/>
              </w:rPr>
            </w:pPr>
            <w:r>
              <w:rPr>
                <w:rFonts w:asciiTheme="minorHAnsi" w:hAnsiTheme="minorHAnsi" w:cstheme="minorHAnsi"/>
              </w:rPr>
              <w:t>Generated</w:t>
            </w:r>
          </w:p>
        </w:tc>
        <w:tc>
          <w:tcPr>
            <w:tcW w:w="2254" w:type="dxa"/>
          </w:tcPr>
          <w:p w14:paraId="6AE50E9F" w14:textId="4094DC3B" w:rsidR="00D3207E" w:rsidRDefault="000A5843" w:rsidP="00D3207E">
            <w:pPr>
              <w:rPr>
                <w:rFonts w:asciiTheme="minorHAnsi" w:hAnsiTheme="minorHAnsi" w:cstheme="minorHAnsi"/>
              </w:rPr>
            </w:pPr>
            <w:r>
              <w:rPr>
                <w:rFonts w:asciiTheme="minorHAnsi" w:hAnsiTheme="minorHAnsi" w:cstheme="minorHAnsi"/>
              </w:rPr>
              <w:t xml:space="preserve">Create full date hierarchy including day, week, month, season, </w:t>
            </w:r>
            <w:proofErr w:type="gramStart"/>
            <w:r>
              <w:rPr>
                <w:rFonts w:asciiTheme="minorHAnsi" w:hAnsiTheme="minorHAnsi" w:cstheme="minorHAnsi"/>
              </w:rPr>
              <w:t>quarter</w:t>
            </w:r>
            <w:proofErr w:type="gramEnd"/>
            <w:r>
              <w:rPr>
                <w:rFonts w:asciiTheme="minorHAnsi" w:hAnsiTheme="minorHAnsi" w:cstheme="minorHAnsi"/>
              </w:rPr>
              <w:t xml:space="preserve"> and year</w:t>
            </w:r>
          </w:p>
        </w:tc>
        <w:tc>
          <w:tcPr>
            <w:tcW w:w="2254" w:type="dxa"/>
          </w:tcPr>
          <w:p w14:paraId="706EEC82" w14:textId="692FB06B" w:rsidR="00D3207E" w:rsidRDefault="00D3207E" w:rsidP="00D3207E">
            <w:pPr>
              <w:rPr>
                <w:rFonts w:asciiTheme="minorHAnsi" w:hAnsiTheme="minorHAnsi" w:cstheme="minorHAnsi"/>
              </w:rPr>
            </w:pPr>
            <w:r>
              <w:rPr>
                <w:rFonts w:asciiTheme="minorHAnsi" w:hAnsiTheme="minorHAnsi" w:cstheme="minorHAnsi"/>
              </w:rPr>
              <w:t>Central Warehouse</w:t>
            </w:r>
          </w:p>
        </w:tc>
      </w:tr>
      <w:tr w:rsidR="00D3207E" w14:paraId="4DDF10C4" w14:textId="77777777" w:rsidTr="00D3207E">
        <w:tc>
          <w:tcPr>
            <w:tcW w:w="2254" w:type="dxa"/>
          </w:tcPr>
          <w:p w14:paraId="074B8B0A" w14:textId="5B87C33C" w:rsidR="00D3207E" w:rsidRDefault="00D3207E" w:rsidP="00D3207E">
            <w:pPr>
              <w:rPr>
                <w:rFonts w:asciiTheme="minorHAnsi" w:hAnsiTheme="minorHAnsi" w:cstheme="minorHAnsi"/>
              </w:rPr>
            </w:pPr>
            <w:r>
              <w:rPr>
                <w:rFonts w:asciiTheme="minorHAnsi" w:hAnsiTheme="minorHAnsi" w:cstheme="minorHAnsi"/>
              </w:rPr>
              <w:t>Client Dimension</w:t>
            </w:r>
          </w:p>
        </w:tc>
        <w:tc>
          <w:tcPr>
            <w:tcW w:w="2254" w:type="dxa"/>
          </w:tcPr>
          <w:p w14:paraId="7821B614" w14:textId="1D7B7061" w:rsidR="00D3207E" w:rsidRDefault="000A5843" w:rsidP="00D3207E">
            <w:pPr>
              <w:rPr>
                <w:rFonts w:asciiTheme="minorHAnsi" w:hAnsiTheme="minorHAnsi" w:cstheme="minorHAnsi"/>
              </w:rPr>
            </w:pPr>
            <w:r>
              <w:rPr>
                <w:rFonts w:asciiTheme="minorHAnsi" w:hAnsiTheme="minorHAnsi" w:cstheme="minorHAnsi"/>
              </w:rPr>
              <w:t>Orders and invoicing database</w:t>
            </w:r>
          </w:p>
        </w:tc>
        <w:tc>
          <w:tcPr>
            <w:tcW w:w="2254" w:type="dxa"/>
          </w:tcPr>
          <w:p w14:paraId="405306FD" w14:textId="2B584A13" w:rsidR="00D3207E" w:rsidRDefault="000A5843" w:rsidP="00D3207E">
            <w:pPr>
              <w:rPr>
                <w:rFonts w:asciiTheme="minorHAnsi" w:hAnsiTheme="minorHAnsi" w:cstheme="minorHAnsi"/>
              </w:rPr>
            </w:pPr>
            <w:r>
              <w:rPr>
                <w:rFonts w:asciiTheme="minorHAnsi" w:hAnsiTheme="minorHAnsi" w:cstheme="minorHAnsi"/>
              </w:rPr>
              <w:t>Deduplicate client records, standardise naming conventions</w:t>
            </w:r>
          </w:p>
        </w:tc>
        <w:tc>
          <w:tcPr>
            <w:tcW w:w="2254" w:type="dxa"/>
          </w:tcPr>
          <w:p w14:paraId="4C3FFD23" w14:textId="658FF506" w:rsidR="00D3207E" w:rsidRDefault="00D3207E" w:rsidP="00D3207E">
            <w:pPr>
              <w:rPr>
                <w:rFonts w:asciiTheme="minorHAnsi" w:hAnsiTheme="minorHAnsi" w:cstheme="minorHAnsi"/>
              </w:rPr>
            </w:pPr>
            <w:r>
              <w:rPr>
                <w:rFonts w:asciiTheme="minorHAnsi" w:hAnsiTheme="minorHAnsi" w:cstheme="minorHAnsi"/>
              </w:rPr>
              <w:t>Central Warehouse</w:t>
            </w:r>
          </w:p>
        </w:tc>
      </w:tr>
      <w:tr w:rsidR="00D3207E" w14:paraId="414787B0" w14:textId="77777777" w:rsidTr="00D3207E">
        <w:tc>
          <w:tcPr>
            <w:tcW w:w="2254" w:type="dxa"/>
          </w:tcPr>
          <w:p w14:paraId="0192FC02" w14:textId="43505354" w:rsidR="00D3207E" w:rsidRDefault="00D3207E" w:rsidP="00D3207E">
            <w:pPr>
              <w:rPr>
                <w:rFonts w:asciiTheme="minorHAnsi" w:hAnsiTheme="minorHAnsi" w:cstheme="minorHAnsi"/>
              </w:rPr>
            </w:pPr>
            <w:r>
              <w:rPr>
                <w:rFonts w:asciiTheme="minorHAnsi" w:hAnsiTheme="minorHAnsi" w:cstheme="minorHAnsi"/>
              </w:rPr>
              <w:t>Item Dimension</w:t>
            </w:r>
          </w:p>
        </w:tc>
        <w:tc>
          <w:tcPr>
            <w:tcW w:w="2254" w:type="dxa"/>
          </w:tcPr>
          <w:p w14:paraId="7EDA932B" w14:textId="3E37DDBE" w:rsidR="00D3207E" w:rsidRDefault="000A5843" w:rsidP="00D3207E">
            <w:pPr>
              <w:rPr>
                <w:rFonts w:asciiTheme="minorHAnsi" w:hAnsiTheme="minorHAnsi" w:cstheme="minorHAnsi"/>
              </w:rPr>
            </w:pPr>
            <w:r>
              <w:rPr>
                <w:rFonts w:asciiTheme="minorHAnsi" w:hAnsiTheme="minorHAnsi" w:cstheme="minorHAnsi"/>
              </w:rPr>
              <w:t>Stock and inventory database</w:t>
            </w:r>
          </w:p>
        </w:tc>
        <w:tc>
          <w:tcPr>
            <w:tcW w:w="2254" w:type="dxa"/>
          </w:tcPr>
          <w:p w14:paraId="224CCC8A" w14:textId="24F956D6" w:rsidR="00D3207E" w:rsidRDefault="000A5843" w:rsidP="00D3207E">
            <w:pPr>
              <w:rPr>
                <w:rFonts w:asciiTheme="minorHAnsi" w:hAnsiTheme="minorHAnsi" w:cstheme="minorHAnsi"/>
              </w:rPr>
            </w:pPr>
            <w:r>
              <w:rPr>
                <w:rFonts w:asciiTheme="minorHAnsi" w:hAnsiTheme="minorHAnsi" w:cstheme="minorHAnsi"/>
              </w:rPr>
              <w:t>Resolve item ID conflicts across warehouses, classify as common core or specialist</w:t>
            </w:r>
          </w:p>
        </w:tc>
        <w:tc>
          <w:tcPr>
            <w:tcW w:w="2254" w:type="dxa"/>
          </w:tcPr>
          <w:p w14:paraId="774F88FF" w14:textId="5EB7E68E" w:rsidR="00D3207E" w:rsidRDefault="00D3207E" w:rsidP="00D3207E">
            <w:pPr>
              <w:rPr>
                <w:rFonts w:asciiTheme="minorHAnsi" w:hAnsiTheme="minorHAnsi" w:cstheme="minorHAnsi"/>
              </w:rPr>
            </w:pPr>
            <w:r>
              <w:rPr>
                <w:rFonts w:asciiTheme="minorHAnsi" w:hAnsiTheme="minorHAnsi" w:cstheme="minorHAnsi"/>
              </w:rPr>
              <w:t>Central Warehouse</w:t>
            </w:r>
          </w:p>
        </w:tc>
      </w:tr>
      <w:tr w:rsidR="00D3207E" w14:paraId="0F0323F6" w14:textId="77777777" w:rsidTr="00D3207E">
        <w:tc>
          <w:tcPr>
            <w:tcW w:w="2254" w:type="dxa"/>
          </w:tcPr>
          <w:p w14:paraId="702D37BD" w14:textId="37179041" w:rsidR="00D3207E" w:rsidRDefault="00D3207E" w:rsidP="00D3207E">
            <w:pPr>
              <w:rPr>
                <w:rFonts w:asciiTheme="minorHAnsi" w:hAnsiTheme="minorHAnsi" w:cstheme="minorHAnsi"/>
              </w:rPr>
            </w:pPr>
            <w:r>
              <w:rPr>
                <w:rFonts w:asciiTheme="minorHAnsi" w:hAnsiTheme="minorHAnsi" w:cstheme="minorHAnsi"/>
              </w:rPr>
              <w:t>Warehouse Dimension</w:t>
            </w:r>
          </w:p>
        </w:tc>
        <w:tc>
          <w:tcPr>
            <w:tcW w:w="2254" w:type="dxa"/>
          </w:tcPr>
          <w:p w14:paraId="11C02E78" w14:textId="1C7686E1" w:rsidR="00D3207E" w:rsidRDefault="000A5843" w:rsidP="00D3207E">
            <w:pPr>
              <w:rPr>
                <w:rFonts w:asciiTheme="minorHAnsi" w:hAnsiTheme="minorHAnsi" w:cstheme="minorHAnsi"/>
              </w:rPr>
            </w:pPr>
            <w:r>
              <w:rPr>
                <w:rFonts w:asciiTheme="minorHAnsi" w:hAnsiTheme="minorHAnsi" w:cstheme="minorHAnsi"/>
              </w:rPr>
              <w:t>Stock movement database</w:t>
            </w:r>
          </w:p>
        </w:tc>
        <w:tc>
          <w:tcPr>
            <w:tcW w:w="2254" w:type="dxa"/>
          </w:tcPr>
          <w:p w14:paraId="14C37F26" w14:textId="7E93FFA9" w:rsidR="00D3207E" w:rsidRDefault="000A5843" w:rsidP="00D3207E">
            <w:pPr>
              <w:rPr>
                <w:rFonts w:asciiTheme="minorHAnsi" w:hAnsiTheme="minorHAnsi" w:cstheme="minorHAnsi"/>
              </w:rPr>
            </w:pPr>
            <w:r>
              <w:rPr>
                <w:rFonts w:asciiTheme="minorHAnsi" w:hAnsiTheme="minorHAnsi" w:cstheme="minorHAnsi"/>
              </w:rPr>
              <w:t>Standardise warehouse names and locations</w:t>
            </w:r>
          </w:p>
        </w:tc>
        <w:tc>
          <w:tcPr>
            <w:tcW w:w="2254" w:type="dxa"/>
          </w:tcPr>
          <w:p w14:paraId="2AF18835" w14:textId="5014CDB2" w:rsidR="00D3207E" w:rsidRDefault="00D3207E" w:rsidP="00D3207E">
            <w:pPr>
              <w:rPr>
                <w:rFonts w:asciiTheme="minorHAnsi" w:hAnsiTheme="minorHAnsi" w:cstheme="minorHAnsi"/>
              </w:rPr>
            </w:pPr>
            <w:r>
              <w:rPr>
                <w:rFonts w:asciiTheme="minorHAnsi" w:hAnsiTheme="minorHAnsi" w:cstheme="minorHAnsi"/>
              </w:rPr>
              <w:t>Central Warehouse</w:t>
            </w:r>
          </w:p>
        </w:tc>
      </w:tr>
      <w:tr w:rsidR="00D3207E" w14:paraId="4E77171F" w14:textId="77777777" w:rsidTr="00D3207E">
        <w:tc>
          <w:tcPr>
            <w:tcW w:w="2254" w:type="dxa"/>
          </w:tcPr>
          <w:p w14:paraId="06874B85" w14:textId="566E821C" w:rsidR="00D3207E" w:rsidRDefault="00D3207E" w:rsidP="00D3207E">
            <w:pPr>
              <w:rPr>
                <w:rFonts w:asciiTheme="minorHAnsi" w:hAnsiTheme="minorHAnsi" w:cstheme="minorHAnsi"/>
              </w:rPr>
            </w:pPr>
            <w:r>
              <w:rPr>
                <w:rFonts w:asciiTheme="minorHAnsi" w:hAnsiTheme="minorHAnsi" w:cstheme="minorHAnsi"/>
              </w:rPr>
              <w:t>Rental Scheme Dimension</w:t>
            </w:r>
          </w:p>
        </w:tc>
        <w:tc>
          <w:tcPr>
            <w:tcW w:w="2254" w:type="dxa"/>
          </w:tcPr>
          <w:p w14:paraId="0F68D4CF" w14:textId="0BA7EE2F" w:rsidR="00D3207E" w:rsidRDefault="000A5843" w:rsidP="00D3207E">
            <w:pPr>
              <w:rPr>
                <w:rFonts w:asciiTheme="minorHAnsi" w:hAnsiTheme="minorHAnsi" w:cstheme="minorHAnsi"/>
              </w:rPr>
            </w:pPr>
            <w:r>
              <w:rPr>
                <w:rFonts w:asciiTheme="minorHAnsi" w:hAnsiTheme="minorHAnsi" w:cstheme="minorHAnsi"/>
              </w:rPr>
              <w:t>Orders Database</w:t>
            </w:r>
          </w:p>
        </w:tc>
        <w:tc>
          <w:tcPr>
            <w:tcW w:w="2254" w:type="dxa"/>
          </w:tcPr>
          <w:p w14:paraId="43B8B21C" w14:textId="2717CDA4" w:rsidR="00D3207E" w:rsidRDefault="000A5843" w:rsidP="00D3207E">
            <w:pPr>
              <w:rPr>
                <w:rFonts w:asciiTheme="minorHAnsi" w:hAnsiTheme="minorHAnsi" w:cstheme="minorHAnsi"/>
              </w:rPr>
            </w:pPr>
            <w:r>
              <w:rPr>
                <w:rFonts w:asciiTheme="minorHAnsi" w:hAnsiTheme="minorHAnsi" w:cstheme="minorHAnsi"/>
              </w:rPr>
              <w:t>Categorise scheme types, standardise naming</w:t>
            </w:r>
          </w:p>
        </w:tc>
        <w:tc>
          <w:tcPr>
            <w:tcW w:w="2254" w:type="dxa"/>
          </w:tcPr>
          <w:p w14:paraId="1F95BCC2" w14:textId="49240606" w:rsidR="00D3207E" w:rsidRDefault="00D3207E" w:rsidP="00D3207E">
            <w:pPr>
              <w:rPr>
                <w:rFonts w:asciiTheme="minorHAnsi" w:hAnsiTheme="minorHAnsi" w:cstheme="minorHAnsi"/>
              </w:rPr>
            </w:pPr>
            <w:r>
              <w:rPr>
                <w:rFonts w:asciiTheme="minorHAnsi" w:hAnsiTheme="minorHAnsi" w:cstheme="minorHAnsi"/>
              </w:rPr>
              <w:t>Central Warehouse</w:t>
            </w:r>
          </w:p>
        </w:tc>
      </w:tr>
    </w:tbl>
    <w:p w14:paraId="09BA1900" w14:textId="77777777" w:rsidR="00D3207E" w:rsidRPr="00D3207E" w:rsidRDefault="00D3207E" w:rsidP="00D3207E">
      <w:pPr>
        <w:rPr>
          <w:rFonts w:asciiTheme="minorHAnsi" w:hAnsiTheme="minorHAnsi" w:cstheme="minorHAnsi"/>
        </w:rPr>
      </w:pPr>
    </w:p>
    <w:p w14:paraId="6344D0AB" w14:textId="77777777" w:rsidR="00B318AB" w:rsidRDefault="00B318AB" w:rsidP="005F6C08">
      <w:pPr>
        <w:rPr>
          <w:rFonts w:asciiTheme="minorHAnsi" w:hAnsiTheme="minorHAnsi" w:cstheme="minorHAnsi"/>
          <w:b/>
          <w:bCs/>
          <w:u w:val="single"/>
        </w:rPr>
      </w:pPr>
    </w:p>
    <w:p w14:paraId="1EC9DC3F" w14:textId="504D638F" w:rsidR="00B318AB" w:rsidRPr="005F6C08" w:rsidRDefault="000A5843" w:rsidP="005F6C08">
      <w:pPr>
        <w:rPr>
          <w:rFonts w:asciiTheme="minorHAnsi" w:hAnsiTheme="minorHAnsi" w:cstheme="minorHAnsi"/>
        </w:rPr>
      </w:pPr>
      <w:r>
        <w:rPr>
          <w:rFonts w:asciiTheme="minorHAnsi" w:hAnsiTheme="minorHAnsi" w:cstheme="minorHAnsi"/>
        </w:rPr>
        <w:t>All ETL processes run on a nightly scheduled basis to ensure the warehouse reflects the previous day’s activity without impacting live operations.</w:t>
      </w:r>
    </w:p>
    <w:p w14:paraId="01BC415C" w14:textId="77777777" w:rsidR="00405D13" w:rsidRDefault="00405D13"/>
    <w:p w14:paraId="1AA56E55" w14:textId="77777777" w:rsidR="00226B18" w:rsidRDefault="00226B18" w:rsidP="000A5843">
      <w:pPr>
        <w:pStyle w:val="Heading2"/>
      </w:pPr>
    </w:p>
    <w:p w14:paraId="398F7115" w14:textId="174A5B83" w:rsidR="000A5843" w:rsidRDefault="000A5843" w:rsidP="000A5843">
      <w:pPr>
        <w:pStyle w:val="Heading2"/>
      </w:pPr>
      <w:bookmarkStart w:id="8" w:name="_Toc229153984"/>
      <w:r>
        <w:t>2.5 Data Quality and Information Governance</w:t>
      </w:r>
      <w:bookmarkEnd w:id="8"/>
    </w:p>
    <w:p w14:paraId="1ABD3F24" w14:textId="77777777" w:rsidR="000A5843" w:rsidRDefault="000A5843" w:rsidP="000A5843"/>
    <w:p w14:paraId="56AC1046" w14:textId="2478A3EF" w:rsidR="000A5843" w:rsidRPr="000A5843" w:rsidRDefault="000A5843" w:rsidP="000A5843">
      <w:pPr>
        <w:rPr>
          <w:rFonts w:asciiTheme="minorHAnsi" w:hAnsiTheme="minorHAnsi" w:cstheme="minorHAnsi"/>
        </w:rPr>
      </w:pPr>
      <w:r>
        <w:rPr>
          <w:rFonts w:asciiTheme="minorHAnsi" w:hAnsiTheme="minorHAnsi" w:cstheme="minorHAnsi"/>
        </w:rPr>
        <w:t xml:space="preserve">Maintaining data quality is critical both during the ETL process and throughout the ongoing operation of the warehouse. Duplicate client records, inconsistent item classifications across warehouses, and missing delivery </w:t>
      </w:r>
      <w:r w:rsidR="004C1BAB">
        <w:rPr>
          <w:rFonts w:asciiTheme="minorHAnsi" w:hAnsiTheme="minorHAnsi" w:cstheme="minorHAnsi"/>
        </w:rPr>
        <w:t>confirmations</w:t>
      </w:r>
      <w:r>
        <w:rPr>
          <w:rFonts w:asciiTheme="minorHAnsi" w:hAnsiTheme="minorHAnsi" w:cstheme="minorHAnsi"/>
        </w:rPr>
        <w:t xml:space="preserve"> all represent realistic risks for </w:t>
      </w:r>
      <w:proofErr w:type="spellStart"/>
      <w:r>
        <w:rPr>
          <w:rFonts w:asciiTheme="minorHAnsi" w:hAnsiTheme="minorHAnsi" w:cstheme="minorHAnsi"/>
        </w:rPr>
        <w:t>Rags’n’Riches</w:t>
      </w:r>
      <w:proofErr w:type="spellEnd"/>
      <w:r>
        <w:rPr>
          <w:rFonts w:asciiTheme="minorHAnsi" w:hAnsiTheme="minorHAnsi" w:cstheme="minorHAnsi"/>
        </w:rPr>
        <w:t xml:space="preserve"> that must be actively managed. Beyond quality</w:t>
      </w:r>
      <w:r w:rsidR="004C1BAB">
        <w:rPr>
          <w:rFonts w:asciiTheme="minorHAnsi" w:hAnsiTheme="minorHAnsi" w:cstheme="minorHAnsi"/>
        </w:rPr>
        <w:t>, information governance must ensure that access to sensitive data is appropriately restricted, that data is retained in line with UK GDPR obligations, and that a clear audit trail exists for every record loaded into the warehouse</w:t>
      </w:r>
      <w:r w:rsidR="00226B18">
        <w:rPr>
          <w:rFonts w:asciiTheme="minorHAnsi" w:hAnsiTheme="minorHAnsi" w:cstheme="minorHAnsi"/>
        </w:rPr>
        <w:t xml:space="preserve"> </w:t>
      </w:r>
      <w:r w:rsidR="00287313">
        <w:rPr>
          <w:rFonts w:asciiTheme="minorHAnsi" w:hAnsiTheme="minorHAnsi" w:cstheme="minorHAnsi"/>
        </w:rPr>
        <w:t>[1</w:t>
      </w:r>
      <w:r w:rsidR="00D1040A">
        <w:rPr>
          <w:rFonts w:asciiTheme="minorHAnsi" w:hAnsiTheme="minorHAnsi" w:cstheme="minorHAnsi"/>
        </w:rPr>
        <w:t>3</w:t>
      </w:r>
      <w:r w:rsidR="00287313">
        <w:rPr>
          <w:rFonts w:asciiTheme="minorHAnsi" w:hAnsiTheme="minorHAnsi" w:cstheme="minorHAnsi"/>
        </w:rPr>
        <w:t>]</w:t>
      </w:r>
      <w:r w:rsidR="00226B18">
        <w:rPr>
          <w:rFonts w:asciiTheme="minorHAnsi" w:hAnsiTheme="minorHAnsi" w:cstheme="minorHAnsi"/>
        </w:rPr>
        <w:t>.</w:t>
      </w:r>
    </w:p>
    <w:p w14:paraId="38B5043A" w14:textId="77777777" w:rsidR="00405D13" w:rsidRDefault="00405D13"/>
    <w:p w14:paraId="4AA72169" w14:textId="77777777" w:rsidR="00405D13" w:rsidRDefault="00405D13"/>
    <w:p w14:paraId="53A46F92" w14:textId="77777777" w:rsidR="00405D13" w:rsidRDefault="00405D13"/>
    <w:p w14:paraId="0167E310" w14:textId="77777777" w:rsidR="00405D13" w:rsidRDefault="00405D13"/>
    <w:p w14:paraId="54B7B7FB" w14:textId="77777777" w:rsidR="00405D13" w:rsidRDefault="00405D13"/>
    <w:p w14:paraId="2BA6F7F6" w14:textId="77777777" w:rsidR="00405D13" w:rsidRDefault="00405D13"/>
    <w:p w14:paraId="2E1DAB52" w14:textId="77777777" w:rsidR="00405D13" w:rsidRDefault="00405D13"/>
    <w:p w14:paraId="5B993EFC" w14:textId="77777777" w:rsidR="00405D13" w:rsidRDefault="00405D13"/>
    <w:p w14:paraId="5112310F" w14:textId="77777777" w:rsidR="00405D13" w:rsidRDefault="00405D13"/>
    <w:p w14:paraId="501329D3" w14:textId="77777777" w:rsidR="00405D13" w:rsidRDefault="00405D13"/>
    <w:p w14:paraId="2F5EDCD6" w14:textId="77777777" w:rsidR="00405D13" w:rsidRDefault="00405D13"/>
    <w:p w14:paraId="7F468E73" w14:textId="77777777" w:rsidR="00405D13" w:rsidRDefault="00405D13"/>
    <w:p w14:paraId="68A441EE" w14:textId="77777777" w:rsidR="00405D13" w:rsidRDefault="00405D13"/>
    <w:p w14:paraId="213AB3FA" w14:textId="77777777" w:rsidR="00405D13" w:rsidRDefault="00405D13"/>
    <w:p w14:paraId="687D7146" w14:textId="77777777" w:rsidR="00405D13" w:rsidRDefault="00405D13"/>
    <w:p w14:paraId="60F60AC3" w14:textId="77777777" w:rsidR="00405D13" w:rsidRDefault="00405D13"/>
    <w:p w14:paraId="74FEA521" w14:textId="77777777" w:rsidR="00405D13" w:rsidRDefault="00405D13"/>
    <w:p w14:paraId="108AC8E2" w14:textId="77777777" w:rsidR="00405D13" w:rsidRDefault="00405D13"/>
    <w:p w14:paraId="0F079661" w14:textId="77777777" w:rsidR="00405D13" w:rsidRDefault="00405D13"/>
    <w:p w14:paraId="1E8FFC87" w14:textId="77777777" w:rsidR="00115372" w:rsidRDefault="00115372" w:rsidP="00EF3BFA">
      <w:pPr>
        <w:spacing w:line="360" w:lineRule="auto"/>
        <w:rPr>
          <w:rFonts w:ascii="Calibri" w:hAnsi="Calibri" w:cs="Calibri"/>
          <w:b/>
          <w:bCs/>
          <w:color w:val="000000"/>
          <w:sz w:val="28"/>
          <w:szCs w:val="28"/>
        </w:rPr>
      </w:pPr>
    </w:p>
    <w:p w14:paraId="265881D6" w14:textId="77777777" w:rsidR="00226B18" w:rsidRDefault="00226B18" w:rsidP="00EF3BFA">
      <w:pPr>
        <w:spacing w:line="360" w:lineRule="auto"/>
        <w:rPr>
          <w:rFonts w:ascii="Calibri" w:hAnsi="Calibri" w:cs="Calibri"/>
          <w:b/>
          <w:bCs/>
          <w:color w:val="000000"/>
          <w:sz w:val="28"/>
          <w:szCs w:val="28"/>
        </w:rPr>
      </w:pPr>
    </w:p>
    <w:p w14:paraId="53C3B3D2" w14:textId="77777777" w:rsidR="00226B18" w:rsidRDefault="00226B18" w:rsidP="00EF3BFA">
      <w:pPr>
        <w:spacing w:line="360" w:lineRule="auto"/>
        <w:rPr>
          <w:rFonts w:ascii="Calibri" w:hAnsi="Calibri" w:cs="Calibri"/>
          <w:b/>
          <w:bCs/>
          <w:color w:val="000000"/>
          <w:sz w:val="28"/>
          <w:szCs w:val="28"/>
        </w:rPr>
      </w:pPr>
    </w:p>
    <w:p w14:paraId="5E6D72E5" w14:textId="77777777" w:rsidR="00226B18" w:rsidRDefault="00226B18" w:rsidP="00EF3BFA">
      <w:pPr>
        <w:spacing w:line="360" w:lineRule="auto"/>
        <w:rPr>
          <w:rFonts w:ascii="Calibri" w:hAnsi="Calibri" w:cs="Calibri"/>
          <w:b/>
          <w:bCs/>
          <w:color w:val="000000"/>
          <w:sz w:val="28"/>
          <w:szCs w:val="28"/>
        </w:rPr>
      </w:pPr>
    </w:p>
    <w:p w14:paraId="7E3D3C73" w14:textId="77777777" w:rsidR="00226B18" w:rsidRDefault="00226B18" w:rsidP="00EF3BFA">
      <w:pPr>
        <w:spacing w:line="360" w:lineRule="auto"/>
        <w:rPr>
          <w:rFonts w:ascii="Calibri" w:hAnsi="Calibri" w:cs="Calibri"/>
          <w:b/>
          <w:bCs/>
          <w:color w:val="000000"/>
          <w:sz w:val="28"/>
          <w:szCs w:val="28"/>
        </w:rPr>
      </w:pPr>
    </w:p>
    <w:p w14:paraId="08530551" w14:textId="77777777" w:rsidR="00226B18" w:rsidRDefault="00226B18" w:rsidP="00EF3BFA">
      <w:pPr>
        <w:spacing w:line="360" w:lineRule="auto"/>
        <w:rPr>
          <w:rFonts w:ascii="Calibri" w:hAnsi="Calibri" w:cs="Calibri"/>
          <w:b/>
          <w:bCs/>
          <w:color w:val="000000"/>
          <w:sz w:val="28"/>
          <w:szCs w:val="28"/>
        </w:rPr>
      </w:pPr>
    </w:p>
    <w:p w14:paraId="2FAE538D" w14:textId="77777777" w:rsidR="00226B18" w:rsidRDefault="00226B18" w:rsidP="00EF3BFA">
      <w:pPr>
        <w:spacing w:line="360" w:lineRule="auto"/>
        <w:rPr>
          <w:rFonts w:ascii="Calibri" w:hAnsi="Calibri" w:cs="Calibri"/>
          <w:b/>
          <w:bCs/>
          <w:color w:val="000000"/>
          <w:sz w:val="28"/>
          <w:szCs w:val="28"/>
        </w:rPr>
      </w:pPr>
    </w:p>
    <w:p w14:paraId="103763DA" w14:textId="77777777" w:rsidR="00226B18" w:rsidRDefault="00226B18" w:rsidP="00EF3BFA">
      <w:pPr>
        <w:spacing w:line="360" w:lineRule="auto"/>
        <w:rPr>
          <w:rFonts w:ascii="Calibri" w:hAnsi="Calibri" w:cs="Calibri"/>
          <w:b/>
          <w:bCs/>
          <w:color w:val="000000"/>
          <w:sz w:val="28"/>
          <w:szCs w:val="28"/>
        </w:rPr>
      </w:pPr>
    </w:p>
    <w:p w14:paraId="348DE91F" w14:textId="77777777" w:rsidR="00226B18" w:rsidRDefault="00226B18" w:rsidP="00EF3BFA">
      <w:pPr>
        <w:spacing w:line="360" w:lineRule="auto"/>
        <w:rPr>
          <w:rFonts w:ascii="Calibri" w:hAnsi="Calibri" w:cs="Calibri"/>
          <w:b/>
          <w:bCs/>
          <w:color w:val="000000"/>
          <w:sz w:val="28"/>
          <w:szCs w:val="28"/>
        </w:rPr>
      </w:pPr>
    </w:p>
    <w:p w14:paraId="66CE211A" w14:textId="77777777" w:rsidR="00226B18" w:rsidRDefault="00226B18" w:rsidP="00EF3BFA">
      <w:pPr>
        <w:spacing w:line="360" w:lineRule="auto"/>
        <w:rPr>
          <w:rFonts w:ascii="Calibri" w:hAnsi="Calibri" w:cs="Calibri"/>
          <w:b/>
          <w:bCs/>
          <w:color w:val="000000"/>
          <w:sz w:val="28"/>
          <w:szCs w:val="28"/>
        </w:rPr>
      </w:pPr>
    </w:p>
    <w:p w14:paraId="6FC9A4E3" w14:textId="77777777" w:rsidR="00664587" w:rsidRDefault="00664587" w:rsidP="00226B18">
      <w:pPr>
        <w:pStyle w:val="Heading2"/>
      </w:pPr>
      <w:bookmarkStart w:id="9" w:name="_Toc229153985"/>
    </w:p>
    <w:p w14:paraId="3115C420" w14:textId="6BCB42AC" w:rsidR="00226B18" w:rsidRDefault="00226B18" w:rsidP="00226B18">
      <w:pPr>
        <w:pStyle w:val="Heading2"/>
      </w:pPr>
      <w:r>
        <w:t>Bibliography</w:t>
      </w:r>
      <w:bookmarkEnd w:id="9"/>
    </w:p>
    <w:p w14:paraId="71C351B3" w14:textId="77777777" w:rsidR="00664587" w:rsidRDefault="00664587" w:rsidP="00664587"/>
    <w:p w14:paraId="4628218D" w14:textId="77777777" w:rsidR="006E0B8D" w:rsidRDefault="006E0B8D" w:rsidP="006E0B8D">
      <w:pPr>
        <w:rPr>
          <w:color w:val="000000"/>
        </w:rPr>
      </w:pPr>
      <w:r>
        <w:rPr>
          <w:color w:val="000000"/>
        </w:rPr>
        <w:t>[1]</w:t>
      </w:r>
    </w:p>
    <w:p w14:paraId="0C9BE8B4" w14:textId="77777777" w:rsidR="006E0B8D" w:rsidRDefault="006E0B8D" w:rsidP="006E0B8D">
      <w:pPr>
        <w:rPr>
          <w:color w:val="000000"/>
        </w:rPr>
      </w:pPr>
      <w:r>
        <w:rPr>
          <w:color w:val="000000"/>
        </w:rPr>
        <w:t xml:space="preserve">A. Balaji, “OLAP systems and Kimball’s Dimensional </w:t>
      </w:r>
      <w:proofErr w:type="spellStart"/>
      <w:r>
        <w:rPr>
          <w:color w:val="000000"/>
        </w:rPr>
        <w:t>Modeling</w:t>
      </w:r>
      <w:proofErr w:type="spellEnd"/>
      <w:r>
        <w:rPr>
          <w:color w:val="000000"/>
        </w:rPr>
        <w:t xml:space="preserve"> Principles,”</w:t>
      </w:r>
      <w:r>
        <w:rPr>
          <w:rStyle w:val="apple-converted-space"/>
          <w:color w:val="000000"/>
        </w:rPr>
        <w:t> </w:t>
      </w:r>
      <w:r>
        <w:rPr>
          <w:i/>
          <w:iCs/>
          <w:color w:val="000000"/>
        </w:rPr>
        <w:t>Medium</w:t>
      </w:r>
      <w:r>
        <w:rPr>
          <w:color w:val="000000"/>
        </w:rPr>
        <w:t>, Feb. 19, 2023. Available: https://akshayavb99.medium.com/olap-systems-and-kimballs-dimensional-modeling-principles-f45890c28978. [Accessed: May 01, 2026]</w:t>
      </w:r>
    </w:p>
    <w:p w14:paraId="7C40AA31" w14:textId="77777777" w:rsidR="006E0B8D" w:rsidRDefault="006E0B8D" w:rsidP="006E0B8D">
      <w:pPr>
        <w:rPr>
          <w:color w:val="000000"/>
        </w:rPr>
      </w:pPr>
    </w:p>
    <w:p w14:paraId="543B09FF" w14:textId="77777777" w:rsidR="006E0B8D" w:rsidRDefault="006E0B8D" w:rsidP="006E0B8D">
      <w:pPr>
        <w:rPr>
          <w:color w:val="000000"/>
        </w:rPr>
      </w:pPr>
      <w:r>
        <w:rPr>
          <w:color w:val="000000"/>
        </w:rPr>
        <w:t>[2]</w:t>
      </w:r>
    </w:p>
    <w:p w14:paraId="77FB55D9" w14:textId="743EE38F" w:rsidR="006E0B8D" w:rsidRDefault="006E0B8D" w:rsidP="006E0B8D">
      <w:pPr>
        <w:rPr>
          <w:color w:val="000000"/>
        </w:rPr>
      </w:pPr>
      <w:r>
        <w:rPr>
          <w:color w:val="000000"/>
        </w:rPr>
        <w:t>A. Nambiar and D. Mundra, “An Overview of Data Warehouse and Data Lake in Modern Enterprise Data Management,”</w:t>
      </w:r>
      <w:r>
        <w:rPr>
          <w:rStyle w:val="apple-converted-space"/>
          <w:color w:val="000000"/>
        </w:rPr>
        <w:t> </w:t>
      </w:r>
      <w:r>
        <w:rPr>
          <w:i/>
          <w:iCs/>
          <w:color w:val="000000"/>
        </w:rPr>
        <w:t>Big Data and Cognitive Computing</w:t>
      </w:r>
      <w:r>
        <w:rPr>
          <w:color w:val="000000"/>
        </w:rPr>
        <w:t xml:space="preserve">, vol. 6, no. 4, p. 132, Nov. 2022, </w:t>
      </w:r>
      <w:proofErr w:type="spellStart"/>
      <w:r>
        <w:rPr>
          <w:color w:val="000000"/>
        </w:rPr>
        <w:t>doi</w:t>
      </w:r>
      <w:proofErr w:type="spellEnd"/>
      <w:r>
        <w:rPr>
          <w:color w:val="000000"/>
        </w:rPr>
        <w:t xml:space="preserve">: </w:t>
      </w:r>
      <w:hyperlink r:id="rId9" w:history="1">
        <w:r w:rsidRPr="00567C33">
          <w:rPr>
            <w:rStyle w:val="Hyperlink"/>
          </w:rPr>
          <w:t>https://doi.org/10.3390/bdcc6040132</w:t>
        </w:r>
      </w:hyperlink>
    </w:p>
    <w:p w14:paraId="154D5234" w14:textId="77777777" w:rsidR="006E0B8D" w:rsidRDefault="006E0B8D" w:rsidP="006E0B8D">
      <w:pPr>
        <w:rPr>
          <w:color w:val="000000"/>
        </w:rPr>
      </w:pPr>
    </w:p>
    <w:p w14:paraId="00195A5A" w14:textId="77777777" w:rsidR="006E0B8D" w:rsidRDefault="006E0B8D" w:rsidP="006E0B8D">
      <w:pPr>
        <w:rPr>
          <w:color w:val="000000"/>
        </w:rPr>
      </w:pPr>
      <w:r>
        <w:rPr>
          <w:color w:val="000000"/>
        </w:rPr>
        <w:t>[3]</w:t>
      </w:r>
    </w:p>
    <w:p w14:paraId="67ABCD30" w14:textId="77777777" w:rsidR="006E0B8D" w:rsidRDefault="006E0B8D" w:rsidP="006E0B8D">
      <w:pPr>
        <w:rPr>
          <w:color w:val="000000"/>
        </w:rPr>
      </w:pPr>
      <w:proofErr w:type="spellStart"/>
      <w:r>
        <w:rPr>
          <w:color w:val="000000"/>
        </w:rPr>
        <w:t>GeeksforGeeks</w:t>
      </w:r>
      <w:proofErr w:type="spellEnd"/>
      <w:r>
        <w:rPr>
          <w:color w:val="000000"/>
        </w:rPr>
        <w:t>, “</w:t>
      </w:r>
      <w:proofErr w:type="spellStart"/>
      <w:r>
        <w:rPr>
          <w:color w:val="000000"/>
        </w:rPr>
        <w:t>ThreeTier</w:t>
      </w:r>
      <w:proofErr w:type="spellEnd"/>
      <w:r>
        <w:rPr>
          <w:color w:val="000000"/>
        </w:rPr>
        <w:t xml:space="preserve"> Architecture of Data Warehouse,”</w:t>
      </w:r>
      <w:r>
        <w:rPr>
          <w:rStyle w:val="apple-converted-space"/>
          <w:color w:val="000000"/>
        </w:rPr>
        <w:t> </w:t>
      </w:r>
      <w:proofErr w:type="spellStart"/>
      <w:r>
        <w:rPr>
          <w:i/>
          <w:iCs/>
          <w:color w:val="000000"/>
        </w:rPr>
        <w:t>GeeksforGeeks</w:t>
      </w:r>
      <w:proofErr w:type="spellEnd"/>
      <w:r>
        <w:rPr>
          <w:color w:val="000000"/>
        </w:rPr>
        <w:t>, Feb. 02, 2021. Available: https://www.geeksforgeeks.org/dbms/multi-tier-architecture-of-data-warehouse/. [Accessed: May 01, 2026]</w:t>
      </w:r>
    </w:p>
    <w:p w14:paraId="2BEBC8C5" w14:textId="77777777" w:rsidR="006E0B8D" w:rsidRDefault="006E0B8D" w:rsidP="006E0B8D">
      <w:pPr>
        <w:rPr>
          <w:color w:val="000000"/>
        </w:rPr>
      </w:pPr>
    </w:p>
    <w:p w14:paraId="44EBA7DE" w14:textId="77777777" w:rsidR="006E0B8D" w:rsidRDefault="006E0B8D" w:rsidP="006E0B8D">
      <w:pPr>
        <w:rPr>
          <w:color w:val="000000"/>
        </w:rPr>
      </w:pPr>
      <w:r>
        <w:rPr>
          <w:color w:val="000000"/>
        </w:rPr>
        <w:t>[4]</w:t>
      </w:r>
    </w:p>
    <w:p w14:paraId="1F93D9AD" w14:textId="77777777" w:rsidR="006E0B8D" w:rsidRDefault="006E0B8D" w:rsidP="006E0B8D">
      <w:pPr>
        <w:rPr>
          <w:color w:val="000000"/>
        </w:rPr>
      </w:pPr>
      <w:r>
        <w:rPr>
          <w:color w:val="000000"/>
        </w:rPr>
        <w:t>IBM, “What is ETL (extract, transform, load</w:t>
      </w:r>
      <w:proofErr w:type="gramStart"/>
      <w:r>
        <w:rPr>
          <w:color w:val="000000"/>
        </w:rPr>
        <w:t>)?,</w:t>
      </w:r>
      <w:proofErr w:type="gramEnd"/>
      <w:r>
        <w:rPr>
          <w:color w:val="000000"/>
        </w:rPr>
        <w:t>”</w:t>
      </w:r>
      <w:r>
        <w:rPr>
          <w:rStyle w:val="apple-converted-space"/>
          <w:color w:val="000000"/>
        </w:rPr>
        <w:t> </w:t>
      </w:r>
      <w:r>
        <w:rPr>
          <w:i/>
          <w:iCs/>
          <w:color w:val="000000"/>
        </w:rPr>
        <w:t>Ibm.com</w:t>
      </w:r>
      <w:r>
        <w:rPr>
          <w:color w:val="000000"/>
        </w:rPr>
        <w:t>, Oct. 04, 2021. Available: https://www.ibm.com/think/topics/etl. [Accessed: May 01, 2026]</w:t>
      </w:r>
    </w:p>
    <w:p w14:paraId="091B4133" w14:textId="77777777" w:rsidR="006E0B8D" w:rsidRDefault="006E0B8D" w:rsidP="006E0B8D">
      <w:pPr>
        <w:rPr>
          <w:color w:val="000000"/>
        </w:rPr>
      </w:pPr>
    </w:p>
    <w:p w14:paraId="06127627" w14:textId="77777777" w:rsidR="006E0B8D" w:rsidRDefault="006E0B8D" w:rsidP="006E0B8D">
      <w:pPr>
        <w:rPr>
          <w:color w:val="000000"/>
        </w:rPr>
      </w:pPr>
      <w:r>
        <w:rPr>
          <w:color w:val="000000"/>
        </w:rPr>
        <w:t>[5]</w:t>
      </w:r>
    </w:p>
    <w:p w14:paraId="0D4B6168" w14:textId="2B2B5DA5" w:rsidR="006E0B8D" w:rsidRDefault="006E0B8D" w:rsidP="006E0B8D">
      <w:pPr>
        <w:rPr>
          <w:color w:val="000000"/>
        </w:rPr>
      </w:pPr>
      <w:r>
        <w:rPr>
          <w:color w:val="000000"/>
        </w:rPr>
        <w:t xml:space="preserve">H. Zhang, S. Ren, X. Li, H. </w:t>
      </w:r>
      <w:proofErr w:type="spellStart"/>
      <w:r>
        <w:rPr>
          <w:color w:val="000000"/>
        </w:rPr>
        <w:t>Baharin</w:t>
      </w:r>
      <w:proofErr w:type="spellEnd"/>
      <w:r>
        <w:rPr>
          <w:color w:val="000000"/>
        </w:rPr>
        <w:t>, A. Alghamdi, and O. A. Alghamdi, “Developing scalable management information system with big financial data using data mart and mining architecture,”</w:t>
      </w:r>
      <w:r>
        <w:rPr>
          <w:rStyle w:val="apple-converted-space"/>
          <w:color w:val="000000"/>
        </w:rPr>
        <w:t> </w:t>
      </w:r>
      <w:r>
        <w:rPr>
          <w:i/>
          <w:iCs/>
          <w:color w:val="000000"/>
        </w:rPr>
        <w:t>Information Processing &amp; Management</w:t>
      </w:r>
      <w:r>
        <w:rPr>
          <w:color w:val="000000"/>
        </w:rPr>
        <w:t xml:space="preserve">, vol. 60, no. 3, p. 103326, May 2023, </w:t>
      </w:r>
      <w:proofErr w:type="spellStart"/>
      <w:r>
        <w:rPr>
          <w:color w:val="000000"/>
        </w:rPr>
        <w:t>doi</w:t>
      </w:r>
      <w:proofErr w:type="spellEnd"/>
      <w:r>
        <w:rPr>
          <w:color w:val="000000"/>
        </w:rPr>
        <w:t xml:space="preserve">: </w:t>
      </w:r>
      <w:hyperlink r:id="rId10" w:history="1">
        <w:r w:rsidRPr="00567C33">
          <w:rPr>
            <w:rStyle w:val="Hyperlink"/>
          </w:rPr>
          <w:t>https://doi.org/10.1016/j.ipm.2023.103326</w:t>
        </w:r>
      </w:hyperlink>
    </w:p>
    <w:p w14:paraId="3C3CE984" w14:textId="77777777" w:rsidR="006E0B8D" w:rsidRDefault="006E0B8D" w:rsidP="006E0B8D">
      <w:pPr>
        <w:rPr>
          <w:color w:val="000000"/>
        </w:rPr>
      </w:pPr>
    </w:p>
    <w:p w14:paraId="1FE47ED7" w14:textId="77777777" w:rsidR="006E0B8D" w:rsidRDefault="006E0B8D" w:rsidP="006E0B8D">
      <w:pPr>
        <w:rPr>
          <w:color w:val="000000"/>
        </w:rPr>
      </w:pPr>
      <w:r>
        <w:rPr>
          <w:color w:val="000000"/>
        </w:rPr>
        <w:t>[6]</w:t>
      </w:r>
    </w:p>
    <w:p w14:paraId="1BE2D074" w14:textId="77777777" w:rsidR="006E0B8D" w:rsidRDefault="006E0B8D" w:rsidP="006E0B8D">
      <w:pPr>
        <w:rPr>
          <w:color w:val="000000"/>
        </w:rPr>
      </w:pPr>
      <w:r>
        <w:rPr>
          <w:color w:val="000000"/>
        </w:rPr>
        <w:t>R. Kimball and M. Ross,</w:t>
      </w:r>
      <w:r>
        <w:rPr>
          <w:rStyle w:val="apple-converted-space"/>
          <w:color w:val="000000"/>
        </w:rPr>
        <w:t> </w:t>
      </w:r>
      <w:r>
        <w:rPr>
          <w:i/>
          <w:iCs/>
          <w:color w:val="000000"/>
        </w:rPr>
        <w:t xml:space="preserve">The data warehouse </w:t>
      </w:r>
      <w:proofErr w:type="gramStart"/>
      <w:r>
        <w:rPr>
          <w:i/>
          <w:iCs/>
          <w:color w:val="000000"/>
        </w:rPr>
        <w:t>toolkit :</w:t>
      </w:r>
      <w:proofErr w:type="gramEnd"/>
      <w:r>
        <w:rPr>
          <w:i/>
          <w:iCs/>
          <w:color w:val="000000"/>
        </w:rPr>
        <w:t xml:space="preserve"> the definitive guide to dimensional </w:t>
      </w:r>
      <w:proofErr w:type="spellStart"/>
      <w:r>
        <w:rPr>
          <w:i/>
          <w:iCs/>
          <w:color w:val="000000"/>
        </w:rPr>
        <w:t>modeling</w:t>
      </w:r>
      <w:proofErr w:type="spellEnd"/>
      <w:r>
        <w:rPr>
          <w:color w:val="000000"/>
        </w:rPr>
        <w:t>. Wiley, Sydney, 2013.</w:t>
      </w:r>
    </w:p>
    <w:p w14:paraId="32222937" w14:textId="77777777" w:rsidR="006E0B8D" w:rsidRDefault="006E0B8D" w:rsidP="006E0B8D">
      <w:pPr>
        <w:rPr>
          <w:color w:val="000000"/>
        </w:rPr>
      </w:pPr>
    </w:p>
    <w:p w14:paraId="6763BD84" w14:textId="77777777" w:rsidR="006E0B8D" w:rsidRDefault="006E0B8D" w:rsidP="006E0B8D">
      <w:pPr>
        <w:rPr>
          <w:color w:val="000000"/>
        </w:rPr>
      </w:pPr>
      <w:r>
        <w:rPr>
          <w:color w:val="000000"/>
        </w:rPr>
        <w:t>[7]</w:t>
      </w:r>
    </w:p>
    <w:p w14:paraId="786A66D0" w14:textId="77777777" w:rsidR="006E0B8D" w:rsidRDefault="006E0B8D" w:rsidP="006E0B8D">
      <w:pPr>
        <w:rPr>
          <w:color w:val="000000"/>
        </w:rPr>
      </w:pPr>
      <w:r>
        <w:rPr>
          <w:color w:val="000000"/>
        </w:rPr>
        <w:t>Microsoft, “Understand star schema and the importance for Power BI - Power BI,”</w:t>
      </w:r>
      <w:r>
        <w:rPr>
          <w:rStyle w:val="apple-converted-space"/>
          <w:color w:val="000000"/>
        </w:rPr>
        <w:t> </w:t>
      </w:r>
      <w:r>
        <w:rPr>
          <w:i/>
          <w:iCs/>
          <w:color w:val="000000"/>
        </w:rPr>
        <w:t>learn.microsoft.com</w:t>
      </w:r>
      <w:r>
        <w:rPr>
          <w:color w:val="000000"/>
        </w:rPr>
        <w:t>, Feb. 27, 2023. Available: https://learn.microsoft.com/en-us/power-bi/guidance/star-schema. [Accessed: May 01, 2026]</w:t>
      </w:r>
    </w:p>
    <w:p w14:paraId="3FDB1003" w14:textId="77777777" w:rsidR="006E0B8D" w:rsidRDefault="006E0B8D" w:rsidP="006E0B8D">
      <w:pPr>
        <w:rPr>
          <w:color w:val="000000"/>
        </w:rPr>
      </w:pPr>
    </w:p>
    <w:p w14:paraId="24F72F0D" w14:textId="77777777" w:rsidR="006E0B8D" w:rsidRDefault="006E0B8D" w:rsidP="006E0B8D">
      <w:pPr>
        <w:rPr>
          <w:color w:val="000000"/>
        </w:rPr>
      </w:pPr>
      <w:r>
        <w:rPr>
          <w:color w:val="000000"/>
        </w:rPr>
        <w:t>[8]</w:t>
      </w:r>
    </w:p>
    <w:p w14:paraId="39D4D85F" w14:textId="77777777" w:rsidR="006E0B8D" w:rsidRDefault="006E0B8D" w:rsidP="006E0B8D">
      <w:pPr>
        <w:rPr>
          <w:color w:val="000000"/>
        </w:rPr>
      </w:pPr>
      <w:proofErr w:type="spellStart"/>
      <w:r>
        <w:rPr>
          <w:color w:val="000000"/>
        </w:rPr>
        <w:t>GeeksforGeeks</w:t>
      </w:r>
      <w:proofErr w:type="spellEnd"/>
      <w:r>
        <w:rPr>
          <w:color w:val="000000"/>
        </w:rPr>
        <w:t xml:space="preserve">, “Galaxy Schema in Data Warehouse </w:t>
      </w:r>
      <w:proofErr w:type="spellStart"/>
      <w:r>
        <w:rPr>
          <w:color w:val="000000"/>
        </w:rPr>
        <w:t>Modeling</w:t>
      </w:r>
      <w:proofErr w:type="spellEnd"/>
      <w:r>
        <w:rPr>
          <w:color w:val="000000"/>
        </w:rPr>
        <w:t>,”</w:t>
      </w:r>
      <w:r>
        <w:rPr>
          <w:rStyle w:val="apple-converted-space"/>
          <w:color w:val="000000"/>
        </w:rPr>
        <w:t> </w:t>
      </w:r>
      <w:proofErr w:type="spellStart"/>
      <w:r>
        <w:rPr>
          <w:i/>
          <w:iCs/>
          <w:color w:val="000000"/>
        </w:rPr>
        <w:t>GeeksforGeeks</w:t>
      </w:r>
      <w:proofErr w:type="spellEnd"/>
      <w:r>
        <w:rPr>
          <w:color w:val="000000"/>
        </w:rPr>
        <w:t>, Nov. 20, 2025. Available: https://www.geeksforgeeks.org/gate/galaxy-schema-in-data-warehouse-modeling/. [Accessed: May 01, 2026]</w:t>
      </w:r>
    </w:p>
    <w:p w14:paraId="3661A508" w14:textId="77777777" w:rsidR="006E0B8D" w:rsidRDefault="006E0B8D" w:rsidP="006E0B8D">
      <w:pPr>
        <w:rPr>
          <w:color w:val="000000"/>
        </w:rPr>
      </w:pPr>
    </w:p>
    <w:p w14:paraId="357D7567" w14:textId="77777777" w:rsidR="006E0B8D" w:rsidRDefault="006E0B8D" w:rsidP="006E0B8D">
      <w:pPr>
        <w:rPr>
          <w:color w:val="000000"/>
        </w:rPr>
      </w:pPr>
      <w:r>
        <w:rPr>
          <w:color w:val="000000"/>
        </w:rPr>
        <w:t>[9]</w:t>
      </w:r>
    </w:p>
    <w:p w14:paraId="290DAF6F" w14:textId="31994F24" w:rsidR="006E0B8D" w:rsidRDefault="006E0B8D" w:rsidP="006E0B8D">
      <w:pPr>
        <w:rPr>
          <w:color w:val="000000"/>
        </w:rPr>
      </w:pPr>
      <w:r>
        <w:rPr>
          <w:color w:val="000000"/>
        </w:rPr>
        <w:t>“DATA WAREHOUSE AND MASTER DATA MANAGEMENT EVOLUTION A META-DATA-VAULT APPROACH,”</w:t>
      </w:r>
      <w:r>
        <w:rPr>
          <w:rStyle w:val="apple-converted-space"/>
          <w:color w:val="000000"/>
        </w:rPr>
        <w:t> </w:t>
      </w:r>
      <w:r>
        <w:rPr>
          <w:i/>
          <w:iCs/>
          <w:color w:val="000000"/>
        </w:rPr>
        <w:t xml:space="preserve">Issues </w:t>
      </w:r>
      <w:proofErr w:type="gramStart"/>
      <w:r>
        <w:rPr>
          <w:i/>
          <w:iCs/>
          <w:color w:val="000000"/>
        </w:rPr>
        <w:t>In</w:t>
      </w:r>
      <w:proofErr w:type="gramEnd"/>
      <w:r>
        <w:rPr>
          <w:i/>
          <w:iCs/>
          <w:color w:val="000000"/>
        </w:rPr>
        <w:t xml:space="preserve"> Information Systems</w:t>
      </w:r>
      <w:r>
        <w:rPr>
          <w:color w:val="000000"/>
        </w:rPr>
        <w:t xml:space="preserve">, 2014, </w:t>
      </w:r>
      <w:proofErr w:type="spellStart"/>
      <w:r>
        <w:rPr>
          <w:color w:val="000000"/>
        </w:rPr>
        <w:t>doi</w:t>
      </w:r>
      <w:proofErr w:type="spellEnd"/>
      <w:r>
        <w:rPr>
          <w:color w:val="000000"/>
        </w:rPr>
        <w:t xml:space="preserve">: </w:t>
      </w:r>
      <w:hyperlink r:id="rId11" w:history="1">
        <w:r w:rsidRPr="00567C33">
          <w:rPr>
            <w:rStyle w:val="Hyperlink"/>
          </w:rPr>
          <w:t>https://doi.org/10.48009/2_iis_2014_14-23</w:t>
        </w:r>
      </w:hyperlink>
    </w:p>
    <w:p w14:paraId="6623411D" w14:textId="77777777" w:rsidR="006E0B8D" w:rsidRDefault="006E0B8D" w:rsidP="006E0B8D">
      <w:pPr>
        <w:rPr>
          <w:color w:val="000000"/>
        </w:rPr>
      </w:pPr>
    </w:p>
    <w:p w14:paraId="613BD4FA" w14:textId="77777777" w:rsidR="006E0B8D" w:rsidRDefault="006E0B8D" w:rsidP="006E0B8D">
      <w:pPr>
        <w:rPr>
          <w:color w:val="000000"/>
        </w:rPr>
      </w:pPr>
    </w:p>
    <w:p w14:paraId="274B80B8" w14:textId="77777777" w:rsidR="006E0B8D" w:rsidRDefault="006E0B8D" w:rsidP="006E0B8D">
      <w:pPr>
        <w:rPr>
          <w:color w:val="000000"/>
        </w:rPr>
      </w:pPr>
    </w:p>
    <w:p w14:paraId="0D9DAA2B" w14:textId="77777777" w:rsidR="006E0B8D" w:rsidRDefault="006E0B8D" w:rsidP="006E0B8D">
      <w:pPr>
        <w:rPr>
          <w:color w:val="000000"/>
        </w:rPr>
      </w:pPr>
    </w:p>
    <w:p w14:paraId="0D1005F3" w14:textId="77777777" w:rsidR="006E0B8D" w:rsidRDefault="006E0B8D" w:rsidP="006E0B8D">
      <w:pPr>
        <w:rPr>
          <w:color w:val="000000"/>
        </w:rPr>
      </w:pPr>
      <w:r>
        <w:rPr>
          <w:color w:val="000000"/>
        </w:rPr>
        <w:lastRenderedPageBreak/>
        <w:t>[10]</w:t>
      </w:r>
    </w:p>
    <w:p w14:paraId="3AC0FFD6" w14:textId="77777777" w:rsidR="006E0B8D" w:rsidRDefault="006E0B8D" w:rsidP="006E0B8D">
      <w:pPr>
        <w:rPr>
          <w:color w:val="000000"/>
        </w:rPr>
      </w:pPr>
      <w:proofErr w:type="spellStart"/>
      <w:r>
        <w:rPr>
          <w:color w:val="000000"/>
        </w:rPr>
        <w:t>dknappettmsft</w:t>
      </w:r>
      <w:proofErr w:type="spellEnd"/>
      <w:r>
        <w:rPr>
          <w:color w:val="000000"/>
        </w:rPr>
        <w:t>, “Automatic aggregations overview - Microsoft Fabric,”</w:t>
      </w:r>
      <w:r>
        <w:rPr>
          <w:rStyle w:val="apple-converted-space"/>
          <w:color w:val="000000"/>
        </w:rPr>
        <w:t> </w:t>
      </w:r>
      <w:r>
        <w:rPr>
          <w:i/>
          <w:iCs/>
          <w:color w:val="000000"/>
        </w:rPr>
        <w:t>Microsoft.com</w:t>
      </w:r>
      <w:r>
        <w:rPr>
          <w:color w:val="000000"/>
        </w:rPr>
        <w:t>, Jul. 22, 2025. Available: https://learn.microsoft.com/en-us/fabric/enterprise/powerbi/aggregations-auto. [Accessed: May 02, 2026]</w:t>
      </w:r>
    </w:p>
    <w:p w14:paraId="35C3FC46" w14:textId="77777777" w:rsidR="006E0B8D" w:rsidRDefault="006E0B8D" w:rsidP="006E0B8D">
      <w:pPr>
        <w:rPr>
          <w:color w:val="000000"/>
        </w:rPr>
      </w:pPr>
    </w:p>
    <w:p w14:paraId="1923964D" w14:textId="77777777" w:rsidR="006E0B8D" w:rsidRDefault="006E0B8D" w:rsidP="006E0B8D">
      <w:pPr>
        <w:rPr>
          <w:color w:val="000000"/>
        </w:rPr>
      </w:pPr>
      <w:r>
        <w:rPr>
          <w:color w:val="000000"/>
        </w:rPr>
        <w:t>[11]</w:t>
      </w:r>
    </w:p>
    <w:p w14:paraId="0549CE7C" w14:textId="77777777" w:rsidR="006E0B8D" w:rsidRDefault="006E0B8D" w:rsidP="006E0B8D">
      <w:pPr>
        <w:rPr>
          <w:color w:val="000000"/>
        </w:rPr>
      </w:pPr>
      <w:r>
        <w:rPr>
          <w:color w:val="000000"/>
        </w:rPr>
        <w:t>NetSuite.com, “How Data Marts Lead to Better Business,”</w:t>
      </w:r>
      <w:r>
        <w:rPr>
          <w:rStyle w:val="apple-converted-space"/>
          <w:color w:val="000000"/>
        </w:rPr>
        <w:t> </w:t>
      </w:r>
      <w:r>
        <w:rPr>
          <w:i/>
          <w:iCs/>
          <w:color w:val="000000"/>
        </w:rPr>
        <w:t>Oracle NetSuite</w:t>
      </w:r>
      <w:r>
        <w:rPr>
          <w:color w:val="000000"/>
        </w:rPr>
        <w:t>. Available: https://www.netsuite.com/portal/resource/articles/data-warehouse/data-mart.shtml. [Accessed: May 02, 2026]</w:t>
      </w:r>
    </w:p>
    <w:p w14:paraId="52100647" w14:textId="77777777" w:rsidR="006E0B8D" w:rsidRDefault="006E0B8D" w:rsidP="006E0B8D">
      <w:pPr>
        <w:rPr>
          <w:color w:val="000000"/>
        </w:rPr>
      </w:pPr>
    </w:p>
    <w:p w14:paraId="7B831B99" w14:textId="77777777" w:rsidR="006E0B8D" w:rsidRDefault="006E0B8D" w:rsidP="006E0B8D">
      <w:pPr>
        <w:rPr>
          <w:color w:val="000000"/>
        </w:rPr>
      </w:pPr>
      <w:r>
        <w:rPr>
          <w:color w:val="000000"/>
        </w:rPr>
        <w:t>[12]</w:t>
      </w:r>
    </w:p>
    <w:p w14:paraId="6FC6B165" w14:textId="77777777" w:rsidR="006E0B8D" w:rsidRDefault="006E0B8D" w:rsidP="006E0B8D">
      <w:pPr>
        <w:rPr>
          <w:color w:val="000000"/>
        </w:rPr>
      </w:pPr>
      <w:r>
        <w:rPr>
          <w:color w:val="000000"/>
        </w:rPr>
        <w:t xml:space="preserve">K. Rao </w:t>
      </w:r>
      <w:proofErr w:type="spellStart"/>
      <w:r>
        <w:rPr>
          <w:color w:val="000000"/>
        </w:rPr>
        <w:t>Chirumamilla</w:t>
      </w:r>
      <w:proofErr w:type="spellEnd"/>
      <w:r>
        <w:rPr>
          <w:color w:val="000000"/>
        </w:rPr>
        <w:t>, “Enterprise Data Marketplace for Secure Access and Governance Fig.1,”</w:t>
      </w:r>
      <w:r>
        <w:rPr>
          <w:rStyle w:val="apple-converted-space"/>
          <w:color w:val="000000"/>
        </w:rPr>
        <w:t> </w:t>
      </w:r>
      <w:r>
        <w:rPr>
          <w:i/>
          <w:iCs/>
          <w:color w:val="000000"/>
        </w:rPr>
        <w:t>International Journal of Intelligent Systems and Applications in Engineering IJISAE</w:t>
      </w:r>
      <w:r>
        <w:rPr>
          <w:color w:val="000000"/>
        </w:rPr>
        <w:t>, vol. 2024, no. 23s, p. 3938, 2024.</w:t>
      </w:r>
    </w:p>
    <w:p w14:paraId="2C3E3786" w14:textId="77777777" w:rsidR="006E0B8D" w:rsidRDefault="006E0B8D" w:rsidP="006E0B8D">
      <w:pPr>
        <w:rPr>
          <w:color w:val="000000"/>
        </w:rPr>
      </w:pPr>
    </w:p>
    <w:p w14:paraId="3490506D" w14:textId="77777777" w:rsidR="006E0B8D" w:rsidRDefault="006E0B8D" w:rsidP="006E0B8D">
      <w:pPr>
        <w:rPr>
          <w:color w:val="000000"/>
        </w:rPr>
      </w:pPr>
      <w:r>
        <w:rPr>
          <w:color w:val="000000"/>
        </w:rPr>
        <w:t>[13]</w:t>
      </w:r>
    </w:p>
    <w:p w14:paraId="1F6A2C42" w14:textId="77777777" w:rsidR="006E0B8D" w:rsidRDefault="006E0B8D" w:rsidP="006E0B8D">
      <w:pPr>
        <w:rPr>
          <w:color w:val="000000"/>
        </w:rPr>
      </w:pPr>
      <w:r>
        <w:rPr>
          <w:color w:val="000000"/>
        </w:rPr>
        <w:t>UK Government, “Data Protection Act,”</w:t>
      </w:r>
      <w:r>
        <w:rPr>
          <w:rStyle w:val="apple-converted-space"/>
          <w:color w:val="000000"/>
        </w:rPr>
        <w:t> </w:t>
      </w:r>
      <w:r>
        <w:rPr>
          <w:i/>
          <w:iCs/>
          <w:color w:val="000000"/>
        </w:rPr>
        <w:t>Gov.uk</w:t>
      </w:r>
      <w:r>
        <w:rPr>
          <w:color w:val="000000"/>
        </w:rPr>
        <w:t>, 2025. Available: https://www.gov.uk/data-protection. [Accessed: May 02, 2026]</w:t>
      </w:r>
    </w:p>
    <w:p w14:paraId="51BFBA61" w14:textId="77777777" w:rsidR="00664587" w:rsidRPr="00664587" w:rsidRDefault="00664587" w:rsidP="00664587"/>
    <w:sectPr w:rsidR="00664587" w:rsidRPr="006645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A58CD"/>
    <w:multiLevelType w:val="multilevel"/>
    <w:tmpl w:val="ED4E4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2258D"/>
    <w:multiLevelType w:val="multilevel"/>
    <w:tmpl w:val="B7EC8E6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032379"/>
    <w:multiLevelType w:val="hybridMultilevel"/>
    <w:tmpl w:val="6F6E4D48"/>
    <w:lvl w:ilvl="0" w:tplc="97841CF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8D7321"/>
    <w:multiLevelType w:val="hybridMultilevel"/>
    <w:tmpl w:val="FDC06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57678B"/>
    <w:multiLevelType w:val="hybridMultilevel"/>
    <w:tmpl w:val="3D88D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6608E3"/>
    <w:multiLevelType w:val="hybridMultilevel"/>
    <w:tmpl w:val="2BC0B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135BD2"/>
    <w:multiLevelType w:val="multilevel"/>
    <w:tmpl w:val="A7EC8C4A"/>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6AD0268"/>
    <w:multiLevelType w:val="hybridMultilevel"/>
    <w:tmpl w:val="206C5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74700"/>
    <w:multiLevelType w:val="hybridMultilevel"/>
    <w:tmpl w:val="2F1A3DCA"/>
    <w:lvl w:ilvl="0" w:tplc="B810F4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A60247"/>
    <w:multiLevelType w:val="multilevel"/>
    <w:tmpl w:val="3210FE5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733A59A9"/>
    <w:multiLevelType w:val="hybridMultilevel"/>
    <w:tmpl w:val="EA566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2614">
    <w:abstractNumId w:val="4"/>
  </w:num>
  <w:num w:numId="2" w16cid:durableId="748574831">
    <w:abstractNumId w:val="8"/>
  </w:num>
  <w:num w:numId="3" w16cid:durableId="1858614301">
    <w:abstractNumId w:val="10"/>
  </w:num>
  <w:num w:numId="4" w16cid:durableId="1388259491">
    <w:abstractNumId w:val="3"/>
  </w:num>
  <w:num w:numId="5" w16cid:durableId="278420244">
    <w:abstractNumId w:val="5"/>
  </w:num>
  <w:num w:numId="6" w16cid:durableId="1241477442">
    <w:abstractNumId w:val="0"/>
  </w:num>
  <w:num w:numId="7" w16cid:durableId="1751733434">
    <w:abstractNumId w:val="9"/>
  </w:num>
  <w:num w:numId="8" w16cid:durableId="191774016">
    <w:abstractNumId w:val="1"/>
  </w:num>
  <w:num w:numId="9" w16cid:durableId="1234051509">
    <w:abstractNumId w:val="7"/>
  </w:num>
  <w:num w:numId="10" w16cid:durableId="1262101348">
    <w:abstractNumId w:val="6"/>
  </w:num>
  <w:num w:numId="11" w16cid:durableId="4100041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5B"/>
    <w:rsid w:val="000036E8"/>
    <w:rsid w:val="00014352"/>
    <w:rsid w:val="00022F43"/>
    <w:rsid w:val="00024C11"/>
    <w:rsid w:val="00025D15"/>
    <w:rsid w:val="000327A7"/>
    <w:rsid w:val="00036A0B"/>
    <w:rsid w:val="000514C0"/>
    <w:rsid w:val="00057CD3"/>
    <w:rsid w:val="00064FD1"/>
    <w:rsid w:val="00073AD0"/>
    <w:rsid w:val="000A5843"/>
    <w:rsid w:val="000C5010"/>
    <w:rsid w:val="00104EBC"/>
    <w:rsid w:val="0010518C"/>
    <w:rsid w:val="0010537C"/>
    <w:rsid w:val="00107A0F"/>
    <w:rsid w:val="00111F2C"/>
    <w:rsid w:val="00115372"/>
    <w:rsid w:val="00122DB5"/>
    <w:rsid w:val="00142C30"/>
    <w:rsid w:val="00164BEA"/>
    <w:rsid w:val="0018744D"/>
    <w:rsid w:val="00192A8D"/>
    <w:rsid w:val="0019360C"/>
    <w:rsid w:val="001D13C5"/>
    <w:rsid w:val="001D15A7"/>
    <w:rsid w:val="001E7BD0"/>
    <w:rsid w:val="001F12B1"/>
    <w:rsid w:val="002146AB"/>
    <w:rsid w:val="00220BCC"/>
    <w:rsid w:val="00226B18"/>
    <w:rsid w:val="0023329B"/>
    <w:rsid w:val="0025607B"/>
    <w:rsid w:val="002560CB"/>
    <w:rsid w:val="00263B8D"/>
    <w:rsid w:val="00267301"/>
    <w:rsid w:val="00270969"/>
    <w:rsid w:val="00273006"/>
    <w:rsid w:val="002804FE"/>
    <w:rsid w:val="00287313"/>
    <w:rsid w:val="002944E5"/>
    <w:rsid w:val="00294C80"/>
    <w:rsid w:val="00294DF0"/>
    <w:rsid w:val="0029726D"/>
    <w:rsid w:val="002D6C0E"/>
    <w:rsid w:val="002E0385"/>
    <w:rsid w:val="002E3644"/>
    <w:rsid w:val="0035544E"/>
    <w:rsid w:val="003601BF"/>
    <w:rsid w:val="00363A31"/>
    <w:rsid w:val="0039053C"/>
    <w:rsid w:val="003C2BEE"/>
    <w:rsid w:val="003E60FF"/>
    <w:rsid w:val="00405D13"/>
    <w:rsid w:val="00413C70"/>
    <w:rsid w:val="004164C2"/>
    <w:rsid w:val="0044282F"/>
    <w:rsid w:val="0045052E"/>
    <w:rsid w:val="00473EED"/>
    <w:rsid w:val="00484725"/>
    <w:rsid w:val="004A439E"/>
    <w:rsid w:val="004A478E"/>
    <w:rsid w:val="004A4BC4"/>
    <w:rsid w:val="004B0A66"/>
    <w:rsid w:val="004C1BAB"/>
    <w:rsid w:val="004E1109"/>
    <w:rsid w:val="004E2E67"/>
    <w:rsid w:val="004F2D57"/>
    <w:rsid w:val="004F6F30"/>
    <w:rsid w:val="0050223B"/>
    <w:rsid w:val="0050670A"/>
    <w:rsid w:val="00511B5B"/>
    <w:rsid w:val="0051262E"/>
    <w:rsid w:val="00535A25"/>
    <w:rsid w:val="005511CA"/>
    <w:rsid w:val="0055717A"/>
    <w:rsid w:val="00572F41"/>
    <w:rsid w:val="005946B6"/>
    <w:rsid w:val="00594E0B"/>
    <w:rsid w:val="005A05A2"/>
    <w:rsid w:val="005A63E2"/>
    <w:rsid w:val="005B12DA"/>
    <w:rsid w:val="005B26A0"/>
    <w:rsid w:val="005B438D"/>
    <w:rsid w:val="005D0858"/>
    <w:rsid w:val="005D2622"/>
    <w:rsid w:val="005E7EFF"/>
    <w:rsid w:val="005F1BDB"/>
    <w:rsid w:val="005F6C08"/>
    <w:rsid w:val="00616726"/>
    <w:rsid w:val="00617392"/>
    <w:rsid w:val="0063599D"/>
    <w:rsid w:val="006634D8"/>
    <w:rsid w:val="00664587"/>
    <w:rsid w:val="00691780"/>
    <w:rsid w:val="006E0B8D"/>
    <w:rsid w:val="006E54D2"/>
    <w:rsid w:val="00727A19"/>
    <w:rsid w:val="007363F5"/>
    <w:rsid w:val="0074753C"/>
    <w:rsid w:val="00756F1A"/>
    <w:rsid w:val="0076493E"/>
    <w:rsid w:val="00764ADA"/>
    <w:rsid w:val="00771F2F"/>
    <w:rsid w:val="0078537F"/>
    <w:rsid w:val="007B5311"/>
    <w:rsid w:val="007F52A3"/>
    <w:rsid w:val="007F72AE"/>
    <w:rsid w:val="008030EA"/>
    <w:rsid w:val="00804856"/>
    <w:rsid w:val="00807AD3"/>
    <w:rsid w:val="00810B9A"/>
    <w:rsid w:val="008427F7"/>
    <w:rsid w:val="00847A5C"/>
    <w:rsid w:val="00875C52"/>
    <w:rsid w:val="00892C5B"/>
    <w:rsid w:val="008C4A0F"/>
    <w:rsid w:val="008E2F39"/>
    <w:rsid w:val="00911980"/>
    <w:rsid w:val="0091786E"/>
    <w:rsid w:val="009267D7"/>
    <w:rsid w:val="00930257"/>
    <w:rsid w:val="00932BAD"/>
    <w:rsid w:val="00977423"/>
    <w:rsid w:val="0098571A"/>
    <w:rsid w:val="00986D97"/>
    <w:rsid w:val="00987FCB"/>
    <w:rsid w:val="009A1C00"/>
    <w:rsid w:val="009A1E3B"/>
    <w:rsid w:val="009A58EE"/>
    <w:rsid w:val="009B0D49"/>
    <w:rsid w:val="009B6685"/>
    <w:rsid w:val="009E18A1"/>
    <w:rsid w:val="00A570F7"/>
    <w:rsid w:val="00A70B03"/>
    <w:rsid w:val="00A727F3"/>
    <w:rsid w:val="00A80AE7"/>
    <w:rsid w:val="00A81AB8"/>
    <w:rsid w:val="00A84298"/>
    <w:rsid w:val="00AB4B68"/>
    <w:rsid w:val="00AC1C33"/>
    <w:rsid w:val="00AE164C"/>
    <w:rsid w:val="00B25B8D"/>
    <w:rsid w:val="00B318AB"/>
    <w:rsid w:val="00B35E24"/>
    <w:rsid w:val="00B46E20"/>
    <w:rsid w:val="00B7738B"/>
    <w:rsid w:val="00BB55A2"/>
    <w:rsid w:val="00BC0F2C"/>
    <w:rsid w:val="00BC293F"/>
    <w:rsid w:val="00BE2A38"/>
    <w:rsid w:val="00C03F1B"/>
    <w:rsid w:val="00C10105"/>
    <w:rsid w:val="00C500C5"/>
    <w:rsid w:val="00C546CE"/>
    <w:rsid w:val="00C61583"/>
    <w:rsid w:val="00C64DD8"/>
    <w:rsid w:val="00C719EC"/>
    <w:rsid w:val="00C77715"/>
    <w:rsid w:val="00C80BEB"/>
    <w:rsid w:val="00C9564C"/>
    <w:rsid w:val="00C961BA"/>
    <w:rsid w:val="00CA2269"/>
    <w:rsid w:val="00CF1CA7"/>
    <w:rsid w:val="00CF5A66"/>
    <w:rsid w:val="00D06375"/>
    <w:rsid w:val="00D1040A"/>
    <w:rsid w:val="00D13238"/>
    <w:rsid w:val="00D3207E"/>
    <w:rsid w:val="00D6789A"/>
    <w:rsid w:val="00D76E33"/>
    <w:rsid w:val="00D87330"/>
    <w:rsid w:val="00D95F0D"/>
    <w:rsid w:val="00DA60A8"/>
    <w:rsid w:val="00DA72BA"/>
    <w:rsid w:val="00DE711C"/>
    <w:rsid w:val="00E12650"/>
    <w:rsid w:val="00E16092"/>
    <w:rsid w:val="00E370F5"/>
    <w:rsid w:val="00E55712"/>
    <w:rsid w:val="00E56B3F"/>
    <w:rsid w:val="00E654A4"/>
    <w:rsid w:val="00E801C1"/>
    <w:rsid w:val="00E91C89"/>
    <w:rsid w:val="00EB51EC"/>
    <w:rsid w:val="00ED4B11"/>
    <w:rsid w:val="00ED4F44"/>
    <w:rsid w:val="00ED79B2"/>
    <w:rsid w:val="00EE53AF"/>
    <w:rsid w:val="00EE7702"/>
    <w:rsid w:val="00EF3BFA"/>
    <w:rsid w:val="00F2287E"/>
    <w:rsid w:val="00F25373"/>
    <w:rsid w:val="00F25847"/>
    <w:rsid w:val="00F3288E"/>
    <w:rsid w:val="00F37D13"/>
    <w:rsid w:val="00F4592E"/>
    <w:rsid w:val="00F46EBE"/>
    <w:rsid w:val="00F65F84"/>
    <w:rsid w:val="00F66BEA"/>
    <w:rsid w:val="00F672DB"/>
    <w:rsid w:val="00F74614"/>
    <w:rsid w:val="00F76784"/>
    <w:rsid w:val="00FA0AA7"/>
    <w:rsid w:val="00FB3ED9"/>
    <w:rsid w:val="00FB4030"/>
    <w:rsid w:val="00FB4A4C"/>
    <w:rsid w:val="00FD6EBE"/>
    <w:rsid w:val="00FE0F80"/>
    <w:rsid w:val="00FF11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D9A87CA8-7593-E74E-A387-442A80220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B8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27300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9B668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B6685"/>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847A5C"/>
    <w:pPr>
      <w:ind w:left="720"/>
      <w:contextualSpacing/>
    </w:pPr>
  </w:style>
  <w:style w:type="table" w:styleId="TableGrid">
    <w:name w:val="Table Grid"/>
    <w:basedOn w:val="TableNormal"/>
    <w:uiPriority w:val="59"/>
    <w:rsid w:val="00EE53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3006"/>
    <w:rPr>
      <w:color w:val="0000FF" w:themeColor="hyperlink"/>
      <w:u w:val="single"/>
    </w:rPr>
  </w:style>
  <w:style w:type="character" w:styleId="UnresolvedMention">
    <w:name w:val="Unresolved Mention"/>
    <w:basedOn w:val="DefaultParagraphFont"/>
    <w:uiPriority w:val="99"/>
    <w:semiHidden/>
    <w:unhideWhenUsed/>
    <w:rsid w:val="00273006"/>
    <w:rPr>
      <w:color w:val="605E5C"/>
      <w:shd w:val="clear" w:color="auto" w:fill="E1DFDD"/>
    </w:rPr>
  </w:style>
  <w:style w:type="character" w:customStyle="1" w:styleId="Heading1Char">
    <w:name w:val="Heading 1 Char"/>
    <w:basedOn w:val="DefaultParagraphFont"/>
    <w:link w:val="Heading1"/>
    <w:uiPriority w:val="9"/>
    <w:rsid w:val="00273006"/>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273006"/>
  </w:style>
  <w:style w:type="paragraph" w:styleId="NormalWeb">
    <w:name w:val="Normal (Web)"/>
    <w:basedOn w:val="Normal"/>
    <w:uiPriority w:val="99"/>
    <w:semiHidden/>
    <w:unhideWhenUsed/>
    <w:rsid w:val="005B26A0"/>
    <w:pPr>
      <w:spacing w:before="100" w:beforeAutospacing="1" w:after="100" w:afterAutospacing="1"/>
    </w:pPr>
  </w:style>
  <w:style w:type="character" w:customStyle="1" w:styleId="Heading2Char">
    <w:name w:val="Heading 2 Char"/>
    <w:basedOn w:val="DefaultParagraphFont"/>
    <w:link w:val="Heading2"/>
    <w:uiPriority w:val="9"/>
    <w:rsid w:val="009B6685"/>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rsid w:val="009B6685"/>
    <w:rPr>
      <w:rFonts w:asciiTheme="majorHAnsi" w:eastAsiaTheme="majorEastAsia" w:hAnsiTheme="majorHAnsi" w:cstheme="majorBidi"/>
      <w:color w:val="243F60" w:themeColor="accent1" w:themeShade="7F"/>
      <w:sz w:val="24"/>
      <w:szCs w:val="24"/>
      <w:lang w:eastAsia="en-GB"/>
    </w:rPr>
  </w:style>
  <w:style w:type="paragraph" w:styleId="Caption">
    <w:name w:val="caption"/>
    <w:basedOn w:val="Normal"/>
    <w:next w:val="Normal"/>
    <w:uiPriority w:val="35"/>
    <w:unhideWhenUsed/>
    <w:qFormat/>
    <w:rsid w:val="00405D13"/>
    <w:pPr>
      <w:spacing w:after="200"/>
    </w:pPr>
    <w:rPr>
      <w:i/>
      <w:iCs/>
      <w:color w:val="1F497D" w:themeColor="text2"/>
      <w:sz w:val="18"/>
      <w:szCs w:val="18"/>
    </w:rPr>
  </w:style>
  <w:style w:type="paragraph" w:styleId="TOCHeading">
    <w:name w:val="TOC Heading"/>
    <w:basedOn w:val="Heading1"/>
    <w:next w:val="Normal"/>
    <w:uiPriority w:val="39"/>
    <w:unhideWhenUsed/>
    <w:qFormat/>
    <w:rsid w:val="00405D1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405D1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05D1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05D1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05D1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05D1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05D1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05D1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05D1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05D13"/>
    <w:pPr>
      <w:ind w:left="1920"/>
    </w:pPr>
    <w:rPr>
      <w:rFonts w:asciiTheme="minorHAnsi" w:hAnsiTheme="minorHAnsi" w:cstheme="minorHAnsi"/>
      <w:sz w:val="20"/>
      <w:szCs w:val="20"/>
    </w:rPr>
  </w:style>
  <w:style w:type="paragraph" w:customStyle="1" w:styleId="font-claude-response-body">
    <w:name w:val="font-claude-response-body"/>
    <w:basedOn w:val="Normal"/>
    <w:rsid w:val="00022F43"/>
    <w:pPr>
      <w:spacing w:before="100" w:beforeAutospacing="1" w:after="100" w:afterAutospacing="1"/>
    </w:pPr>
  </w:style>
  <w:style w:type="character" w:styleId="Emphasis">
    <w:name w:val="Emphasis"/>
    <w:basedOn w:val="DefaultParagraphFont"/>
    <w:uiPriority w:val="20"/>
    <w:qFormat/>
    <w:rsid w:val="00022F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73359">
      <w:bodyDiv w:val="1"/>
      <w:marLeft w:val="0"/>
      <w:marRight w:val="0"/>
      <w:marTop w:val="0"/>
      <w:marBottom w:val="0"/>
      <w:divBdr>
        <w:top w:val="none" w:sz="0" w:space="0" w:color="auto"/>
        <w:left w:val="none" w:sz="0" w:space="0" w:color="auto"/>
        <w:bottom w:val="none" w:sz="0" w:space="0" w:color="auto"/>
        <w:right w:val="none" w:sz="0" w:space="0" w:color="auto"/>
      </w:divBdr>
      <w:divsChild>
        <w:div w:id="1800340120">
          <w:marLeft w:val="0"/>
          <w:marRight w:val="0"/>
          <w:marTop w:val="0"/>
          <w:marBottom w:val="0"/>
          <w:divBdr>
            <w:top w:val="none" w:sz="0" w:space="0" w:color="auto"/>
            <w:left w:val="none" w:sz="0" w:space="0" w:color="auto"/>
            <w:bottom w:val="none" w:sz="0" w:space="0" w:color="auto"/>
            <w:right w:val="none" w:sz="0" w:space="0" w:color="auto"/>
          </w:divBdr>
          <w:divsChild>
            <w:div w:id="1273785080">
              <w:marLeft w:val="0"/>
              <w:marRight w:val="0"/>
              <w:marTop w:val="0"/>
              <w:marBottom w:val="0"/>
              <w:divBdr>
                <w:top w:val="none" w:sz="0" w:space="0" w:color="auto"/>
                <w:left w:val="none" w:sz="0" w:space="0" w:color="auto"/>
                <w:bottom w:val="none" w:sz="0" w:space="0" w:color="auto"/>
                <w:right w:val="none" w:sz="0" w:space="0" w:color="auto"/>
              </w:divBdr>
            </w:div>
            <w:div w:id="1621064183">
              <w:marLeft w:val="0"/>
              <w:marRight w:val="0"/>
              <w:marTop w:val="0"/>
              <w:marBottom w:val="0"/>
              <w:divBdr>
                <w:top w:val="none" w:sz="0" w:space="0" w:color="auto"/>
                <w:left w:val="none" w:sz="0" w:space="0" w:color="auto"/>
                <w:bottom w:val="none" w:sz="0" w:space="0" w:color="auto"/>
                <w:right w:val="none" w:sz="0" w:space="0" w:color="auto"/>
              </w:divBdr>
            </w:div>
            <w:div w:id="480007080">
              <w:marLeft w:val="0"/>
              <w:marRight w:val="0"/>
              <w:marTop w:val="0"/>
              <w:marBottom w:val="0"/>
              <w:divBdr>
                <w:top w:val="none" w:sz="0" w:space="0" w:color="auto"/>
                <w:left w:val="none" w:sz="0" w:space="0" w:color="auto"/>
                <w:bottom w:val="none" w:sz="0" w:space="0" w:color="auto"/>
                <w:right w:val="none" w:sz="0" w:space="0" w:color="auto"/>
              </w:divBdr>
            </w:div>
            <w:div w:id="45566361">
              <w:marLeft w:val="0"/>
              <w:marRight w:val="0"/>
              <w:marTop w:val="0"/>
              <w:marBottom w:val="0"/>
              <w:divBdr>
                <w:top w:val="none" w:sz="0" w:space="0" w:color="auto"/>
                <w:left w:val="none" w:sz="0" w:space="0" w:color="auto"/>
                <w:bottom w:val="none" w:sz="0" w:space="0" w:color="auto"/>
                <w:right w:val="none" w:sz="0" w:space="0" w:color="auto"/>
              </w:divBdr>
            </w:div>
            <w:div w:id="82337742">
              <w:marLeft w:val="0"/>
              <w:marRight w:val="0"/>
              <w:marTop w:val="0"/>
              <w:marBottom w:val="0"/>
              <w:divBdr>
                <w:top w:val="none" w:sz="0" w:space="0" w:color="auto"/>
                <w:left w:val="none" w:sz="0" w:space="0" w:color="auto"/>
                <w:bottom w:val="none" w:sz="0" w:space="0" w:color="auto"/>
                <w:right w:val="none" w:sz="0" w:space="0" w:color="auto"/>
              </w:divBdr>
            </w:div>
            <w:div w:id="37971168">
              <w:marLeft w:val="0"/>
              <w:marRight w:val="0"/>
              <w:marTop w:val="0"/>
              <w:marBottom w:val="0"/>
              <w:divBdr>
                <w:top w:val="none" w:sz="0" w:space="0" w:color="auto"/>
                <w:left w:val="none" w:sz="0" w:space="0" w:color="auto"/>
                <w:bottom w:val="none" w:sz="0" w:space="0" w:color="auto"/>
                <w:right w:val="none" w:sz="0" w:space="0" w:color="auto"/>
              </w:divBdr>
            </w:div>
            <w:div w:id="262341911">
              <w:marLeft w:val="0"/>
              <w:marRight w:val="0"/>
              <w:marTop w:val="0"/>
              <w:marBottom w:val="0"/>
              <w:divBdr>
                <w:top w:val="none" w:sz="0" w:space="0" w:color="auto"/>
                <w:left w:val="none" w:sz="0" w:space="0" w:color="auto"/>
                <w:bottom w:val="none" w:sz="0" w:space="0" w:color="auto"/>
                <w:right w:val="none" w:sz="0" w:space="0" w:color="auto"/>
              </w:divBdr>
            </w:div>
            <w:div w:id="1574192702">
              <w:marLeft w:val="0"/>
              <w:marRight w:val="0"/>
              <w:marTop w:val="0"/>
              <w:marBottom w:val="0"/>
              <w:divBdr>
                <w:top w:val="none" w:sz="0" w:space="0" w:color="auto"/>
                <w:left w:val="none" w:sz="0" w:space="0" w:color="auto"/>
                <w:bottom w:val="none" w:sz="0" w:space="0" w:color="auto"/>
                <w:right w:val="none" w:sz="0" w:space="0" w:color="auto"/>
              </w:divBdr>
            </w:div>
            <w:div w:id="1641807961">
              <w:marLeft w:val="0"/>
              <w:marRight w:val="0"/>
              <w:marTop w:val="0"/>
              <w:marBottom w:val="0"/>
              <w:divBdr>
                <w:top w:val="none" w:sz="0" w:space="0" w:color="auto"/>
                <w:left w:val="none" w:sz="0" w:space="0" w:color="auto"/>
                <w:bottom w:val="none" w:sz="0" w:space="0" w:color="auto"/>
                <w:right w:val="none" w:sz="0" w:space="0" w:color="auto"/>
              </w:divBdr>
            </w:div>
            <w:div w:id="1803426608">
              <w:marLeft w:val="0"/>
              <w:marRight w:val="0"/>
              <w:marTop w:val="0"/>
              <w:marBottom w:val="0"/>
              <w:divBdr>
                <w:top w:val="none" w:sz="0" w:space="0" w:color="auto"/>
                <w:left w:val="none" w:sz="0" w:space="0" w:color="auto"/>
                <w:bottom w:val="none" w:sz="0" w:space="0" w:color="auto"/>
                <w:right w:val="none" w:sz="0" w:space="0" w:color="auto"/>
              </w:divBdr>
            </w:div>
            <w:div w:id="260384274">
              <w:marLeft w:val="0"/>
              <w:marRight w:val="0"/>
              <w:marTop w:val="0"/>
              <w:marBottom w:val="0"/>
              <w:divBdr>
                <w:top w:val="none" w:sz="0" w:space="0" w:color="auto"/>
                <w:left w:val="none" w:sz="0" w:space="0" w:color="auto"/>
                <w:bottom w:val="none" w:sz="0" w:space="0" w:color="auto"/>
                <w:right w:val="none" w:sz="0" w:space="0" w:color="auto"/>
              </w:divBdr>
            </w:div>
            <w:div w:id="582690983">
              <w:marLeft w:val="0"/>
              <w:marRight w:val="0"/>
              <w:marTop w:val="0"/>
              <w:marBottom w:val="0"/>
              <w:divBdr>
                <w:top w:val="none" w:sz="0" w:space="0" w:color="auto"/>
                <w:left w:val="none" w:sz="0" w:space="0" w:color="auto"/>
                <w:bottom w:val="none" w:sz="0" w:space="0" w:color="auto"/>
                <w:right w:val="none" w:sz="0" w:space="0" w:color="auto"/>
              </w:divBdr>
            </w:div>
            <w:div w:id="821389918">
              <w:marLeft w:val="0"/>
              <w:marRight w:val="0"/>
              <w:marTop w:val="0"/>
              <w:marBottom w:val="0"/>
              <w:divBdr>
                <w:top w:val="none" w:sz="0" w:space="0" w:color="auto"/>
                <w:left w:val="none" w:sz="0" w:space="0" w:color="auto"/>
                <w:bottom w:val="none" w:sz="0" w:space="0" w:color="auto"/>
                <w:right w:val="none" w:sz="0" w:space="0" w:color="auto"/>
              </w:divBdr>
            </w:div>
            <w:div w:id="878198509">
              <w:marLeft w:val="0"/>
              <w:marRight w:val="0"/>
              <w:marTop w:val="0"/>
              <w:marBottom w:val="0"/>
              <w:divBdr>
                <w:top w:val="none" w:sz="0" w:space="0" w:color="auto"/>
                <w:left w:val="none" w:sz="0" w:space="0" w:color="auto"/>
                <w:bottom w:val="none" w:sz="0" w:space="0" w:color="auto"/>
                <w:right w:val="none" w:sz="0" w:space="0" w:color="auto"/>
              </w:divBdr>
            </w:div>
            <w:div w:id="900360365">
              <w:marLeft w:val="0"/>
              <w:marRight w:val="0"/>
              <w:marTop w:val="0"/>
              <w:marBottom w:val="0"/>
              <w:divBdr>
                <w:top w:val="none" w:sz="0" w:space="0" w:color="auto"/>
                <w:left w:val="none" w:sz="0" w:space="0" w:color="auto"/>
                <w:bottom w:val="none" w:sz="0" w:space="0" w:color="auto"/>
                <w:right w:val="none" w:sz="0" w:space="0" w:color="auto"/>
              </w:divBdr>
            </w:div>
            <w:div w:id="1505050454">
              <w:marLeft w:val="0"/>
              <w:marRight w:val="0"/>
              <w:marTop w:val="0"/>
              <w:marBottom w:val="0"/>
              <w:divBdr>
                <w:top w:val="none" w:sz="0" w:space="0" w:color="auto"/>
                <w:left w:val="none" w:sz="0" w:space="0" w:color="auto"/>
                <w:bottom w:val="none" w:sz="0" w:space="0" w:color="auto"/>
                <w:right w:val="none" w:sz="0" w:space="0" w:color="auto"/>
              </w:divBdr>
            </w:div>
            <w:div w:id="1793210948">
              <w:marLeft w:val="0"/>
              <w:marRight w:val="0"/>
              <w:marTop w:val="0"/>
              <w:marBottom w:val="0"/>
              <w:divBdr>
                <w:top w:val="none" w:sz="0" w:space="0" w:color="auto"/>
                <w:left w:val="none" w:sz="0" w:space="0" w:color="auto"/>
                <w:bottom w:val="none" w:sz="0" w:space="0" w:color="auto"/>
                <w:right w:val="none" w:sz="0" w:space="0" w:color="auto"/>
              </w:divBdr>
            </w:div>
            <w:div w:id="1543858625">
              <w:marLeft w:val="0"/>
              <w:marRight w:val="0"/>
              <w:marTop w:val="0"/>
              <w:marBottom w:val="0"/>
              <w:divBdr>
                <w:top w:val="none" w:sz="0" w:space="0" w:color="auto"/>
                <w:left w:val="none" w:sz="0" w:space="0" w:color="auto"/>
                <w:bottom w:val="none" w:sz="0" w:space="0" w:color="auto"/>
                <w:right w:val="none" w:sz="0" w:space="0" w:color="auto"/>
              </w:divBdr>
            </w:div>
            <w:div w:id="1149640277">
              <w:marLeft w:val="0"/>
              <w:marRight w:val="0"/>
              <w:marTop w:val="0"/>
              <w:marBottom w:val="0"/>
              <w:divBdr>
                <w:top w:val="none" w:sz="0" w:space="0" w:color="auto"/>
                <w:left w:val="none" w:sz="0" w:space="0" w:color="auto"/>
                <w:bottom w:val="none" w:sz="0" w:space="0" w:color="auto"/>
                <w:right w:val="none" w:sz="0" w:space="0" w:color="auto"/>
              </w:divBdr>
            </w:div>
            <w:div w:id="826357254">
              <w:marLeft w:val="0"/>
              <w:marRight w:val="0"/>
              <w:marTop w:val="0"/>
              <w:marBottom w:val="0"/>
              <w:divBdr>
                <w:top w:val="none" w:sz="0" w:space="0" w:color="auto"/>
                <w:left w:val="none" w:sz="0" w:space="0" w:color="auto"/>
                <w:bottom w:val="none" w:sz="0" w:space="0" w:color="auto"/>
                <w:right w:val="none" w:sz="0" w:space="0" w:color="auto"/>
              </w:divBdr>
            </w:div>
            <w:div w:id="190382148">
              <w:marLeft w:val="0"/>
              <w:marRight w:val="0"/>
              <w:marTop w:val="0"/>
              <w:marBottom w:val="0"/>
              <w:divBdr>
                <w:top w:val="none" w:sz="0" w:space="0" w:color="auto"/>
                <w:left w:val="none" w:sz="0" w:space="0" w:color="auto"/>
                <w:bottom w:val="none" w:sz="0" w:space="0" w:color="auto"/>
                <w:right w:val="none" w:sz="0" w:space="0" w:color="auto"/>
              </w:divBdr>
            </w:div>
            <w:div w:id="1087119443">
              <w:marLeft w:val="0"/>
              <w:marRight w:val="0"/>
              <w:marTop w:val="0"/>
              <w:marBottom w:val="0"/>
              <w:divBdr>
                <w:top w:val="none" w:sz="0" w:space="0" w:color="auto"/>
                <w:left w:val="none" w:sz="0" w:space="0" w:color="auto"/>
                <w:bottom w:val="none" w:sz="0" w:space="0" w:color="auto"/>
                <w:right w:val="none" w:sz="0" w:space="0" w:color="auto"/>
              </w:divBdr>
            </w:div>
            <w:div w:id="710569155">
              <w:marLeft w:val="0"/>
              <w:marRight w:val="0"/>
              <w:marTop w:val="0"/>
              <w:marBottom w:val="0"/>
              <w:divBdr>
                <w:top w:val="none" w:sz="0" w:space="0" w:color="auto"/>
                <w:left w:val="none" w:sz="0" w:space="0" w:color="auto"/>
                <w:bottom w:val="none" w:sz="0" w:space="0" w:color="auto"/>
                <w:right w:val="none" w:sz="0" w:space="0" w:color="auto"/>
              </w:divBdr>
            </w:div>
            <w:div w:id="282200998">
              <w:marLeft w:val="0"/>
              <w:marRight w:val="0"/>
              <w:marTop w:val="0"/>
              <w:marBottom w:val="0"/>
              <w:divBdr>
                <w:top w:val="none" w:sz="0" w:space="0" w:color="auto"/>
                <w:left w:val="none" w:sz="0" w:space="0" w:color="auto"/>
                <w:bottom w:val="none" w:sz="0" w:space="0" w:color="auto"/>
                <w:right w:val="none" w:sz="0" w:space="0" w:color="auto"/>
              </w:divBdr>
            </w:div>
            <w:div w:id="1900020106">
              <w:marLeft w:val="0"/>
              <w:marRight w:val="0"/>
              <w:marTop w:val="0"/>
              <w:marBottom w:val="0"/>
              <w:divBdr>
                <w:top w:val="none" w:sz="0" w:space="0" w:color="auto"/>
                <w:left w:val="none" w:sz="0" w:space="0" w:color="auto"/>
                <w:bottom w:val="none" w:sz="0" w:space="0" w:color="auto"/>
                <w:right w:val="none" w:sz="0" w:space="0" w:color="auto"/>
              </w:divBdr>
            </w:div>
            <w:div w:id="51376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26773">
      <w:bodyDiv w:val="1"/>
      <w:marLeft w:val="0"/>
      <w:marRight w:val="0"/>
      <w:marTop w:val="0"/>
      <w:marBottom w:val="0"/>
      <w:divBdr>
        <w:top w:val="none" w:sz="0" w:space="0" w:color="auto"/>
        <w:left w:val="none" w:sz="0" w:space="0" w:color="auto"/>
        <w:bottom w:val="none" w:sz="0" w:space="0" w:color="auto"/>
        <w:right w:val="none" w:sz="0" w:space="0" w:color="auto"/>
      </w:divBdr>
    </w:div>
    <w:div w:id="786580430">
      <w:bodyDiv w:val="1"/>
      <w:marLeft w:val="0"/>
      <w:marRight w:val="0"/>
      <w:marTop w:val="0"/>
      <w:marBottom w:val="0"/>
      <w:divBdr>
        <w:top w:val="none" w:sz="0" w:space="0" w:color="auto"/>
        <w:left w:val="none" w:sz="0" w:space="0" w:color="auto"/>
        <w:bottom w:val="none" w:sz="0" w:space="0" w:color="auto"/>
        <w:right w:val="none" w:sz="0" w:space="0" w:color="auto"/>
      </w:divBdr>
    </w:div>
    <w:div w:id="823398795">
      <w:bodyDiv w:val="1"/>
      <w:marLeft w:val="0"/>
      <w:marRight w:val="0"/>
      <w:marTop w:val="0"/>
      <w:marBottom w:val="0"/>
      <w:divBdr>
        <w:top w:val="none" w:sz="0" w:space="0" w:color="auto"/>
        <w:left w:val="none" w:sz="0" w:space="0" w:color="auto"/>
        <w:bottom w:val="none" w:sz="0" w:space="0" w:color="auto"/>
        <w:right w:val="none" w:sz="0" w:space="0" w:color="auto"/>
      </w:divBdr>
    </w:div>
    <w:div w:id="834994906">
      <w:bodyDiv w:val="1"/>
      <w:marLeft w:val="0"/>
      <w:marRight w:val="0"/>
      <w:marTop w:val="0"/>
      <w:marBottom w:val="0"/>
      <w:divBdr>
        <w:top w:val="none" w:sz="0" w:space="0" w:color="auto"/>
        <w:left w:val="none" w:sz="0" w:space="0" w:color="auto"/>
        <w:bottom w:val="none" w:sz="0" w:space="0" w:color="auto"/>
        <w:right w:val="none" w:sz="0" w:space="0" w:color="auto"/>
      </w:divBdr>
      <w:divsChild>
        <w:div w:id="607472900">
          <w:marLeft w:val="0"/>
          <w:marRight w:val="0"/>
          <w:marTop w:val="0"/>
          <w:marBottom w:val="0"/>
          <w:divBdr>
            <w:top w:val="none" w:sz="0" w:space="0" w:color="auto"/>
            <w:left w:val="none" w:sz="0" w:space="0" w:color="auto"/>
            <w:bottom w:val="none" w:sz="0" w:space="0" w:color="auto"/>
            <w:right w:val="none" w:sz="0" w:space="0" w:color="auto"/>
          </w:divBdr>
          <w:divsChild>
            <w:div w:id="247154422">
              <w:marLeft w:val="0"/>
              <w:marRight w:val="0"/>
              <w:marTop w:val="0"/>
              <w:marBottom w:val="0"/>
              <w:divBdr>
                <w:top w:val="none" w:sz="0" w:space="0" w:color="auto"/>
                <w:left w:val="none" w:sz="0" w:space="0" w:color="auto"/>
                <w:bottom w:val="none" w:sz="0" w:space="0" w:color="auto"/>
                <w:right w:val="none" w:sz="0" w:space="0" w:color="auto"/>
              </w:divBdr>
            </w:div>
            <w:div w:id="709886579">
              <w:marLeft w:val="0"/>
              <w:marRight w:val="0"/>
              <w:marTop w:val="0"/>
              <w:marBottom w:val="0"/>
              <w:divBdr>
                <w:top w:val="none" w:sz="0" w:space="0" w:color="auto"/>
                <w:left w:val="none" w:sz="0" w:space="0" w:color="auto"/>
                <w:bottom w:val="none" w:sz="0" w:space="0" w:color="auto"/>
                <w:right w:val="none" w:sz="0" w:space="0" w:color="auto"/>
              </w:divBdr>
            </w:div>
            <w:div w:id="828790641">
              <w:marLeft w:val="0"/>
              <w:marRight w:val="0"/>
              <w:marTop w:val="0"/>
              <w:marBottom w:val="0"/>
              <w:divBdr>
                <w:top w:val="none" w:sz="0" w:space="0" w:color="auto"/>
                <w:left w:val="none" w:sz="0" w:space="0" w:color="auto"/>
                <w:bottom w:val="none" w:sz="0" w:space="0" w:color="auto"/>
                <w:right w:val="none" w:sz="0" w:space="0" w:color="auto"/>
              </w:divBdr>
            </w:div>
            <w:div w:id="882403197">
              <w:marLeft w:val="0"/>
              <w:marRight w:val="0"/>
              <w:marTop w:val="0"/>
              <w:marBottom w:val="0"/>
              <w:divBdr>
                <w:top w:val="none" w:sz="0" w:space="0" w:color="auto"/>
                <w:left w:val="none" w:sz="0" w:space="0" w:color="auto"/>
                <w:bottom w:val="none" w:sz="0" w:space="0" w:color="auto"/>
                <w:right w:val="none" w:sz="0" w:space="0" w:color="auto"/>
              </w:divBdr>
            </w:div>
            <w:div w:id="931737763">
              <w:marLeft w:val="0"/>
              <w:marRight w:val="0"/>
              <w:marTop w:val="0"/>
              <w:marBottom w:val="0"/>
              <w:divBdr>
                <w:top w:val="none" w:sz="0" w:space="0" w:color="auto"/>
                <w:left w:val="none" w:sz="0" w:space="0" w:color="auto"/>
                <w:bottom w:val="none" w:sz="0" w:space="0" w:color="auto"/>
                <w:right w:val="none" w:sz="0" w:space="0" w:color="auto"/>
              </w:divBdr>
            </w:div>
            <w:div w:id="1008823240">
              <w:marLeft w:val="0"/>
              <w:marRight w:val="0"/>
              <w:marTop w:val="0"/>
              <w:marBottom w:val="0"/>
              <w:divBdr>
                <w:top w:val="none" w:sz="0" w:space="0" w:color="auto"/>
                <w:left w:val="none" w:sz="0" w:space="0" w:color="auto"/>
                <w:bottom w:val="none" w:sz="0" w:space="0" w:color="auto"/>
                <w:right w:val="none" w:sz="0" w:space="0" w:color="auto"/>
              </w:divBdr>
            </w:div>
            <w:div w:id="1080561193">
              <w:marLeft w:val="0"/>
              <w:marRight w:val="0"/>
              <w:marTop w:val="0"/>
              <w:marBottom w:val="0"/>
              <w:divBdr>
                <w:top w:val="none" w:sz="0" w:space="0" w:color="auto"/>
                <w:left w:val="none" w:sz="0" w:space="0" w:color="auto"/>
                <w:bottom w:val="none" w:sz="0" w:space="0" w:color="auto"/>
                <w:right w:val="none" w:sz="0" w:space="0" w:color="auto"/>
              </w:divBdr>
            </w:div>
            <w:div w:id="1097746916">
              <w:marLeft w:val="0"/>
              <w:marRight w:val="0"/>
              <w:marTop w:val="0"/>
              <w:marBottom w:val="0"/>
              <w:divBdr>
                <w:top w:val="none" w:sz="0" w:space="0" w:color="auto"/>
                <w:left w:val="none" w:sz="0" w:space="0" w:color="auto"/>
                <w:bottom w:val="none" w:sz="0" w:space="0" w:color="auto"/>
                <w:right w:val="none" w:sz="0" w:space="0" w:color="auto"/>
              </w:divBdr>
            </w:div>
            <w:div w:id="1313604557">
              <w:marLeft w:val="0"/>
              <w:marRight w:val="0"/>
              <w:marTop w:val="0"/>
              <w:marBottom w:val="0"/>
              <w:divBdr>
                <w:top w:val="none" w:sz="0" w:space="0" w:color="auto"/>
                <w:left w:val="none" w:sz="0" w:space="0" w:color="auto"/>
                <w:bottom w:val="none" w:sz="0" w:space="0" w:color="auto"/>
                <w:right w:val="none" w:sz="0" w:space="0" w:color="auto"/>
              </w:divBdr>
            </w:div>
            <w:div w:id="1327443861">
              <w:marLeft w:val="0"/>
              <w:marRight w:val="0"/>
              <w:marTop w:val="0"/>
              <w:marBottom w:val="0"/>
              <w:divBdr>
                <w:top w:val="none" w:sz="0" w:space="0" w:color="auto"/>
                <w:left w:val="none" w:sz="0" w:space="0" w:color="auto"/>
                <w:bottom w:val="none" w:sz="0" w:space="0" w:color="auto"/>
                <w:right w:val="none" w:sz="0" w:space="0" w:color="auto"/>
              </w:divBdr>
            </w:div>
            <w:div w:id="1332485838">
              <w:marLeft w:val="0"/>
              <w:marRight w:val="0"/>
              <w:marTop w:val="0"/>
              <w:marBottom w:val="0"/>
              <w:divBdr>
                <w:top w:val="none" w:sz="0" w:space="0" w:color="auto"/>
                <w:left w:val="none" w:sz="0" w:space="0" w:color="auto"/>
                <w:bottom w:val="none" w:sz="0" w:space="0" w:color="auto"/>
                <w:right w:val="none" w:sz="0" w:space="0" w:color="auto"/>
              </w:divBdr>
            </w:div>
            <w:div w:id="1383941349">
              <w:marLeft w:val="0"/>
              <w:marRight w:val="0"/>
              <w:marTop w:val="0"/>
              <w:marBottom w:val="0"/>
              <w:divBdr>
                <w:top w:val="none" w:sz="0" w:space="0" w:color="auto"/>
                <w:left w:val="none" w:sz="0" w:space="0" w:color="auto"/>
                <w:bottom w:val="none" w:sz="0" w:space="0" w:color="auto"/>
                <w:right w:val="none" w:sz="0" w:space="0" w:color="auto"/>
              </w:divBdr>
            </w:div>
            <w:div w:id="1459451143">
              <w:marLeft w:val="0"/>
              <w:marRight w:val="0"/>
              <w:marTop w:val="0"/>
              <w:marBottom w:val="0"/>
              <w:divBdr>
                <w:top w:val="none" w:sz="0" w:space="0" w:color="auto"/>
                <w:left w:val="none" w:sz="0" w:space="0" w:color="auto"/>
                <w:bottom w:val="none" w:sz="0" w:space="0" w:color="auto"/>
                <w:right w:val="none" w:sz="0" w:space="0" w:color="auto"/>
              </w:divBdr>
            </w:div>
            <w:div w:id="1466775605">
              <w:marLeft w:val="0"/>
              <w:marRight w:val="0"/>
              <w:marTop w:val="0"/>
              <w:marBottom w:val="0"/>
              <w:divBdr>
                <w:top w:val="none" w:sz="0" w:space="0" w:color="auto"/>
                <w:left w:val="none" w:sz="0" w:space="0" w:color="auto"/>
                <w:bottom w:val="none" w:sz="0" w:space="0" w:color="auto"/>
                <w:right w:val="none" w:sz="0" w:space="0" w:color="auto"/>
              </w:divBdr>
            </w:div>
            <w:div w:id="1490485496">
              <w:marLeft w:val="0"/>
              <w:marRight w:val="0"/>
              <w:marTop w:val="0"/>
              <w:marBottom w:val="0"/>
              <w:divBdr>
                <w:top w:val="none" w:sz="0" w:space="0" w:color="auto"/>
                <w:left w:val="none" w:sz="0" w:space="0" w:color="auto"/>
                <w:bottom w:val="none" w:sz="0" w:space="0" w:color="auto"/>
                <w:right w:val="none" w:sz="0" w:space="0" w:color="auto"/>
              </w:divBdr>
            </w:div>
            <w:div w:id="1552762300">
              <w:marLeft w:val="0"/>
              <w:marRight w:val="0"/>
              <w:marTop w:val="0"/>
              <w:marBottom w:val="0"/>
              <w:divBdr>
                <w:top w:val="none" w:sz="0" w:space="0" w:color="auto"/>
                <w:left w:val="none" w:sz="0" w:space="0" w:color="auto"/>
                <w:bottom w:val="none" w:sz="0" w:space="0" w:color="auto"/>
                <w:right w:val="none" w:sz="0" w:space="0" w:color="auto"/>
              </w:divBdr>
            </w:div>
            <w:div w:id="1724450701">
              <w:marLeft w:val="0"/>
              <w:marRight w:val="0"/>
              <w:marTop w:val="0"/>
              <w:marBottom w:val="0"/>
              <w:divBdr>
                <w:top w:val="none" w:sz="0" w:space="0" w:color="auto"/>
                <w:left w:val="none" w:sz="0" w:space="0" w:color="auto"/>
                <w:bottom w:val="none" w:sz="0" w:space="0" w:color="auto"/>
                <w:right w:val="none" w:sz="0" w:space="0" w:color="auto"/>
              </w:divBdr>
            </w:div>
            <w:div w:id="1812819658">
              <w:marLeft w:val="0"/>
              <w:marRight w:val="0"/>
              <w:marTop w:val="0"/>
              <w:marBottom w:val="0"/>
              <w:divBdr>
                <w:top w:val="none" w:sz="0" w:space="0" w:color="auto"/>
                <w:left w:val="none" w:sz="0" w:space="0" w:color="auto"/>
                <w:bottom w:val="none" w:sz="0" w:space="0" w:color="auto"/>
                <w:right w:val="none" w:sz="0" w:space="0" w:color="auto"/>
              </w:divBdr>
            </w:div>
            <w:div w:id="1823041611">
              <w:marLeft w:val="0"/>
              <w:marRight w:val="0"/>
              <w:marTop w:val="0"/>
              <w:marBottom w:val="0"/>
              <w:divBdr>
                <w:top w:val="none" w:sz="0" w:space="0" w:color="auto"/>
                <w:left w:val="none" w:sz="0" w:space="0" w:color="auto"/>
                <w:bottom w:val="none" w:sz="0" w:space="0" w:color="auto"/>
                <w:right w:val="none" w:sz="0" w:space="0" w:color="auto"/>
              </w:divBdr>
            </w:div>
            <w:div w:id="184601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698351">
      <w:bodyDiv w:val="1"/>
      <w:marLeft w:val="0"/>
      <w:marRight w:val="0"/>
      <w:marTop w:val="0"/>
      <w:marBottom w:val="0"/>
      <w:divBdr>
        <w:top w:val="none" w:sz="0" w:space="0" w:color="auto"/>
        <w:left w:val="none" w:sz="0" w:space="0" w:color="auto"/>
        <w:bottom w:val="none" w:sz="0" w:space="0" w:color="auto"/>
        <w:right w:val="none" w:sz="0" w:space="0" w:color="auto"/>
      </w:divBdr>
      <w:divsChild>
        <w:div w:id="2078699726">
          <w:marLeft w:val="0"/>
          <w:marRight w:val="0"/>
          <w:marTop w:val="0"/>
          <w:marBottom w:val="0"/>
          <w:divBdr>
            <w:top w:val="none" w:sz="0" w:space="0" w:color="auto"/>
            <w:left w:val="none" w:sz="0" w:space="0" w:color="auto"/>
            <w:bottom w:val="none" w:sz="0" w:space="0" w:color="auto"/>
            <w:right w:val="none" w:sz="0" w:space="0" w:color="auto"/>
          </w:divBdr>
          <w:divsChild>
            <w:div w:id="1123843522">
              <w:marLeft w:val="0"/>
              <w:marRight w:val="0"/>
              <w:marTop w:val="0"/>
              <w:marBottom w:val="0"/>
              <w:divBdr>
                <w:top w:val="none" w:sz="0" w:space="0" w:color="auto"/>
                <w:left w:val="none" w:sz="0" w:space="0" w:color="auto"/>
                <w:bottom w:val="none" w:sz="0" w:space="0" w:color="auto"/>
                <w:right w:val="none" w:sz="0" w:space="0" w:color="auto"/>
              </w:divBdr>
            </w:div>
            <w:div w:id="889076089">
              <w:marLeft w:val="0"/>
              <w:marRight w:val="0"/>
              <w:marTop w:val="0"/>
              <w:marBottom w:val="0"/>
              <w:divBdr>
                <w:top w:val="none" w:sz="0" w:space="0" w:color="auto"/>
                <w:left w:val="none" w:sz="0" w:space="0" w:color="auto"/>
                <w:bottom w:val="none" w:sz="0" w:space="0" w:color="auto"/>
                <w:right w:val="none" w:sz="0" w:space="0" w:color="auto"/>
              </w:divBdr>
            </w:div>
            <w:div w:id="1625766713">
              <w:marLeft w:val="0"/>
              <w:marRight w:val="0"/>
              <w:marTop w:val="0"/>
              <w:marBottom w:val="0"/>
              <w:divBdr>
                <w:top w:val="none" w:sz="0" w:space="0" w:color="auto"/>
                <w:left w:val="none" w:sz="0" w:space="0" w:color="auto"/>
                <w:bottom w:val="none" w:sz="0" w:space="0" w:color="auto"/>
                <w:right w:val="none" w:sz="0" w:space="0" w:color="auto"/>
              </w:divBdr>
            </w:div>
            <w:div w:id="239022437">
              <w:marLeft w:val="0"/>
              <w:marRight w:val="0"/>
              <w:marTop w:val="0"/>
              <w:marBottom w:val="0"/>
              <w:divBdr>
                <w:top w:val="none" w:sz="0" w:space="0" w:color="auto"/>
                <w:left w:val="none" w:sz="0" w:space="0" w:color="auto"/>
                <w:bottom w:val="none" w:sz="0" w:space="0" w:color="auto"/>
                <w:right w:val="none" w:sz="0" w:space="0" w:color="auto"/>
              </w:divBdr>
            </w:div>
            <w:div w:id="2023044076">
              <w:marLeft w:val="0"/>
              <w:marRight w:val="0"/>
              <w:marTop w:val="0"/>
              <w:marBottom w:val="0"/>
              <w:divBdr>
                <w:top w:val="none" w:sz="0" w:space="0" w:color="auto"/>
                <w:left w:val="none" w:sz="0" w:space="0" w:color="auto"/>
                <w:bottom w:val="none" w:sz="0" w:space="0" w:color="auto"/>
                <w:right w:val="none" w:sz="0" w:space="0" w:color="auto"/>
              </w:divBdr>
            </w:div>
            <w:div w:id="2064715962">
              <w:marLeft w:val="0"/>
              <w:marRight w:val="0"/>
              <w:marTop w:val="0"/>
              <w:marBottom w:val="0"/>
              <w:divBdr>
                <w:top w:val="none" w:sz="0" w:space="0" w:color="auto"/>
                <w:left w:val="none" w:sz="0" w:space="0" w:color="auto"/>
                <w:bottom w:val="none" w:sz="0" w:space="0" w:color="auto"/>
                <w:right w:val="none" w:sz="0" w:space="0" w:color="auto"/>
              </w:divBdr>
            </w:div>
            <w:div w:id="1080251690">
              <w:marLeft w:val="0"/>
              <w:marRight w:val="0"/>
              <w:marTop w:val="0"/>
              <w:marBottom w:val="0"/>
              <w:divBdr>
                <w:top w:val="none" w:sz="0" w:space="0" w:color="auto"/>
                <w:left w:val="none" w:sz="0" w:space="0" w:color="auto"/>
                <w:bottom w:val="none" w:sz="0" w:space="0" w:color="auto"/>
                <w:right w:val="none" w:sz="0" w:space="0" w:color="auto"/>
              </w:divBdr>
            </w:div>
            <w:div w:id="1578710013">
              <w:marLeft w:val="0"/>
              <w:marRight w:val="0"/>
              <w:marTop w:val="0"/>
              <w:marBottom w:val="0"/>
              <w:divBdr>
                <w:top w:val="none" w:sz="0" w:space="0" w:color="auto"/>
                <w:left w:val="none" w:sz="0" w:space="0" w:color="auto"/>
                <w:bottom w:val="none" w:sz="0" w:space="0" w:color="auto"/>
                <w:right w:val="none" w:sz="0" w:space="0" w:color="auto"/>
              </w:divBdr>
            </w:div>
            <w:div w:id="247737840">
              <w:marLeft w:val="0"/>
              <w:marRight w:val="0"/>
              <w:marTop w:val="0"/>
              <w:marBottom w:val="0"/>
              <w:divBdr>
                <w:top w:val="none" w:sz="0" w:space="0" w:color="auto"/>
                <w:left w:val="none" w:sz="0" w:space="0" w:color="auto"/>
                <w:bottom w:val="none" w:sz="0" w:space="0" w:color="auto"/>
                <w:right w:val="none" w:sz="0" w:space="0" w:color="auto"/>
              </w:divBdr>
            </w:div>
            <w:div w:id="1807312922">
              <w:marLeft w:val="0"/>
              <w:marRight w:val="0"/>
              <w:marTop w:val="0"/>
              <w:marBottom w:val="0"/>
              <w:divBdr>
                <w:top w:val="none" w:sz="0" w:space="0" w:color="auto"/>
                <w:left w:val="none" w:sz="0" w:space="0" w:color="auto"/>
                <w:bottom w:val="none" w:sz="0" w:space="0" w:color="auto"/>
                <w:right w:val="none" w:sz="0" w:space="0" w:color="auto"/>
              </w:divBdr>
            </w:div>
            <w:div w:id="1191796117">
              <w:marLeft w:val="0"/>
              <w:marRight w:val="0"/>
              <w:marTop w:val="0"/>
              <w:marBottom w:val="0"/>
              <w:divBdr>
                <w:top w:val="none" w:sz="0" w:space="0" w:color="auto"/>
                <w:left w:val="none" w:sz="0" w:space="0" w:color="auto"/>
                <w:bottom w:val="none" w:sz="0" w:space="0" w:color="auto"/>
                <w:right w:val="none" w:sz="0" w:space="0" w:color="auto"/>
              </w:divBdr>
            </w:div>
            <w:div w:id="1118568738">
              <w:marLeft w:val="0"/>
              <w:marRight w:val="0"/>
              <w:marTop w:val="0"/>
              <w:marBottom w:val="0"/>
              <w:divBdr>
                <w:top w:val="none" w:sz="0" w:space="0" w:color="auto"/>
                <w:left w:val="none" w:sz="0" w:space="0" w:color="auto"/>
                <w:bottom w:val="none" w:sz="0" w:space="0" w:color="auto"/>
                <w:right w:val="none" w:sz="0" w:space="0" w:color="auto"/>
              </w:divBdr>
            </w:div>
            <w:div w:id="1874266782">
              <w:marLeft w:val="0"/>
              <w:marRight w:val="0"/>
              <w:marTop w:val="0"/>
              <w:marBottom w:val="0"/>
              <w:divBdr>
                <w:top w:val="none" w:sz="0" w:space="0" w:color="auto"/>
                <w:left w:val="none" w:sz="0" w:space="0" w:color="auto"/>
                <w:bottom w:val="none" w:sz="0" w:space="0" w:color="auto"/>
                <w:right w:val="none" w:sz="0" w:space="0" w:color="auto"/>
              </w:divBdr>
            </w:div>
            <w:div w:id="1514490573">
              <w:marLeft w:val="0"/>
              <w:marRight w:val="0"/>
              <w:marTop w:val="0"/>
              <w:marBottom w:val="0"/>
              <w:divBdr>
                <w:top w:val="none" w:sz="0" w:space="0" w:color="auto"/>
                <w:left w:val="none" w:sz="0" w:space="0" w:color="auto"/>
                <w:bottom w:val="none" w:sz="0" w:space="0" w:color="auto"/>
                <w:right w:val="none" w:sz="0" w:space="0" w:color="auto"/>
              </w:divBdr>
            </w:div>
            <w:div w:id="1184325908">
              <w:marLeft w:val="0"/>
              <w:marRight w:val="0"/>
              <w:marTop w:val="0"/>
              <w:marBottom w:val="0"/>
              <w:divBdr>
                <w:top w:val="none" w:sz="0" w:space="0" w:color="auto"/>
                <w:left w:val="none" w:sz="0" w:space="0" w:color="auto"/>
                <w:bottom w:val="none" w:sz="0" w:space="0" w:color="auto"/>
                <w:right w:val="none" w:sz="0" w:space="0" w:color="auto"/>
              </w:divBdr>
            </w:div>
            <w:div w:id="1791169889">
              <w:marLeft w:val="0"/>
              <w:marRight w:val="0"/>
              <w:marTop w:val="0"/>
              <w:marBottom w:val="0"/>
              <w:divBdr>
                <w:top w:val="none" w:sz="0" w:space="0" w:color="auto"/>
                <w:left w:val="none" w:sz="0" w:space="0" w:color="auto"/>
                <w:bottom w:val="none" w:sz="0" w:space="0" w:color="auto"/>
                <w:right w:val="none" w:sz="0" w:space="0" w:color="auto"/>
              </w:divBdr>
            </w:div>
            <w:div w:id="1002705430">
              <w:marLeft w:val="0"/>
              <w:marRight w:val="0"/>
              <w:marTop w:val="0"/>
              <w:marBottom w:val="0"/>
              <w:divBdr>
                <w:top w:val="none" w:sz="0" w:space="0" w:color="auto"/>
                <w:left w:val="none" w:sz="0" w:space="0" w:color="auto"/>
                <w:bottom w:val="none" w:sz="0" w:space="0" w:color="auto"/>
                <w:right w:val="none" w:sz="0" w:space="0" w:color="auto"/>
              </w:divBdr>
            </w:div>
            <w:div w:id="1576278971">
              <w:marLeft w:val="0"/>
              <w:marRight w:val="0"/>
              <w:marTop w:val="0"/>
              <w:marBottom w:val="0"/>
              <w:divBdr>
                <w:top w:val="none" w:sz="0" w:space="0" w:color="auto"/>
                <w:left w:val="none" w:sz="0" w:space="0" w:color="auto"/>
                <w:bottom w:val="none" w:sz="0" w:space="0" w:color="auto"/>
                <w:right w:val="none" w:sz="0" w:space="0" w:color="auto"/>
              </w:divBdr>
            </w:div>
            <w:div w:id="1425420403">
              <w:marLeft w:val="0"/>
              <w:marRight w:val="0"/>
              <w:marTop w:val="0"/>
              <w:marBottom w:val="0"/>
              <w:divBdr>
                <w:top w:val="none" w:sz="0" w:space="0" w:color="auto"/>
                <w:left w:val="none" w:sz="0" w:space="0" w:color="auto"/>
                <w:bottom w:val="none" w:sz="0" w:space="0" w:color="auto"/>
                <w:right w:val="none" w:sz="0" w:space="0" w:color="auto"/>
              </w:divBdr>
            </w:div>
            <w:div w:id="1160928313">
              <w:marLeft w:val="0"/>
              <w:marRight w:val="0"/>
              <w:marTop w:val="0"/>
              <w:marBottom w:val="0"/>
              <w:divBdr>
                <w:top w:val="none" w:sz="0" w:space="0" w:color="auto"/>
                <w:left w:val="none" w:sz="0" w:space="0" w:color="auto"/>
                <w:bottom w:val="none" w:sz="0" w:space="0" w:color="auto"/>
                <w:right w:val="none" w:sz="0" w:space="0" w:color="auto"/>
              </w:divBdr>
            </w:div>
            <w:div w:id="187911080">
              <w:marLeft w:val="0"/>
              <w:marRight w:val="0"/>
              <w:marTop w:val="0"/>
              <w:marBottom w:val="0"/>
              <w:divBdr>
                <w:top w:val="none" w:sz="0" w:space="0" w:color="auto"/>
                <w:left w:val="none" w:sz="0" w:space="0" w:color="auto"/>
                <w:bottom w:val="none" w:sz="0" w:space="0" w:color="auto"/>
                <w:right w:val="none" w:sz="0" w:space="0" w:color="auto"/>
              </w:divBdr>
            </w:div>
            <w:div w:id="2086418169">
              <w:marLeft w:val="0"/>
              <w:marRight w:val="0"/>
              <w:marTop w:val="0"/>
              <w:marBottom w:val="0"/>
              <w:divBdr>
                <w:top w:val="none" w:sz="0" w:space="0" w:color="auto"/>
                <w:left w:val="none" w:sz="0" w:space="0" w:color="auto"/>
                <w:bottom w:val="none" w:sz="0" w:space="0" w:color="auto"/>
                <w:right w:val="none" w:sz="0" w:space="0" w:color="auto"/>
              </w:divBdr>
            </w:div>
            <w:div w:id="29647778">
              <w:marLeft w:val="0"/>
              <w:marRight w:val="0"/>
              <w:marTop w:val="0"/>
              <w:marBottom w:val="0"/>
              <w:divBdr>
                <w:top w:val="none" w:sz="0" w:space="0" w:color="auto"/>
                <w:left w:val="none" w:sz="0" w:space="0" w:color="auto"/>
                <w:bottom w:val="none" w:sz="0" w:space="0" w:color="auto"/>
                <w:right w:val="none" w:sz="0" w:space="0" w:color="auto"/>
              </w:divBdr>
            </w:div>
            <w:div w:id="1638608492">
              <w:marLeft w:val="0"/>
              <w:marRight w:val="0"/>
              <w:marTop w:val="0"/>
              <w:marBottom w:val="0"/>
              <w:divBdr>
                <w:top w:val="none" w:sz="0" w:space="0" w:color="auto"/>
                <w:left w:val="none" w:sz="0" w:space="0" w:color="auto"/>
                <w:bottom w:val="none" w:sz="0" w:space="0" w:color="auto"/>
                <w:right w:val="none" w:sz="0" w:space="0" w:color="auto"/>
              </w:divBdr>
            </w:div>
            <w:div w:id="87435962">
              <w:marLeft w:val="0"/>
              <w:marRight w:val="0"/>
              <w:marTop w:val="0"/>
              <w:marBottom w:val="0"/>
              <w:divBdr>
                <w:top w:val="none" w:sz="0" w:space="0" w:color="auto"/>
                <w:left w:val="none" w:sz="0" w:space="0" w:color="auto"/>
                <w:bottom w:val="none" w:sz="0" w:space="0" w:color="auto"/>
                <w:right w:val="none" w:sz="0" w:space="0" w:color="auto"/>
              </w:divBdr>
            </w:div>
            <w:div w:id="117823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786292">
      <w:bodyDiv w:val="1"/>
      <w:marLeft w:val="0"/>
      <w:marRight w:val="0"/>
      <w:marTop w:val="0"/>
      <w:marBottom w:val="0"/>
      <w:divBdr>
        <w:top w:val="none" w:sz="0" w:space="0" w:color="auto"/>
        <w:left w:val="none" w:sz="0" w:space="0" w:color="auto"/>
        <w:bottom w:val="none" w:sz="0" w:space="0" w:color="auto"/>
        <w:right w:val="none" w:sz="0" w:space="0" w:color="auto"/>
      </w:divBdr>
      <w:divsChild>
        <w:div w:id="1410687449">
          <w:marLeft w:val="0"/>
          <w:marRight w:val="0"/>
          <w:marTop w:val="0"/>
          <w:marBottom w:val="0"/>
          <w:divBdr>
            <w:top w:val="none" w:sz="0" w:space="0" w:color="auto"/>
            <w:left w:val="none" w:sz="0" w:space="0" w:color="auto"/>
            <w:bottom w:val="none" w:sz="0" w:space="0" w:color="auto"/>
            <w:right w:val="none" w:sz="0" w:space="0" w:color="auto"/>
          </w:divBdr>
          <w:divsChild>
            <w:div w:id="12877391">
              <w:marLeft w:val="0"/>
              <w:marRight w:val="0"/>
              <w:marTop w:val="0"/>
              <w:marBottom w:val="0"/>
              <w:divBdr>
                <w:top w:val="none" w:sz="0" w:space="0" w:color="auto"/>
                <w:left w:val="none" w:sz="0" w:space="0" w:color="auto"/>
                <w:bottom w:val="none" w:sz="0" w:space="0" w:color="auto"/>
                <w:right w:val="none" w:sz="0" w:space="0" w:color="auto"/>
              </w:divBdr>
            </w:div>
            <w:div w:id="103573199">
              <w:marLeft w:val="0"/>
              <w:marRight w:val="0"/>
              <w:marTop w:val="0"/>
              <w:marBottom w:val="0"/>
              <w:divBdr>
                <w:top w:val="none" w:sz="0" w:space="0" w:color="auto"/>
                <w:left w:val="none" w:sz="0" w:space="0" w:color="auto"/>
                <w:bottom w:val="none" w:sz="0" w:space="0" w:color="auto"/>
                <w:right w:val="none" w:sz="0" w:space="0" w:color="auto"/>
              </w:divBdr>
            </w:div>
            <w:div w:id="164832058">
              <w:marLeft w:val="0"/>
              <w:marRight w:val="0"/>
              <w:marTop w:val="0"/>
              <w:marBottom w:val="0"/>
              <w:divBdr>
                <w:top w:val="none" w:sz="0" w:space="0" w:color="auto"/>
                <w:left w:val="none" w:sz="0" w:space="0" w:color="auto"/>
                <w:bottom w:val="none" w:sz="0" w:space="0" w:color="auto"/>
                <w:right w:val="none" w:sz="0" w:space="0" w:color="auto"/>
              </w:divBdr>
            </w:div>
            <w:div w:id="241180062">
              <w:marLeft w:val="0"/>
              <w:marRight w:val="0"/>
              <w:marTop w:val="0"/>
              <w:marBottom w:val="0"/>
              <w:divBdr>
                <w:top w:val="none" w:sz="0" w:space="0" w:color="auto"/>
                <w:left w:val="none" w:sz="0" w:space="0" w:color="auto"/>
                <w:bottom w:val="none" w:sz="0" w:space="0" w:color="auto"/>
                <w:right w:val="none" w:sz="0" w:space="0" w:color="auto"/>
              </w:divBdr>
            </w:div>
            <w:div w:id="254637778">
              <w:marLeft w:val="0"/>
              <w:marRight w:val="0"/>
              <w:marTop w:val="0"/>
              <w:marBottom w:val="0"/>
              <w:divBdr>
                <w:top w:val="none" w:sz="0" w:space="0" w:color="auto"/>
                <w:left w:val="none" w:sz="0" w:space="0" w:color="auto"/>
                <w:bottom w:val="none" w:sz="0" w:space="0" w:color="auto"/>
                <w:right w:val="none" w:sz="0" w:space="0" w:color="auto"/>
              </w:divBdr>
            </w:div>
            <w:div w:id="368455872">
              <w:marLeft w:val="0"/>
              <w:marRight w:val="0"/>
              <w:marTop w:val="0"/>
              <w:marBottom w:val="0"/>
              <w:divBdr>
                <w:top w:val="none" w:sz="0" w:space="0" w:color="auto"/>
                <w:left w:val="none" w:sz="0" w:space="0" w:color="auto"/>
                <w:bottom w:val="none" w:sz="0" w:space="0" w:color="auto"/>
                <w:right w:val="none" w:sz="0" w:space="0" w:color="auto"/>
              </w:divBdr>
            </w:div>
            <w:div w:id="386759224">
              <w:marLeft w:val="0"/>
              <w:marRight w:val="0"/>
              <w:marTop w:val="0"/>
              <w:marBottom w:val="0"/>
              <w:divBdr>
                <w:top w:val="none" w:sz="0" w:space="0" w:color="auto"/>
                <w:left w:val="none" w:sz="0" w:space="0" w:color="auto"/>
                <w:bottom w:val="none" w:sz="0" w:space="0" w:color="auto"/>
                <w:right w:val="none" w:sz="0" w:space="0" w:color="auto"/>
              </w:divBdr>
            </w:div>
            <w:div w:id="485827028">
              <w:marLeft w:val="0"/>
              <w:marRight w:val="0"/>
              <w:marTop w:val="0"/>
              <w:marBottom w:val="0"/>
              <w:divBdr>
                <w:top w:val="none" w:sz="0" w:space="0" w:color="auto"/>
                <w:left w:val="none" w:sz="0" w:space="0" w:color="auto"/>
                <w:bottom w:val="none" w:sz="0" w:space="0" w:color="auto"/>
                <w:right w:val="none" w:sz="0" w:space="0" w:color="auto"/>
              </w:divBdr>
            </w:div>
            <w:div w:id="510487181">
              <w:marLeft w:val="0"/>
              <w:marRight w:val="0"/>
              <w:marTop w:val="0"/>
              <w:marBottom w:val="0"/>
              <w:divBdr>
                <w:top w:val="none" w:sz="0" w:space="0" w:color="auto"/>
                <w:left w:val="none" w:sz="0" w:space="0" w:color="auto"/>
                <w:bottom w:val="none" w:sz="0" w:space="0" w:color="auto"/>
                <w:right w:val="none" w:sz="0" w:space="0" w:color="auto"/>
              </w:divBdr>
            </w:div>
            <w:div w:id="965811619">
              <w:marLeft w:val="0"/>
              <w:marRight w:val="0"/>
              <w:marTop w:val="0"/>
              <w:marBottom w:val="0"/>
              <w:divBdr>
                <w:top w:val="none" w:sz="0" w:space="0" w:color="auto"/>
                <w:left w:val="none" w:sz="0" w:space="0" w:color="auto"/>
                <w:bottom w:val="none" w:sz="0" w:space="0" w:color="auto"/>
                <w:right w:val="none" w:sz="0" w:space="0" w:color="auto"/>
              </w:divBdr>
            </w:div>
            <w:div w:id="1046183023">
              <w:marLeft w:val="0"/>
              <w:marRight w:val="0"/>
              <w:marTop w:val="0"/>
              <w:marBottom w:val="0"/>
              <w:divBdr>
                <w:top w:val="none" w:sz="0" w:space="0" w:color="auto"/>
                <w:left w:val="none" w:sz="0" w:space="0" w:color="auto"/>
                <w:bottom w:val="none" w:sz="0" w:space="0" w:color="auto"/>
                <w:right w:val="none" w:sz="0" w:space="0" w:color="auto"/>
              </w:divBdr>
            </w:div>
            <w:div w:id="1048801207">
              <w:marLeft w:val="0"/>
              <w:marRight w:val="0"/>
              <w:marTop w:val="0"/>
              <w:marBottom w:val="0"/>
              <w:divBdr>
                <w:top w:val="none" w:sz="0" w:space="0" w:color="auto"/>
                <w:left w:val="none" w:sz="0" w:space="0" w:color="auto"/>
                <w:bottom w:val="none" w:sz="0" w:space="0" w:color="auto"/>
                <w:right w:val="none" w:sz="0" w:space="0" w:color="auto"/>
              </w:divBdr>
            </w:div>
            <w:div w:id="1089353976">
              <w:marLeft w:val="0"/>
              <w:marRight w:val="0"/>
              <w:marTop w:val="0"/>
              <w:marBottom w:val="0"/>
              <w:divBdr>
                <w:top w:val="none" w:sz="0" w:space="0" w:color="auto"/>
                <w:left w:val="none" w:sz="0" w:space="0" w:color="auto"/>
                <w:bottom w:val="none" w:sz="0" w:space="0" w:color="auto"/>
                <w:right w:val="none" w:sz="0" w:space="0" w:color="auto"/>
              </w:divBdr>
            </w:div>
            <w:div w:id="1151213899">
              <w:marLeft w:val="0"/>
              <w:marRight w:val="0"/>
              <w:marTop w:val="0"/>
              <w:marBottom w:val="0"/>
              <w:divBdr>
                <w:top w:val="none" w:sz="0" w:space="0" w:color="auto"/>
                <w:left w:val="none" w:sz="0" w:space="0" w:color="auto"/>
                <w:bottom w:val="none" w:sz="0" w:space="0" w:color="auto"/>
                <w:right w:val="none" w:sz="0" w:space="0" w:color="auto"/>
              </w:divBdr>
            </w:div>
            <w:div w:id="1160384568">
              <w:marLeft w:val="0"/>
              <w:marRight w:val="0"/>
              <w:marTop w:val="0"/>
              <w:marBottom w:val="0"/>
              <w:divBdr>
                <w:top w:val="none" w:sz="0" w:space="0" w:color="auto"/>
                <w:left w:val="none" w:sz="0" w:space="0" w:color="auto"/>
                <w:bottom w:val="none" w:sz="0" w:space="0" w:color="auto"/>
                <w:right w:val="none" w:sz="0" w:space="0" w:color="auto"/>
              </w:divBdr>
            </w:div>
            <w:div w:id="1176963982">
              <w:marLeft w:val="0"/>
              <w:marRight w:val="0"/>
              <w:marTop w:val="0"/>
              <w:marBottom w:val="0"/>
              <w:divBdr>
                <w:top w:val="none" w:sz="0" w:space="0" w:color="auto"/>
                <w:left w:val="none" w:sz="0" w:space="0" w:color="auto"/>
                <w:bottom w:val="none" w:sz="0" w:space="0" w:color="auto"/>
                <w:right w:val="none" w:sz="0" w:space="0" w:color="auto"/>
              </w:divBdr>
            </w:div>
            <w:div w:id="1210071164">
              <w:marLeft w:val="0"/>
              <w:marRight w:val="0"/>
              <w:marTop w:val="0"/>
              <w:marBottom w:val="0"/>
              <w:divBdr>
                <w:top w:val="none" w:sz="0" w:space="0" w:color="auto"/>
                <w:left w:val="none" w:sz="0" w:space="0" w:color="auto"/>
                <w:bottom w:val="none" w:sz="0" w:space="0" w:color="auto"/>
                <w:right w:val="none" w:sz="0" w:space="0" w:color="auto"/>
              </w:divBdr>
            </w:div>
            <w:div w:id="1385760086">
              <w:marLeft w:val="0"/>
              <w:marRight w:val="0"/>
              <w:marTop w:val="0"/>
              <w:marBottom w:val="0"/>
              <w:divBdr>
                <w:top w:val="none" w:sz="0" w:space="0" w:color="auto"/>
                <w:left w:val="none" w:sz="0" w:space="0" w:color="auto"/>
                <w:bottom w:val="none" w:sz="0" w:space="0" w:color="auto"/>
                <w:right w:val="none" w:sz="0" w:space="0" w:color="auto"/>
              </w:divBdr>
            </w:div>
            <w:div w:id="1413817117">
              <w:marLeft w:val="0"/>
              <w:marRight w:val="0"/>
              <w:marTop w:val="0"/>
              <w:marBottom w:val="0"/>
              <w:divBdr>
                <w:top w:val="none" w:sz="0" w:space="0" w:color="auto"/>
                <w:left w:val="none" w:sz="0" w:space="0" w:color="auto"/>
                <w:bottom w:val="none" w:sz="0" w:space="0" w:color="auto"/>
                <w:right w:val="none" w:sz="0" w:space="0" w:color="auto"/>
              </w:divBdr>
            </w:div>
            <w:div w:id="1480725540">
              <w:marLeft w:val="0"/>
              <w:marRight w:val="0"/>
              <w:marTop w:val="0"/>
              <w:marBottom w:val="0"/>
              <w:divBdr>
                <w:top w:val="none" w:sz="0" w:space="0" w:color="auto"/>
                <w:left w:val="none" w:sz="0" w:space="0" w:color="auto"/>
                <w:bottom w:val="none" w:sz="0" w:space="0" w:color="auto"/>
                <w:right w:val="none" w:sz="0" w:space="0" w:color="auto"/>
              </w:divBdr>
            </w:div>
            <w:div w:id="1505441403">
              <w:marLeft w:val="0"/>
              <w:marRight w:val="0"/>
              <w:marTop w:val="0"/>
              <w:marBottom w:val="0"/>
              <w:divBdr>
                <w:top w:val="none" w:sz="0" w:space="0" w:color="auto"/>
                <w:left w:val="none" w:sz="0" w:space="0" w:color="auto"/>
                <w:bottom w:val="none" w:sz="0" w:space="0" w:color="auto"/>
                <w:right w:val="none" w:sz="0" w:space="0" w:color="auto"/>
              </w:divBdr>
            </w:div>
            <w:div w:id="1543324545">
              <w:marLeft w:val="0"/>
              <w:marRight w:val="0"/>
              <w:marTop w:val="0"/>
              <w:marBottom w:val="0"/>
              <w:divBdr>
                <w:top w:val="none" w:sz="0" w:space="0" w:color="auto"/>
                <w:left w:val="none" w:sz="0" w:space="0" w:color="auto"/>
                <w:bottom w:val="none" w:sz="0" w:space="0" w:color="auto"/>
                <w:right w:val="none" w:sz="0" w:space="0" w:color="auto"/>
              </w:divBdr>
            </w:div>
            <w:div w:id="1567454827">
              <w:marLeft w:val="0"/>
              <w:marRight w:val="0"/>
              <w:marTop w:val="0"/>
              <w:marBottom w:val="0"/>
              <w:divBdr>
                <w:top w:val="none" w:sz="0" w:space="0" w:color="auto"/>
                <w:left w:val="none" w:sz="0" w:space="0" w:color="auto"/>
                <w:bottom w:val="none" w:sz="0" w:space="0" w:color="auto"/>
                <w:right w:val="none" w:sz="0" w:space="0" w:color="auto"/>
              </w:divBdr>
            </w:div>
            <w:div w:id="1689873014">
              <w:marLeft w:val="0"/>
              <w:marRight w:val="0"/>
              <w:marTop w:val="0"/>
              <w:marBottom w:val="0"/>
              <w:divBdr>
                <w:top w:val="none" w:sz="0" w:space="0" w:color="auto"/>
                <w:left w:val="none" w:sz="0" w:space="0" w:color="auto"/>
                <w:bottom w:val="none" w:sz="0" w:space="0" w:color="auto"/>
                <w:right w:val="none" w:sz="0" w:space="0" w:color="auto"/>
              </w:divBdr>
            </w:div>
            <w:div w:id="1743605643">
              <w:marLeft w:val="0"/>
              <w:marRight w:val="0"/>
              <w:marTop w:val="0"/>
              <w:marBottom w:val="0"/>
              <w:divBdr>
                <w:top w:val="none" w:sz="0" w:space="0" w:color="auto"/>
                <w:left w:val="none" w:sz="0" w:space="0" w:color="auto"/>
                <w:bottom w:val="none" w:sz="0" w:space="0" w:color="auto"/>
                <w:right w:val="none" w:sz="0" w:space="0" w:color="auto"/>
              </w:divBdr>
            </w:div>
            <w:div w:id="1882785224">
              <w:marLeft w:val="0"/>
              <w:marRight w:val="0"/>
              <w:marTop w:val="0"/>
              <w:marBottom w:val="0"/>
              <w:divBdr>
                <w:top w:val="none" w:sz="0" w:space="0" w:color="auto"/>
                <w:left w:val="none" w:sz="0" w:space="0" w:color="auto"/>
                <w:bottom w:val="none" w:sz="0" w:space="0" w:color="auto"/>
                <w:right w:val="none" w:sz="0" w:space="0" w:color="auto"/>
              </w:divBdr>
            </w:div>
            <w:div w:id="2074963015">
              <w:marLeft w:val="0"/>
              <w:marRight w:val="0"/>
              <w:marTop w:val="0"/>
              <w:marBottom w:val="0"/>
              <w:divBdr>
                <w:top w:val="none" w:sz="0" w:space="0" w:color="auto"/>
                <w:left w:val="none" w:sz="0" w:space="0" w:color="auto"/>
                <w:bottom w:val="none" w:sz="0" w:space="0" w:color="auto"/>
                <w:right w:val="none" w:sz="0" w:space="0" w:color="auto"/>
              </w:divBdr>
            </w:div>
            <w:div w:id="211458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746365">
      <w:bodyDiv w:val="1"/>
      <w:marLeft w:val="0"/>
      <w:marRight w:val="0"/>
      <w:marTop w:val="0"/>
      <w:marBottom w:val="0"/>
      <w:divBdr>
        <w:top w:val="none" w:sz="0" w:space="0" w:color="auto"/>
        <w:left w:val="none" w:sz="0" w:space="0" w:color="auto"/>
        <w:bottom w:val="none" w:sz="0" w:space="0" w:color="auto"/>
        <w:right w:val="none" w:sz="0" w:space="0" w:color="auto"/>
      </w:divBdr>
      <w:divsChild>
        <w:div w:id="1090079068">
          <w:marLeft w:val="0"/>
          <w:marRight w:val="0"/>
          <w:marTop w:val="0"/>
          <w:marBottom w:val="0"/>
          <w:divBdr>
            <w:top w:val="none" w:sz="0" w:space="0" w:color="auto"/>
            <w:left w:val="none" w:sz="0" w:space="0" w:color="auto"/>
            <w:bottom w:val="none" w:sz="0" w:space="0" w:color="auto"/>
            <w:right w:val="none" w:sz="0" w:space="0" w:color="auto"/>
          </w:divBdr>
          <w:divsChild>
            <w:div w:id="1711219349">
              <w:marLeft w:val="0"/>
              <w:marRight w:val="0"/>
              <w:marTop w:val="0"/>
              <w:marBottom w:val="0"/>
              <w:divBdr>
                <w:top w:val="none" w:sz="0" w:space="0" w:color="auto"/>
                <w:left w:val="none" w:sz="0" w:space="0" w:color="auto"/>
                <w:bottom w:val="none" w:sz="0" w:space="0" w:color="auto"/>
                <w:right w:val="none" w:sz="0" w:space="0" w:color="auto"/>
              </w:divBdr>
            </w:div>
            <w:div w:id="1332568129">
              <w:marLeft w:val="0"/>
              <w:marRight w:val="0"/>
              <w:marTop w:val="0"/>
              <w:marBottom w:val="0"/>
              <w:divBdr>
                <w:top w:val="none" w:sz="0" w:space="0" w:color="auto"/>
                <w:left w:val="none" w:sz="0" w:space="0" w:color="auto"/>
                <w:bottom w:val="none" w:sz="0" w:space="0" w:color="auto"/>
                <w:right w:val="none" w:sz="0" w:space="0" w:color="auto"/>
              </w:divBdr>
            </w:div>
            <w:div w:id="1365447934">
              <w:marLeft w:val="0"/>
              <w:marRight w:val="0"/>
              <w:marTop w:val="0"/>
              <w:marBottom w:val="0"/>
              <w:divBdr>
                <w:top w:val="none" w:sz="0" w:space="0" w:color="auto"/>
                <w:left w:val="none" w:sz="0" w:space="0" w:color="auto"/>
                <w:bottom w:val="none" w:sz="0" w:space="0" w:color="auto"/>
                <w:right w:val="none" w:sz="0" w:space="0" w:color="auto"/>
              </w:divBdr>
            </w:div>
            <w:div w:id="1668242007">
              <w:marLeft w:val="0"/>
              <w:marRight w:val="0"/>
              <w:marTop w:val="0"/>
              <w:marBottom w:val="0"/>
              <w:divBdr>
                <w:top w:val="none" w:sz="0" w:space="0" w:color="auto"/>
                <w:left w:val="none" w:sz="0" w:space="0" w:color="auto"/>
                <w:bottom w:val="none" w:sz="0" w:space="0" w:color="auto"/>
                <w:right w:val="none" w:sz="0" w:space="0" w:color="auto"/>
              </w:divBdr>
            </w:div>
            <w:div w:id="1427769153">
              <w:marLeft w:val="0"/>
              <w:marRight w:val="0"/>
              <w:marTop w:val="0"/>
              <w:marBottom w:val="0"/>
              <w:divBdr>
                <w:top w:val="none" w:sz="0" w:space="0" w:color="auto"/>
                <w:left w:val="none" w:sz="0" w:space="0" w:color="auto"/>
                <w:bottom w:val="none" w:sz="0" w:space="0" w:color="auto"/>
                <w:right w:val="none" w:sz="0" w:space="0" w:color="auto"/>
              </w:divBdr>
            </w:div>
            <w:div w:id="1501626946">
              <w:marLeft w:val="0"/>
              <w:marRight w:val="0"/>
              <w:marTop w:val="0"/>
              <w:marBottom w:val="0"/>
              <w:divBdr>
                <w:top w:val="none" w:sz="0" w:space="0" w:color="auto"/>
                <w:left w:val="none" w:sz="0" w:space="0" w:color="auto"/>
                <w:bottom w:val="none" w:sz="0" w:space="0" w:color="auto"/>
                <w:right w:val="none" w:sz="0" w:space="0" w:color="auto"/>
              </w:divBdr>
            </w:div>
            <w:div w:id="822739513">
              <w:marLeft w:val="0"/>
              <w:marRight w:val="0"/>
              <w:marTop w:val="0"/>
              <w:marBottom w:val="0"/>
              <w:divBdr>
                <w:top w:val="none" w:sz="0" w:space="0" w:color="auto"/>
                <w:left w:val="none" w:sz="0" w:space="0" w:color="auto"/>
                <w:bottom w:val="none" w:sz="0" w:space="0" w:color="auto"/>
                <w:right w:val="none" w:sz="0" w:space="0" w:color="auto"/>
              </w:divBdr>
            </w:div>
            <w:div w:id="1255356364">
              <w:marLeft w:val="0"/>
              <w:marRight w:val="0"/>
              <w:marTop w:val="0"/>
              <w:marBottom w:val="0"/>
              <w:divBdr>
                <w:top w:val="none" w:sz="0" w:space="0" w:color="auto"/>
                <w:left w:val="none" w:sz="0" w:space="0" w:color="auto"/>
                <w:bottom w:val="none" w:sz="0" w:space="0" w:color="auto"/>
                <w:right w:val="none" w:sz="0" w:space="0" w:color="auto"/>
              </w:divBdr>
            </w:div>
            <w:div w:id="485711941">
              <w:marLeft w:val="0"/>
              <w:marRight w:val="0"/>
              <w:marTop w:val="0"/>
              <w:marBottom w:val="0"/>
              <w:divBdr>
                <w:top w:val="none" w:sz="0" w:space="0" w:color="auto"/>
                <w:left w:val="none" w:sz="0" w:space="0" w:color="auto"/>
                <w:bottom w:val="none" w:sz="0" w:space="0" w:color="auto"/>
                <w:right w:val="none" w:sz="0" w:space="0" w:color="auto"/>
              </w:divBdr>
            </w:div>
            <w:div w:id="1527253522">
              <w:marLeft w:val="0"/>
              <w:marRight w:val="0"/>
              <w:marTop w:val="0"/>
              <w:marBottom w:val="0"/>
              <w:divBdr>
                <w:top w:val="none" w:sz="0" w:space="0" w:color="auto"/>
                <w:left w:val="none" w:sz="0" w:space="0" w:color="auto"/>
                <w:bottom w:val="none" w:sz="0" w:space="0" w:color="auto"/>
                <w:right w:val="none" w:sz="0" w:space="0" w:color="auto"/>
              </w:divBdr>
            </w:div>
            <w:div w:id="1702783276">
              <w:marLeft w:val="0"/>
              <w:marRight w:val="0"/>
              <w:marTop w:val="0"/>
              <w:marBottom w:val="0"/>
              <w:divBdr>
                <w:top w:val="none" w:sz="0" w:space="0" w:color="auto"/>
                <w:left w:val="none" w:sz="0" w:space="0" w:color="auto"/>
                <w:bottom w:val="none" w:sz="0" w:space="0" w:color="auto"/>
                <w:right w:val="none" w:sz="0" w:space="0" w:color="auto"/>
              </w:divBdr>
            </w:div>
            <w:div w:id="1647927464">
              <w:marLeft w:val="0"/>
              <w:marRight w:val="0"/>
              <w:marTop w:val="0"/>
              <w:marBottom w:val="0"/>
              <w:divBdr>
                <w:top w:val="none" w:sz="0" w:space="0" w:color="auto"/>
                <w:left w:val="none" w:sz="0" w:space="0" w:color="auto"/>
                <w:bottom w:val="none" w:sz="0" w:space="0" w:color="auto"/>
                <w:right w:val="none" w:sz="0" w:space="0" w:color="auto"/>
              </w:divBdr>
            </w:div>
            <w:div w:id="744493171">
              <w:marLeft w:val="0"/>
              <w:marRight w:val="0"/>
              <w:marTop w:val="0"/>
              <w:marBottom w:val="0"/>
              <w:divBdr>
                <w:top w:val="none" w:sz="0" w:space="0" w:color="auto"/>
                <w:left w:val="none" w:sz="0" w:space="0" w:color="auto"/>
                <w:bottom w:val="none" w:sz="0" w:space="0" w:color="auto"/>
                <w:right w:val="none" w:sz="0" w:space="0" w:color="auto"/>
              </w:divBdr>
            </w:div>
            <w:div w:id="558519853">
              <w:marLeft w:val="0"/>
              <w:marRight w:val="0"/>
              <w:marTop w:val="0"/>
              <w:marBottom w:val="0"/>
              <w:divBdr>
                <w:top w:val="none" w:sz="0" w:space="0" w:color="auto"/>
                <w:left w:val="none" w:sz="0" w:space="0" w:color="auto"/>
                <w:bottom w:val="none" w:sz="0" w:space="0" w:color="auto"/>
                <w:right w:val="none" w:sz="0" w:space="0" w:color="auto"/>
              </w:divBdr>
            </w:div>
            <w:div w:id="510727278">
              <w:marLeft w:val="0"/>
              <w:marRight w:val="0"/>
              <w:marTop w:val="0"/>
              <w:marBottom w:val="0"/>
              <w:divBdr>
                <w:top w:val="none" w:sz="0" w:space="0" w:color="auto"/>
                <w:left w:val="none" w:sz="0" w:space="0" w:color="auto"/>
                <w:bottom w:val="none" w:sz="0" w:space="0" w:color="auto"/>
                <w:right w:val="none" w:sz="0" w:space="0" w:color="auto"/>
              </w:divBdr>
            </w:div>
            <w:div w:id="1291283016">
              <w:marLeft w:val="0"/>
              <w:marRight w:val="0"/>
              <w:marTop w:val="0"/>
              <w:marBottom w:val="0"/>
              <w:divBdr>
                <w:top w:val="none" w:sz="0" w:space="0" w:color="auto"/>
                <w:left w:val="none" w:sz="0" w:space="0" w:color="auto"/>
                <w:bottom w:val="none" w:sz="0" w:space="0" w:color="auto"/>
                <w:right w:val="none" w:sz="0" w:space="0" w:color="auto"/>
              </w:divBdr>
            </w:div>
            <w:div w:id="2072532345">
              <w:marLeft w:val="0"/>
              <w:marRight w:val="0"/>
              <w:marTop w:val="0"/>
              <w:marBottom w:val="0"/>
              <w:divBdr>
                <w:top w:val="none" w:sz="0" w:space="0" w:color="auto"/>
                <w:left w:val="none" w:sz="0" w:space="0" w:color="auto"/>
                <w:bottom w:val="none" w:sz="0" w:space="0" w:color="auto"/>
                <w:right w:val="none" w:sz="0" w:space="0" w:color="auto"/>
              </w:divBdr>
            </w:div>
            <w:div w:id="821240720">
              <w:marLeft w:val="0"/>
              <w:marRight w:val="0"/>
              <w:marTop w:val="0"/>
              <w:marBottom w:val="0"/>
              <w:divBdr>
                <w:top w:val="none" w:sz="0" w:space="0" w:color="auto"/>
                <w:left w:val="none" w:sz="0" w:space="0" w:color="auto"/>
                <w:bottom w:val="none" w:sz="0" w:space="0" w:color="auto"/>
                <w:right w:val="none" w:sz="0" w:space="0" w:color="auto"/>
              </w:divBdr>
            </w:div>
            <w:div w:id="1673217792">
              <w:marLeft w:val="0"/>
              <w:marRight w:val="0"/>
              <w:marTop w:val="0"/>
              <w:marBottom w:val="0"/>
              <w:divBdr>
                <w:top w:val="none" w:sz="0" w:space="0" w:color="auto"/>
                <w:left w:val="none" w:sz="0" w:space="0" w:color="auto"/>
                <w:bottom w:val="none" w:sz="0" w:space="0" w:color="auto"/>
                <w:right w:val="none" w:sz="0" w:space="0" w:color="auto"/>
              </w:divBdr>
            </w:div>
            <w:div w:id="1917008365">
              <w:marLeft w:val="0"/>
              <w:marRight w:val="0"/>
              <w:marTop w:val="0"/>
              <w:marBottom w:val="0"/>
              <w:divBdr>
                <w:top w:val="none" w:sz="0" w:space="0" w:color="auto"/>
                <w:left w:val="none" w:sz="0" w:space="0" w:color="auto"/>
                <w:bottom w:val="none" w:sz="0" w:space="0" w:color="auto"/>
                <w:right w:val="none" w:sz="0" w:space="0" w:color="auto"/>
              </w:divBdr>
            </w:div>
            <w:div w:id="1082142784">
              <w:marLeft w:val="0"/>
              <w:marRight w:val="0"/>
              <w:marTop w:val="0"/>
              <w:marBottom w:val="0"/>
              <w:divBdr>
                <w:top w:val="none" w:sz="0" w:space="0" w:color="auto"/>
                <w:left w:val="none" w:sz="0" w:space="0" w:color="auto"/>
                <w:bottom w:val="none" w:sz="0" w:space="0" w:color="auto"/>
                <w:right w:val="none" w:sz="0" w:space="0" w:color="auto"/>
              </w:divBdr>
            </w:div>
            <w:div w:id="336228278">
              <w:marLeft w:val="0"/>
              <w:marRight w:val="0"/>
              <w:marTop w:val="0"/>
              <w:marBottom w:val="0"/>
              <w:divBdr>
                <w:top w:val="none" w:sz="0" w:space="0" w:color="auto"/>
                <w:left w:val="none" w:sz="0" w:space="0" w:color="auto"/>
                <w:bottom w:val="none" w:sz="0" w:space="0" w:color="auto"/>
                <w:right w:val="none" w:sz="0" w:space="0" w:color="auto"/>
              </w:divBdr>
            </w:div>
            <w:div w:id="1007560510">
              <w:marLeft w:val="0"/>
              <w:marRight w:val="0"/>
              <w:marTop w:val="0"/>
              <w:marBottom w:val="0"/>
              <w:divBdr>
                <w:top w:val="none" w:sz="0" w:space="0" w:color="auto"/>
                <w:left w:val="none" w:sz="0" w:space="0" w:color="auto"/>
                <w:bottom w:val="none" w:sz="0" w:space="0" w:color="auto"/>
                <w:right w:val="none" w:sz="0" w:space="0" w:color="auto"/>
              </w:divBdr>
            </w:div>
            <w:div w:id="859591">
              <w:marLeft w:val="0"/>
              <w:marRight w:val="0"/>
              <w:marTop w:val="0"/>
              <w:marBottom w:val="0"/>
              <w:divBdr>
                <w:top w:val="none" w:sz="0" w:space="0" w:color="auto"/>
                <w:left w:val="none" w:sz="0" w:space="0" w:color="auto"/>
                <w:bottom w:val="none" w:sz="0" w:space="0" w:color="auto"/>
                <w:right w:val="none" w:sz="0" w:space="0" w:color="auto"/>
              </w:divBdr>
            </w:div>
            <w:div w:id="1649549277">
              <w:marLeft w:val="0"/>
              <w:marRight w:val="0"/>
              <w:marTop w:val="0"/>
              <w:marBottom w:val="0"/>
              <w:divBdr>
                <w:top w:val="none" w:sz="0" w:space="0" w:color="auto"/>
                <w:left w:val="none" w:sz="0" w:space="0" w:color="auto"/>
                <w:bottom w:val="none" w:sz="0" w:space="0" w:color="auto"/>
                <w:right w:val="none" w:sz="0" w:space="0" w:color="auto"/>
              </w:divBdr>
            </w:div>
            <w:div w:id="2090693271">
              <w:marLeft w:val="0"/>
              <w:marRight w:val="0"/>
              <w:marTop w:val="0"/>
              <w:marBottom w:val="0"/>
              <w:divBdr>
                <w:top w:val="none" w:sz="0" w:space="0" w:color="auto"/>
                <w:left w:val="none" w:sz="0" w:space="0" w:color="auto"/>
                <w:bottom w:val="none" w:sz="0" w:space="0" w:color="auto"/>
                <w:right w:val="none" w:sz="0" w:space="0" w:color="auto"/>
              </w:divBdr>
            </w:div>
            <w:div w:id="867717171">
              <w:marLeft w:val="0"/>
              <w:marRight w:val="0"/>
              <w:marTop w:val="0"/>
              <w:marBottom w:val="0"/>
              <w:divBdr>
                <w:top w:val="none" w:sz="0" w:space="0" w:color="auto"/>
                <w:left w:val="none" w:sz="0" w:space="0" w:color="auto"/>
                <w:bottom w:val="none" w:sz="0" w:space="0" w:color="auto"/>
                <w:right w:val="none" w:sz="0" w:space="0" w:color="auto"/>
              </w:divBdr>
            </w:div>
            <w:div w:id="1505778217">
              <w:marLeft w:val="0"/>
              <w:marRight w:val="0"/>
              <w:marTop w:val="0"/>
              <w:marBottom w:val="0"/>
              <w:divBdr>
                <w:top w:val="none" w:sz="0" w:space="0" w:color="auto"/>
                <w:left w:val="none" w:sz="0" w:space="0" w:color="auto"/>
                <w:bottom w:val="none" w:sz="0" w:space="0" w:color="auto"/>
                <w:right w:val="none" w:sz="0" w:space="0" w:color="auto"/>
              </w:divBdr>
            </w:div>
            <w:div w:id="156919337">
              <w:marLeft w:val="0"/>
              <w:marRight w:val="0"/>
              <w:marTop w:val="0"/>
              <w:marBottom w:val="0"/>
              <w:divBdr>
                <w:top w:val="none" w:sz="0" w:space="0" w:color="auto"/>
                <w:left w:val="none" w:sz="0" w:space="0" w:color="auto"/>
                <w:bottom w:val="none" w:sz="0" w:space="0" w:color="auto"/>
                <w:right w:val="none" w:sz="0" w:space="0" w:color="auto"/>
              </w:divBdr>
            </w:div>
            <w:div w:id="1243565541">
              <w:marLeft w:val="0"/>
              <w:marRight w:val="0"/>
              <w:marTop w:val="0"/>
              <w:marBottom w:val="0"/>
              <w:divBdr>
                <w:top w:val="none" w:sz="0" w:space="0" w:color="auto"/>
                <w:left w:val="none" w:sz="0" w:space="0" w:color="auto"/>
                <w:bottom w:val="none" w:sz="0" w:space="0" w:color="auto"/>
                <w:right w:val="none" w:sz="0" w:space="0" w:color="auto"/>
              </w:divBdr>
            </w:div>
            <w:div w:id="1715543012">
              <w:marLeft w:val="0"/>
              <w:marRight w:val="0"/>
              <w:marTop w:val="0"/>
              <w:marBottom w:val="0"/>
              <w:divBdr>
                <w:top w:val="none" w:sz="0" w:space="0" w:color="auto"/>
                <w:left w:val="none" w:sz="0" w:space="0" w:color="auto"/>
                <w:bottom w:val="none" w:sz="0" w:space="0" w:color="auto"/>
                <w:right w:val="none" w:sz="0" w:space="0" w:color="auto"/>
              </w:divBdr>
            </w:div>
            <w:div w:id="67385888">
              <w:marLeft w:val="0"/>
              <w:marRight w:val="0"/>
              <w:marTop w:val="0"/>
              <w:marBottom w:val="0"/>
              <w:divBdr>
                <w:top w:val="none" w:sz="0" w:space="0" w:color="auto"/>
                <w:left w:val="none" w:sz="0" w:space="0" w:color="auto"/>
                <w:bottom w:val="none" w:sz="0" w:space="0" w:color="auto"/>
                <w:right w:val="none" w:sz="0" w:space="0" w:color="auto"/>
              </w:divBdr>
            </w:div>
            <w:div w:id="2067532860">
              <w:marLeft w:val="0"/>
              <w:marRight w:val="0"/>
              <w:marTop w:val="0"/>
              <w:marBottom w:val="0"/>
              <w:divBdr>
                <w:top w:val="none" w:sz="0" w:space="0" w:color="auto"/>
                <w:left w:val="none" w:sz="0" w:space="0" w:color="auto"/>
                <w:bottom w:val="none" w:sz="0" w:space="0" w:color="auto"/>
                <w:right w:val="none" w:sz="0" w:space="0" w:color="auto"/>
              </w:divBdr>
            </w:div>
            <w:div w:id="1885755817">
              <w:marLeft w:val="0"/>
              <w:marRight w:val="0"/>
              <w:marTop w:val="0"/>
              <w:marBottom w:val="0"/>
              <w:divBdr>
                <w:top w:val="none" w:sz="0" w:space="0" w:color="auto"/>
                <w:left w:val="none" w:sz="0" w:space="0" w:color="auto"/>
                <w:bottom w:val="none" w:sz="0" w:space="0" w:color="auto"/>
                <w:right w:val="none" w:sz="0" w:space="0" w:color="auto"/>
              </w:divBdr>
            </w:div>
            <w:div w:id="1062172008">
              <w:marLeft w:val="0"/>
              <w:marRight w:val="0"/>
              <w:marTop w:val="0"/>
              <w:marBottom w:val="0"/>
              <w:divBdr>
                <w:top w:val="none" w:sz="0" w:space="0" w:color="auto"/>
                <w:left w:val="none" w:sz="0" w:space="0" w:color="auto"/>
                <w:bottom w:val="none" w:sz="0" w:space="0" w:color="auto"/>
                <w:right w:val="none" w:sz="0" w:space="0" w:color="auto"/>
              </w:divBdr>
            </w:div>
            <w:div w:id="979306392">
              <w:marLeft w:val="0"/>
              <w:marRight w:val="0"/>
              <w:marTop w:val="0"/>
              <w:marBottom w:val="0"/>
              <w:divBdr>
                <w:top w:val="none" w:sz="0" w:space="0" w:color="auto"/>
                <w:left w:val="none" w:sz="0" w:space="0" w:color="auto"/>
                <w:bottom w:val="none" w:sz="0" w:space="0" w:color="auto"/>
                <w:right w:val="none" w:sz="0" w:space="0" w:color="auto"/>
              </w:divBdr>
            </w:div>
            <w:div w:id="1341735951">
              <w:marLeft w:val="0"/>
              <w:marRight w:val="0"/>
              <w:marTop w:val="0"/>
              <w:marBottom w:val="0"/>
              <w:divBdr>
                <w:top w:val="none" w:sz="0" w:space="0" w:color="auto"/>
                <w:left w:val="none" w:sz="0" w:space="0" w:color="auto"/>
                <w:bottom w:val="none" w:sz="0" w:space="0" w:color="auto"/>
                <w:right w:val="none" w:sz="0" w:space="0" w:color="auto"/>
              </w:divBdr>
            </w:div>
            <w:div w:id="251820868">
              <w:marLeft w:val="0"/>
              <w:marRight w:val="0"/>
              <w:marTop w:val="0"/>
              <w:marBottom w:val="0"/>
              <w:divBdr>
                <w:top w:val="none" w:sz="0" w:space="0" w:color="auto"/>
                <w:left w:val="none" w:sz="0" w:space="0" w:color="auto"/>
                <w:bottom w:val="none" w:sz="0" w:space="0" w:color="auto"/>
                <w:right w:val="none" w:sz="0" w:space="0" w:color="auto"/>
              </w:divBdr>
            </w:div>
            <w:div w:id="328213879">
              <w:marLeft w:val="0"/>
              <w:marRight w:val="0"/>
              <w:marTop w:val="0"/>
              <w:marBottom w:val="0"/>
              <w:divBdr>
                <w:top w:val="none" w:sz="0" w:space="0" w:color="auto"/>
                <w:left w:val="none" w:sz="0" w:space="0" w:color="auto"/>
                <w:bottom w:val="none" w:sz="0" w:space="0" w:color="auto"/>
                <w:right w:val="none" w:sz="0" w:space="0" w:color="auto"/>
              </w:divBdr>
            </w:div>
            <w:div w:id="147903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48009/2_iis_2014_14-23" TargetMode="External"/><Relationship Id="rId5" Type="http://schemas.openxmlformats.org/officeDocument/2006/relationships/webSettings" Target="webSettings.xml"/><Relationship Id="rId10" Type="http://schemas.openxmlformats.org/officeDocument/2006/relationships/hyperlink" Target="https://doi.org/10.1016/j.ipm.2023.103326" TargetMode="External"/><Relationship Id="rId4" Type="http://schemas.openxmlformats.org/officeDocument/2006/relationships/settings" Target="settings.xml"/><Relationship Id="rId9" Type="http://schemas.openxmlformats.org/officeDocument/2006/relationships/hyperlink" Target="https://doi.org/10.3390/bdcc60401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12410-6E51-2548-8561-1DD4299AA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12</Pages>
  <Words>2973</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Kieran B</cp:lastModifiedBy>
  <cp:revision>16</cp:revision>
  <dcterms:created xsi:type="dcterms:W3CDTF">2026-05-08T15:43:00Z</dcterms:created>
  <dcterms:modified xsi:type="dcterms:W3CDTF">2026-05-14T09:13:00Z</dcterms:modified>
</cp:coreProperties>
</file>