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3F42EA" w14:textId="77777777" w:rsidR="00DA495B" w:rsidRPr="00DA495B" w:rsidRDefault="00DA495B" w:rsidP="00DA495B">
      <w:pPr>
        <w:jc w:val="both"/>
        <w:rPr>
          <w:b/>
          <w:bCs/>
        </w:rPr>
      </w:pPr>
      <w:r w:rsidRPr="00DA495B">
        <w:rPr>
          <w:b/>
          <w:bCs/>
        </w:rPr>
        <w:t>Email 1 (AC 1.1)</w:t>
      </w:r>
    </w:p>
    <w:p w14:paraId="74F6EBAA" w14:textId="77777777" w:rsidR="00DA495B" w:rsidRPr="00DA495B" w:rsidRDefault="00DA495B" w:rsidP="00DA495B">
      <w:pPr>
        <w:jc w:val="both"/>
      </w:pPr>
      <w:r w:rsidRPr="00DA495B">
        <w:t>Employment regulation is there to help create a workplace that is fair, safe and consistent for everyone. Although it might sometimes feel as though a lot of time is spent dealing with rules and procedures, these regulations are an important part of creating a positive employment experience. Employment law helps ensure that staff are treated properly and that organisations act fairly and lawfully. Employment law provides the structure that governs the employment relationship and helps shape standards of fair treatment at work (Daniels, 2024a).</w:t>
      </w:r>
    </w:p>
    <w:p w14:paraId="3FBBBEE3" w14:textId="77777777" w:rsidR="00DA495B" w:rsidRPr="00DA495B" w:rsidRDefault="00DA495B" w:rsidP="00DA495B">
      <w:pPr>
        <w:jc w:val="both"/>
      </w:pPr>
      <w:r w:rsidRPr="00DA495B">
        <w:t>One of the main aims of employment regulation is to protect employees. In most workplaces, there is naturally an inequality of power between employer and employee, so the law sets minimum standards in areas such as pay, working time, dismissal, discrimination, family leave and health &amp; safety. These protections help ensure that people are treated with dignity and are not exposed to unfair treatment. Employment law exists in part to protect workers where they may not be in a strong position to arrange terms for themselves (Daniels, 2022a).</w:t>
      </w:r>
    </w:p>
    <w:p w14:paraId="2096D41F" w14:textId="77777777" w:rsidR="00DA495B" w:rsidRPr="00DA495B" w:rsidRDefault="00DA495B" w:rsidP="00DA495B">
      <w:pPr>
        <w:jc w:val="both"/>
      </w:pPr>
      <w:r w:rsidRPr="00DA495B">
        <w:t>Another objective is to support fairness and consistency. Employment regulation gives employers a clear framework to follow when recruiting staff, managing attendance or performance, dealing with grievances, or bringing employment to an end. This reduces the risk of rushed, inconsistent or biased decisions. It also supports equality of opportunity, for example by making clear that recruitment and promotion decisions must not be discriminatory.</w:t>
      </w:r>
    </w:p>
    <w:p w14:paraId="555471F1" w14:textId="77777777" w:rsidR="00DA495B" w:rsidRPr="00DA495B" w:rsidRDefault="00DA495B" w:rsidP="00DA495B">
      <w:pPr>
        <w:jc w:val="both"/>
      </w:pPr>
      <w:r w:rsidRPr="00DA495B">
        <w:t>Employment law also helps to support working relationships. When rights and responsibilities are clearly set out, it is easier to resolve disputes early and avoid unnecessary conflict. Although compliance can feel time-consuming, it often prevents more serious problems later, such as tribunal claims, low morale or damage to reputation. Effective compliance can reduce disputes and contribute to more stable employment relations (Daniels, 2024b).</w:t>
      </w:r>
    </w:p>
    <w:p w14:paraId="23A40BBC" w14:textId="77777777" w:rsidR="00DA495B" w:rsidRPr="00DA495B" w:rsidRDefault="00DA495B" w:rsidP="00DA495B">
      <w:pPr>
        <w:jc w:val="both"/>
      </w:pPr>
      <w:r w:rsidRPr="00DA495B">
        <w:t>I accept that regulation can sometimes create extra administration and can sometimes reduce flexibility, particularly in large organisations such as NHS trusts. However, this is outweighed by the benefits, because regulation supports transparency, accountability and lawful practice.</w:t>
      </w:r>
    </w:p>
    <w:p w14:paraId="6762F553" w14:textId="77777777" w:rsidR="00DA495B" w:rsidRDefault="00DA495B" w:rsidP="00DA495B">
      <w:pPr>
        <w:jc w:val="both"/>
      </w:pPr>
      <w:r w:rsidRPr="00DA495B">
        <w:t>Overall, the purpose of employment regulation is not simply to impose rules, but to balance organisational needs with employee protection. When applied well, it supports a working environment that is fair, considerate and inclusive.</w:t>
      </w:r>
    </w:p>
    <w:p w14:paraId="51E45571" w14:textId="77777777" w:rsidR="00DA495B" w:rsidRPr="00DA495B" w:rsidRDefault="00DA495B" w:rsidP="00DA495B">
      <w:pPr>
        <w:jc w:val="both"/>
      </w:pPr>
    </w:p>
    <w:p w14:paraId="5A6A5CAC" w14:textId="77777777" w:rsidR="00DA495B" w:rsidRPr="00DA495B" w:rsidRDefault="00DA495B" w:rsidP="00DA495B">
      <w:pPr>
        <w:jc w:val="both"/>
        <w:rPr>
          <w:b/>
          <w:bCs/>
        </w:rPr>
      </w:pPr>
      <w:r w:rsidRPr="00DA495B">
        <w:rPr>
          <w:b/>
          <w:bCs/>
        </w:rPr>
        <w:t>Email 2 (AC 1.2)</w:t>
      </w:r>
    </w:p>
    <w:p w14:paraId="3D72256D" w14:textId="77777777" w:rsidR="00DA495B" w:rsidRPr="00DA495B" w:rsidRDefault="00DA495B" w:rsidP="00DA495B">
      <w:pPr>
        <w:jc w:val="both"/>
      </w:pPr>
      <w:r w:rsidRPr="00DA495B">
        <w:t>Judgments of the European Court of Justice (ECJ) made before the UK left the EU cannot simply be ignored. They can sometimes be departed from, but they cannot be treated as irrelevant.</w:t>
      </w:r>
    </w:p>
    <w:p w14:paraId="5F129280" w14:textId="77777777" w:rsidR="00DA495B" w:rsidRPr="00DA495B" w:rsidRDefault="00DA495B" w:rsidP="00DA495B">
      <w:pPr>
        <w:jc w:val="both"/>
      </w:pPr>
      <w:r w:rsidRPr="00DA495B">
        <w:t xml:space="preserve">When the UK left the EU, the European Union (Withdrawal) Act 2018 kept much existing EU-derived law in place within domestic law so that there would not be gaps </w:t>
      </w:r>
      <w:r w:rsidRPr="00DA495B">
        <w:lastRenderedPageBreak/>
        <w:t>or uncertainty. This meant that pre-exit ECJ case law was generally carried over as part of what became known as retained EU law, now more commonly called assimilated law. In other words, those earlier ECJ judgments did not automatically disappear on 31 December 2020 (CIPD, 2025a).</w:t>
      </w:r>
    </w:p>
    <w:p w14:paraId="668B1269" w14:textId="77777777" w:rsidR="00DA495B" w:rsidRPr="00DA495B" w:rsidRDefault="00DA495B" w:rsidP="00DA495B">
      <w:pPr>
        <w:jc w:val="both"/>
      </w:pPr>
      <w:r w:rsidRPr="00DA495B">
        <w:t>That said, they are not binding in exactly the same way as before Brexit. UK courts and tribunals are no longer bound by new ECJ decisions made after exit, although they may still take them into account if they are relevant. As for pre-Brexit ECJ judgments, these continue to be relevant when interpreting retained EU law, particularly in lower courts and tribunals. However, some higher courts now have the power to depart from that earlier ECJ case law where it is considered right to do so. In practice, pre 2020 ECJ decisions will often still be followed as good law, but they’re no longer as firmly binding as they once were.</w:t>
      </w:r>
    </w:p>
    <w:p w14:paraId="004E4527" w14:textId="77777777" w:rsidR="00DA495B" w:rsidRPr="00DA495B" w:rsidRDefault="00DA495B" w:rsidP="00DA495B">
      <w:pPr>
        <w:jc w:val="both"/>
      </w:pPr>
      <w:r w:rsidRPr="00DA495B">
        <w:t>A useful example in employment law is working time and holiday pay. UK courts have consistently relied on ECJ case law when interpreting the Working Time Regulations 1998, particularly because these regulations derive from EU law. As CIPD explains, EU</w:t>
      </w:r>
      <w:r w:rsidRPr="00DA495B">
        <w:noBreakHyphen/>
        <w:t>derived legislation such as the Working Time Regulations was retained in domestic law after Brexit, meaning earlier EU principles still affect interpretation unless changed by legislation or higher courts (CIPD, 2025b).</w:t>
      </w:r>
    </w:p>
    <w:p w14:paraId="55BF9812" w14:textId="77777777" w:rsidR="00DA495B" w:rsidRPr="00DA495B" w:rsidRDefault="00DA495B" w:rsidP="00DA495B">
      <w:pPr>
        <w:jc w:val="both"/>
      </w:pPr>
      <w:r w:rsidRPr="00DA495B">
        <w:t>More recently, the Supreme Court in Lipton v BA Cityflyer Ltd (2024) UKSC 24 confirmed that, for pre-Brexit causes of action, the law in force at the time of the events remains highly significant. This shows that earlier ECJ authority can still have real legal effect and cannot simply be brushed aside (Lipton v BA Cityflyer Ltd [2024] UKSC 24).</w:t>
      </w:r>
    </w:p>
    <w:p w14:paraId="3239DF81" w14:textId="77777777" w:rsidR="00DA495B" w:rsidRDefault="00DA495B" w:rsidP="00DA495B">
      <w:pPr>
        <w:jc w:val="both"/>
      </w:pPr>
      <w:r w:rsidRPr="00DA495B">
        <w:t>In conclusion, pre-Brexit ECJ judgments are still important and often still reliable, especially where UK legislation is derived from EU law. They can sometimes be departed from, but they cannot be treated as irrelevant.</w:t>
      </w:r>
    </w:p>
    <w:p w14:paraId="2C0B923E" w14:textId="77777777" w:rsidR="00DA495B" w:rsidRPr="00DA495B" w:rsidRDefault="00DA495B" w:rsidP="00DA495B">
      <w:pPr>
        <w:jc w:val="both"/>
      </w:pPr>
    </w:p>
    <w:p w14:paraId="71402E7A" w14:textId="77777777" w:rsidR="00DA495B" w:rsidRPr="00DA495B" w:rsidRDefault="00DA495B" w:rsidP="00DA495B">
      <w:pPr>
        <w:jc w:val="both"/>
        <w:rPr>
          <w:b/>
          <w:bCs/>
        </w:rPr>
      </w:pPr>
      <w:r w:rsidRPr="00DA495B">
        <w:rPr>
          <w:b/>
          <w:bCs/>
        </w:rPr>
        <w:t>Email 3 (AC 2.1)</w:t>
      </w:r>
    </w:p>
    <w:p w14:paraId="4643FDA0" w14:textId="77777777" w:rsidR="00DA495B" w:rsidRPr="00DA495B" w:rsidRDefault="00DA495B" w:rsidP="00DA495B">
      <w:pPr>
        <w:jc w:val="both"/>
      </w:pPr>
      <w:r w:rsidRPr="00DA495B">
        <w:t>As we work in the NHS trust, it is especially important that recruitment decisions are fair, lawful and based on clear evidence instead of assumptions. Here, occupational requirements are a limited exception to the general rule against discrimination in recruitment and selection.</w:t>
      </w:r>
    </w:p>
    <w:p w14:paraId="3965ADFB" w14:textId="77777777" w:rsidR="00DA495B" w:rsidRPr="00DA495B" w:rsidRDefault="00DA495B" w:rsidP="00DA495B">
      <w:pPr>
        <w:jc w:val="both"/>
      </w:pPr>
      <w:r w:rsidRPr="00DA495B">
        <w:t>Occupational requirements allow an employer to specify that a job must be carried out by a man or a woman only in very limited circumstances. Under the Equality Act 2010, this will only be lawful where being male or female is an occupational requirement, the requirement is a proportionate means of achieving a legitimate aim, and the person recruited does not meet that requirement (Equality Act 2010, Schedule 9). In practice, this means sex must be genuinely fundamental to the role, not simply preferred.</w:t>
      </w:r>
    </w:p>
    <w:p w14:paraId="0CD03B45" w14:textId="77777777" w:rsidR="00DA495B" w:rsidRPr="00DA495B" w:rsidRDefault="00DA495B" w:rsidP="00DA495B">
      <w:pPr>
        <w:jc w:val="both"/>
      </w:pPr>
      <w:r w:rsidRPr="00DA495B">
        <w:t xml:space="preserve">A clear example would be recruiting a female support worker in a women’s refuge, where service users may have experienced male violence and need privacy, dignity and emotional safety. In an NHS setting, another possible example could be a male care worker providing intimate personal care to male patients, where ensuring privacy </w:t>
      </w:r>
      <w:r w:rsidRPr="00DA495B">
        <w:lastRenderedPageBreak/>
        <w:t>and decency is vital to the role. In cases like these, an employer may be able to justify an occupational requirement because it is necessary in the specific circumstances rather than simply convenient (EHRC, 2024).</w:t>
      </w:r>
    </w:p>
    <w:p w14:paraId="2B7E8BAD" w14:textId="77777777" w:rsidR="00DA495B" w:rsidRPr="00DA495B" w:rsidRDefault="00DA495B" w:rsidP="00DA495B">
      <w:pPr>
        <w:jc w:val="both"/>
      </w:pPr>
      <w:r w:rsidRPr="00DA495B">
        <w:t>However, it cannot be used to base decisions on stereotypes or assumptions. For instance, it would usually be unlawful to say that a receptionist must be female because women are seen as more approachable, or that a manual role should be done by a man because it is physically demanding. Discrimination law in recruitment is based on the principle that selection criteria must be objective, relevant to the role and applied fairly to all applicants (Daniels, 2022b).</w:t>
      </w:r>
    </w:p>
    <w:p w14:paraId="30C13BDF" w14:textId="77777777" w:rsidR="00DA495B" w:rsidRPr="00DA495B" w:rsidRDefault="00DA495B" w:rsidP="00DA495B">
      <w:pPr>
        <w:jc w:val="both"/>
      </w:pPr>
      <w:r w:rsidRPr="00DA495B">
        <w:t>The key principles of discrimination law in recruitment and selection are that employers must avoid direct discrimination, indirect discrimination, harassment and victimisation. Recruitment processes should therefore use fair job descriptions, consistent shortlisting criteria and standardised interviews. CIPD guidance also stresses that inclusive recruitment processes help reduce bias and support better decision-making (CIPD, 2024).</w:t>
      </w:r>
    </w:p>
    <w:p w14:paraId="0022B38E" w14:textId="77777777" w:rsidR="00DA495B" w:rsidRPr="00DA495B" w:rsidRDefault="00DA495B" w:rsidP="00DA495B">
      <w:pPr>
        <w:jc w:val="both"/>
      </w:pPr>
      <w:r w:rsidRPr="00DA495B">
        <w:t>In Etam plc v Rowan (1989), the court said an employer can only ask for a man or a woman to do a job if there is a real and genuine reason for it. It also made clear that this exception is very limited and cannot be used just because it would be easier or more convenient for the employer (Etam plc v Rowan, 1989).</w:t>
      </w:r>
    </w:p>
    <w:p w14:paraId="4E4F0462" w14:textId="77777777" w:rsidR="00DA495B" w:rsidRDefault="00DA495B" w:rsidP="00DA495B">
      <w:pPr>
        <w:jc w:val="both"/>
      </w:pPr>
      <w:r w:rsidRPr="00DA495B">
        <w:t>Overall, in our NHS trust context, a requirement that a job must be done by a man or a woman will only be lawful in rare and justifiable situations. If it is based on preference, custom or stereotype, it is unlikely to be lawful.</w:t>
      </w:r>
    </w:p>
    <w:p w14:paraId="4569A4FB" w14:textId="77777777" w:rsidR="00DA495B" w:rsidRPr="00DA495B" w:rsidRDefault="00DA495B" w:rsidP="00DA495B">
      <w:pPr>
        <w:jc w:val="both"/>
      </w:pPr>
    </w:p>
    <w:p w14:paraId="48680D7A" w14:textId="77777777" w:rsidR="00DA495B" w:rsidRPr="00DA495B" w:rsidRDefault="00DA495B" w:rsidP="00DA495B">
      <w:pPr>
        <w:jc w:val="both"/>
        <w:rPr>
          <w:b/>
          <w:bCs/>
        </w:rPr>
      </w:pPr>
      <w:r w:rsidRPr="00DA495B">
        <w:rPr>
          <w:b/>
          <w:bCs/>
        </w:rPr>
        <w:t>Email 4 (AC 2.2)</w:t>
      </w:r>
    </w:p>
    <w:p w14:paraId="5AD9DC6F" w14:textId="77777777" w:rsidR="00DA495B" w:rsidRPr="00DA495B" w:rsidRDefault="00DA495B" w:rsidP="00DA495B">
      <w:pPr>
        <w:jc w:val="both"/>
      </w:pPr>
      <w:r w:rsidRPr="00DA495B">
        <w:t>As we work in the People Management department of a large UK-based NHS trust, I would not approve these upgrades without a proper equal pay review first. Although the funding may be available through the research project, the legal question is not whether the Trust can afford to pay two HCAs more, but whether it can justify paying them more than other HCAs, the majority of them being women, for work that may be the same or equivalent.</w:t>
      </w:r>
    </w:p>
    <w:p w14:paraId="72EA635D" w14:textId="77777777" w:rsidR="00DA495B" w:rsidRPr="00DA495B" w:rsidRDefault="00DA495B" w:rsidP="00DA495B">
      <w:pPr>
        <w:jc w:val="both"/>
      </w:pPr>
      <w:r w:rsidRPr="00DA495B">
        <w:t>Under the Equality Act 2010, men and women are entitled to equal pay and equal contractual terms when they are doing like work, work rated as equivalent, or work of equal value. In practice, that means if these two male HCAs are carrying out the same or broadly similar duties as female HCAs employed on grade A, moving them to grade B could create a significant equal pay risk unless there is a genuine, non-discriminatory explanation for the difference (ACAS, 2024). Equal pay covers not only basic salary, but also contractual benefits and terms.</w:t>
      </w:r>
    </w:p>
    <w:p w14:paraId="24F2ED35" w14:textId="77777777" w:rsidR="00DA495B" w:rsidRPr="00DA495B" w:rsidRDefault="00DA495B" w:rsidP="00DA495B">
      <w:pPr>
        <w:jc w:val="both"/>
      </w:pPr>
      <w:r w:rsidRPr="00DA495B">
        <w:t xml:space="preserve">The key issue is whether there is a material factor that explains the higher grade and is unrelated to sex. For example, if these two HCAs are undertaking substantially different responsibilities, have additional specialist duties, or have been formally evaluated under the Trust’s job evaluation scheme as performing work at a higher </w:t>
      </w:r>
      <w:r w:rsidRPr="00DA495B">
        <w:lastRenderedPageBreak/>
        <w:t>level, an upgrade may be lawful. However, if the proposal is simply to use spare project money to reward or retain them, that would be much harder to justify. Equal pay claims commonly arise where employers make unprepared pay decisions without clear objective criteria, which is why structured job evaluation and equal pay audits are so important (Daniels, 2022c).</w:t>
      </w:r>
    </w:p>
    <w:p w14:paraId="1682DF00" w14:textId="77777777" w:rsidR="00DA495B" w:rsidRPr="00DA495B" w:rsidRDefault="00DA495B" w:rsidP="00DA495B">
      <w:pPr>
        <w:jc w:val="both"/>
      </w:pPr>
      <w:r w:rsidRPr="00DA495B">
        <w:t>The fact that 80% of HCAs in the Trust are women makes the risk more obvious. If women on the same grade are left behind while two male HCAs are moved up, female comparators could argue that they are doing equal work for less pay. This is exactly why the equal pay law was developed, including after the campaigning of the Ford Dagenham women machinists, whose action helped expose the longstanding unfairness in pay systems (CIPD, 2024).</w:t>
      </w:r>
    </w:p>
    <w:p w14:paraId="35B1C730" w14:textId="77777777" w:rsidR="00DA495B" w:rsidRDefault="00DA495B" w:rsidP="00DA495B">
      <w:pPr>
        <w:jc w:val="both"/>
      </w:pPr>
      <w:r w:rsidRPr="00DA495B">
        <w:t>So, my advice would be not to approve the upgrade at this stage. Instead, the roles should be reviewed through the Trust’s normal job evaluation process, with a clear written rationale. If the jobs genuinely justify grade B, the case can be supported. If not, approving it could expose the Trust to equal pay claims and undermine confidence in pay fairness.</w:t>
      </w:r>
    </w:p>
    <w:p w14:paraId="52ED840B" w14:textId="77777777" w:rsidR="00DA495B" w:rsidRPr="00DA495B" w:rsidRDefault="00DA495B" w:rsidP="00DA495B">
      <w:pPr>
        <w:jc w:val="both"/>
      </w:pPr>
    </w:p>
    <w:p w14:paraId="00333B28" w14:textId="77777777" w:rsidR="00DA495B" w:rsidRPr="00DA495B" w:rsidRDefault="00DA495B" w:rsidP="00DA495B">
      <w:pPr>
        <w:jc w:val="both"/>
        <w:rPr>
          <w:b/>
          <w:bCs/>
        </w:rPr>
      </w:pPr>
      <w:r w:rsidRPr="00DA495B">
        <w:rPr>
          <w:b/>
          <w:bCs/>
        </w:rPr>
        <w:t>Email 5 (AC 3.1)</w:t>
      </w:r>
    </w:p>
    <w:p w14:paraId="48712248" w14:textId="77777777" w:rsidR="00DA495B" w:rsidRPr="00DA495B" w:rsidRDefault="00DA495B" w:rsidP="00DA495B">
      <w:pPr>
        <w:jc w:val="both"/>
      </w:pPr>
      <w:r w:rsidRPr="00DA495B">
        <w:t>A change to working hours can form the basis of a successful constructive dismissal claim, but only in certain circumstances. In simple terms, constructive dismissal happens where the employer commits a serious breach of contract and the employee resigns in response to that breach. In this sort of case, the key question would be whether the Trust imposed the change to the radiographer’s hours without agreement and in a way that was serious enough to undermine the employment relationship.</w:t>
      </w:r>
    </w:p>
    <w:p w14:paraId="373CF934" w14:textId="77777777" w:rsidR="00DA495B" w:rsidRPr="00DA495B" w:rsidRDefault="00DA495B" w:rsidP="00DA495B">
      <w:pPr>
        <w:jc w:val="both"/>
      </w:pPr>
      <w:r w:rsidRPr="00DA495B">
        <w:t>Not every alteration to hours will amount to a breach. If the contract contains a clear flexibility clause allowing reasonable changes to working hours, and the change was introduced fairly and with proper consultation, the Trust may be on safer ground. However, if the change was significant, imposed unilaterally, and affected matters such as work-life balance, caring responsibilities, health, or pay, it could amount to a fundamental breach of an express contractual term or of the implied term of mutual trust and confidence. Employers cannot usually vary contractual terms unilaterally unless there is contractual authority or the employee agrees to the change (Daniels, 2022d).</w:t>
      </w:r>
    </w:p>
    <w:p w14:paraId="393107F9" w14:textId="77777777" w:rsidR="00DA495B" w:rsidRPr="00DA495B" w:rsidRDefault="00DA495B" w:rsidP="00DA495B">
      <w:pPr>
        <w:jc w:val="both"/>
      </w:pPr>
      <w:r w:rsidRPr="00DA495B">
        <w:t>For a constructive dismissal claim to succeed, the former employee would also need to show that he resigned because of that breach and did not wait so long that he was seen as having accepted the new arrangement. Tribunals often look closely at timing. If someone carries on working for a long period without protest, that can weaken the argument that the breach was intolerable. On the other hand, if the radiographer raised concerns, perhaps through grievance or informal discussions, and then resigned when the issue was not resolved, that would strengthen his position.</w:t>
      </w:r>
    </w:p>
    <w:p w14:paraId="290BAB42" w14:textId="77777777" w:rsidR="00DA495B" w:rsidRPr="00DA495B" w:rsidRDefault="00DA495B" w:rsidP="00DA495B">
      <w:pPr>
        <w:jc w:val="both"/>
      </w:pPr>
      <w:r w:rsidRPr="00DA495B">
        <w:t xml:space="preserve">In practical terms, constructive dismissal claims are not easy to win. Acas notes that the breach must be serious, and unreasonable changes to working patterns without </w:t>
      </w:r>
      <w:r w:rsidRPr="00DA495B">
        <w:lastRenderedPageBreak/>
        <w:t>agreement are one example that may support such a claim (Acas, 2026). The employee would also usually need two years’ continuous service to claim ordinary constructive unfair dismissal, unless another exception applied.</w:t>
      </w:r>
    </w:p>
    <w:p w14:paraId="3FB5C79C" w14:textId="77777777" w:rsidR="00DA495B" w:rsidRDefault="00DA495B" w:rsidP="00DA495B">
      <w:pPr>
        <w:jc w:val="both"/>
      </w:pPr>
      <w:r w:rsidRPr="00DA495B">
        <w:t>As for time limits, a former employee normally has three months less one day from the effective date of termination, usually the resignation date, to start the Employment Tribunal process. Before submitting a claim, they must contact Acas for Early Conciliation, which can pause the limitation period. So, if he has recently resigned, the timeframe could be quite tight already.</w:t>
      </w:r>
    </w:p>
    <w:p w14:paraId="08EB3981" w14:textId="77777777" w:rsidR="00DA495B" w:rsidRPr="00DA495B" w:rsidRDefault="00DA495B" w:rsidP="00DA495B">
      <w:pPr>
        <w:jc w:val="both"/>
      </w:pPr>
    </w:p>
    <w:p w14:paraId="3BB79433" w14:textId="77777777" w:rsidR="00DA495B" w:rsidRPr="00DA495B" w:rsidRDefault="00DA495B" w:rsidP="00DA495B">
      <w:pPr>
        <w:jc w:val="both"/>
        <w:rPr>
          <w:b/>
          <w:bCs/>
        </w:rPr>
      </w:pPr>
      <w:r w:rsidRPr="00DA495B">
        <w:rPr>
          <w:b/>
          <w:bCs/>
        </w:rPr>
        <w:t>Email 6 (AC 3.2)</w:t>
      </w:r>
    </w:p>
    <w:p w14:paraId="0CBD2AEB" w14:textId="77777777" w:rsidR="00DA495B" w:rsidRPr="00DA495B" w:rsidRDefault="00DA495B" w:rsidP="00DA495B">
      <w:pPr>
        <w:jc w:val="both"/>
      </w:pPr>
      <w:r w:rsidRPr="00DA495B">
        <w:t>Because this reorganisation involves 50 proposed job losses, the Trust cannot lawfully move straight to dismissing the “poorest performers” and avoid consultation. In redundancy law, there must first be a genuine redundancy situation, such as a reduced need for employees to do work of a particular kind, a workplace closure, or a restructure that removes roles. Redundancy is about jobs disappearing or reducing, not using the process as a shortcut for performance management.</w:t>
      </w:r>
    </w:p>
    <w:p w14:paraId="50242A4C" w14:textId="77777777" w:rsidR="00DA495B" w:rsidRPr="00DA495B" w:rsidRDefault="00DA495B" w:rsidP="00DA495B">
      <w:pPr>
        <w:jc w:val="both"/>
      </w:pPr>
      <w:r w:rsidRPr="00DA495B">
        <w:t>That distinction is important here. If the manager simply selects the weakest performers for dismissal, the exercise could look like a capability process disguised as redundancy, which would create a real risk of unfair dismissal claims. A fair redundancy process requires the employer to identify an appropriate selection pool, use objective and measurable selection criteria, consult properly, and consider alternatives before any dismissals are confirmed (CIPD, 2026).</w:t>
      </w:r>
    </w:p>
    <w:p w14:paraId="167796E7" w14:textId="77777777" w:rsidR="00DA495B" w:rsidRPr="00DA495B" w:rsidRDefault="00DA495B" w:rsidP="00DA495B">
      <w:pPr>
        <w:jc w:val="both"/>
      </w:pPr>
      <w:r w:rsidRPr="00DA495B">
        <w:t>Because 50 posts are proposed to be lost within a 90-day period, collective consultation obligations are likely to apply. In an NHS trust, where trade unions are usually recognised, consultation should take place with the recognised union representatives. This is not a tick-box exercise or a courtesy update. The unions must be given enough information and time to engage productively on ways of avoiding redundancies, reducing the numbers affected, and lessening the impact on staff. Consultation must begin in good time and at least 30 days before the first dismissal takes effect because the proposal includes between 20 and 99 redundancies (ACAS, 2024).</w:t>
      </w:r>
    </w:p>
    <w:p w14:paraId="04E4E7F9" w14:textId="77777777" w:rsidR="00DA495B" w:rsidRPr="00DA495B" w:rsidRDefault="00DA495B" w:rsidP="00DA495B">
      <w:pPr>
        <w:jc w:val="both"/>
      </w:pPr>
      <w:r w:rsidRPr="00DA495B">
        <w:t>Trade unions can have a practical role in helping the Trust reach a fairer and more workable outcome, for example by discussing redeployment options, voluntary redundancy, selection criteria, and assistance for affected staff. Alongside collective consultation, the Trust must also consult individually with employees at risk.</w:t>
      </w:r>
    </w:p>
    <w:p w14:paraId="5CA3FCF1" w14:textId="77777777" w:rsidR="00DA495B" w:rsidRPr="00DA495B" w:rsidRDefault="00DA495B" w:rsidP="00DA495B">
      <w:pPr>
        <w:jc w:val="both"/>
      </w:pPr>
      <w:r w:rsidRPr="00DA495B">
        <w:t>If selection is needed, criteria such as skills, qualifications, disciplinary record and evidenced performance can be used, but they must be applied fairly and consistently across the proper pool. Criteria also need to be checked carefully for discrimination risks, for example around disability-related absence or maternity leave (ACAS, 2024).</w:t>
      </w:r>
    </w:p>
    <w:p w14:paraId="1A2BA051" w14:textId="77777777" w:rsidR="00DA495B" w:rsidRPr="00DA495B" w:rsidRDefault="00DA495B" w:rsidP="00DA495B">
      <w:pPr>
        <w:jc w:val="both"/>
      </w:pPr>
      <w:r w:rsidRPr="00DA495B">
        <w:t>In conclusion the Trust must follow a lawful and fair redundancy process. If it does not, the dismissals may be difficult to defend and potentially costly.</w:t>
      </w:r>
    </w:p>
    <w:p w14:paraId="16B1F315" w14:textId="77777777" w:rsidR="00DA495B" w:rsidRPr="00DA495B" w:rsidRDefault="00DA495B" w:rsidP="00DA495B">
      <w:pPr>
        <w:jc w:val="both"/>
        <w:rPr>
          <w:b/>
          <w:bCs/>
        </w:rPr>
      </w:pPr>
      <w:r w:rsidRPr="00DA495B">
        <w:rPr>
          <w:b/>
          <w:bCs/>
        </w:rPr>
        <w:lastRenderedPageBreak/>
        <w:t>Email 7 (AC 3.3)</w:t>
      </w:r>
    </w:p>
    <w:p w14:paraId="43C7342F" w14:textId="77777777" w:rsidR="00DA495B" w:rsidRPr="00DA495B" w:rsidRDefault="00DA495B" w:rsidP="00DA495B">
      <w:pPr>
        <w:jc w:val="both"/>
      </w:pPr>
      <w:r w:rsidRPr="00DA495B">
        <w:t>As we work for a large UK-based NHS trust, if the two pharmacy operations were merged in a way that amounts to a relevant transfer, the TUPE Regulations 2006 could give important protections to employees assigned. TUPE is designed to stop staff losing their jobs or their core terms and conditions just because the service they work in moves from one employer to another. In a merger of pharmacy operations, the first issue would be whether TUPE actually applies, but if it does, and in this case I would advise that it Is likely that it will, the main rights are fairly well established.</w:t>
      </w:r>
    </w:p>
    <w:p w14:paraId="4C29DAD2" w14:textId="77777777" w:rsidR="00DA495B" w:rsidRPr="00DA495B" w:rsidRDefault="00DA495B" w:rsidP="00DA495B">
      <w:pPr>
        <w:jc w:val="both"/>
      </w:pPr>
      <w:r w:rsidRPr="00DA495B">
        <w:t>The most important protection is that employees who are assigned to the transferring undertaking or service usually transfer automatically to the new employer. Their employment does not end and restart; instead, the new employer effectively steps into the shoes of the old one. This means their continuity of service is preserved, which matters for rights linked to length of service such as unfair dismissal and redundancy protection (Daniels, 2022e).</w:t>
      </w:r>
    </w:p>
    <w:p w14:paraId="7CBC8BC4" w14:textId="77777777" w:rsidR="00DA495B" w:rsidRPr="00DA495B" w:rsidRDefault="00DA495B" w:rsidP="00DA495B">
      <w:pPr>
        <w:jc w:val="both"/>
      </w:pPr>
      <w:r w:rsidRPr="00DA495B">
        <w:t>A second major right is that contractual terms and conditions normally transfer with them. So, pay, hours, annual leave and other contractual entitlements should generally move across unchanged. The new employer cannot simply match terms because it would be administratively easier. Changes linked to the transfer itself are usually void unless there is a valid economic, technical or organisational reason involving changes in the workforce, and proper agreement is reached (Acas, 2026).</w:t>
      </w:r>
    </w:p>
    <w:p w14:paraId="684AEA77" w14:textId="77777777" w:rsidR="00DA495B" w:rsidRPr="00DA495B" w:rsidRDefault="00DA495B" w:rsidP="00DA495B">
      <w:pPr>
        <w:jc w:val="both"/>
      </w:pPr>
      <w:r w:rsidRPr="00DA495B">
        <w:t>Employees also have rights to be notified and, where appropriate, consulted about the transfer. The current and incoming employers must provide information about when the transfer is expected, why it is happening, the legal, economic and social implications, and any proposed measures affecting staff. In an NHS setting, where trade unions are likely to be recognised, this consultation would often take place with employee representatives or union representatives rather than only on an individual basis (CIPD, 2024).</w:t>
      </w:r>
    </w:p>
    <w:p w14:paraId="1D11D8A2" w14:textId="77777777" w:rsidR="00DA495B" w:rsidRPr="00DA495B" w:rsidRDefault="00DA495B" w:rsidP="00DA495B">
      <w:pPr>
        <w:jc w:val="both"/>
      </w:pPr>
      <w:r w:rsidRPr="00DA495B">
        <w:t>Another key protection is against dismissal. If an employee is dismissed because of the transfer itself, that dismissal is usually automatically unfair unless there is an economic, technical or organisational reason entailing changes in the workforce. For example, if roles genuinely need to reduce after restructuring, redundancies may still be possible, but a fair process would still be required.</w:t>
      </w:r>
    </w:p>
    <w:p w14:paraId="50B08CED" w14:textId="77777777" w:rsidR="00DA495B" w:rsidRDefault="00DA495B" w:rsidP="00DA495B">
      <w:pPr>
        <w:jc w:val="both"/>
      </w:pPr>
      <w:r w:rsidRPr="00DA495B">
        <w:t>In conclusion, if the pharmacy merger goes ahead and TUPE applies, which I advise it likely will, then the concerned employees would have significant protection over continuity, contractual rights, consultation and unfair dismissal.</w:t>
      </w:r>
    </w:p>
    <w:p w14:paraId="667B123E" w14:textId="77777777" w:rsidR="00DA495B" w:rsidRPr="00DA495B" w:rsidRDefault="00DA495B" w:rsidP="00DA495B">
      <w:pPr>
        <w:jc w:val="both"/>
      </w:pPr>
    </w:p>
    <w:p w14:paraId="201B4447" w14:textId="77777777" w:rsidR="00DA495B" w:rsidRPr="00DA495B" w:rsidRDefault="00DA495B" w:rsidP="00DA495B">
      <w:pPr>
        <w:jc w:val="both"/>
        <w:rPr>
          <w:b/>
          <w:bCs/>
        </w:rPr>
      </w:pPr>
      <w:r w:rsidRPr="00DA495B">
        <w:rPr>
          <w:b/>
          <w:bCs/>
        </w:rPr>
        <w:t>Email 8 (AC 4.1)</w:t>
      </w:r>
    </w:p>
    <w:p w14:paraId="51172C03" w14:textId="77777777" w:rsidR="00DA495B" w:rsidRPr="00DA495B" w:rsidRDefault="00DA495B" w:rsidP="00DA495B">
      <w:pPr>
        <w:jc w:val="both"/>
      </w:pPr>
      <w:r w:rsidRPr="00DA495B">
        <w:t xml:space="preserve">As we work for a large UK-based NHS trust, it is important that holiday pay for nurse bank staff is handled consistently, fairly and in line with the Working Time Regulations. Even though bank staff work on a casual basis, they are still likely to qualify as </w:t>
      </w:r>
      <w:r w:rsidRPr="00DA495B">
        <w:lastRenderedPageBreak/>
        <w:t>“workers”, which means they have statutory rights to paid annual leave, rest breaks and limits on working time. So casual status does not remove holiday rights.</w:t>
      </w:r>
    </w:p>
    <w:p w14:paraId="01004F3A" w14:textId="77777777" w:rsidR="00DA495B" w:rsidRPr="00DA495B" w:rsidRDefault="00DA495B" w:rsidP="00DA495B">
      <w:pPr>
        <w:jc w:val="both"/>
      </w:pPr>
      <w:r w:rsidRPr="00DA495B">
        <w:t>The statutory minimum entitlement is 5.6 weeks’ paid leave per year. For workers with regular hours, calculating this entitlement is usually straightforward. However, for bank staff with variable shifts, the calculation depends on whether they are classified as irregular hours workers. Under the reforms applying to leave years starting on or after 1 April 2024, irregular hours workers can accrue statutory holiday at a rate of 12.07% of the hours they work in each pay period, up to the statutory maximum. This method is especially relevant for bank staff in NHS settings, where working patterns often vary from week to week (NHS Employers, 2024).</w:t>
      </w:r>
    </w:p>
    <w:p w14:paraId="03EC1946" w14:textId="77777777" w:rsidR="00DA495B" w:rsidRPr="00DA495B" w:rsidRDefault="00DA495B" w:rsidP="00DA495B">
      <w:pPr>
        <w:jc w:val="both"/>
      </w:pPr>
      <w:r w:rsidRPr="00DA495B">
        <w:t>In terms of holiday pay itself, the law is aimed at making sure workers are not financially disadvantaged when taking leave. For irregular-hours workers, employers can either pay holiday when leave is taken or, where lawful, use rolled-up holiday pay. Rolled-up holiday pay is now permitted for irregular hours and part-year workers, but it must be calculated properly, paid at the same time as normal wages, and shown clearly as a separate item on the pay slip. Acas explains that the rate must be at least 12.07% of pay in the relevant pay period (Acas, 2026).</w:t>
      </w:r>
    </w:p>
    <w:p w14:paraId="13924490" w14:textId="77777777" w:rsidR="00DA495B" w:rsidRPr="00DA495B" w:rsidRDefault="00DA495B" w:rsidP="00DA495B">
      <w:pPr>
        <w:jc w:val="both"/>
      </w:pPr>
      <w:r w:rsidRPr="00DA495B">
        <w:t>Even if rolled-up holiday pay is used, the Trust must still ensure staff actually take their leave, because paid holiday is a health and safety right as well as a pay issue. More broadly, working time law also gives workers rights to rest breaks, daily and weekly rest, and protection against working more than an average 48-hour week unless they have validly opted out. Holiday and working time rights are intended not just to regulate pay, but to protect workers’ health, safety and wellbeing. (Acas, 2025)</w:t>
      </w:r>
    </w:p>
    <w:p w14:paraId="6D5CF4C6" w14:textId="77777777" w:rsidR="00DA495B" w:rsidRDefault="00DA495B" w:rsidP="00DA495B">
      <w:pPr>
        <w:jc w:val="both"/>
      </w:pPr>
      <w:r w:rsidRPr="00DA495B">
        <w:t>So, for nurse bank staff, the safest approach is to class their status correctly, apply a lawful calculation method consistently, keep good records, and make sure holiday pay is transparent and auditable.</w:t>
      </w:r>
    </w:p>
    <w:p w14:paraId="7FCD1066" w14:textId="77777777" w:rsidR="00DA495B" w:rsidRPr="00DA495B" w:rsidRDefault="00DA495B" w:rsidP="00DA495B">
      <w:pPr>
        <w:jc w:val="both"/>
      </w:pPr>
    </w:p>
    <w:p w14:paraId="22275429" w14:textId="77777777" w:rsidR="00DA495B" w:rsidRPr="00DA495B" w:rsidRDefault="00DA495B" w:rsidP="00DA495B">
      <w:pPr>
        <w:jc w:val="both"/>
        <w:rPr>
          <w:b/>
          <w:bCs/>
        </w:rPr>
      </w:pPr>
      <w:r w:rsidRPr="00DA495B">
        <w:rPr>
          <w:b/>
          <w:bCs/>
        </w:rPr>
        <w:t>Email 9 (AC 4.2)</w:t>
      </w:r>
    </w:p>
    <w:p w14:paraId="59D47B17" w14:textId="77777777" w:rsidR="00DA495B" w:rsidRPr="00DA495B" w:rsidRDefault="00DA495B" w:rsidP="00DA495B">
      <w:pPr>
        <w:jc w:val="both"/>
      </w:pPr>
      <w:r w:rsidRPr="00DA495B">
        <w:t>As we work for a large UK-based NHS trust, the best option really depends on what matters most to you and your partner. Recovery and protected time for you as the birth mother, or greater flexibility in how you share care during the baby’s first year. Maternity leave and shared parental leave are linked, but they are not the same.</w:t>
      </w:r>
    </w:p>
    <w:p w14:paraId="47830529" w14:textId="77777777" w:rsidR="00DA495B" w:rsidRPr="00DA495B" w:rsidRDefault="00DA495B" w:rsidP="00DA495B">
      <w:pPr>
        <w:jc w:val="both"/>
      </w:pPr>
      <w:r w:rsidRPr="00DA495B">
        <w:t>Maternity leave is a clearly established right for employees, allowing up to 52 weeks’ leave regardless of length of service, with the first two weeks following childbirth being compulsory. Statutory Maternity Pay is generally available for up to 39 weeks, provided the relevant earnings and service criteria are met. Unlike other forms of parental leave, maternity leave is an individual right for the birth mother, intended not only to support childcare but also to safeguard her health and wellbeing during pregnancy and recovery after birth. This means maternity rights provide extra protection that is not provided by general parental or shared leave arrangements(Maternity Action, 2026a).</w:t>
      </w:r>
    </w:p>
    <w:p w14:paraId="0869CDA4" w14:textId="77777777" w:rsidR="00DA495B" w:rsidRPr="00DA495B" w:rsidRDefault="00DA495B" w:rsidP="00DA495B">
      <w:pPr>
        <w:jc w:val="both"/>
      </w:pPr>
      <w:r w:rsidRPr="00DA495B">
        <w:lastRenderedPageBreak/>
        <w:t>Shared parental leave is different. It pertains to flexibility and sharing care. Once the compulsory two-week maternity leave period has passed, you can choose to end maternity leave and pay early and convert the untaken balance into shared parental leave and shared parental pay, provided both you and your partner meet the eligibility rules. This can allow you both to take time off in blocks, separately or at the same time, during the baby’s first year. That can work really well where both parents want to stay closely involved, or where one partner has better contractual pay than the other (Maternity Action, 2026b).</w:t>
      </w:r>
    </w:p>
    <w:p w14:paraId="5E02B497" w14:textId="77777777" w:rsidR="00DA495B" w:rsidRPr="00DA495B" w:rsidRDefault="00DA495B" w:rsidP="00DA495B">
      <w:pPr>
        <w:jc w:val="both"/>
      </w:pPr>
      <w:r w:rsidRPr="00DA495B">
        <w:t>The downside is that shared parental leave tends to involve more administrative complexity. It involves notices, reducing maternity leave, and organising requests with two employers. Also, once maternity leave is cut, you cannot simply switch back because shared parental leave is created out of the maternity entitlement you give up. Many families still choose maternity leave because it is simpler and offers more certainty, while shared parental leave tends to suit families wanting a more equal split of care (CIPD, 2026).</w:t>
      </w:r>
    </w:p>
    <w:p w14:paraId="28D6DE8C" w14:textId="77777777" w:rsidR="00DA495B" w:rsidRDefault="00DA495B" w:rsidP="00DA495B">
      <w:pPr>
        <w:jc w:val="both"/>
      </w:pPr>
      <w:r w:rsidRPr="00DA495B">
        <w:t>So, if your priority is protected recovery time and simplicity, maternity leave may be the better route. If your priority is flexibility and sharing leave with your partner, shared parental leave may suit you better. It is really about what works best for your family, finances and support arrangements. Ultimately, until you have given birth, it is difficult to predict how you will feel and what route you will choose.</w:t>
      </w:r>
    </w:p>
    <w:p w14:paraId="5169E8BA" w14:textId="77777777" w:rsidR="00DA495B" w:rsidRPr="00DA495B" w:rsidRDefault="00DA495B" w:rsidP="00DA495B">
      <w:pPr>
        <w:jc w:val="both"/>
      </w:pPr>
    </w:p>
    <w:p w14:paraId="56246498" w14:textId="77777777" w:rsidR="00DA495B" w:rsidRPr="00DA495B" w:rsidRDefault="00DA495B" w:rsidP="00DA495B">
      <w:pPr>
        <w:jc w:val="both"/>
        <w:rPr>
          <w:b/>
          <w:bCs/>
        </w:rPr>
      </w:pPr>
      <w:r w:rsidRPr="00DA495B">
        <w:rPr>
          <w:b/>
          <w:bCs/>
        </w:rPr>
        <w:t>Email 10 (AC 4.3)</w:t>
      </w:r>
    </w:p>
    <w:p w14:paraId="4D33FCDA" w14:textId="77777777" w:rsidR="00DA495B" w:rsidRPr="00DA495B" w:rsidRDefault="00DA495B" w:rsidP="00DA495B">
      <w:pPr>
        <w:jc w:val="both"/>
      </w:pPr>
      <w:r w:rsidRPr="00DA495B">
        <w:t>As we work for a large UK-based NHS trust, the first point is that the administrative officer does not have an automatic right to work from home three days a week. What she does have is a statutory right to request flexible working from day one of employment, and that request must be properly and reasonably considered. Flexible working can cover changes to hours, times or place of work, including homeworking and hybrid working (Acas, 2024a).</w:t>
      </w:r>
    </w:p>
    <w:p w14:paraId="5E7804AB" w14:textId="77777777" w:rsidR="00DA495B" w:rsidRPr="00DA495B" w:rsidRDefault="00DA495B" w:rsidP="00DA495B">
      <w:pPr>
        <w:jc w:val="both"/>
      </w:pPr>
      <w:r w:rsidRPr="00DA495B">
        <w:t>That means we should be careful not to reject the request simply because it might encourage others to ask for the same. That, on its own, is not one of the lawful statutory reasons for refusal. The law requires the Trust to look at the request on its own facts, consult with the employee, and reach a decision within two months, unless an extension is agreed. Employees can make two statutory requests in a 12-month period, and the request must be handled in line with the Acas Code of Practice (Acas, 2024b).</w:t>
      </w:r>
    </w:p>
    <w:p w14:paraId="3D580D48" w14:textId="77777777" w:rsidR="00DA495B" w:rsidRPr="00DA495B" w:rsidRDefault="00DA495B" w:rsidP="00DA495B">
      <w:pPr>
        <w:jc w:val="both"/>
      </w:pPr>
      <w:r w:rsidRPr="00DA495B">
        <w:t>The legal right is a right to request, not a guaranteed right to work flexibly. So you can still refuse if there is a genuine business reason. The recognised statutory grounds include, for example, detrimental impact on quality or performance, inability to reorganise work among existing staff, inability to recruit additional staff, detrimental effect on meeting service demand, or planned structural changes. In an NHS setting, these reasons may well be relevant if physical presence on the main hospital site is actually required to support patients, managers or time-sensitive administrative processes (CIPD, 2025).</w:t>
      </w:r>
    </w:p>
    <w:p w14:paraId="760251FA" w14:textId="77777777" w:rsidR="00DA495B" w:rsidRPr="00DA495B" w:rsidRDefault="00DA495B" w:rsidP="00DA495B">
      <w:pPr>
        <w:jc w:val="both"/>
      </w:pPr>
      <w:r w:rsidRPr="00DA495B">
        <w:lastRenderedPageBreak/>
        <w:t>However, the refusal would need to be evidence-based, not just based on assumptions or concerns about precedent. Flexible working requests should be assessed in a structured and reasonable way, taking account of both business needs and the employee’s circumstances. It would therefore be sensible to meet with her, explore what duties could be done remotely, consider alternatives such as one or two homeworking days, and assess whether a trial period might work.</w:t>
      </w:r>
    </w:p>
    <w:p w14:paraId="520FE752" w14:textId="77777777" w:rsidR="00DA495B" w:rsidRPr="00DA495B" w:rsidRDefault="00DA495B" w:rsidP="00DA495B">
      <w:pPr>
        <w:jc w:val="both"/>
      </w:pPr>
      <w:r w:rsidRPr="00DA495B">
        <w:t>One further point is that flexible working requests can overlap with discrimination risks. For example, if the employee has caring responsibilities or a disability, an unreasonable refusal could potentially lead to wider legal issues. So, the safest approach is to consider the request carefully, document the reasons, and show that the Trust has acted fairly and consistently throughout.</w:t>
      </w:r>
    </w:p>
    <w:p w14:paraId="4E823480" w14:textId="77777777" w:rsidR="00D43ECC" w:rsidRDefault="00D43ECC"/>
    <w:p w14:paraId="4868ED52" w14:textId="77777777" w:rsidR="00D43ECC" w:rsidRDefault="00D43ECC"/>
    <w:p w14:paraId="5135D0C8" w14:textId="77777777" w:rsidR="00D43ECC" w:rsidRDefault="00D43ECC"/>
    <w:p w14:paraId="0550D54B" w14:textId="77777777" w:rsidR="00D43ECC" w:rsidRDefault="00D43ECC"/>
    <w:p w14:paraId="3956E49C" w14:textId="77777777" w:rsidR="00DA495B" w:rsidRDefault="00DA495B"/>
    <w:p w14:paraId="1E7B5463" w14:textId="77777777" w:rsidR="00DA495B" w:rsidRDefault="00DA495B"/>
    <w:p w14:paraId="339AEAB9" w14:textId="77777777" w:rsidR="00DA495B" w:rsidRDefault="00DA495B"/>
    <w:p w14:paraId="754FDE11" w14:textId="77777777" w:rsidR="00DA495B" w:rsidRDefault="00DA495B"/>
    <w:p w14:paraId="71D1543E" w14:textId="77777777" w:rsidR="00DA495B" w:rsidRDefault="00DA495B"/>
    <w:p w14:paraId="54B97175" w14:textId="77777777" w:rsidR="00DA495B" w:rsidRDefault="00DA495B"/>
    <w:p w14:paraId="3770D537" w14:textId="77777777" w:rsidR="00DA495B" w:rsidRDefault="00DA495B"/>
    <w:p w14:paraId="526E4997" w14:textId="77777777" w:rsidR="00DA495B" w:rsidRDefault="00DA495B"/>
    <w:p w14:paraId="58860B9C" w14:textId="77777777" w:rsidR="00DA495B" w:rsidRDefault="00DA495B"/>
    <w:p w14:paraId="03F2ABE3" w14:textId="77777777" w:rsidR="00DA495B" w:rsidRDefault="00DA495B"/>
    <w:p w14:paraId="4114ED7B" w14:textId="77777777" w:rsidR="00DA495B" w:rsidRDefault="00DA495B"/>
    <w:p w14:paraId="7AC015E6" w14:textId="77777777" w:rsidR="00DA495B" w:rsidRDefault="00DA495B"/>
    <w:p w14:paraId="61556861" w14:textId="77777777" w:rsidR="00DA495B" w:rsidRDefault="00DA495B"/>
    <w:p w14:paraId="18153E39" w14:textId="77777777" w:rsidR="00DA495B" w:rsidRDefault="00DA495B"/>
    <w:p w14:paraId="74029EC4" w14:textId="77777777" w:rsidR="00DA495B" w:rsidRDefault="00DA495B"/>
    <w:p w14:paraId="2AA26BC8" w14:textId="77777777" w:rsidR="00DA495B" w:rsidRDefault="00DA495B"/>
    <w:p w14:paraId="0B53D2D7" w14:textId="77777777" w:rsidR="00DA495B" w:rsidRDefault="00DA495B"/>
    <w:p w14:paraId="431C4FEF" w14:textId="77777777" w:rsidR="00D43ECC" w:rsidRDefault="00D43ECC"/>
    <w:p w14:paraId="5A9539EC" w14:textId="77777777" w:rsidR="00567A6B" w:rsidRPr="00615C26" w:rsidRDefault="00567A6B" w:rsidP="00567A6B">
      <w:pPr>
        <w:rPr>
          <w:b/>
          <w:bCs/>
        </w:rPr>
      </w:pPr>
      <w:r w:rsidRPr="00615C26">
        <w:rPr>
          <w:b/>
          <w:bCs/>
        </w:rPr>
        <w:lastRenderedPageBreak/>
        <w:t>Bibliography</w:t>
      </w:r>
    </w:p>
    <w:p w14:paraId="7CECE5B8" w14:textId="4CEC3617" w:rsidR="0042705A" w:rsidRPr="00615C26" w:rsidRDefault="0042705A" w:rsidP="006B5524">
      <w:pPr>
        <w:pStyle w:val="ListParagraph"/>
        <w:numPr>
          <w:ilvl w:val="0"/>
          <w:numId w:val="2"/>
        </w:numPr>
        <w:spacing w:after="0" w:line="300" w:lineRule="atLeast"/>
        <w:rPr>
          <w:rFonts w:eastAsia="Times New Roman"/>
          <w:kern w:val="0"/>
          <w:lang w:eastAsia="en-GB"/>
          <w14:ligatures w14:val="none"/>
        </w:rPr>
      </w:pPr>
      <w:r w:rsidRPr="00615C26">
        <w:rPr>
          <w:rFonts w:eastAsia="Times New Roman"/>
          <w:kern w:val="0"/>
          <w:lang w:eastAsia="en-GB"/>
          <w14:ligatures w14:val="none"/>
        </w:rPr>
        <w:t>Acas (2024</w:t>
      </w:r>
      <w:r w:rsidR="00C33CDF" w:rsidRPr="00615C26">
        <w:rPr>
          <w:rFonts w:eastAsia="Times New Roman"/>
          <w:kern w:val="0"/>
          <w:lang w:eastAsia="en-GB"/>
          <w14:ligatures w14:val="none"/>
        </w:rPr>
        <w:t>a</w:t>
      </w:r>
      <w:r w:rsidRPr="00615C26">
        <w:rPr>
          <w:rFonts w:eastAsia="Times New Roman"/>
          <w:kern w:val="0"/>
          <w:lang w:eastAsia="en-GB"/>
          <w14:ligatures w14:val="none"/>
        </w:rPr>
        <w:t xml:space="preserve">) Code of practice on requests for flexible working. Available at: https://www.acas.org.uk/code-of-practice-on-requests-for-flexible-working (Accessed: </w:t>
      </w:r>
      <w:r w:rsidRPr="00615C26">
        <w:rPr>
          <w:rFonts w:eastAsia="Times New Roman"/>
          <w:kern w:val="0"/>
          <w:lang w:eastAsia="en-GB"/>
          <w14:ligatures w14:val="none"/>
        </w:rPr>
        <w:t>26</w:t>
      </w:r>
      <w:r w:rsidRPr="00615C26">
        <w:rPr>
          <w:rFonts w:eastAsia="Times New Roman"/>
          <w:kern w:val="0"/>
          <w:lang w:eastAsia="en-GB"/>
          <w14:ligatures w14:val="none"/>
        </w:rPr>
        <w:t xml:space="preserve"> </w:t>
      </w:r>
      <w:r w:rsidRPr="00615C26">
        <w:rPr>
          <w:rFonts w:eastAsia="Times New Roman"/>
          <w:kern w:val="0"/>
          <w:lang w:eastAsia="en-GB"/>
          <w14:ligatures w14:val="none"/>
        </w:rPr>
        <w:t xml:space="preserve">May </w:t>
      </w:r>
      <w:r w:rsidRPr="00615C26">
        <w:rPr>
          <w:rFonts w:eastAsia="Times New Roman"/>
          <w:kern w:val="0"/>
          <w:lang w:eastAsia="en-GB"/>
          <w14:ligatures w14:val="none"/>
        </w:rPr>
        <w:t>2026).</w:t>
      </w:r>
    </w:p>
    <w:p w14:paraId="125A3F9E" w14:textId="22270916" w:rsidR="00C33CDF" w:rsidRPr="00615C26" w:rsidRDefault="00C33CDF" w:rsidP="006B5524">
      <w:pPr>
        <w:pStyle w:val="ListParagraph"/>
        <w:numPr>
          <w:ilvl w:val="0"/>
          <w:numId w:val="2"/>
        </w:numPr>
        <w:spacing w:after="0" w:line="300" w:lineRule="atLeast"/>
        <w:rPr>
          <w:rFonts w:eastAsia="Times New Roman"/>
          <w:kern w:val="0"/>
          <w:lang w:eastAsia="en-GB"/>
          <w14:ligatures w14:val="none"/>
        </w:rPr>
      </w:pPr>
      <w:r w:rsidRPr="00615C26">
        <w:rPr>
          <w:rFonts w:eastAsia="Times New Roman"/>
          <w:kern w:val="0"/>
          <w:lang w:eastAsia="en-GB"/>
          <w14:ligatures w14:val="none"/>
        </w:rPr>
        <w:t>Acas (2024</w:t>
      </w:r>
      <w:r w:rsidRPr="00615C26">
        <w:rPr>
          <w:rFonts w:eastAsia="Times New Roman"/>
          <w:kern w:val="0"/>
          <w:lang w:eastAsia="en-GB"/>
          <w14:ligatures w14:val="none"/>
        </w:rPr>
        <w:t>b</w:t>
      </w:r>
      <w:r w:rsidRPr="00615C26">
        <w:rPr>
          <w:rFonts w:eastAsia="Times New Roman"/>
          <w:kern w:val="0"/>
          <w:lang w:eastAsia="en-GB"/>
          <w14:ligatures w14:val="none"/>
        </w:rPr>
        <w:t>) Code of practice on requests for flexible working. Available at: https://www.acas.org.uk/code-of-practice-on-requests-for-flexible-working (Accessed: 26 May 2026).</w:t>
      </w:r>
    </w:p>
    <w:p w14:paraId="771D9D68" w14:textId="6C21306B" w:rsidR="00567A6B" w:rsidRPr="00615C26" w:rsidRDefault="00567A6B" w:rsidP="00567A6B">
      <w:pPr>
        <w:numPr>
          <w:ilvl w:val="0"/>
          <w:numId w:val="2"/>
        </w:numPr>
      </w:pPr>
      <w:r w:rsidRPr="00615C26">
        <w:t xml:space="preserve">Acas (2024) Equal pay and the law. Available at: </w:t>
      </w:r>
      <w:hyperlink r:id="rId7" w:history="1">
        <w:r w:rsidRPr="00615C26">
          <w:rPr>
            <w:rStyle w:val="Hyperlink"/>
          </w:rPr>
          <w:t>https://www.acas.org.uk/equal-pay/equal-pay-law</w:t>
        </w:r>
      </w:hyperlink>
      <w:r w:rsidRPr="00615C26">
        <w:t xml:space="preserve"> (Accessed: </w:t>
      </w:r>
      <w:r w:rsidR="009E2610" w:rsidRPr="00615C26">
        <w:t>12</w:t>
      </w:r>
      <w:r w:rsidRPr="00615C26">
        <w:t xml:space="preserve"> May 2026).</w:t>
      </w:r>
    </w:p>
    <w:p w14:paraId="462C8548" w14:textId="7E46275E" w:rsidR="00567A6B" w:rsidRPr="00615C26" w:rsidRDefault="00567A6B" w:rsidP="00567A6B">
      <w:pPr>
        <w:numPr>
          <w:ilvl w:val="0"/>
          <w:numId w:val="2"/>
        </w:numPr>
      </w:pPr>
      <w:r w:rsidRPr="00615C26">
        <w:t xml:space="preserve">Acas (2024) Redundancy. Available at: </w:t>
      </w:r>
      <w:hyperlink r:id="rId8" w:history="1">
        <w:r w:rsidRPr="00615C26">
          <w:rPr>
            <w:rStyle w:val="Hyperlink"/>
          </w:rPr>
          <w:t>https://www.acas.org.uk/redundancy</w:t>
        </w:r>
      </w:hyperlink>
      <w:r w:rsidRPr="00615C26">
        <w:t xml:space="preserve"> (Accessed: </w:t>
      </w:r>
      <w:r w:rsidR="009E2610" w:rsidRPr="00615C26">
        <w:t>12</w:t>
      </w:r>
      <w:r w:rsidRPr="00615C26">
        <w:t xml:space="preserve"> May 2026).</w:t>
      </w:r>
    </w:p>
    <w:p w14:paraId="6ED5C65D" w14:textId="2B7EB81E" w:rsidR="00343B8A" w:rsidRPr="00615C26" w:rsidRDefault="00343B8A" w:rsidP="006B5524">
      <w:pPr>
        <w:pStyle w:val="ListParagraph"/>
        <w:numPr>
          <w:ilvl w:val="0"/>
          <w:numId w:val="2"/>
        </w:numPr>
        <w:spacing w:after="0" w:line="300" w:lineRule="atLeast"/>
        <w:rPr>
          <w:rFonts w:eastAsia="Times New Roman"/>
          <w:kern w:val="0"/>
          <w:lang w:eastAsia="en-GB"/>
          <w14:ligatures w14:val="none"/>
        </w:rPr>
      </w:pPr>
      <w:r w:rsidRPr="00615C26">
        <w:rPr>
          <w:rFonts w:eastAsia="Times New Roman"/>
          <w:kern w:val="0"/>
          <w:lang w:eastAsia="en-GB"/>
          <w14:ligatures w14:val="none"/>
        </w:rPr>
        <w:t xml:space="preserve">Acas (2025) </w:t>
      </w:r>
      <w:r w:rsidRPr="00615C26">
        <w:rPr>
          <w:rFonts w:eastAsia="Times New Roman"/>
          <w:i/>
          <w:iCs/>
          <w:kern w:val="0"/>
          <w:lang w:eastAsia="en-GB"/>
          <w14:ligatures w14:val="none"/>
        </w:rPr>
        <w:t>Understanding the Working Time Regulations</w:t>
      </w:r>
      <w:r w:rsidRPr="00615C26">
        <w:rPr>
          <w:rFonts w:eastAsia="Times New Roman"/>
          <w:kern w:val="0"/>
          <w:lang w:eastAsia="en-GB"/>
          <w14:ligatures w14:val="none"/>
        </w:rPr>
        <w:t xml:space="preserve">. Available at: https://www.acas.org.uk/working-time-rules (Accessed: </w:t>
      </w:r>
      <w:r w:rsidRPr="00615C26">
        <w:rPr>
          <w:rFonts w:eastAsia="Times New Roman"/>
          <w:kern w:val="0"/>
          <w:lang w:eastAsia="en-GB"/>
          <w14:ligatures w14:val="none"/>
        </w:rPr>
        <w:t xml:space="preserve">13 May </w:t>
      </w:r>
      <w:r w:rsidRPr="00615C26">
        <w:rPr>
          <w:rFonts w:eastAsia="Times New Roman"/>
          <w:kern w:val="0"/>
          <w:lang w:eastAsia="en-GB"/>
          <w14:ligatures w14:val="none"/>
        </w:rPr>
        <w:t>2026)</w:t>
      </w:r>
    </w:p>
    <w:p w14:paraId="35020794" w14:textId="4B76AB4A" w:rsidR="00567A6B" w:rsidRPr="00615C26" w:rsidRDefault="00567A6B" w:rsidP="00567A6B">
      <w:pPr>
        <w:numPr>
          <w:ilvl w:val="0"/>
          <w:numId w:val="2"/>
        </w:numPr>
      </w:pPr>
      <w:r w:rsidRPr="00615C26">
        <w:t xml:space="preserve">Acas (2026) Constructive dismissal. Available at: </w:t>
      </w:r>
      <w:hyperlink r:id="rId9" w:history="1">
        <w:r w:rsidRPr="00615C26">
          <w:rPr>
            <w:rStyle w:val="Hyperlink"/>
          </w:rPr>
          <w:t>https://www.acas.org.uk/dismissals/constructive-dismissal</w:t>
        </w:r>
      </w:hyperlink>
      <w:r w:rsidRPr="00615C26">
        <w:t xml:space="preserve"> (Accessed: </w:t>
      </w:r>
      <w:r w:rsidR="009E2610" w:rsidRPr="00615C26">
        <w:t>16</w:t>
      </w:r>
      <w:r w:rsidRPr="00615C26">
        <w:t xml:space="preserve"> May 2026).</w:t>
      </w:r>
    </w:p>
    <w:p w14:paraId="29E98C3D" w14:textId="4E55A0E3" w:rsidR="00567A6B" w:rsidRPr="00615C26" w:rsidRDefault="00567A6B" w:rsidP="00567A6B">
      <w:pPr>
        <w:numPr>
          <w:ilvl w:val="0"/>
          <w:numId w:val="2"/>
        </w:numPr>
      </w:pPr>
      <w:r w:rsidRPr="00615C26">
        <w:t xml:space="preserve">Acas (2026) Rolled-up holiday pay: irregular hours and part-year workers. Available at: </w:t>
      </w:r>
      <w:hyperlink r:id="rId10" w:history="1">
        <w:r w:rsidRPr="00615C26">
          <w:rPr>
            <w:rStyle w:val="Hyperlink"/>
          </w:rPr>
          <w:t>https://www.acas.org.uk/irregular-hours-and-part-year-workers/rolled-up-holiday-pay</w:t>
        </w:r>
      </w:hyperlink>
      <w:r w:rsidRPr="00615C26">
        <w:t xml:space="preserve"> (Accessed: </w:t>
      </w:r>
      <w:r w:rsidR="009E2610" w:rsidRPr="00615C26">
        <w:t>16</w:t>
      </w:r>
      <w:r w:rsidRPr="00615C26">
        <w:t xml:space="preserve"> May 2026).</w:t>
      </w:r>
    </w:p>
    <w:p w14:paraId="7FB5C0F8" w14:textId="1CAA08BC" w:rsidR="00567A6B" w:rsidRPr="00615C26" w:rsidRDefault="00567A6B" w:rsidP="00567A6B">
      <w:pPr>
        <w:numPr>
          <w:ilvl w:val="0"/>
          <w:numId w:val="2"/>
        </w:numPr>
      </w:pPr>
      <w:r w:rsidRPr="00615C26">
        <w:t xml:space="preserve">Acas (2026) TUPE transfers. Available at: </w:t>
      </w:r>
      <w:hyperlink r:id="rId11" w:history="1">
        <w:r w:rsidRPr="00615C26">
          <w:rPr>
            <w:rStyle w:val="Hyperlink"/>
          </w:rPr>
          <w:t>https://www.acas.org.uk/tupe-transfers</w:t>
        </w:r>
      </w:hyperlink>
      <w:r w:rsidRPr="00615C26">
        <w:t xml:space="preserve"> (Accessed: </w:t>
      </w:r>
      <w:r w:rsidR="009E2610" w:rsidRPr="00615C26">
        <w:t>16</w:t>
      </w:r>
      <w:r w:rsidRPr="00615C26">
        <w:t xml:space="preserve"> May 2026).</w:t>
      </w:r>
    </w:p>
    <w:p w14:paraId="7CB78A2D" w14:textId="025F1A7E" w:rsidR="00D0559D" w:rsidRPr="00615C26" w:rsidRDefault="00D0559D" w:rsidP="00D0559D">
      <w:pPr>
        <w:pStyle w:val="ListParagraph"/>
        <w:numPr>
          <w:ilvl w:val="0"/>
          <w:numId w:val="2"/>
        </w:numPr>
        <w:spacing w:after="0" w:line="300" w:lineRule="atLeast"/>
        <w:rPr>
          <w:rFonts w:eastAsia="Times New Roman"/>
          <w:kern w:val="0"/>
          <w:lang w:eastAsia="en-GB"/>
          <w14:ligatures w14:val="none"/>
        </w:rPr>
      </w:pPr>
      <w:r w:rsidRPr="00615C26">
        <w:rPr>
          <w:rFonts w:eastAsia="Times New Roman"/>
          <w:kern w:val="0"/>
          <w:lang w:eastAsia="en-GB"/>
          <w14:ligatures w14:val="none"/>
        </w:rPr>
        <w:t xml:space="preserve">CIPD (2024) Inclusive recruitment: guide for employers. Available at: https://www.cipd.org/uk/knowledge/guides/inclusive-recruitment-guide/ (Accessed: </w:t>
      </w:r>
      <w:r w:rsidRPr="00615C26">
        <w:rPr>
          <w:rFonts w:eastAsia="Times New Roman"/>
          <w:kern w:val="0"/>
          <w:lang w:eastAsia="en-GB"/>
          <w14:ligatures w14:val="none"/>
        </w:rPr>
        <w:t xml:space="preserve">16 May </w:t>
      </w:r>
      <w:r w:rsidRPr="00615C26">
        <w:rPr>
          <w:rFonts w:eastAsia="Times New Roman"/>
          <w:kern w:val="0"/>
          <w:lang w:eastAsia="en-GB"/>
          <w14:ligatures w14:val="none"/>
        </w:rPr>
        <w:t>2026).</w:t>
      </w:r>
    </w:p>
    <w:p w14:paraId="23B08F65" w14:textId="0AFEAEAF" w:rsidR="00567A6B" w:rsidRPr="00615C26" w:rsidRDefault="00567A6B" w:rsidP="00567A6B">
      <w:pPr>
        <w:numPr>
          <w:ilvl w:val="0"/>
          <w:numId w:val="2"/>
        </w:numPr>
      </w:pPr>
      <w:r w:rsidRPr="00615C26">
        <w:t xml:space="preserve">CIPD (2024) Recruitment: an overview. London: CIPD. Available at: </w:t>
      </w:r>
      <w:hyperlink r:id="rId12" w:history="1">
        <w:r w:rsidRPr="00615C26">
          <w:rPr>
            <w:rStyle w:val="Hyperlink"/>
          </w:rPr>
          <w:t>https://www.cipd.org/uk/knowledge/factsheets/recruitment-factsheet/</w:t>
        </w:r>
      </w:hyperlink>
      <w:r w:rsidRPr="00615C26">
        <w:t xml:space="preserve"> (Accessed: </w:t>
      </w:r>
      <w:r w:rsidR="009E2610" w:rsidRPr="00615C26">
        <w:t>10</w:t>
      </w:r>
      <w:r w:rsidRPr="00615C26">
        <w:t xml:space="preserve"> May 2026).</w:t>
      </w:r>
    </w:p>
    <w:p w14:paraId="0DE4BF1E" w14:textId="286051FA" w:rsidR="00C85C98" w:rsidRPr="00615C26" w:rsidRDefault="00C85C98" w:rsidP="00C85C98">
      <w:pPr>
        <w:pStyle w:val="ListParagraph"/>
        <w:numPr>
          <w:ilvl w:val="0"/>
          <w:numId w:val="2"/>
        </w:numPr>
        <w:spacing w:after="0" w:line="300" w:lineRule="atLeast"/>
        <w:rPr>
          <w:rFonts w:eastAsia="Times New Roman"/>
          <w:kern w:val="0"/>
          <w:lang w:eastAsia="en-GB"/>
          <w14:ligatures w14:val="none"/>
        </w:rPr>
      </w:pPr>
      <w:r w:rsidRPr="00615C26">
        <w:rPr>
          <w:rFonts w:eastAsia="Times New Roman"/>
          <w:kern w:val="0"/>
          <w:lang w:eastAsia="en-GB"/>
          <w14:ligatures w14:val="none"/>
        </w:rPr>
        <w:t xml:space="preserve">CIPD (2024) </w:t>
      </w:r>
      <w:r w:rsidRPr="00615C26">
        <w:rPr>
          <w:rFonts w:eastAsia="Times New Roman"/>
          <w:i/>
          <w:iCs/>
          <w:kern w:val="0"/>
          <w:lang w:eastAsia="en-GB"/>
          <w14:ligatures w14:val="none"/>
        </w:rPr>
        <w:t>TUPE transfers: guide for people professionals</w:t>
      </w:r>
      <w:r w:rsidRPr="00615C26">
        <w:rPr>
          <w:rFonts w:eastAsia="Times New Roman"/>
          <w:kern w:val="0"/>
          <w:lang w:eastAsia="en-GB"/>
          <w14:ligatures w14:val="none"/>
        </w:rPr>
        <w:t xml:space="preserve">. Available at: https://www.cipd.org/uk/knowledge/guides/tupe-guide/ (Accessed: </w:t>
      </w:r>
      <w:r w:rsidRPr="00615C26">
        <w:rPr>
          <w:rFonts w:eastAsia="Times New Roman"/>
          <w:kern w:val="0"/>
          <w:lang w:eastAsia="en-GB"/>
          <w14:ligatures w14:val="none"/>
        </w:rPr>
        <w:t xml:space="preserve">12 May </w:t>
      </w:r>
      <w:r w:rsidRPr="00615C26">
        <w:rPr>
          <w:rFonts w:eastAsia="Times New Roman"/>
          <w:kern w:val="0"/>
          <w:lang w:eastAsia="en-GB"/>
          <w14:ligatures w14:val="none"/>
        </w:rPr>
        <w:t>2026).</w:t>
      </w:r>
    </w:p>
    <w:p w14:paraId="0D6E193E" w14:textId="7567C8B5" w:rsidR="0089606D" w:rsidRPr="00615C26" w:rsidRDefault="0089606D" w:rsidP="0089606D">
      <w:pPr>
        <w:pStyle w:val="ListParagraph"/>
        <w:numPr>
          <w:ilvl w:val="0"/>
          <w:numId w:val="2"/>
        </w:numPr>
        <w:spacing w:after="0" w:line="300" w:lineRule="atLeast"/>
        <w:rPr>
          <w:rFonts w:eastAsia="Times New Roman"/>
          <w:kern w:val="0"/>
          <w:lang w:eastAsia="en-GB"/>
          <w14:ligatures w14:val="none"/>
        </w:rPr>
      </w:pPr>
      <w:r w:rsidRPr="00615C26">
        <w:rPr>
          <w:rFonts w:eastAsia="Times New Roman"/>
          <w:kern w:val="0"/>
          <w:lang w:eastAsia="en-GB"/>
          <w14:ligatures w14:val="none"/>
        </w:rPr>
        <w:t xml:space="preserve">CIPD (2025) Flexible and hybrid working: UK employment law. Available at: https://www.cipd.org/uk/knowledge/employment-law/flexible-working/ (Accessed: </w:t>
      </w:r>
      <w:r w:rsidR="00082989" w:rsidRPr="00615C26">
        <w:rPr>
          <w:rFonts w:eastAsia="Times New Roman"/>
          <w:kern w:val="0"/>
          <w:lang w:eastAsia="en-GB"/>
          <w14:ligatures w14:val="none"/>
        </w:rPr>
        <w:t>30 May</w:t>
      </w:r>
      <w:r w:rsidRPr="00615C26">
        <w:rPr>
          <w:rFonts w:eastAsia="Times New Roman"/>
          <w:kern w:val="0"/>
          <w:lang w:eastAsia="en-GB"/>
          <w14:ligatures w14:val="none"/>
        </w:rPr>
        <w:t xml:space="preserve"> 2026).</w:t>
      </w:r>
    </w:p>
    <w:p w14:paraId="6FB061B8" w14:textId="3CCE1AA1" w:rsidR="001B6329" w:rsidRPr="00615C26" w:rsidRDefault="001B6329" w:rsidP="00567A6B">
      <w:pPr>
        <w:numPr>
          <w:ilvl w:val="0"/>
          <w:numId w:val="2"/>
        </w:numPr>
      </w:pPr>
      <w:r w:rsidRPr="00615C26">
        <w:t xml:space="preserve">CIPD (2024) </w:t>
      </w:r>
      <w:r w:rsidRPr="00615C26">
        <w:t xml:space="preserve"> </w:t>
      </w:r>
      <w:hyperlink r:id="rId13" w:history="1">
        <w:r w:rsidR="00300347" w:rsidRPr="00615C26">
          <w:rPr>
            <w:rStyle w:val="Hyperlink"/>
          </w:rPr>
          <w:t>Briefing | After</w:t>
        </w:r>
        <w:r w:rsidR="00300347" w:rsidRPr="00615C26">
          <w:rPr>
            <w:rStyle w:val="Hyperlink"/>
          </w:rPr>
          <w:t xml:space="preserve"> </w:t>
        </w:r>
        <w:r w:rsidR="00300347" w:rsidRPr="00615C26">
          <w:rPr>
            <w:rStyle w:val="Hyperlink"/>
          </w:rPr>
          <w:t>https://www.cipd.org/uk/views-and-insights/thought-leadership/insight/where-next-equal-pay/ recent claims, where next for equal pay? | CIPD</w:t>
        </w:r>
      </w:hyperlink>
      <w:r w:rsidRPr="00615C26">
        <w:t xml:space="preserve"> </w:t>
      </w:r>
      <w:r w:rsidRPr="00615C26">
        <w:t>(Accessed: 20 May 2026).</w:t>
      </w:r>
    </w:p>
    <w:p w14:paraId="1A4C96E7" w14:textId="78D57481" w:rsidR="00C64A92" w:rsidRPr="00615C26" w:rsidRDefault="00C64A92" w:rsidP="00567A6B">
      <w:pPr>
        <w:numPr>
          <w:ilvl w:val="0"/>
          <w:numId w:val="2"/>
        </w:numPr>
      </w:pPr>
      <w:r w:rsidRPr="00615C26">
        <w:t>CIPD</w:t>
      </w:r>
      <w:r w:rsidR="005655D0" w:rsidRPr="00615C26">
        <w:t xml:space="preserve"> (2025</w:t>
      </w:r>
      <w:r w:rsidR="006D6FAA" w:rsidRPr="00615C26">
        <w:t>a</w:t>
      </w:r>
      <w:r w:rsidR="005655D0" w:rsidRPr="00615C26">
        <w:t xml:space="preserve">) </w:t>
      </w:r>
      <w:hyperlink r:id="rId14" w:history="1">
        <w:r w:rsidR="005655D0" w:rsidRPr="00615C26">
          <w:rPr>
            <w:rStyle w:val="Hyperlink"/>
          </w:rPr>
          <w:t>The UK’s relationship</w:t>
        </w:r>
        <w:r w:rsidR="005655D0" w:rsidRPr="00615C26">
          <w:rPr>
            <w:rStyle w:val="Hyperlink"/>
          </w:rPr>
          <w:t>. Availble at: h</w:t>
        </w:r>
        <w:r w:rsidR="005655D0" w:rsidRPr="00615C26">
          <w:rPr>
            <w:rStyle w:val="Hyperlink"/>
          </w:rPr>
          <w:t>ttps://www.cipd.org/uk/knowledge/employment-law/uk-employment-law-eu/ with EU employment law post-Brexit | CIPD</w:t>
        </w:r>
      </w:hyperlink>
      <w:r w:rsidR="005655D0" w:rsidRPr="00615C26">
        <w:t xml:space="preserve"> </w:t>
      </w:r>
      <w:r w:rsidR="005655D0" w:rsidRPr="00615C26">
        <w:t>(Accessed: 20 May 2026).</w:t>
      </w:r>
    </w:p>
    <w:p w14:paraId="71B4A7B6" w14:textId="78A9B532" w:rsidR="006D6FAA" w:rsidRPr="00615C26" w:rsidRDefault="006D6FAA" w:rsidP="006D6FAA">
      <w:pPr>
        <w:numPr>
          <w:ilvl w:val="0"/>
          <w:numId w:val="2"/>
        </w:numPr>
      </w:pPr>
      <w:r w:rsidRPr="00615C26">
        <w:lastRenderedPageBreak/>
        <w:t>CIPD (2025</w:t>
      </w:r>
      <w:r w:rsidRPr="00615C26">
        <w:t>b</w:t>
      </w:r>
      <w:r w:rsidRPr="00615C26">
        <w:t xml:space="preserve">) </w:t>
      </w:r>
      <w:hyperlink r:id="rId15" w:history="1">
        <w:r w:rsidRPr="00615C26">
          <w:rPr>
            <w:rStyle w:val="Hyperlink"/>
          </w:rPr>
          <w:t>The UK’s relationship. Availble at: https://www.cipd.org/uk/knowledge/employment-law/uk-employment-law-eu/ with EU employment law post-Brexit | CIPD</w:t>
        </w:r>
      </w:hyperlink>
      <w:r w:rsidRPr="00615C26">
        <w:t xml:space="preserve"> (Accessed: 20 May 2026).</w:t>
      </w:r>
    </w:p>
    <w:p w14:paraId="7DD50F30" w14:textId="668A1CDD" w:rsidR="006D6FAA" w:rsidRPr="00615C26" w:rsidRDefault="000B45B4" w:rsidP="00D0559D">
      <w:pPr>
        <w:pStyle w:val="ListParagraph"/>
        <w:numPr>
          <w:ilvl w:val="0"/>
          <w:numId w:val="2"/>
        </w:numPr>
        <w:spacing w:after="0" w:line="300" w:lineRule="atLeast"/>
        <w:rPr>
          <w:rFonts w:eastAsia="Times New Roman"/>
          <w:kern w:val="0"/>
          <w:lang w:eastAsia="en-GB"/>
          <w14:ligatures w14:val="none"/>
        </w:rPr>
      </w:pPr>
      <w:r w:rsidRPr="00615C26">
        <w:rPr>
          <w:rFonts w:eastAsia="Times New Roman"/>
          <w:kern w:val="0"/>
          <w:lang w:eastAsia="en-GB"/>
          <w14:ligatures w14:val="none"/>
        </w:rPr>
        <w:t>CIPD (202</w:t>
      </w:r>
      <w:r w:rsidRPr="00615C26">
        <w:rPr>
          <w:rFonts w:eastAsia="Times New Roman"/>
          <w:kern w:val="0"/>
          <w:lang w:eastAsia="en-GB"/>
          <w14:ligatures w14:val="none"/>
        </w:rPr>
        <w:t>6</w:t>
      </w:r>
      <w:r w:rsidRPr="00615C26">
        <w:rPr>
          <w:rFonts w:eastAsia="Times New Roman"/>
          <w:kern w:val="0"/>
          <w:lang w:eastAsia="en-GB"/>
          <w14:ligatures w14:val="none"/>
        </w:rPr>
        <w:t xml:space="preserve">) </w:t>
      </w:r>
      <w:r w:rsidRPr="00615C26">
        <w:rPr>
          <w:rFonts w:eastAsia="Times New Roman"/>
          <w:i/>
          <w:iCs/>
          <w:kern w:val="0"/>
          <w:lang w:eastAsia="en-GB"/>
          <w14:ligatures w14:val="none"/>
        </w:rPr>
        <w:t>Redundancy: UK employment law</w:t>
      </w:r>
      <w:r w:rsidRPr="00615C26">
        <w:rPr>
          <w:rFonts w:eastAsia="Times New Roman"/>
          <w:kern w:val="0"/>
          <w:lang w:eastAsia="en-GB"/>
          <w14:ligatures w14:val="none"/>
        </w:rPr>
        <w:t xml:space="preserve">. Available at: https://www.cipd.org/uk/knowledge/employment-law/redundancy/ (Accessed: </w:t>
      </w:r>
      <w:r w:rsidRPr="00615C26">
        <w:rPr>
          <w:rFonts w:eastAsia="Times New Roman"/>
          <w:kern w:val="0"/>
          <w:lang w:eastAsia="en-GB"/>
          <w14:ligatures w14:val="none"/>
        </w:rPr>
        <w:t>14</w:t>
      </w:r>
      <w:r w:rsidR="00C9287B" w:rsidRPr="00615C26">
        <w:rPr>
          <w:rFonts w:eastAsia="Times New Roman"/>
          <w:kern w:val="0"/>
          <w:vertAlign w:val="superscript"/>
          <w:lang w:eastAsia="en-GB"/>
          <w14:ligatures w14:val="none"/>
        </w:rPr>
        <w:t xml:space="preserve"> </w:t>
      </w:r>
      <w:r w:rsidR="00C9287B" w:rsidRPr="00615C26">
        <w:rPr>
          <w:rFonts w:eastAsia="Times New Roman"/>
          <w:kern w:val="0"/>
          <w:lang w:eastAsia="en-GB"/>
          <w14:ligatures w14:val="none"/>
        </w:rPr>
        <w:t>May 2026</w:t>
      </w:r>
      <w:r w:rsidRPr="00615C26">
        <w:rPr>
          <w:rFonts w:eastAsia="Times New Roman"/>
          <w:kern w:val="0"/>
          <w:lang w:eastAsia="en-GB"/>
          <w14:ligatures w14:val="none"/>
        </w:rPr>
        <w:t>)</w:t>
      </w:r>
    </w:p>
    <w:p w14:paraId="5454530B" w14:textId="328D9A9E" w:rsidR="00FB3CDE" w:rsidRPr="00615C26" w:rsidRDefault="00567A6B" w:rsidP="00D0559D">
      <w:pPr>
        <w:numPr>
          <w:ilvl w:val="0"/>
          <w:numId w:val="2"/>
        </w:numPr>
      </w:pPr>
      <w:r w:rsidRPr="00615C26">
        <w:t xml:space="preserve">CIPD (2026) Equal pay: UK employment law. Available at: </w:t>
      </w:r>
      <w:hyperlink r:id="rId16" w:history="1">
        <w:r w:rsidRPr="00615C26">
          <w:rPr>
            <w:rStyle w:val="Hyperlink"/>
          </w:rPr>
          <w:t>https://www.cip</w:t>
        </w:r>
        <w:r w:rsidRPr="00615C26">
          <w:rPr>
            <w:rStyle w:val="Hyperlink"/>
          </w:rPr>
          <w:t>d.org/uk/knowledge/employment-law/equal-pay/</w:t>
        </w:r>
      </w:hyperlink>
      <w:r w:rsidRPr="00615C26">
        <w:t xml:space="preserve"> (Accessed: </w:t>
      </w:r>
      <w:r w:rsidR="009E2610" w:rsidRPr="00615C26">
        <w:t>20</w:t>
      </w:r>
      <w:r w:rsidRPr="00615C26">
        <w:t xml:space="preserve"> May 2026).</w:t>
      </w:r>
    </w:p>
    <w:p w14:paraId="040C9046" w14:textId="6AC6AEED" w:rsidR="00EB0698" w:rsidRPr="00615C26" w:rsidRDefault="00EB0698" w:rsidP="00EB0698">
      <w:pPr>
        <w:pStyle w:val="ListParagraph"/>
        <w:numPr>
          <w:ilvl w:val="0"/>
          <w:numId w:val="2"/>
        </w:numPr>
        <w:spacing w:after="0" w:line="300" w:lineRule="atLeast"/>
        <w:rPr>
          <w:rFonts w:eastAsia="Times New Roman"/>
          <w:kern w:val="0"/>
          <w:lang w:eastAsia="en-GB"/>
          <w14:ligatures w14:val="none"/>
        </w:rPr>
      </w:pPr>
      <w:r w:rsidRPr="00615C26">
        <w:rPr>
          <w:rFonts w:eastAsia="Times New Roman"/>
          <w:kern w:val="0"/>
          <w:lang w:eastAsia="en-GB"/>
          <w14:ligatures w14:val="none"/>
        </w:rPr>
        <w:t xml:space="preserve">CIPD (2026) Maternity, paternity and adoption rights. Available at: https://www.cipd.org/uk/knowledge/factsheets/maternity-paternity-adoption-leave/ (Accessed: </w:t>
      </w:r>
      <w:r w:rsidR="00D344E3" w:rsidRPr="00615C26">
        <w:rPr>
          <w:rFonts w:eastAsia="Times New Roman"/>
          <w:kern w:val="0"/>
          <w:lang w:eastAsia="en-GB"/>
          <w14:ligatures w14:val="none"/>
        </w:rPr>
        <w:t>23 May</w:t>
      </w:r>
      <w:r w:rsidRPr="00615C26">
        <w:rPr>
          <w:rFonts w:eastAsia="Times New Roman"/>
          <w:kern w:val="0"/>
          <w:lang w:eastAsia="en-GB"/>
          <w14:ligatures w14:val="none"/>
        </w:rPr>
        <w:t xml:space="preserve"> 2026).</w:t>
      </w:r>
    </w:p>
    <w:p w14:paraId="0A4E4A76" w14:textId="172F25EC" w:rsidR="00567A6B" w:rsidRPr="00615C26" w:rsidRDefault="00567A6B" w:rsidP="00567A6B">
      <w:pPr>
        <w:numPr>
          <w:ilvl w:val="0"/>
          <w:numId w:val="2"/>
        </w:numPr>
      </w:pPr>
      <w:r w:rsidRPr="00615C26">
        <w:t>Daniels, K. (2022</w:t>
      </w:r>
      <w:r w:rsidR="00835DD5" w:rsidRPr="00615C26">
        <w:t>a</w:t>
      </w:r>
      <w:r w:rsidRPr="00615C26">
        <w:t>) Introduction to employment law: fundamentals for HR and business students. 6th edn. London: Kogan Page.</w:t>
      </w:r>
      <w:r w:rsidR="00B922FA" w:rsidRPr="00615C26">
        <w:t>3</w:t>
      </w:r>
    </w:p>
    <w:p w14:paraId="788B50DA" w14:textId="64FECFB4" w:rsidR="00567A6B" w:rsidRPr="00615C26" w:rsidRDefault="00567A6B" w:rsidP="00567A6B">
      <w:pPr>
        <w:numPr>
          <w:ilvl w:val="0"/>
          <w:numId w:val="2"/>
        </w:numPr>
      </w:pPr>
      <w:r w:rsidRPr="00615C26">
        <w:t>Daniels, K. (2022</w:t>
      </w:r>
      <w:r w:rsidR="00E3480B" w:rsidRPr="00615C26">
        <w:t>b</w:t>
      </w:r>
      <w:r w:rsidRPr="00615C26">
        <w:t>) Introduction to employment law: fundamentals for HR and business students. 6th edn. London: Kogan Page</w:t>
      </w:r>
      <w:r w:rsidR="00E3480B" w:rsidRPr="00615C26">
        <w:t xml:space="preserve"> </w:t>
      </w:r>
      <w:r w:rsidR="00F24692" w:rsidRPr="00615C26">
        <w:t>118</w:t>
      </w:r>
    </w:p>
    <w:p w14:paraId="13A9C00C" w14:textId="283CA454" w:rsidR="00567A6B" w:rsidRPr="00615C26" w:rsidRDefault="00567A6B" w:rsidP="009E5C48">
      <w:pPr>
        <w:numPr>
          <w:ilvl w:val="0"/>
          <w:numId w:val="2"/>
        </w:numPr>
      </w:pPr>
      <w:r w:rsidRPr="00615C26">
        <w:t>Daniels, K. (2022</w:t>
      </w:r>
      <w:r w:rsidR="00E3480B" w:rsidRPr="00615C26">
        <w:t>c</w:t>
      </w:r>
      <w:r w:rsidRPr="00615C26">
        <w:t>) Introduction to employment law: fundamentals for HR and business students. 6th edn. London: Kogan Page.</w:t>
      </w:r>
      <w:r w:rsidR="009E5C48" w:rsidRPr="00615C26">
        <w:rPr>
          <w:rFonts w:eastAsia="Times New Roman"/>
          <w:kern w:val="0"/>
          <w:lang w:eastAsia="en-GB"/>
          <w14:ligatures w14:val="none"/>
        </w:rPr>
        <w:t xml:space="preserve"> </w:t>
      </w:r>
      <w:r w:rsidR="009E5C48" w:rsidRPr="00615C26">
        <w:t>124–128</w:t>
      </w:r>
    </w:p>
    <w:p w14:paraId="723941C8" w14:textId="7A263600" w:rsidR="00567A6B" w:rsidRPr="00615C26" w:rsidRDefault="00567A6B" w:rsidP="00567A6B">
      <w:pPr>
        <w:numPr>
          <w:ilvl w:val="0"/>
          <w:numId w:val="2"/>
        </w:numPr>
      </w:pPr>
      <w:r w:rsidRPr="00615C26">
        <w:t>Daniels, K. (2022</w:t>
      </w:r>
      <w:r w:rsidR="00E3480B" w:rsidRPr="00615C26">
        <w:t>d</w:t>
      </w:r>
      <w:r w:rsidRPr="00615C26">
        <w:t>) Introduction to employment law: fundamentals for HR and business students. 6th edn. London: Kogan Page.</w:t>
      </w:r>
      <w:r w:rsidR="00E3480B" w:rsidRPr="00615C26">
        <w:t>6</w:t>
      </w:r>
      <w:r w:rsidR="007D6C21" w:rsidRPr="00615C26">
        <w:t>6</w:t>
      </w:r>
    </w:p>
    <w:p w14:paraId="4AB96B0E" w14:textId="72DC16E3" w:rsidR="00567A6B" w:rsidRPr="00615C26" w:rsidRDefault="00567A6B" w:rsidP="00567A6B">
      <w:pPr>
        <w:numPr>
          <w:ilvl w:val="0"/>
          <w:numId w:val="2"/>
        </w:numPr>
      </w:pPr>
      <w:r w:rsidRPr="00615C26">
        <w:t>Daniels, K. (2022</w:t>
      </w:r>
      <w:r w:rsidR="00BC141D" w:rsidRPr="00615C26">
        <w:t>e</w:t>
      </w:r>
      <w:r w:rsidRPr="00615C26">
        <w:t>) Introduction to employment law: fundamentals for HR and business students. 6th edn. London: Kogan Page.</w:t>
      </w:r>
      <w:r w:rsidR="00BC141D" w:rsidRPr="00615C26">
        <w:t>194</w:t>
      </w:r>
    </w:p>
    <w:p w14:paraId="79B20FF0" w14:textId="3A17DE19" w:rsidR="001E0855" w:rsidRPr="00615C26" w:rsidRDefault="001E0855" w:rsidP="001E0855">
      <w:pPr>
        <w:pStyle w:val="ListParagraph"/>
        <w:numPr>
          <w:ilvl w:val="0"/>
          <w:numId w:val="2"/>
        </w:numPr>
        <w:spacing w:after="0" w:line="300" w:lineRule="atLeast"/>
        <w:rPr>
          <w:rFonts w:eastAsia="Times New Roman"/>
          <w:kern w:val="0"/>
          <w:lang w:eastAsia="en-GB"/>
          <w14:ligatures w14:val="none"/>
        </w:rPr>
      </w:pPr>
      <w:r w:rsidRPr="00615C26">
        <w:rPr>
          <w:rFonts w:eastAsia="Times New Roman"/>
          <w:kern w:val="0"/>
          <w:lang w:eastAsia="en-GB"/>
          <w14:ligatures w14:val="none"/>
        </w:rPr>
        <w:t xml:space="preserve">EHRC (2024) Discriminatory advert guidance updated. Available at: https://www.equalityhumanrights.com/guidance/guidance-discriminatory-adverts (Accessed: </w:t>
      </w:r>
      <w:r w:rsidRPr="00615C26">
        <w:rPr>
          <w:rFonts w:eastAsia="Times New Roman"/>
          <w:kern w:val="0"/>
          <w:lang w:eastAsia="en-GB"/>
          <w14:ligatures w14:val="none"/>
        </w:rPr>
        <w:t xml:space="preserve">16 May </w:t>
      </w:r>
      <w:r w:rsidRPr="00615C26">
        <w:rPr>
          <w:rFonts w:eastAsia="Times New Roman"/>
          <w:kern w:val="0"/>
          <w:lang w:eastAsia="en-GB"/>
          <w14:ligatures w14:val="none"/>
        </w:rPr>
        <w:t>2026).</w:t>
      </w:r>
    </w:p>
    <w:p w14:paraId="3AF318DB" w14:textId="77777777" w:rsidR="00BE2C11" w:rsidRPr="00615C26" w:rsidRDefault="00567A6B" w:rsidP="00567A6B">
      <w:pPr>
        <w:numPr>
          <w:ilvl w:val="0"/>
          <w:numId w:val="2"/>
        </w:numPr>
      </w:pPr>
      <w:r w:rsidRPr="00615C26">
        <w:t xml:space="preserve">EHRC (2025) The Equality Act and occupational requirements. Manchester: Equality and Human Rights Commission. Available at: </w:t>
      </w:r>
      <w:hyperlink r:id="rId17" w:history="1">
        <w:r w:rsidRPr="00615C26">
          <w:rPr>
            <w:rStyle w:val="Hyperlink"/>
          </w:rPr>
          <w:t>https://www.equalityhumanrights.com/</w:t>
        </w:r>
      </w:hyperlink>
      <w:r w:rsidRPr="00615C26">
        <w:t xml:space="preserve"> (Accessed: </w:t>
      </w:r>
      <w:r w:rsidR="009E2610" w:rsidRPr="00615C26">
        <w:t>03</w:t>
      </w:r>
      <w:r w:rsidRPr="00615C26">
        <w:t xml:space="preserve"> May 2026).</w:t>
      </w:r>
    </w:p>
    <w:p w14:paraId="5456CF6F" w14:textId="482FA127" w:rsidR="00C93817" w:rsidRPr="00615C26" w:rsidRDefault="00C93817" w:rsidP="00C93817">
      <w:pPr>
        <w:pStyle w:val="ListParagraph"/>
        <w:numPr>
          <w:ilvl w:val="0"/>
          <w:numId w:val="2"/>
        </w:numPr>
        <w:spacing w:after="0" w:line="300" w:lineRule="atLeast"/>
        <w:rPr>
          <w:rFonts w:eastAsia="Times New Roman"/>
          <w:kern w:val="0"/>
          <w:lang w:eastAsia="en-GB"/>
          <w14:ligatures w14:val="none"/>
        </w:rPr>
      </w:pPr>
      <w:r w:rsidRPr="00615C26">
        <w:rPr>
          <w:rFonts w:eastAsia="Times New Roman"/>
          <w:kern w:val="0"/>
          <w:lang w:val="de-DE" w:eastAsia="en-GB"/>
          <w14:ligatures w14:val="none"/>
        </w:rPr>
        <w:t xml:space="preserve">ETAM plc v Rowan [1989] IRLR 150. </w:t>
      </w:r>
      <w:r w:rsidRPr="00615C26">
        <w:rPr>
          <w:rFonts w:eastAsia="Times New Roman"/>
          <w:kern w:val="0"/>
          <w:lang w:eastAsia="en-GB"/>
          <w14:ligatures w14:val="none"/>
        </w:rPr>
        <w:t xml:space="preserve">Available in: LexisNexis (Accessed: </w:t>
      </w:r>
      <w:r w:rsidRPr="00615C26">
        <w:rPr>
          <w:rFonts w:eastAsia="Times New Roman"/>
          <w:kern w:val="0"/>
          <w:lang w:eastAsia="en-GB"/>
          <w14:ligatures w14:val="none"/>
        </w:rPr>
        <w:t xml:space="preserve">16 May </w:t>
      </w:r>
      <w:r w:rsidRPr="00615C26">
        <w:rPr>
          <w:rFonts w:eastAsia="Times New Roman"/>
          <w:kern w:val="0"/>
          <w:lang w:eastAsia="en-GB"/>
          <w14:ligatures w14:val="none"/>
        </w:rPr>
        <w:t>2026).</w:t>
      </w:r>
    </w:p>
    <w:p w14:paraId="69FDA5C4" w14:textId="13E6E2F1" w:rsidR="00567A6B" w:rsidRPr="00615C26" w:rsidRDefault="00567A6B" w:rsidP="00567A6B">
      <w:pPr>
        <w:numPr>
          <w:ilvl w:val="0"/>
          <w:numId w:val="2"/>
        </w:numPr>
      </w:pPr>
      <w:r w:rsidRPr="00615C26">
        <w:t xml:space="preserve">Equality Act 2010, c.15. Available at: </w:t>
      </w:r>
      <w:hyperlink r:id="rId18" w:history="1">
        <w:r w:rsidRPr="00615C26">
          <w:rPr>
            <w:rStyle w:val="Hyperlink"/>
          </w:rPr>
          <w:t>https://www.legislation.gov.uk/ukpga/2010/15/contents</w:t>
        </w:r>
      </w:hyperlink>
      <w:r w:rsidRPr="00615C26">
        <w:t xml:space="preserve"> (Accessed: </w:t>
      </w:r>
      <w:r w:rsidR="009E2610" w:rsidRPr="00615C26">
        <w:t xml:space="preserve">03 </w:t>
      </w:r>
      <w:r w:rsidRPr="00615C26">
        <w:t>May 2026).</w:t>
      </w:r>
    </w:p>
    <w:p w14:paraId="59BD9583" w14:textId="591372BD" w:rsidR="00567A6B" w:rsidRPr="00615C26" w:rsidRDefault="00567A6B" w:rsidP="00567A6B">
      <w:pPr>
        <w:numPr>
          <w:ilvl w:val="0"/>
          <w:numId w:val="2"/>
        </w:numPr>
      </w:pPr>
      <w:r w:rsidRPr="00615C26">
        <w:t xml:space="preserve">Lipton v BA Cityflyer Ltd [2024] UKSC 24. Available at: </w:t>
      </w:r>
      <w:hyperlink r:id="rId19" w:history="1">
        <w:r w:rsidR="00412EAD" w:rsidRPr="00615C26">
          <w:rPr>
            <w:rStyle w:val="Hyperlink"/>
          </w:rPr>
          <w:t xml:space="preserve"> </w:t>
        </w:r>
        <w:r w:rsidR="00412EAD" w:rsidRPr="00615C26">
          <w:rPr>
            <w:rStyle w:val="Hyperlink"/>
          </w:rPr>
          <w:t>https://supremecourt.uk/cases/press-summary/uksc-2021-0098</w:t>
        </w:r>
      </w:hyperlink>
      <w:r w:rsidRPr="00615C26">
        <w:t xml:space="preserve"> (Accessed: 20 May 2026).</w:t>
      </w:r>
    </w:p>
    <w:p w14:paraId="5DC7CE3C" w14:textId="402B4DC7" w:rsidR="003E152A" w:rsidRPr="00615C26" w:rsidRDefault="003E152A" w:rsidP="003E152A">
      <w:pPr>
        <w:pStyle w:val="ListParagraph"/>
        <w:numPr>
          <w:ilvl w:val="0"/>
          <w:numId w:val="2"/>
        </w:numPr>
        <w:spacing w:after="0" w:line="300" w:lineRule="atLeast"/>
        <w:rPr>
          <w:rFonts w:eastAsia="Times New Roman"/>
          <w:kern w:val="0"/>
          <w:lang w:eastAsia="en-GB"/>
          <w14:ligatures w14:val="none"/>
        </w:rPr>
      </w:pPr>
      <w:r w:rsidRPr="00615C26">
        <w:rPr>
          <w:rFonts w:eastAsia="Times New Roman"/>
          <w:kern w:val="0"/>
          <w:lang w:eastAsia="en-GB"/>
          <w14:ligatures w14:val="none"/>
        </w:rPr>
        <w:t>Maternity Action (2026</w:t>
      </w:r>
      <w:r w:rsidRPr="00615C26">
        <w:rPr>
          <w:rFonts w:eastAsia="Times New Roman"/>
          <w:kern w:val="0"/>
          <w:lang w:eastAsia="en-GB"/>
          <w14:ligatures w14:val="none"/>
        </w:rPr>
        <w:t>a</w:t>
      </w:r>
      <w:r w:rsidRPr="00615C26">
        <w:rPr>
          <w:rFonts w:eastAsia="Times New Roman"/>
          <w:kern w:val="0"/>
          <w:lang w:eastAsia="en-GB"/>
          <w14:ligatures w14:val="none"/>
        </w:rPr>
        <w:t xml:space="preserve">) Maternity Action. Available at: https://maternityaction.org.uk/ (Accessed: </w:t>
      </w:r>
      <w:r w:rsidRPr="00615C26">
        <w:rPr>
          <w:rFonts w:eastAsia="Times New Roman"/>
          <w:kern w:val="0"/>
          <w:lang w:eastAsia="en-GB"/>
          <w14:ligatures w14:val="none"/>
        </w:rPr>
        <w:t>22</w:t>
      </w:r>
      <w:r w:rsidRPr="00615C26">
        <w:rPr>
          <w:rFonts w:eastAsia="Times New Roman"/>
          <w:kern w:val="0"/>
          <w:lang w:eastAsia="en-GB"/>
          <w14:ligatures w14:val="none"/>
        </w:rPr>
        <w:t xml:space="preserve"> </w:t>
      </w:r>
      <w:r w:rsidRPr="00615C26">
        <w:rPr>
          <w:rFonts w:eastAsia="Times New Roman"/>
          <w:kern w:val="0"/>
          <w:lang w:eastAsia="en-GB"/>
          <w14:ligatures w14:val="none"/>
        </w:rPr>
        <w:t xml:space="preserve">May </w:t>
      </w:r>
      <w:r w:rsidRPr="00615C26">
        <w:rPr>
          <w:rFonts w:eastAsia="Times New Roman"/>
          <w:kern w:val="0"/>
          <w:lang w:eastAsia="en-GB"/>
          <w14:ligatures w14:val="none"/>
        </w:rPr>
        <w:t>2026)</w:t>
      </w:r>
    </w:p>
    <w:p w14:paraId="711C2E11" w14:textId="05E4B3F7" w:rsidR="003E152A" w:rsidRPr="00615C26" w:rsidRDefault="003E152A" w:rsidP="00615C26">
      <w:pPr>
        <w:pStyle w:val="ListParagraph"/>
        <w:numPr>
          <w:ilvl w:val="0"/>
          <w:numId w:val="2"/>
        </w:numPr>
        <w:spacing w:after="0" w:line="300" w:lineRule="atLeast"/>
        <w:rPr>
          <w:rFonts w:eastAsia="Times New Roman"/>
          <w:kern w:val="0"/>
          <w:lang w:eastAsia="en-GB"/>
          <w14:ligatures w14:val="none"/>
        </w:rPr>
      </w:pPr>
      <w:r w:rsidRPr="00615C26">
        <w:rPr>
          <w:rFonts w:eastAsia="Times New Roman"/>
          <w:kern w:val="0"/>
          <w:lang w:eastAsia="en-GB"/>
          <w14:ligatures w14:val="none"/>
        </w:rPr>
        <w:t>Maternity Action (2026</w:t>
      </w:r>
      <w:r w:rsidRPr="00615C26">
        <w:rPr>
          <w:rFonts w:eastAsia="Times New Roman"/>
          <w:kern w:val="0"/>
          <w:lang w:eastAsia="en-GB"/>
          <w14:ligatures w14:val="none"/>
        </w:rPr>
        <w:t>b</w:t>
      </w:r>
      <w:r w:rsidRPr="00615C26">
        <w:rPr>
          <w:rFonts w:eastAsia="Times New Roman"/>
          <w:kern w:val="0"/>
          <w:lang w:eastAsia="en-GB"/>
          <w14:ligatures w14:val="none"/>
        </w:rPr>
        <w:t>) Maternity Action. Available at: https://maternityaction.org.uk/ (Accessed: 22 May 2026</w:t>
      </w:r>
    </w:p>
    <w:p w14:paraId="6231C0AC" w14:textId="557C4998" w:rsidR="00567A6B" w:rsidRPr="00615C26" w:rsidRDefault="00567A6B" w:rsidP="00567A6B">
      <w:pPr>
        <w:numPr>
          <w:ilvl w:val="0"/>
          <w:numId w:val="2"/>
        </w:numPr>
      </w:pPr>
      <w:r w:rsidRPr="00615C26">
        <w:lastRenderedPageBreak/>
        <w:t xml:space="preserve">NHS Employers (2024) Holiday pay legislation changes. Available at: </w:t>
      </w:r>
      <w:hyperlink r:id="rId20" w:history="1">
        <w:r w:rsidRPr="00615C26">
          <w:rPr>
            <w:rStyle w:val="Hyperlink"/>
          </w:rPr>
          <w:t>https://www.nhsemployers.org/articles/holiday-pay-legislation-changes</w:t>
        </w:r>
      </w:hyperlink>
      <w:r w:rsidRPr="00615C26">
        <w:t xml:space="preserve"> (Accessed: 2</w:t>
      </w:r>
      <w:r w:rsidR="009E2610" w:rsidRPr="00615C26">
        <w:t>8</w:t>
      </w:r>
      <w:r w:rsidRPr="00615C26">
        <w:t xml:space="preserve"> May 2026).</w:t>
      </w:r>
    </w:p>
    <w:p w14:paraId="06B1F107" w14:textId="77777777" w:rsidR="00567A6B" w:rsidRPr="00615C26" w:rsidRDefault="00567A6B"/>
    <w:sectPr w:rsidR="00567A6B" w:rsidRPr="00615C26">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877C52" w14:textId="77777777" w:rsidR="00632515" w:rsidRDefault="00632515" w:rsidP="0016216C">
      <w:pPr>
        <w:spacing w:after="0" w:line="240" w:lineRule="auto"/>
      </w:pPr>
      <w:r>
        <w:separator/>
      </w:r>
    </w:p>
  </w:endnote>
  <w:endnote w:type="continuationSeparator" w:id="0">
    <w:p w14:paraId="2F072E7E" w14:textId="77777777" w:rsidR="00632515" w:rsidRDefault="00632515" w:rsidP="001621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9298175"/>
      <w:docPartObj>
        <w:docPartGallery w:val="Page Numbers (Bottom of Page)"/>
        <w:docPartUnique/>
      </w:docPartObj>
    </w:sdtPr>
    <w:sdtContent>
      <w:sdt>
        <w:sdtPr>
          <w:id w:val="-1769616900"/>
          <w:docPartObj>
            <w:docPartGallery w:val="Page Numbers (Top of Page)"/>
            <w:docPartUnique/>
          </w:docPartObj>
        </w:sdtPr>
        <w:sdtContent>
          <w:p w14:paraId="10C29A99" w14:textId="4B44A0CB" w:rsidR="000B0625" w:rsidRDefault="000B0625">
            <w:pPr>
              <w:pStyle w:val="Footer"/>
              <w:jc w:val="right"/>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0330FC12" w14:textId="77777777" w:rsidR="000B0625" w:rsidRDefault="000B06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5690DB" w14:textId="77777777" w:rsidR="00632515" w:rsidRDefault="00632515" w:rsidP="0016216C">
      <w:pPr>
        <w:spacing w:after="0" w:line="240" w:lineRule="auto"/>
      </w:pPr>
      <w:r>
        <w:separator/>
      </w:r>
    </w:p>
  </w:footnote>
  <w:footnote w:type="continuationSeparator" w:id="0">
    <w:p w14:paraId="44AC9A98" w14:textId="77777777" w:rsidR="00632515" w:rsidRDefault="00632515" w:rsidP="001621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right"/>
      <w:shd w:val="clear" w:color="auto" w:fill="E97132" w:themeFill="accent2"/>
      <w:tblCellMar>
        <w:top w:w="115" w:type="dxa"/>
        <w:left w:w="115" w:type="dxa"/>
        <w:bottom w:w="115" w:type="dxa"/>
        <w:right w:w="115" w:type="dxa"/>
      </w:tblCellMar>
      <w:tblLook w:val="04A0" w:firstRow="1" w:lastRow="0" w:firstColumn="1" w:lastColumn="0" w:noHBand="0" w:noVBand="1"/>
    </w:tblPr>
    <w:tblGrid>
      <w:gridCol w:w="323"/>
      <w:gridCol w:w="8703"/>
    </w:tblGrid>
    <w:tr w:rsidR="006814B1" w14:paraId="136AC416" w14:textId="77777777">
      <w:trPr>
        <w:jc w:val="right"/>
      </w:trPr>
      <w:tc>
        <w:tcPr>
          <w:tcW w:w="0" w:type="auto"/>
          <w:shd w:val="clear" w:color="auto" w:fill="E97132" w:themeFill="accent2"/>
          <w:vAlign w:val="center"/>
        </w:tcPr>
        <w:p w14:paraId="25D3D3BD" w14:textId="77777777" w:rsidR="0016216C" w:rsidRDefault="0016216C">
          <w:pPr>
            <w:pStyle w:val="Header"/>
            <w:rPr>
              <w:caps/>
              <w:color w:val="FFFFFF" w:themeColor="background1"/>
            </w:rPr>
          </w:pPr>
        </w:p>
      </w:tc>
      <w:tc>
        <w:tcPr>
          <w:tcW w:w="0" w:type="auto"/>
          <w:shd w:val="clear" w:color="auto" w:fill="E97132" w:themeFill="accent2"/>
          <w:vAlign w:val="center"/>
        </w:tcPr>
        <w:p w14:paraId="4A6EB035" w14:textId="4DDC8BEE" w:rsidR="0016216C" w:rsidRDefault="0016216C">
          <w:pPr>
            <w:pStyle w:val="Header"/>
            <w:jc w:val="right"/>
            <w:rPr>
              <w:caps/>
              <w:color w:val="FFFFFF" w:themeColor="background1"/>
            </w:rPr>
          </w:pPr>
          <w:r>
            <w:rPr>
              <w:caps/>
              <w:color w:val="FFFFFF" w:themeColor="background1"/>
            </w:rPr>
            <w:t xml:space="preserve"> </w:t>
          </w:r>
          <w:sdt>
            <w:sdtPr>
              <w:rPr>
                <w:caps/>
                <w:color w:val="FFFFFF" w:themeColor="background1"/>
              </w:rPr>
              <w:alias w:val="Title"/>
              <w:tag w:val=""/>
              <w:id w:val="-773790484"/>
              <w:placeholder>
                <w:docPart w:val="299F06DA78AF41C180C973AC38B0318E"/>
              </w:placeholder>
              <w:dataBinding w:prefixMappings="xmlns:ns0='http://purl.org/dc/elements/1.1/' xmlns:ns1='http://schemas.openxmlformats.org/package/2006/metadata/core-properties' " w:xpath="/ns1:coreProperties[1]/ns0:title[1]" w:storeItemID="{6C3C8BC8-F283-45AE-878A-BAB7291924A1}"/>
              <w:text/>
            </w:sdtPr>
            <w:sdtContent>
              <w:r w:rsidR="006A0AA9">
                <w:rPr>
                  <w:caps/>
                  <w:color w:val="FFFFFF" w:themeColor="background1"/>
                </w:rPr>
                <w:t>Emma jane williams (Membership no: 92026043)</w:t>
              </w:r>
            </w:sdtContent>
          </w:sdt>
        </w:p>
      </w:tc>
    </w:tr>
  </w:tbl>
  <w:p w14:paraId="2B421F9F" w14:textId="77777777" w:rsidR="0016216C" w:rsidRDefault="001621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423C06"/>
    <w:multiLevelType w:val="multilevel"/>
    <w:tmpl w:val="05FAC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DB71BAE"/>
    <w:multiLevelType w:val="hybridMultilevel"/>
    <w:tmpl w:val="BD60B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191618">
    <w:abstractNumId w:val="1"/>
  </w:num>
  <w:num w:numId="2" w16cid:durableId="7030227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6A7"/>
    <w:rsid w:val="00012204"/>
    <w:rsid w:val="00052824"/>
    <w:rsid w:val="00072557"/>
    <w:rsid w:val="00076292"/>
    <w:rsid w:val="00082989"/>
    <w:rsid w:val="000B0625"/>
    <w:rsid w:val="000B45B4"/>
    <w:rsid w:val="000C3987"/>
    <w:rsid w:val="000E1159"/>
    <w:rsid w:val="000F6CCD"/>
    <w:rsid w:val="00113E54"/>
    <w:rsid w:val="0011752E"/>
    <w:rsid w:val="0016216C"/>
    <w:rsid w:val="001674B3"/>
    <w:rsid w:val="001702A2"/>
    <w:rsid w:val="001A3CB6"/>
    <w:rsid w:val="001B6329"/>
    <w:rsid w:val="001D4161"/>
    <w:rsid w:val="001D5A9C"/>
    <w:rsid w:val="001E0855"/>
    <w:rsid w:val="001F60C0"/>
    <w:rsid w:val="00220E87"/>
    <w:rsid w:val="002342B2"/>
    <w:rsid w:val="00236C08"/>
    <w:rsid w:val="00251948"/>
    <w:rsid w:val="00252FF1"/>
    <w:rsid w:val="0025553D"/>
    <w:rsid w:val="0026411C"/>
    <w:rsid w:val="0026472E"/>
    <w:rsid w:val="002952E7"/>
    <w:rsid w:val="002A63E9"/>
    <w:rsid w:val="002B2019"/>
    <w:rsid w:val="00300347"/>
    <w:rsid w:val="0031618D"/>
    <w:rsid w:val="00337B0B"/>
    <w:rsid w:val="0034335E"/>
    <w:rsid w:val="00343B8A"/>
    <w:rsid w:val="003658F7"/>
    <w:rsid w:val="00376729"/>
    <w:rsid w:val="00387D5C"/>
    <w:rsid w:val="003E152A"/>
    <w:rsid w:val="00412EAD"/>
    <w:rsid w:val="0042705A"/>
    <w:rsid w:val="00470914"/>
    <w:rsid w:val="00496540"/>
    <w:rsid w:val="004B4B7B"/>
    <w:rsid w:val="00504673"/>
    <w:rsid w:val="00507743"/>
    <w:rsid w:val="00522ED8"/>
    <w:rsid w:val="0053357C"/>
    <w:rsid w:val="00557028"/>
    <w:rsid w:val="00557E2A"/>
    <w:rsid w:val="005655D0"/>
    <w:rsid w:val="00567A6B"/>
    <w:rsid w:val="00574784"/>
    <w:rsid w:val="005802B6"/>
    <w:rsid w:val="005A524F"/>
    <w:rsid w:val="005B0789"/>
    <w:rsid w:val="00612C06"/>
    <w:rsid w:val="00615C26"/>
    <w:rsid w:val="006160B3"/>
    <w:rsid w:val="00631941"/>
    <w:rsid w:val="00632515"/>
    <w:rsid w:val="00667ED7"/>
    <w:rsid w:val="00673ED3"/>
    <w:rsid w:val="006814B1"/>
    <w:rsid w:val="006A0AA9"/>
    <w:rsid w:val="006B23A2"/>
    <w:rsid w:val="006B5524"/>
    <w:rsid w:val="006D2970"/>
    <w:rsid w:val="006D6FAA"/>
    <w:rsid w:val="006E0DC3"/>
    <w:rsid w:val="006F7DF2"/>
    <w:rsid w:val="007133E4"/>
    <w:rsid w:val="0073304E"/>
    <w:rsid w:val="007333FB"/>
    <w:rsid w:val="00783352"/>
    <w:rsid w:val="007835F7"/>
    <w:rsid w:val="007B4CCD"/>
    <w:rsid w:val="007D28C7"/>
    <w:rsid w:val="007D6C21"/>
    <w:rsid w:val="007F6A33"/>
    <w:rsid w:val="00817957"/>
    <w:rsid w:val="00820047"/>
    <w:rsid w:val="0083147E"/>
    <w:rsid w:val="008327E1"/>
    <w:rsid w:val="00835DD5"/>
    <w:rsid w:val="00846DD0"/>
    <w:rsid w:val="0089606D"/>
    <w:rsid w:val="008B0DFB"/>
    <w:rsid w:val="008B5EA7"/>
    <w:rsid w:val="008C689A"/>
    <w:rsid w:val="008D166C"/>
    <w:rsid w:val="008D235C"/>
    <w:rsid w:val="008D54BC"/>
    <w:rsid w:val="008E0565"/>
    <w:rsid w:val="008E13B9"/>
    <w:rsid w:val="008E46A7"/>
    <w:rsid w:val="009069D1"/>
    <w:rsid w:val="00910FC5"/>
    <w:rsid w:val="00913301"/>
    <w:rsid w:val="009348B6"/>
    <w:rsid w:val="009536EB"/>
    <w:rsid w:val="00956D3B"/>
    <w:rsid w:val="00965658"/>
    <w:rsid w:val="0097136D"/>
    <w:rsid w:val="00974434"/>
    <w:rsid w:val="00980483"/>
    <w:rsid w:val="00983F9E"/>
    <w:rsid w:val="009E2610"/>
    <w:rsid w:val="009E4087"/>
    <w:rsid w:val="009E4FF9"/>
    <w:rsid w:val="009E5C48"/>
    <w:rsid w:val="009E76A5"/>
    <w:rsid w:val="009F06B5"/>
    <w:rsid w:val="009F19FC"/>
    <w:rsid w:val="00A15CE9"/>
    <w:rsid w:val="00A209E0"/>
    <w:rsid w:val="00A5095F"/>
    <w:rsid w:val="00A56A0D"/>
    <w:rsid w:val="00A7031C"/>
    <w:rsid w:val="00A94D9B"/>
    <w:rsid w:val="00AA06B5"/>
    <w:rsid w:val="00AD51AC"/>
    <w:rsid w:val="00AE2441"/>
    <w:rsid w:val="00AE5F61"/>
    <w:rsid w:val="00AF21C0"/>
    <w:rsid w:val="00AF506A"/>
    <w:rsid w:val="00B12D93"/>
    <w:rsid w:val="00B2286A"/>
    <w:rsid w:val="00B52886"/>
    <w:rsid w:val="00B637E5"/>
    <w:rsid w:val="00B77B53"/>
    <w:rsid w:val="00B8238F"/>
    <w:rsid w:val="00B87526"/>
    <w:rsid w:val="00B922FA"/>
    <w:rsid w:val="00B93BC7"/>
    <w:rsid w:val="00B96761"/>
    <w:rsid w:val="00BA412F"/>
    <w:rsid w:val="00BA7E33"/>
    <w:rsid w:val="00BB2EA7"/>
    <w:rsid w:val="00BC141D"/>
    <w:rsid w:val="00BC4952"/>
    <w:rsid w:val="00BD449C"/>
    <w:rsid w:val="00BE2C11"/>
    <w:rsid w:val="00C07F00"/>
    <w:rsid w:val="00C3303C"/>
    <w:rsid w:val="00C33CDF"/>
    <w:rsid w:val="00C405B2"/>
    <w:rsid w:val="00C64A92"/>
    <w:rsid w:val="00C662F4"/>
    <w:rsid w:val="00C71D78"/>
    <w:rsid w:val="00C85C98"/>
    <w:rsid w:val="00C9287B"/>
    <w:rsid w:val="00C93817"/>
    <w:rsid w:val="00C96DE6"/>
    <w:rsid w:val="00CA34BB"/>
    <w:rsid w:val="00CA393B"/>
    <w:rsid w:val="00CB45AA"/>
    <w:rsid w:val="00CC1605"/>
    <w:rsid w:val="00CD0557"/>
    <w:rsid w:val="00CD23BA"/>
    <w:rsid w:val="00D0559D"/>
    <w:rsid w:val="00D344E3"/>
    <w:rsid w:val="00D43ECC"/>
    <w:rsid w:val="00D90F88"/>
    <w:rsid w:val="00D95260"/>
    <w:rsid w:val="00DA1346"/>
    <w:rsid w:val="00DA495B"/>
    <w:rsid w:val="00DC28A4"/>
    <w:rsid w:val="00DD17EF"/>
    <w:rsid w:val="00DF2E89"/>
    <w:rsid w:val="00E05852"/>
    <w:rsid w:val="00E12612"/>
    <w:rsid w:val="00E3480B"/>
    <w:rsid w:val="00E623E9"/>
    <w:rsid w:val="00E90AE1"/>
    <w:rsid w:val="00EB0698"/>
    <w:rsid w:val="00ED5DFA"/>
    <w:rsid w:val="00ED7772"/>
    <w:rsid w:val="00EF087C"/>
    <w:rsid w:val="00EF0CA8"/>
    <w:rsid w:val="00F00EC0"/>
    <w:rsid w:val="00F061B9"/>
    <w:rsid w:val="00F130D8"/>
    <w:rsid w:val="00F24692"/>
    <w:rsid w:val="00F25E31"/>
    <w:rsid w:val="00F406AC"/>
    <w:rsid w:val="00F43A72"/>
    <w:rsid w:val="00F46E82"/>
    <w:rsid w:val="00F47B2D"/>
    <w:rsid w:val="00F63A62"/>
    <w:rsid w:val="00F743D4"/>
    <w:rsid w:val="00F774DB"/>
    <w:rsid w:val="00F87FEB"/>
    <w:rsid w:val="00FB056F"/>
    <w:rsid w:val="00FB0C12"/>
    <w:rsid w:val="00FB3CDE"/>
    <w:rsid w:val="00FC2EB4"/>
    <w:rsid w:val="00FC57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735F32"/>
  <w15:chartTrackingRefBased/>
  <w15:docId w15:val="{3178CEBD-0B89-4392-B96B-2C1BE95D1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46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46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46A7"/>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46A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E46A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E46A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E46A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E46A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E46A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6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46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46A7"/>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46A7"/>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8E46A7"/>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8E46A7"/>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E46A7"/>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E46A7"/>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E46A7"/>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8E46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46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46A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46A7"/>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8E46A7"/>
    <w:pPr>
      <w:spacing w:before="160"/>
      <w:jc w:val="center"/>
    </w:pPr>
    <w:rPr>
      <w:i/>
      <w:iCs/>
      <w:color w:val="404040" w:themeColor="text1" w:themeTint="BF"/>
    </w:rPr>
  </w:style>
  <w:style w:type="character" w:customStyle="1" w:styleId="QuoteChar">
    <w:name w:val="Quote Char"/>
    <w:basedOn w:val="DefaultParagraphFont"/>
    <w:link w:val="Quote"/>
    <w:uiPriority w:val="29"/>
    <w:rsid w:val="008E46A7"/>
    <w:rPr>
      <w:i/>
      <w:iCs/>
      <w:color w:val="404040" w:themeColor="text1" w:themeTint="BF"/>
    </w:rPr>
  </w:style>
  <w:style w:type="paragraph" w:styleId="ListParagraph">
    <w:name w:val="List Paragraph"/>
    <w:basedOn w:val="Normal"/>
    <w:uiPriority w:val="34"/>
    <w:qFormat/>
    <w:rsid w:val="008E46A7"/>
    <w:pPr>
      <w:ind w:left="720"/>
      <w:contextualSpacing/>
    </w:pPr>
  </w:style>
  <w:style w:type="character" w:styleId="IntenseEmphasis">
    <w:name w:val="Intense Emphasis"/>
    <w:basedOn w:val="DefaultParagraphFont"/>
    <w:uiPriority w:val="21"/>
    <w:qFormat/>
    <w:rsid w:val="008E46A7"/>
    <w:rPr>
      <w:i/>
      <w:iCs/>
      <w:color w:val="0F4761" w:themeColor="accent1" w:themeShade="BF"/>
    </w:rPr>
  </w:style>
  <w:style w:type="paragraph" w:styleId="IntenseQuote">
    <w:name w:val="Intense Quote"/>
    <w:basedOn w:val="Normal"/>
    <w:next w:val="Normal"/>
    <w:link w:val="IntenseQuoteChar"/>
    <w:uiPriority w:val="30"/>
    <w:qFormat/>
    <w:rsid w:val="008E46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46A7"/>
    <w:rPr>
      <w:i/>
      <w:iCs/>
      <w:color w:val="0F4761" w:themeColor="accent1" w:themeShade="BF"/>
    </w:rPr>
  </w:style>
  <w:style w:type="character" w:styleId="IntenseReference">
    <w:name w:val="Intense Reference"/>
    <w:basedOn w:val="DefaultParagraphFont"/>
    <w:uiPriority w:val="32"/>
    <w:qFormat/>
    <w:rsid w:val="008E46A7"/>
    <w:rPr>
      <w:b/>
      <w:bCs/>
      <w:smallCaps/>
      <w:color w:val="0F4761" w:themeColor="accent1" w:themeShade="BF"/>
      <w:spacing w:val="5"/>
    </w:rPr>
  </w:style>
  <w:style w:type="paragraph" w:styleId="Header">
    <w:name w:val="header"/>
    <w:basedOn w:val="Normal"/>
    <w:link w:val="HeaderChar"/>
    <w:uiPriority w:val="99"/>
    <w:unhideWhenUsed/>
    <w:rsid w:val="001621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216C"/>
  </w:style>
  <w:style w:type="paragraph" w:styleId="Footer">
    <w:name w:val="footer"/>
    <w:basedOn w:val="Normal"/>
    <w:link w:val="FooterChar"/>
    <w:uiPriority w:val="99"/>
    <w:unhideWhenUsed/>
    <w:rsid w:val="001621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216C"/>
  </w:style>
  <w:style w:type="character" w:styleId="Emphasis">
    <w:name w:val="Emphasis"/>
    <w:basedOn w:val="DefaultParagraphFont"/>
    <w:uiPriority w:val="20"/>
    <w:qFormat/>
    <w:rsid w:val="00B93BC7"/>
    <w:rPr>
      <w:i/>
      <w:iCs/>
    </w:rPr>
  </w:style>
  <w:style w:type="character" w:styleId="Hyperlink">
    <w:name w:val="Hyperlink"/>
    <w:basedOn w:val="DefaultParagraphFont"/>
    <w:uiPriority w:val="99"/>
    <w:unhideWhenUsed/>
    <w:rsid w:val="008B0DFB"/>
    <w:rPr>
      <w:color w:val="467886" w:themeColor="hyperlink"/>
      <w:u w:val="single"/>
    </w:rPr>
  </w:style>
  <w:style w:type="character" w:styleId="UnresolvedMention">
    <w:name w:val="Unresolved Mention"/>
    <w:basedOn w:val="DefaultParagraphFont"/>
    <w:uiPriority w:val="99"/>
    <w:semiHidden/>
    <w:unhideWhenUsed/>
    <w:rsid w:val="008B0DFB"/>
    <w:rPr>
      <w:color w:val="605E5C"/>
      <w:shd w:val="clear" w:color="auto" w:fill="E1DFDD"/>
    </w:rPr>
  </w:style>
  <w:style w:type="character" w:styleId="FollowedHyperlink">
    <w:name w:val="FollowedHyperlink"/>
    <w:basedOn w:val="DefaultParagraphFont"/>
    <w:uiPriority w:val="99"/>
    <w:semiHidden/>
    <w:unhideWhenUsed/>
    <w:rsid w:val="007B4CC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redundancy" TargetMode="External"/><Relationship Id="rId13" Type="http://schemas.openxmlformats.org/officeDocument/2006/relationships/hyperlink" Target="Briefing%20|%20After%20https://www.cipd.org/uk/views-and-insights/thought-leadership/insight/where-next-equal-pay/%20recent%20claims,%20where%20next%20for%20equal%20pay?%20|%20CIPD" TargetMode="External"/><Relationship Id="rId18" Type="http://schemas.openxmlformats.org/officeDocument/2006/relationships/hyperlink" Target="https://www.legislation.gov.uk/ukpga/2010/15/contents"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acas.org.uk/equal-pay/equal-pay-law" TargetMode="External"/><Relationship Id="rId12" Type="http://schemas.openxmlformats.org/officeDocument/2006/relationships/hyperlink" Target="https://www.cipd.org/uk/knowledge/factsheets/recruitment-factsheet/" TargetMode="External"/><Relationship Id="rId17" Type="http://schemas.openxmlformats.org/officeDocument/2006/relationships/hyperlink" Target="https://www.equalityhumanrights.co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ipd.org/uk/knowledge/employment-law/equal-pay/" TargetMode="External"/><Relationship Id="rId20" Type="http://schemas.openxmlformats.org/officeDocument/2006/relationships/hyperlink" Target="https://www.nhsemployers.org/articles/holiday-pay-legislation-chang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as.org.uk/tupe-transfers" TargetMode="External"/><Relationship Id="rId24"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hyperlink" Target="The%20UK&#8217;s%20relationship.%20Availble%20at:%20https://www.cipd.org/uk/knowledge/employment-law/uk-employment-law-eu/%20with%20EU%20employment%20law%20post-Brexit%20|%20CIPD" TargetMode="External"/><Relationship Id="rId23" Type="http://schemas.openxmlformats.org/officeDocument/2006/relationships/fontTable" Target="fontTable.xml"/><Relationship Id="rId10" Type="http://schemas.openxmlformats.org/officeDocument/2006/relationships/hyperlink" Target="https://www.acas.org.uk/irregular-hours-and-part-year-workers/rolled-up-holiday-pay" TargetMode="External"/><Relationship Id="rId19" Type="http://schemas.openxmlformats.org/officeDocument/2006/relationships/hyperlink" Target="%20https://supremecourt.uk/cases/press-summary/uksc-2021-0098" TargetMode="External"/><Relationship Id="rId4" Type="http://schemas.openxmlformats.org/officeDocument/2006/relationships/webSettings" Target="webSettings.xml"/><Relationship Id="rId9" Type="http://schemas.openxmlformats.org/officeDocument/2006/relationships/hyperlink" Target="https://www.acas.org.uk/dismissals/constructive-dismissal" TargetMode="External"/><Relationship Id="rId14" Type="http://schemas.openxmlformats.org/officeDocument/2006/relationships/hyperlink" Target="The%20UK&#8217;s%20relationship.%20Availble%20at:%20https://www.cipd.org/uk/knowledge/employment-law/uk-employment-law-eu/%20with%20EU%20employment%20law%20post-Brexit%20|%20CIPD"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99F06DA78AF41C180C973AC38B0318E"/>
        <w:category>
          <w:name w:val="General"/>
          <w:gallery w:val="placeholder"/>
        </w:category>
        <w:types>
          <w:type w:val="bbPlcHdr"/>
        </w:types>
        <w:behaviors>
          <w:behavior w:val="content"/>
        </w:behaviors>
        <w:guid w:val="{ACAA3F81-4A43-4633-8F49-04A7C49B8483}"/>
      </w:docPartPr>
      <w:docPartBody>
        <w:p w:rsidR="007D3C02" w:rsidRDefault="007D3C02" w:rsidP="007D3C02">
          <w:pPr>
            <w:pStyle w:val="299F06DA78AF41C180C973AC38B0318E"/>
          </w:pPr>
          <w:r>
            <w:rPr>
              <w:caps/>
              <w:color w:val="FFFFFF" w:themeColor="background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C02"/>
    <w:rsid w:val="003A692C"/>
    <w:rsid w:val="007D3C02"/>
    <w:rsid w:val="00965658"/>
    <w:rsid w:val="00E6115D"/>
    <w:rsid w:val="00FB05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99F06DA78AF41C180C973AC38B0318E">
    <w:name w:val="299F06DA78AF41C180C973AC38B0318E"/>
    <w:rsid w:val="007D3C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3043</TotalTime>
  <Pages>12</Pages>
  <Words>4570</Words>
  <Characters>26552</Characters>
  <Application>Microsoft Office Word</Application>
  <DocSecurity>0</DocSecurity>
  <Lines>1154</Lines>
  <Paragraphs>598</Paragraphs>
  <ScaleCrop>false</ScaleCrop>
  <Company>Swansea Council</Company>
  <LinksUpToDate>false</LinksUpToDate>
  <CharactersWithSpaces>30524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Emma jane williams (Membership no: 92026043)</dc:title>
  <dc:subject/>
  <dc:creator>Emma Jane Williams</dc:creator>
  <cp:keywords/>
  <dc:description/>
  <cp:lastModifiedBy>Emma Jane Williams</cp:lastModifiedBy>
  <cp:revision>195</cp:revision>
  <dcterms:created xsi:type="dcterms:W3CDTF">2026-05-29T20:47:00Z</dcterms:created>
  <dcterms:modified xsi:type="dcterms:W3CDTF">2026-06-01T20:34:00Z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26b6e426-2fbb-43a3-b49a-57d9185a8920</vt:lpwstr>
  </property>
</Properties>
</file>