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3754107"/>
        <w:docPartObj>
          <w:docPartGallery w:val="AutoText"/>
        </w:docPartObj>
      </w:sdtPr>
      <w:sdtEndPr>
        <w:rPr>
          <w:rFonts w:eastAsiaTheme="minorEastAsia" w:cs="Times New Roman"/>
          <w:i/>
          <w:iCs/>
          <w:color w:val="FF0000"/>
          <w:sz w:val="28"/>
          <w:szCs w:val="28"/>
          <w:lang w:val="en-US"/>
        </w:rPr>
      </w:sdtEndPr>
      <w:sdtContent>
        <w:p w14:paraId="0830FB8B" w14:textId="77777777" w:rsidR="003A21A3" w:rsidRDefault="003A21A3" w:rsidP="0049434F">
          <w:pPr>
            <w:spacing w:line="360" w:lineRule="auto"/>
            <w:jc w:val="both"/>
            <w:rPr>
              <w:rFonts w:asciiTheme="minorBidi" w:hAnsiTheme="minorBidi"/>
            </w:rPr>
          </w:pPr>
          <w:r>
            <w:rPr>
              <w:rFonts w:asciiTheme="minorBidi" w:hAnsiTheme="minorBidi"/>
              <w:noProof/>
              <w:lang w:eastAsia="en-IN" w:bidi="gu-IN"/>
            </w:rPr>
            <w:drawing>
              <wp:inline distT="0" distB="0" distL="0" distR="0" wp14:anchorId="36F93454" wp14:editId="11593D0E">
                <wp:extent cx="3381375" cy="1133475"/>
                <wp:effectExtent l="0" t="0" r="9525" b="9525"/>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a:xfrm>
                          <a:off x="0" y="0"/>
                          <a:ext cx="3381375" cy="1133475"/>
                        </a:xfrm>
                        <a:prstGeom prst="rect">
                          <a:avLst/>
                        </a:prstGeom>
                        <a:noFill/>
                      </pic:spPr>
                    </pic:pic>
                  </a:graphicData>
                </a:graphic>
              </wp:inline>
            </w:drawing>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fldChar w:fldCharType="begin"/>
          </w:r>
          <w:r>
            <w:instrText xml:space="preserve"> INCLUDEPICTURE  \d "C:\\Users\\AzZedin01\\Library\\Group Containers\\UBF8T346G9.ms\\WebArchiveCopyPasteTempFiles\\com.microsoft.Word\\8P2xdp3q1g646AAAAAElFTkSuQmCC" \* MERGEFORMATINET </w:instrText>
          </w:r>
          <w:r>
            <w:fldChar w:fldCharType="separate"/>
          </w:r>
          <w:r w:rsidR="00000000">
            <w:fldChar w:fldCharType="begin"/>
          </w:r>
          <w:r w:rsidR="00000000">
            <w:instrText xml:space="preserve"> INCLUDEPICTURE  \d "C:\\AzZedin01\\Library\\Group Containers\\UBF8T346G9.ms\\WebArchiveCopyPasteTempFiles\\com.microsoft.Word\\8P2xdp3q1g646AAAAAElFTkSuQmCC" \* MERGEFORMATINET </w:instrText>
          </w:r>
          <w:r w:rsidR="00000000">
            <w:fldChar w:fldCharType="separate"/>
          </w:r>
          <w:r w:rsidR="00000000">
            <w:pict w14:anchorId="15918F7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pt;height:1pt">
                <v:imagedata r:id="rId8"/>
              </v:shape>
            </w:pict>
          </w:r>
          <w:r w:rsidR="00000000">
            <w:fldChar w:fldCharType="end"/>
          </w:r>
          <w:r>
            <w:fldChar w:fldCharType="end"/>
          </w:r>
          <w:r>
            <w:fldChar w:fldCharType="end"/>
          </w:r>
          <w:r>
            <w:fldChar w:fldCharType="end"/>
          </w:r>
          <w:r>
            <w:fldChar w:fldCharType="end"/>
          </w:r>
        </w:p>
        <w:p w14:paraId="5A2EB9BE" w14:textId="3120CF6F"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Programme: Master of Business Administration</w:t>
          </w:r>
        </w:p>
        <w:p w14:paraId="4D989B58" w14:textId="77777777" w:rsidR="003A21A3" w:rsidRDefault="003A21A3" w:rsidP="0049434F">
          <w:pPr>
            <w:pStyle w:val="Title"/>
            <w:spacing w:line="720" w:lineRule="auto"/>
            <w:jc w:val="center"/>
            <w:rPr>
              <w:rFonts w:ascii="Arial" w:hAnsi="Arial" w:cs="Arial"/>
              <w:sz w:val="32"/>
              <w:szCs w:val="32"/>
            </w:rPr>
          </w:pPr>
          <w:r>
            <w:rPr>
              <w:rFonts w:ascii="Arial" w:hAnsi="Arial" w:cs="Arial"/>
              <w:sz w:val="32"/>
              <w:szCs w:val="32"/>
            </w:rPr>
            <w:t>Module Code: LCMB7026</w:t>
          </w:r>
        </w:p>
        <w:p w14:paraId="728C5954" w14:textId="77777777" w:rsidR="003A21A3" w:rsidRPr="00E6089D" w:rsidRDefault="003A21A3" w:rsidP="0049434F">
          <w:pPr>
            <w:pStyle w:val="Title"/>
            <w:spacing w:line="720" w:lineRule="auto"/>
            <w:jc w:val="center"/>
            <w:rPr>
              <w:rFonts w:ascii="Arial" w:hAnsi="Arial" w:cs="Arial"/>
              <w:sz w:val="32"/>
              <w:szCs w:val="32"/>
            </w:rPr>
          </w:pPr>
          <w:r>
            <w:rPr>
              <w:rFonts w:ascii="Arial" w:hAnsi="Arial" w:cs="Arial"/>
              <w:sz w:val="32"/>
              <w:szCs w:val="32"/>
            </w:rPr>
            <w:t>Module Name:</w:t>
          </w:r>
          <w:r w:rsidRPr="00E6089D">
            <w:rPr>
              <w:rFonts w:ascii="Arial" w:hAnsi="Arial" w:cs="Arial"/>
              <w:sz w:val="32"/>
              <w:szCs w:val="32"/>
            </w:rPr>
            <w:t xml:space="preserve"> </w:t>
          </w:r>
          <w:r>
            <w:rPr>
              <w:rFonts w:ascii="Arial" w:hAnsi="Arial" w:cs="Arial"/>
              <w:sz w:val="32"/>
              <w:szCs w:val="32"/>
            </w:rPr>
            <w:t>International Marketing: Principles and Practices</w:t>
          </w:r>
        </w:p>
        <w:p w14:paraId="0D4BEDF8" w14:textId="77777777"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Student Name</w:t>
          </w:r>
          <w:r>
            <w:rPr>
              <w:rFonts w:ascii="Arial" w:hAnsi="Arial" w:cs="Arial"/>
              <w:sz w:val="32"/>
              <w:szCs w:val="32"/>
            </w:rPr>
            <w:t>: Dhavalkumar Manubhai Ahir</w:t>
          </w:r>
        </w:p>
        <w:p w14:paraId="34F4FFB6" w14:textId="77777777"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Student ID</w:t>
          </w:r>
          <w:r>
            <w:rPr>
              <w:rFonts w:ascii="Arial" w:hAnsi="Arial" w:cs="Arial"/>
              <w:sz w:val="32"/>
              <w:szCs w:val="32"/>
            </w:rPr>
            <w:t>: 2523550</w:t>
          </w:r>
        </w:p>
        <w:p w14:paraId="3602C0EF" w14:textId="064D4DE8"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Assessment component:</w:t>
          </w:r>
          <w:r>
            <w:rPr>
              <w:rFonts w:ascii="Arial" w:hAnsi="Arial" w:cs="Arial"/>
              <w:sz w:val="32"/>
              <w:szCs w:val="32"/>
            </w:rPr>
            <w:t xml:space="preserve"> </w:t>
          </w:r>
          <w:r w:rsidRPr="00E6089D">
            <w:rPr>
              <w:rFonts w:ascii="Arial" w:hAnsi="Arial" w:cs="Arial"/>
              <w:sz w:val="32"/>
              <w:szCs w:val="32"/>
            </w:rPr>
            <w:t>Individual report</w:t>
          </w:r>
        </w:p>
        <w:p w14:paraId="22B0662B" w14:textId="77777777"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 xml:space="preserve">Company: </w:t>
          </w:r>
          <w:r>
            <w:rPr>
              <w:rFonts w:ascii="Arial" w:hAnsi="Arial" w:cs="Arial"/>
              <w:sz w:val="32"/>
              <w:szCs w:val="32"/>
            </w:rPr>
            <w:t>Toyota (Japan Vs India)</w:t>
          </w:r>
        </w:p>
        <w:p w14:paraId="644C5530" w14:textId="5EB26C42"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Lecturer Name:</w:t>
          </w:r>
          <w:r>
            <w:rPr>
              <w:rFonts w:ascii="Arial" w:hAnsi="Arial" w:cs="Arial"/>
              <w:sz w:val="32"/>
              <w:szCs w:val="32"/>
            </w:rPr>
            <w:t xml:space="preserve"> Dr Piyumika Gamage</w:t>
          </w:r>
        </w:p>
        <w:p w14:paraId="5F6CFCE9" w14:textId="77777777" w:rsidR="003A21A3" w:rsidRPr="00E6089D" w:rsidRDefault="003A21A3" w:rsidP="0049434F">
          <w:pPr>
            <w:pStyle w:val="Title"/>
            <w:spacing w:line="720" w:lineRule="auto"/>
            <w:jc w:val="center"/>
            <w:rPr>
              <w:rFonts w:ascii="Arial" w:hAnsi="Arial" w:cs="Arial"/>
              <w:sz w:val="32"/>
              <w:szCs w:val="32"/>
            </w:rPr>
          </w:pPr>
          <w:r w:rsidRPr="00E6089D">
            <w:rPr>
              <w:rFonts w:ascii="Arial" w:hAnsi="Arial" w:cs="Arial"/>
              <w:sz w:val="32"/>
              <w:szCs w:val="32"/>
            </w:rPr>
            <w:t xml:space="preserve">Words: </w:t>
          </w:r>
          <w:r>
            <w:rPr>
              <w:rFonts w:ascii="Arial" w:hAnsi="Arial" w:cs="Arial"/>
              <w:sz w:val="32"/>
              <w:szCs w:val="32"/>
            </w:rPr>
            <w:t>5440</w:t>
          </w:r>
        </w:p>
        <w:p w14:paraId="732F54C0" w14:textId="77777777" w:rsidR="003A21A3" w:rsidRDefault="003A21A3" w:rsidP="0049434F">
          <w:pPr>
            <w:pStyle w:val="NoSpacing"/>
            <w:spacing w:line="360" w:lineRule="auto"/>
            <w:jc w:val="both"/>
            <w:rPr>
              <w:rFonts w:ascii="Times New Roman" w:hAnsi="Times New Roman" w:cs="Times New Roman"/>
              <w:sz w:val="28"/>
              <w:szCs w:val="28"/>
            </w:rPr>
          </w:pPr>
        </w:p>
        <w:p w14:paraId="79D34F58" w14:textId="77777777" w:rsidR="003A21A3" w:rsidRDefault="003A21A3" w:rsidP="0049434F">
          <w:pPr>
            <w:pStyle w:val="NoSpacing"/>
            <w:spacing w:before="480" w:line="360" w:lineRule="auto"/>
            <w:jc w:val="both"/>
            <w:rPr>
              <w:rFonts w:ascii="Times New Roman" w:hAnsi="Times New Roman" w:cs="Times New Roman"/>
              <w:color w:val="5B9BD5" w:themeColor="accent1"/>
            </w:rPr>
          </w:pPr>
          <w:r>
            <w:rPr>
              <w:rFonts w:ascii="Times New Roman" w:hAnsi="Times New Roman" w:cs="Times New Roman"/>
              <w:noProof/>
              <w:color w:val="5B9BD5" w:themeColor="accent1"/>
              <w:lang w:val="en-IN" w:eastAsia="en-IN" w:bidi="gu-IN"/>
            </w:rPr>
            <mc:AlternateContent>
              <mc:Choice Requires="wps">
                <w:drawing>
                  <wp:anchor distT="0" distB="0" distL="114300" distR="114300" simplePos="0" relativeHeight="251659264" behindDoc="0" locked="0" layoutInCell="1" allowOverlap="1" wp14:anchorId="278800F4" wp14:editId="2799535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5753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030B7E" w14:textId="77777777" w:rsidR="003A21A3" w:rsidRDefault="003A21A3" w:rsidP="003A21A3">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type w14:anchorId="278800F4" id="_x0000_t202" coordsize="21600,21600" o:spt="202" path="m,l,21600r21600,l21600,xe">
                    <v:stroke joinstyle="miter"/>
                    <v:path gradientshapeok="t" o:connecttype="rect"/>
                  </v:shapetype>
                  <v:shape id="Text Box 142" o:spid="_x0000_s1026" type="#_x0000_t202" style="position:absolute;left:0;text-align:left;margin-left:0;margin-top:0;width:451.3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" filled="f" stroked="f" strokeweight=".5pt">
                    <v:textbox style="mso-fit-shape-to-text:t" inset="0,0,0,0">
                      <w:txbxContent>
                        <w:p w:rsidR="003A21A3" w:rsidRDefault="003A21A3" w:rsidP="003A21A3">
                          <w:pPr>
                            <w:pStyle w:val="NoSpacing"/>
                            <w:jc w:val="center"/>
                            <w:rPr>
                              <w:color w:val="5B9BD5" w:themeColor="accent1"/>
                            </w:rPr>
                          </w:pPr>
                        </w:p>
                      </w:txbxContent>
                    </v:textbox>
                    <w10:wrap anchorx="margin" anchory="page"/>
                  </v:shape>
                </w:pict>
              </mc:Fallback>
            </mc:AlternateContent>
          </w:r>
        </w:p>
        <w:p w14:paraId="3A97DE14" w14:textId="77777777" w:rsidR="003A21A3" w:rsidRDefault="003A21A3" w:rsidP="0049434F">
          <w:pPr>
            <w:spacing w:line="360" w:lineRule="auto"/>
            <w:jc w:val="both"/>
            <w:rPr>
              <w:rFonts w:eastAsiaTheme="minorEastAsia" w:cs="Times New Roman"/>
              <w:i/>
              <w:iCs/>
              <w:color w:val="FF0000"/>
              <w:sz w:val="28"/>
              <w:szCs w:val="28"/>
              <w:lang w:val="en-US"/>
            </w:rPr>
          </w:pPr>
          <w:r>
            <w:rPr>
              <w:rFonts w:eastAsiaTheme="minorEastAsia" w:cs="Times New Roman"/>
              <w:i/>
              <w:iCs/>
              <w:color w:val="FF0000"/>
              <w:sz w:val="28"/>
              <w:szCs w:val="28"/>
              <w:lang w:val="en-US"/>
            </w:rPr>
            <w:br w:type="page"/>
          </w:r>
        </w:p>
      </w:sdtContent>
    </w:sdt>
    <w:sdt>
      <w:sdtPr>
        <w:rPr>
          <w:rFonts w:ascii="Arial" w:eastAsiaTheme="minorHAnsi" w:hAnsi="Arial" w:cs="Arial"/>
          <w:b w:val="0"/>
          <w:sz w:val="24"/>
          <w:szCs w:val="24"/>
          <w:lang w:val="en-GB"/>
        </w:rPr>
        <w:id w:val="151958397"/>
        <w:docPartObj>
          <w:docPartGallery w:val="Table of Contents"/>
          <w:docPartUnique/>
        </w:docPartObj>
      </w:sdtPr>
      <w:sdtEndPr>
        <w:rPr>
          <w:bCs/>
          <w:lang w:val="en-IN"/>
        </w:rPr>
      </w:sdtEndPr>
      <w:sdtContent>
        <w:p w14:paraId="6F2F6986" w14:textId="77777777" w:rsidR="003A21A3" w:rsidRPr="003A21A3" w:rsidRDefault="003A21A3" w:rsidP="0049434F">
          <w:pPr>
            <w:pStyle w:val="TOCHeading1"/>
            <w:rPr>
              <w:rFonts w:ascii="Arial" w:hAnsi="Arial" w:cs="Arial"/>
              <w:sz w:val="24"/>
              <w:szCs w:val="24"/>
            </w:rPr>
          </w:pPr>
          <w:r w:rsidRPr="003A21A3">
            <w:rPr>
              <w:rFonts w:ascii="Arial" w:hAnsi="Arial" w:cs="Arial"/>
              <w:sz w:val="24"/>
              <w:szCs w:val="24"/>
            </w:rPr>
            <w:t>Table of Content</w:t>
          </w:r>
        </w:p>
        <w:p w14:paraId="6AEBECE4" w14:textId="394F7707" w:rsidR="00861AF3" w:rsidRDefault="003A21A3">
          <w:pPr>
            <w:pStyle w:val="TOC1"/>
            <w:tabs>
              <w:tab w:val="left" w:pos="480"/>
              <w:tab w:val="right" w:leader="dot" w:pos="9016"/>
            </w:tabs>
            <w:rPr>
              <w:rFonts w:asciiTheme="minorHAnsi" w:eastAsiaTheme="minorEastAsia" w:hAnsiTheme="minorHAnsi"/>
              <w:noProof/>
              <w:kern w:val="2"/>
              <w:szCs w:val="24"/>
              <w:lang w:val="en-US"/>
              <w14:ligatures w14:val="standardContextual"/>
            </w:rPr>
          </w:pPr>
          <w:r w:rsidRPr="003A21A3">
            <w:rPr>
              <w:rFonts w:ascii="Arial" w:hAnsi="Arial" w:cs="Arial"/>
              <w:szCs w:val="24"/>
            </w:rPr>
            <w:fldChar w:fldCharType="begin"/>
          </w:r>
          <w:r w:rsidRPr="003A21A3">
            <w:rPr>
              <w:rFonts w:ascii="Arial" w:hAnsi="Arial" w:cs="Arial"/>
              <w:szCs w:val="24"/>
            </w:rPr>
            <w:instrText xml:space="preserve"> TOC \o "1-3" \h \z \u </w:instrText>
          </w:r>
          <w:r w:rsidRPr="003A21A3">
            <w:rPr>
              <w:rFonts w:ascii="Arial" w:hAnsi="Arial" w:cs="Arial"/>
              <w:szCs w:val="24"/>
            </w:rPr>
            <w:fldChar w:fldCharType="separate"/>
          </w:r>
          <w:hyperlink w:anchor="_Toc237514908" w:history="1">
            <w:r w:rsidR="00861AF3" w:rsidRPr="004D139F">
              <w:rPr>
                <w:rStyle w:val="Hyperlink"/>
                <w:rFonts w:ascii="Arial" w:hAnsi="Arial" w:cs="Arial"/>
                <w:noProof/>
              </w:rPr>
              <w:t>1.</w:t>
            </w:r>
            <w:r w:rsidR="00861AF3">
              <w:rPr>
                <w:rFonts w:asciiTheme="minorHAnsi" w:eastAsiaTheme="minorEastAsia" w:hAnsiTheme="minorHAnsi"/>
                <w:noProof/>
                <w:kern w:val="2"/>
                <w:szCs w:val="24"/>
                <w:lang w:val="en-US"/>
                <w14:ligatures w14:val="standardContextual"/>
              </w:rPr>
              <w:tab/>
            </w:r>
            <w:r w:rsidR="00861AF3" w:rsidRPr="004D139F">
              <w:rPr>
                <w:rStyle w:val="Hyperlink"/>
                <w:rFonts w:ascii="Arial" w:hAnsi="Arial" w:cs="Arial"/>
                <w:noProof/>
              </w:rPr>
              <w:t>Introduction</w:t>
            </w:r>
            <w:r w:rsidR="00861AF3">
              <w:rPr>
                <w:noProof/>
                <w:webHidden/>
              </w:rPr>
              <w:tab/>
            </w:r>
            <w:r w:rsidR="00861AF3">
              <w:rPr>
                <w:noProof/>
                <w:webHidden/>
              </w:rPr>
              <w:fldChar w:fldCharType="begin"/>
            </w:r>
            <w:r w:rsidR="00861AF3">
              <w:rPr>
                <w:noProof/>
                <w:webHidden/>
              </w:rPr>
              <w:instrText xml:space="preserve"> PAGEREF _Toc237514908 \h </w:instrText>
            </w:r>
            <w:r w:rsidR="00861AF3">
              <w:rPr>
                <w:noProof/>
                <w:webHidden/>
              </w:rPr>
            </w:r>
            <w:r w:rsidR="00861AF3">
              <w:rPr>
                <w:noProof/>
                <w:webHidden/>
              </w:rPr>
              <w:fldChar w:fldCharType="separate"/>
            </w:r>
            <w:r w:rsidR="00861AF3">
              <w:rPr>
                <w:noProof/>
                <w:webHidden/>
              </w:rPr>
              <w:t>2</w:t>
            </w:r>
            <w:r w:rsidR="00861AF3">
              <w:rPr>
                <w:noProof/>
                <w:webHidden/>
              </w:rPr>
              <w:fldChar w:fldCharType="end"/>
            </w:r>
          </w:hyperlink>
        </w:p>
        <w:p w14:paraId="77EBE408" w14:textId="716C0B34"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09" w:history="1">
            <w:r w:rsidRPr="004D139F">
              <w:rPr>
                <w:rStyle w:val="Hyperlink"/>
                <w:rFonts w:ascii="Arial" w:hAnsi="Arial" w:cs="Arial"/>
                <w:noProof/>
              </w:rPr>
              <w:t>2. Comparative Analysis of Japan and India</w:t>
            </w:r>
            <w:r>
              <w:rPr>
                <w:noProof/>
                <w:webHidden/>
              </w:rPr>
              <w:tab/>
            </w:r>
            <w:r>
              <w:rPr>
                <w:noProof/>
                <w:webHidden/>
              </w:rPr>
              <w:fldChar w:fldCharType="begin"/>
            </w:r>
            <w:r>
              <w:rPr>
                <w:noProof/>
                <w:webHidden/>
              </w:rPr>
              <w:instrText xml:space="preserve"> PAGEREF _Toc237514909 \h </w:instrText>
            </w:r>
            <w:r>
              <w:rPr>
                <w:noProof/>
                <w:webHidden/>
              </w:rPr>
            </w:r>
            <w:r>
              <w:rPr>
                <w:noProof/>
                <w:webHidden/>
              </w:rPr>
              <w:fldChar w:fldCharType="separate"/>
            </w:r>
            <w:r>
              <w:rPr>
                <w:noProof/>
                <w:webHidden/>
              </w:rPr>
              <w:t>2</w:t>
            </w:r>
            <w:r>
              <w:rPr>
                <w:noProof/>
                <w:webHidden/>
              </w:rPr>
              <w:fldChar w:fldCharType="end"/>
            </w:r>
          </w:hyperlink>
        </w:p>
        <w:p w14:paraId="2F97F4D4" w14:textId="0D271E51"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10" w:history="1">
            <w:r w:rsidRPr="004D139F">
              <w:rPr>
                <w:rStyle w:val="Hyperlink"/>
                <w:rFonts w:ascii="Arial" w:hAnsi="Arial" w:cs="Arial"/>
                <w:noProof/>
              </w:rPr>
              <w:t>2.1 PESTLE analysis</w:t>
            </w:r>
            <w:r>
              <w:rPr>
                <w:noProof/>
                <w:webHidden/>
              </w:rPr>
              <w:tab/>
            </w:r>
            <w:r>
              <w:rPr>
                <w:noProof/>
                <w:webHidden/>
              </w:rPr>
              <w:fldChar w:fldCharType="begin"/>
            </w:r>
            <w:r>
              <w:rPr>
                <w:noProof/>
                <w:webHidden/>
              </w:rPr>
              <w:instrText xml:space="preserve"> PAGEREF _Toc237514910 \h </w:instrText>
            </w:r>
            <w:r>
              <w:rPr>
                <w:noProof/>
                <w:webHidden/>
              </w:rPr>
            </w:r>
            <w:r>
              <w:rPr>
                <w:noProof/>
                <w:webHidden/>
              </w:rPr>
              <w:fldChar w:fldCharType="separate"/>
            </w:r>
            <w:r>
              <w:rPr>
                <w:noProof/>
                <w:webHidden/>
              </w:rPr>
              <w:t>2</w:t>
            </w:r>
            <w:r>
              <w:rPr>
                <w:noProof/>
                <w:webHidden/>
              </w:rPr>
              <w:fldChar w:fldCharType="end"/>
            </w:r>
          </w:hyperlink>
        </w:p>
        <w:p w14:paraId="73982E79" w14:textId="39CD1BFA"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11" w:history="1">
            <w:r w:rsidRPr="004D139F">
              <w:rPr>
                <w:rStyle w:val="Hyperlink"/>
                <w:rFonts w:ascii="Arial" w:hAnsi="Arial" w:cs="Arial"/>
                <w:noProof/>
              </w:rPr>
              <w:t>2.2. Comparative Cultural Analysis (Hofstede's Cultural Dimensions)</w:t>
            </w:r>
            <w:r>
              <w:rPr>
                <w:noProof/>
                <w:webHidden/>
              </w:rPr>
              <w:tab/>
            </w:r>
            <w:r>
              <w:rPr>
                <w:noProof/>
                <w:webHidden/>
              </w:rPr>
              <w:fldChar w:fldCharType="begin"/>
            </w:r>
            <w:r>
              <w:rPr>
                <w:noProof/>
                <w:webHidden/>
              </w:rPr>
              <w:instrText xml:space="preserve"> PAGEREF _Toc237514911 \h </w:instrText>
            </w:r>
            <w:r>
              <w:rPr>
                <w:noProof/>
                <w:webHidden/>
              </w:rPr>
            </w:r>
            <w:r>
              <w:rPr>
                <w:noProof/>
                <w:webHidden/>
              </w:rPr>
              <w:fldChar w:fldCharType="separate"/>
            </w:r>
            <w:r>
              <w:rPr>
                <w:noProof/>
                <w:webHidden/>
              </w:rPr>
              <w:t>5</w:t>
            </w:r>
            <w:r>
              <w:rPr>
                <w:noProof/>
                <w:webHidden/>
              </w:rPr>
              <w:fldChar w:fldCharType="end"/>
            </w:r>
          </w:hyperlink>
        </w:p>
        <w:p w14:paraId="303BC069" w14:textId="6A0F7380"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12" w:history="1">
            <w:r w:rsidRPr="004D139F">
              <w:rPr>
                <w:rStyle w:val="Hyperlink"/>
                <w:rFonts w:ascii="Arial" w:hAnsi="Arial" w:cs="Arial"/>
                <w:noProof/>
              </w:rPr>
              <w:t>3. Segmentation, Targeting and Positioning (STP) Analysis</w:t>
            </w:r>
            <w:r>
              <w:rPr>
                <w:noProof/>
                <w:webHidden/>
              </w:rPr>
              <w:tab/>
            </w:r>
            <w:r>
              <w:rPr>
                <w:noProof/>
                <w:webHidden/>
              </w:rPr>
              <w:fldChar w:fldCharType="begin"/>
            </w:r>
            <w:r>
              <w:rPr>
                <w:noProof/>
                <w:webHidden/>
              </w:rPr>
              <w:instrText xml:space="preserve"> PAGEREF _Toc237514912 \h </w:instrText>
            </w:r>
            <w:r>
              <w:rPr>
                <w:noProof/>
                <w:webHidden/>
              </w:rPr>
            </w:r>
            <w:r>
              <w:rPr>
                <w:noProof/>
                <w:webHidden/>
              </w:rPr>
              <w:fldChar w:fldCharType="separate"/>
            </w:r>
            <w:r>
              <w:rPr>
                <w:noProof/>
                <w:webHidden/>
              </w:rPr>
              <w:t>7</w:t>
            </w:r>
            <w:r>
              <w:rPr>
                <w:noProof/>
                <w:webHidden/>
              </w:rPr>
              <w:fldChar w:fldCharType="end"/>
            </w:r>
          </w:hyperlink>
        </w:p>
        <w:p w14:paraId="7F5137B6" w14:textId="372DB224"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13" w:history="1">
            <w:r w:rsidRPr="004D139F">
              <w:rPr>
                <w:rStyle w:val="Hyperlink"/>
                <w:rFonts w:ascii="Arial" w:hAnsi="Arial" w:cs="Arial"/>
                <w:noProof/>
              </w:rPr>
              <w:t>3.1 Segmentation</w:t>
            </w:r>
            <w:r>
              <w:rPr>
                <w:noProof/>
                <w:webHidden/>
              </w:rPr>
              <w:tab/>
            </w:r>
            <w:r>
              <w:rPr>
                <w:noProof/>
                <w:webHidden/>
              </w:rPr>
              <w:fldChar w:fldCharType="begin"/>
            </w:r>
            <w:r>
              <w:rPr>
                <w:noProof/>
                <w:webHidden/>
              </w:rPr>
              <w:instrText xml:space="preserve"> PAGEREF _Toc237514913 \h </w:instrText>
            </w:r>
            <w:r>
              <w:rPr>
                <w:noProof/>
                <w:webHidden/>
              </w:rPr>
            </w:r>
            <w:r>
              <w:rPr>
                <w:noProof/>
                <w:webHidden/>
              </w:rPr>
              <w:fldChar w:fldCharType="separate"/>
            </w:r>
            <w:r>
              <w:rPr>
                <w:noProof/>
                <w:webHidden/>
              </w:rPr>
              <w:t>8</w:t>
            </w:r>
            <w:r>
              <w:rPr>
                <w:noProof/>
                <w:webHidden/>
              </w:rPr>
              <w:fldChar w:fldCharType="end"/>
            </w:r>
          </w:hyperlink>
        </w:p>
        <w:p w14:paraId="69D32A77" w14:textId="0388CE76"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14" w:history="1">
            <w:r w:rsidRPr="004D139F">
              <w:rPr>
                <w:rStyle w:val="Hyperlink"/>
                <w:rFonts w:ascii="Arial" w:hAnsi="Arial" w:cs="Arial"/>
                <w:noProof/>
              </w:rPr>
              <w:t>3.2 Targeting</w:t>
            </w:r>
            <w:r>
              <w:rPr>
                <w:noProof/>
                <w:webHidden/>
              </w:rPr>
              <w:tab/>
            </w:r>
            <w:r>
              <w:rPr>
                <w:noProof/>
                <w:webHidden/>
              </w:rPr>
              <w:fldChar w:fldCharType="begin"/>
            </w:r>
            <w:r>
              <w:rPr>
                <w:noProof/>
                <w:webHidden/>
              </w:rPr>
              <w:instrText xml:space="preserve"> PAGEREF _Toc237514914 \h </w:instrText>
            </w:r>
            <w:r>
              <w:rPr>
                <w:noProof/>
                <w:webHidden/>
              </w:rPr>
            </w:r>
            <w:r>
              <w:rPr>
                <w:noProof/>
                <w:webHidden/>
              </w:rPr>
              <w:fldChar w:fldCharType="separate"/>
            </w:r>
            <w:r>
              <w:rPr>
                <w:noProof/>
                <w:webHidden/>
              </w:rPr>
              <w:t>9</w:t>
            </w:r>
            <w:r>
              <w:rPr>
                <w:noProof/>
                <w:webHidden/>
              </w:rPr>
              <w:fldChar w:fldCharType="end"/>
            </w:r>
          </w:hyperlink>
        </w:p>
        <w:p w14:paraId="6511000E" w14:textId="6F4963FC"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15" w:history="1">
            <w:r w:rsidRPr="004D139F">
              <w:rPr>
                <w:rStyle w:val="Hyperlink"/>
                <w:rFonts w:ascii="Arial" w:hAnsi="Arial" w:cs="Arial"/>
                <w:noProof/>
              </w:rPr>
              <w:t>3.3 Positioning</w:t>
            </w:r>
            <w:r>
              <w:rPr>
                <w:noProof/>
                <w:webHidden/>
              </w:rPr>
              <w:tab/>
            </w:r>
            <w:r>
              <w:rPr>
                <w:noProof/>
                <w:webHidden/>
              </w:rPr>
              <w:fldChar w:fldCharType="begin"/>
            </w:r>
            <w:r>
              <w:rPr>
                <w:noProof/>
                <w:webHidden/>
              </w:rPr>
              <w:instrText xml:space="preserve"> PAGEREF _Toc237514915 \h </w:instrText>
            </w:r>
            <w:r>
              <w:rPr>
                <w:noProof/>
                <w:webHidden/>
              </w:rPr>
            </w:r>
            <w:r>
              <w:rPr>
                <w:noProof/>
                <w:webHidden/>
              </w:rPr>
              <w:fldChar w:fldCharType="separate"/>
            </w:r>
            <w:r>
              <w:rPr>
                <w:noProof/>
                <w:webHidden/>
              </w:rPr>
              <w:t>10</w:t>
            </w:r>
            <w:r>
              <w:rPr>
                <w:noProof/>
                <w:webHidden/>
              </w:rPr>
              <w:fldChar w:fldCharType="end"/>
            </w:r>
          </w:hyperlink>
        </w:p>
        <w:p w14:paraId="583BF758" w14:textId="6EDB052C"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16" w:history="1">
            <w:r w:rsidRPr="004D139F">
              <w:rPr>
                <w:rStyle w:val="Hyperlink"/>
                <w:rFonts w:ascii="Arial" w:hAnsi="Arial" w:cs="Arial"/>
                <w:noProof/>
              </w:rPr>
              <w:t>4. Toyota Marketing Mix</w:t>
            </w:r>
            <w:r>
              <w:rPr>
                <w:noProof/>
                <w:webHidden/>
              </w:rPr>
              <w:tab/>
            </w:r>
            <w:r>
              <w:rPr>
                <w:noProof/>
                <w:webHidden/>
              </w:rPr>
              <w:fldChar w:fldCharType="begin"/>
            </w:r>
            <w:r>
              <w:rPr>
                <w:noProof/>
                <w:webHidden/>
              </w:rPr>
              <w:instrText xml:space="preserve"> PAGEREF _Toc237514916 \h </w:instrText>
            </w:r>
            <w:r>
              <w:rPr>
                <w:noProof/>
                <w:webHidden/>
              </w:rPr>
            </w:r>
            <w:r>
              <w:rPr>
                <w:noProof/>
                <w:webHidden/>
              </w:rPr>
              <w:fldChar w:fldCharType="separate"/>
            </w:r>
            <w:r>
              <w:rPr>
                <w:noProof/>
                <w:webHidden/>
              </w:rPr>
              <w:t>11</w:t>
            </w:r>
            <w:r>
              <w:rPr>
                <w:noProof/>
                <w:webHidden/>
              </w:rPr>
              <w:fldChar w:fldCharType="end"/>
            </w:r>
          </w:hyperlink>
        </w:p>
        <w:p w14:paraId="0F8CD824" w14:textId="4C961FCB"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17" w:history="1">
            <w:r w:rsidRPr="004D139F">
              <w:rPr>
                <w:rStyle w:val="Hyperlink"/>
                <w:rFonts w:ascii="Arial" w:hAnsi="Arial" w:cs="Arial"/>
                <w:noProof/>
                <w:lang w:val="en-IN"/>
              </w:rPr>
              <w:t>5. Market entry strategy: India</w:t>
            </w:r>
            <w:r>
              <w:rPr>
                <w:noProof/>
                <w:webHidden/>
              </w:rPr>
              <w:tab/>
            </w:r>
            <w:r>
              <w:rPr>
                <w:noProof/>
                <w:webHidden/>
              </w:rPr>
              <w:fldChar w:fldCharType="begin"/>
            </w:r>
            <w:r>
              <w:rPr>
                <w:noProof/>
                <w:webHidden/>
              </w:rPr>
              <w:instrText xml:space="preserve"> PAGEREF _Toc237514917 \h </w:instrText>
            </w:r>
            <w:r>
              <w:rPr>
                <w:noProof/>
                <w:webHidden/>
              </w:rPr>
            </w:r>
            <w:r>
              <w:rPr>
                <w:noProof/>
                <w:webHidden/>
              </w:rPr>
              <w:fldChar w:fldCharType="separate"/>
            </w:r>
            <w:r>
              <w:rPr>
                <w:noProof/>
                <w:webHidden/>
              </w:rPr>
              <w:t>14</w:t>
            </w:r>
            <w:r>
              <w:rPr>
                <w:noProof/>
                <w:webHidden/>
              </w:rPr>
              <w:fldChar w:fldCharType="end"/>
            </w:r>
          </w:hyperlink>
        </w:p>
        <w:p w14:paraId="294CA982" w14:textId="7FEE7C3C"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18" w:history="1">
            <w:r w:rsidRPr="004D139F">
              <w:rPr>
                <w:rStyle w:val="Hyperlink"/>
                <w:rFonts w:ascii="Arial" w:hAnsi="Arial" w:cs="Arial"/>
                <w:noProof/>
                <w:lang w:val="en-IN"/>
              </w:rPr>
              <w:t>6. Ethical Issues in Indian marketing mix</w:t>
            </w:r>
            <w:r>
              <w:rPr>
                <w:noProof/>
                <w:webHidden/>
              </w:rPr>
              <w:tab/>
            </w:r>
            <w:r>
              <w:rPr>
                <w:noProof/>
                <w:webHidden/>
              </w:rPr>
              <w:fldChar w:fldCharType="begin"/>
            </w:r>
            <w:r>
              <w:rPr>
                <w:noProof/>
                <w:webHidden/>
              </w:rPr>
              <w:instrText xml:space="preserve"> PAGEREF _Toc237514918 \h </w:instrText>
            </w:r>
            <w:r>
              <w:rPr>
                <w:noProof/>
                <w:webHidden/>
              </w:rPr>
            </w:r>
            <w:r>
              <w:rPr>
                <w:noProof/>
                <w:webHidden/>
              </w:rPr>
              <w:fldChar w:fldCharType="separate"/>
            </w:r>
            <w:r>
              <w:rPr>
                <w:noProof/>
                <w:webHidden/>
              </w:rPr>
              <w:t>15</w:t>
            </w:r>
            <w:r>
              <w:rPr>
                <w:noProof/>
                <w:webHidden/>
              </w:rPr>
              <w:fldChar w:fldCharType="end"/>
            </w:r>
          </w:hyperlink>
        </w:p>
        <w:p w14:paraId="7D0F9E30" w14:textId="3E330C31"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19" w:history="1">
            <w:r w:rsidRPr="004D139F">
              <w:rPr>
                <w:rStyle w:val="Hyperlink"/>
                <w:rFonts w:ascii="Arial" w:hAnsi="Arial" w:cs="Arial"/>
                <w:noProof/>
                <w:lang w:val="en-IN"/>
              </w:rPr>
              <w:t>6.1 Ethical practices</w:t>
            </w:r>
            <w:r>
              <w:rPr>
                <w:noProof/>
                <w:webHidden/>
              </w:rPr>
              <w:tab/>
            </w:r>
            <w:r>
              <w:rPr>
                <w:noProof/>
                <w:webHidden/>
              </w:rPr>
              <w:fldChar w:fldCharType="begin"/>
            </w:r>
            <w:r>
              <w:rPr>
                <w:noProof/>
                <w:webHidden/>
              </w:rPr>
              <w:instrText xml:space="preserve"> PAGEREF _Toc237514919 \h </w:instrText>
            </w:r>
            <w:r>
              <w:rPr>
                <w:noProof/>
                <w:webHidden/>
              </w:rPr>
            </w:r>
            <w:r>
              <w:rPr>
                <w:noProof/>
                <w:webHidden/>
              </w:rPr>
              <w:fldChar w:fldCharType="separate"/>
            </w:r>
            <w:r>
              <w:rPr>
                <w:noProof/>
                <w:webHidden/>
              </w:rPr>
              <w:t>15</w:t>
            </w:r>
            <w:r>
              <w:rPr>
                <w:noProof/>
                <w:webHidden/>
              </w:rPr>
              <w:fldChar w:fldCharType="end"/>
            </w:r>
          </w:hyperlink>
        </w:p>
        <w:p w14:paraId="5B349FF5" w14:textId="6AC89D37" w:rsidR="00861AF3" w:rsidRDefault="00861AF3">
          <w:pPr>
            <w:pStyle w:val="TOC2"/>
            <w:tabs>
              <w:tab w:val="right" w:leader="dot" w:pos="9016"/>
            </w:tabs>
            <w:rPr>
              <w:rFonts w:asciiTheme="minorHAnsi" w:eastAsiaTheme="minorEastAsia" w:hAnsiTheme="minorHAnsi"/>
              <w:noProof/>
              <w:kern w:val="2"/>
              <w:szCs w:val="24"/>
              <w:lang w:val="en-US"/>
              <w14:ligatures w14:val="standardContextual"/>
            </w:rPr>
          </w:pPr>
          <w:hyperlink w:anchor="_Toc237514920" w:history="1">
            <w:r w:rsidRPr="004D139F">
              <w:rPr>
                <w:rStyle w:val="Hyperlink"/>
                <w:rFonts w:ascii="Arial" w:hAnsi="Arial" w:cs="Arial"/>
                <w:noProof/>
                <w:lang w:val="en-IN"/>
              </w:rPr>
              <w:t>6.2 Unethical Practices</w:t>
            </w:r>
            <w:r>
              <w:rPr>
                <w:noProof/>
                <w:webHidden/>
              </w:rPr>
              <w:tab/>
            </w:r>
            <w:r>
              <w:rPr>
                <w:noProof/>
                <w:webHidden/>
              </w:rPr>
              <w:fldChar w:fldCharType="begin"/>
            </w:r>
            <w:r>
              <w:rPr>
                <w:noProof/>
                <w:webHidden/>
              </w:rPr>
              <w:instrText xml:space="preserve"> PAGEREF _Toc237514920 \h </w:instrText>
            </w:r>
            <w:r>
              <w:rPr>
                <w:noProof/>
                <w:webHidden/>
              </w:rPr>
            </w:r>
            <w:r>
              <w:rPr>
                <w:noProof/>
                <w:webHidden/>
              </w:rPr>
              <w:fldChar w:fldCharType="separate"/>
            </w:r>
            <w:r>
              <w:rPr>
                <w:noProof/>
                <w:webHidden/>
              </w:rPr>
              <w:t>16</w:t>
            </w:r>
            <w:r>
              <w:rPr>
                <w:noProof/>
                <w:webHidden/>
              </w:rPr>
              <w:fldChar w:fldCharType="end"/>
            </w:r>
          </w:hyperlink>
        </w:p>
        <w:p w14:paraId="0CE9520C" w14:textId="2A69A181"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21" w:history="1">
            <w:r w:rsidRPr="004D139F">
              <w:rPr>
                <w:rStyle w:val="Hyperlink"/>
                <w:rFonts w:ascii="Arial" w:hAnsi="Arial" w:cs="Arial"/>
                <w:noProof/>
                <w:lang w:val="en-IN"/>
              </w:rPr>
              <w:t>7. Recommendations</w:t>
            </w:r>
            <w:r>
              <w:rPr>
                <w:noProof/>
                <w:webHidden/>
              </w:rPr>
              <w:tab/>
            </w:r>
            <w:r>
              <w:rPr>
                <w:noProof/>
                <w:webHidden/>
              </w:rPr>
              <w:fldChar w:fldCharType="begin"/>
            </w:r>
            <w:r>
              <w:rPr>
                <w:noProof/>
                <w:webHidden/>
              </w:rPr>
              <w:instrText xml:space="preserve"> PAGEREF _Toc237514921 \h </w:instrText>
            </w:r>
            <w:r>
              <w:rPr>
                <w:noProof/>
                <w:webHidden/>
              </w:rPr>
            </w:r>
            <w:r>
              <w:rPr>
                <w:noProof/>
                <w:webHidden/>
              </w:rPr>
              <w:fldChar w:fldCharType="separate"/>
            </w:r>
            <w:r>
              <w:rPr>
                <w:noProof/>
                <w:webHidden/>
              </w:rPr>
              <w:t>17</w:t>
            </w:r>
            <w:r>
              <w:rPr>
                <w:noProof/>
                <w:webHidden/>
              </w:rPr>
              <w:fldChar w:fldCharType="end"/>
            </w:r>
          </w:hyperlink>
        </w:p>
        <w:p w14:paraId="6DFD5A3E" w14:textId="1F2F06FA"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22" w:history="1">
            <w:r w:rsidRPr="004D139F">
              <w:rPr>
                <w:rStyle w:val="Hyperlink"/>
                <w:rFonts w:ascii="Arial" w:hAnsi="Arial" w:cs="Arial"/>
                <w:noProof/>
                <w:lang w:val="en-IN"/>
              </w:rPr>
              <w:t>8. Conclusion</w:t>
            </w:r>
            <w:r>
              <w:rPr>
                <w:noProof/>
                <w:webHidden/>
              </w:rPr>
              <w:tab/>
            </w:r>
            <w:r>
              <w:rPr>
                <w:noProof/>
                <w:webHidden/>
              </w:rPr>
              <w:fldChar w:fldCharType="begin"/>
            </w:r>
            <w:r>
              <w:rPr>
                <w:noProof/>
                <w:webHidden/>
              </w:rPr>
              <w:instrText xml:space="preserve"> PAGEREF _Toc237514922 \h </w:instrText>
            </w:r>
            <w:r>
              <w:rPr>
                <w:noProof/>
                <w:webHidden/>
              </w:rPr>
            </w:r>
            <w:r>
              <w:rPr>
                <w:noProof/>
                <w:webHidden/>
              </w:rPr>
              <w:fldChar w:fldCharType="separate"/>
            </w:r>
            <w:r>
              <w:rPr>
                <w:noProof/>
                <w:webHidden/>
              </w:rPr>
              <w:t>18</w:t>
            </w:r>
            <w:r>
              <w:rPr>
                <w:noProof/>
                <w:webHidden/>
              </w:rPr>
              <w:fldChar w:fldCharType="end"/>
            </w:r>
          </w:hyperlink>
        </w:p>
        <w:p w14:paraId="2B7BEC18" w14:textId="1F42A69D"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23" w:history="1">
            <w:r w:rsidRPr="004D139F">
              <w:rPr>
                <w:rStyle w:val="Hyperlink"/>
                <w:rFonts w:ascii="Arial" w:hAnsi="Arial" w:cs="Arial"/>
                <w:noProof/>
                <w:lang w:val="en-IN"/>
              </w:rPr>
              <w:t>Section 2: Reflection</w:t>
            </w:r>
            <w:r>
              <w:rPr>
                <w:noProof/>
                <w:webHidden/>
              </w:rPr>
              <w:tab/>
            </w:r>
            <w:r>
              <w:rPr>
                <w:noProof/>
                <w:webHidden/>
              </w:rPr>
              <w:fldChar w:fldCharType="begin"/>
            </w:r>
            <w:r>
              <w:rPr>
                <w:noProof/>
                <w:webHidden/>
              </w:rPr>
              <w:instrText xml:space="preserve"> PAGEREF _Toc237514923 \h </w:instrText>
            </w:r>
            <w:r>
              <w:rPr>
                <w:noProof/>
                <w:webHidden/>
              </w:rPr>
            </w:r>
            <w:r>
              <w:rPr>
                <w:noProof/>
                <w:webHidden/>
              </w:rPr>
              <w:fldChar w:fldCharType="separate"/>
            </w:r>
            <w:r>
              <w:rPr>
                <w:noProof/>
                <w:webHidden/>
              </w:rPr>
              <w:t>18</w:t>
            </w:r>
            <w:r>
              <w:rPr>
                <w:noProof/>
                <w:webHidden/>
              </w:rPr>
              <w:fldChar w:fldCharType="end"/>
            </w:r>
          </w:hyperlink>
        </w:p>
        <w:p w14:paraId="4C1D1A07" w14:textId="76C701B5" w:rsidR="00861AF3" w:rsidRDefault="00861AF3">
          <w:pPr>
            <w:pStyle w:val="TOC1"/>
            <w:tabs>
              <w:tab w:val="right" w:leader="dot" w:pos="9016"/>
            </w:tabs>
            <w:rPr>
              <w:rFonts w:asciiTheme="minorHAnsi" w:eastAsiaTheme="minorEastAsia" w:hAnsiTheme="minorHAnsi"/>
              <w:noProof/>
              <w:kern w:val="2"/>
              <w:szCs w:val="24"/>
              <w:lang w:val="en-US"/>
              <w14:ligatures w14:val="standardContextual"/>
            </w:rPr>
          </w:pPr>
          <w:hyperlink w:anchor="_Toc237514924" w:history="1">
            <w:r w:rsidRPr="004D13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_Toc237514924 \h </w:instrText>
            </w:r>
            <w:r>
              <w:rPr>
                <w:noProof/>
                <w:webHidden/>
              </w:rPr>
            </w:r>
            <w:r>
              <w:rPr>
                <w:noProof/>
                <w:webHidden/>
              </w:rPr>
              <w:fldChar w:fldCharType="separate"/>
            </w:r>
            <w:r>
              <w:rPr>
                <w:noProof/>
                <w:webHidden/>
              </w:rPr>
              <w:t>22</w:t>
            </w:r>
            <w:r>
              <w:rPr>
                <w:noProof/>
                <w:webHidden/>
              </w:rPr>
              <w:fldChar w:fldCharType="end"/>
            </w:r>
          </w:hyperlink>
        </w:p>
        <w:p w14:paraId="2D5E2390" w14:textId="137C590F" w:rsidR="003A21A3" w:rsidRPr="003A21A3" w:rsidRDefault="003A21A3" w:rsidP="0049434F">
          <w:pPr>
            <w:spacing w:line="360" w:lineRule="auto"/>
            <w:jc w:val="both"/>
            <w:rPr>
              <w:rFonts w:ascii="Arial" w:hAnsi="Arial" w:cs="Arial"/>
              <w:sz w:val="24"/>
              <w:szCs w:val="24"/>
            </w:rPr>
          </w:pPr>
          <w:r w:rsidRPr="003A21A3">
            <w:rPr>
              <w:rFonts w:ascii="Arial" w:hAnsi="Arial" w:cs="Arial"/>
              <w:b/>
              <w:bCs/>
              <w:sz w:val="24"/>
              <w:szCs w:val="24"/>
            </w:rPr>
            <w:fldChar w:fldCharType="end"/>
          </w:r>
        </w:p>
      </w:sdtContent>
    </w:sdt>
    <w:p w14:paraId="0F871977" w14:textId="77777777" w:rsidR="003A21A3" w:rsidRPr="003A21A3" w:rsidRDefault="003A21A3" w:rsidP="0049434F">
      <w:pPr>
        <w:spacing w:line="360" w:lineRule="auto"/>
        <w:jc w:val="both"/>
        <w:rPr>
          <w:rFonts w:ascii="Arial" w:hAnsi="Arial" w:cs="Arial"/>
          <w:i/>
          <w:iCs/>
          <w:color w:val="FF0000"/>
          <w:sz w:val="24"/>
          <w:szCs w:val="24"/>
        </w:rPr>
      </w:pPr>
      <w:r w:rsidRPr="003A21A3">
        <w:rPr>
          <w:rFonts w:ascii="Arial" w:hAnsi="Arial" w:cs="Arial"/>
          <w:i/>
          <w:iCs/>
          <w:color w:val="FF0000"/>
          <w:sz w:val="24"/>
          <w:szCs w:val="24"/>
        </w:rPr>
        <w:br w:type="page"/>
      </w:r>
    </w:p>
    <w:p w14:paraId="4CE8AF04" w14:textId="77777777" w:rsidR="003A21A3" w:rsidRPr="003A21A3" w:rsidRDefault="003A21A3" w:rsidP="0049434F">
      <w:pPr>
        <w:pStyle w:val="Heading1"/>
        <w:numPr>
          <w:ilvl w:val="0"/>
          <w:numId w:val="1"/>
        </w:numPr>
        <w:ind w:left="0" w:hanging="284"/>
        <w:rPr>
          <w:rFonts w:ascii="Arial" w:hAnsi="Arial" w:cs="Arial"/>
          <w:sz w:val="24"/>
          <w:szCs w:val="24"/>
        </w:rPr>
      </w:pPr>
      <w:bookmarkStart w:id="0" w:name="_Toc237514908"/>
      <w:r w:rsidRPr="003A21A3">
        <w:rPr>
          <w:rFonts w:ascii="Arial" w:hAnsi="Arial" w:cs="Arial"/>
          <w:sz w:val="24"/>
          <w:szCs w:val="24"/>
        </w:rPr>
        <w:lastRenderedPageBreak/>
        <w:t>Introduction</w:t>
      </w:r>
      <w:bookmarkEnd w:id="0"/>
    </w:p>
    <w:p w14:paraId="158EFC8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In today's highly globalised business environment, international marketing has emerged as an enabler for organisations to expand into foreign markets, as it helps them adapt their products and services to meet the diverse needs of consumers in different countries. Tien et al. (2019) define international marketing as the conduct of a business to plan, price, promote and distribute a line of goods and services to customers or users in more than one country to create a profit. The rapid expansion of globalisation has led to the rise of billions of new customers along with new competitors in the world market and requires effective marketing strategies to succeed. Achieving the right balance between global standardisation and local adaptation is critical for gaining the competitive advantage and ensuring long-term success. </w:t>
      </w:r>
    </w:p>
    <w:p w14:paraId="297B8DB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organisation chosen for this assignment is Toyota. Toyota Motor Corporation (TMC) was established in 1937 and is headquartered in Toyota City, Aichi, Japan (EBSCO Host, 2023). It is the leading global automobile manufacturer and is known for its diverse range of vehicles, including cars, trucks and hybrids. The company operates in more than 170 countries with more than 20 design and R&amp;D centres and 390,000 employees worldwide (Toyota Motors, 2026). Toyota's success has been driven by its commitment to continuous improvement (kaizen), innovation and customer satisfaction, which is supported by the Toyota Production System (TPS). </w:t>
      </w:r>
    </w:p>
    <w:p w14:paraId="03F916F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The aim of this report is to compare the marketing strategies of Toyota in Japan (Home country) and India (Host country). The report compares the external environment, STP strategy, International Marketing Mix (7Ps) strategies and market entry strategy of Toyota in both countries, Japan and India. The report also evaluates the ethical issues related to the brand and offers effective recommendations for the growth of Toyota in the international market. Finally, the report also reflects on the assignment using Gibbs' reflective cycle.</w:t>
      </w:r>
    </w:p>
    <w:p w14:paraId="05F338B6" w14:textId="77777777" w:rsidR="003A21A3" w:rsidRPr="003A21A3" w:rsidRDefault="003A21A3" w:rsidP="0049434F">
      <w:pPr>
        <w:pStyle w:val="Heading1"/>
        <w:rPr>
          <w:rFonts w:ascii="Arial" w:hAnsi="Arial" w:cs="Arial"/>
          <w:sz w:val="24"/>
          <w:szCs w:val="24"/>
        </w:rPr>
      </w:pPr>
      <w:bookmarkStart w:id="1" w:name="_Toc237514909"/>
      <w:r w:rsidRPr="003A21A3">
        <w:rPr>
          <w:rFonts w:ascii="Arial" w:hAnsi="Arial" w:cs="Arial"/>
          <w:sz w:val="24"/>
          <w:szCs w:val="24"/>
        </w:rPr>
        <w:t>2. Comparative Analysis of Japan and India</w:t>
      </w:r>
      <w:bookmarkEnd w:id="1"/>
    </w:p>
    <w:p w14:paraId="5ED340F5" w14:textId="77777777" w:rsidR="003A21A3" w:rsidRPr="003A21A3" w:rsidRDefault="003A21A3" w:rsidP="0049434F">
      <w:pPr>
        <w:pStyle w:val="Heading2"/>
        <w:rPr>
          <w:rFonts w:ascii="Arial" w:hAnsi="Arial" w:cs="Arial"/>
          <w:sz w:val="24"/>
          <w:szCs w:val="24"/>
        </w:rPr>
      </w:pPr>
      <w:bookmarkStart w:id="2" w:name="_Toc237514910"/>
      <w:r w:rsidRPr="003A21A3">
        <w:rPr>
          <w:rFonts w:ascii="Arial" w:hAnsi="Arial" w:cs="Arial"/>
          <w:sz w:val="24"/>
          <w:szCs w:val="24"/>
        </w:rPr>
        <w:t>2.1 PESTLE analysis</w:t>
      </w:r>
      <w:bookmarkEnd w:id="2"/>
    </w:p>
    <w:p w14:paraId="696FE29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PESTLE helps in examining the external macro factors that influence business decisions. According to Dalirazar and Sabzi (2023), PESTLE analysis is a strategic </w:t>
      </w:r>
      <w:r w:rsidRPr="003A21A3">
        <w:rPr>
          <w:rFonts w:ascii="Arial" w:hAnsi="Arial" w:cs="Arial"/>
          <w:sz w:val="24"/>
          <w:szCs w:val="24"/>
        </w:rPr>
        <w:lastRenderedPageBreak/>
        <w:t>management technique for assessing the impact of external factors on a project, organisation, industry or market. This framework helps in recognising the issues that might have a major impact on a future project, organisation, industry or market. For a multinational organisation such as Toyota, analysing the PESTLE factors is critical for developing effective international marketing strategies. A detailed PESTLE analysis of both countries is presented below.</w:t>
      </w:r>
    </w:p>
    <w:p w14:paraId="0455017F"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 xml:space="preserve">Political </w:t>
      </w:r>
    </w:p>
    <w:p w14:paraId="4C27068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Japan has a highly stable political environment. The Ministry of Economy, Trade and Industry (METI) has implemented measures to promote sustainable and environmentally friendly vehicles along with new policies on Automated Driving and Mobility Service (METI, 2026). Furthermore, the government has promoted hybrid and hydrogen technology as a part of its green growth strategy. This stable environment, along with government support, helps Toyota invest confidently in R&amp;D across Japan. On the other hand, India is the world's largest democracy with a pro-manufacturing agenda, Make in India (Make In India, 2026). For example, Faster Adoption and Manufacturing of Hybrid and Electric Vehicles (FAME) is a government initiative to promote faster adoption of electric and hybrid vehicles by Indian consumers (Ministry of Heavy Industry, 2026). Overall, while Japan offers good political stability, India is growing towards better policies for automobile companies such as Toyota. This contrast is significant for Toyota as it allows the brand to commit long-term, capital-intensive R&amp;D with predictable returns. Whereas in India, Toyota adopts flexible manufacturing and government lobbying to respond to changing state regulations. </w:t>
      </w:r>
    </w:p>
    <w:p w14:paraId="10334FE1"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Economic</w:t>
      </w:r>
    </w:p>
    <w:p w14:paraId="1B8C197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Japan is the fourth largest economy in the world and is 5th in terms of trade volume ranking in 2024 (Japan External Trade Organisation (JETRO), 2026). It is a mature and high-income economy which is characterised by high living standards, stable consumer purchasing power and a thriving automobile market. Comparatively, India is the fifth largest economy in the world. However, as it is also the most populous country in the world, its share of global GDP is only 3 per cent (Farrag &amp; Robitaille, 2026). These contrasting economic conditions require Toyota to adopt premium and innovative strategies in Japan while focusing on affordability and value in India. This </w:t>
      </w:r>
      <w:r w:rsidRPr="003A21A3">
        <w:rPr>
          <w:rFonts w:ascii="Arial" w:hAnsi="Arial" w:cs="Arial"/>
          <w:sz w:val="24"/>
          <w:szCs w:val="24"/>
        </w:rPr>
        <w:lastRenderedPageBreak/>
        <w:t xml:space="preserve">economic comparison directly explains why Toyota protects its premium margins in Japan while treating India as a volume and share growth margin. </w:t>
      </w:r>
    </w:p>
    <w:p w14:paraId="68BADDCC"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Social</w:t>
      </w:r>
    </w:p>
    <w:p w14:paraId="63DBD1F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Japan is currently facing an ageing population, a decline in the birth rate, and smaller household sizes. The elderly population in Japan in 2021 was 28.9%, and is estimated to be 38.4% in 2065 (Inoue &amp; Inoue, 2024). At the same time, India has a large, rising youth population where car ownership is a status symbol and aspiration (Meena et al., 2021). Large family sizes and improving living standards have increased the demand for MPVs and sport utility vehicles (SUVs). Given the differences between the countries, the product offering of Toyota also differs greatly (MPVs) and sport utility vehicles (SUVs) in India and more compact, hybrid and comfortable models in Japan. Japan's ageing population is pushing Toyota to preserve its margin through introducing premium ranges. In contrast, India's youthful expanding population offers a long-term volume growth opportunity to the brand. </w:t>
      </w:r>
    </w:p>
    <w:p w14:paraId="03120DE7"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Technological</w:t>
      </w:r>
    </w:p>
    <w:p w14:paraId="66AC1A5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Japan is recognised as one of the leading countries in terms of automotive innovation, robotics and advanced manufacturing. According to Kelkar et al. (2026), Japanese companies have been pioneers in robotics and have deep expertise in mechatronics, precision engineering, and manufacturing. In recent years, it has experienced rapid technological advancements, specifically in mobile connectivity, internet and digital infrastructure. India's engineering R&amp;D and product development market is expanding rapidly, with a CAGR of 12%; it reached US$ 63 billion by 2025 (IBEF, 2026). However, manufacturing automation and research capability remain less advanced than Japan's. Although Japan holds a leadership position in terms of technological advancements, India's continuous digital expansion will help Toyota with better innovation opportunities. This technology gap means that Toyota can treat Japan as its innovation hub and develop cost-adaptive models of those innovations for India. </w:t>
      </w:r>
    </w:p>
    <w:p w14:paraId="737BDAD1"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Legal</w:t>
      </w:r>
    </w:p>
    <w:p w14:paraId="718678E3"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sz w:val="24"/>
          <w:szCs w:val="24"/>
        </w:rPr>
        <w:t xml:space="preserve">Japan has a highly developed legal framework regarding vehicle safety, labour standards, intellectual property, and environmental compliance. Laws such as the Consumer Contract Act, Act on Specified Commercial Transactions, and Instalment </w:t>
      </w:r>
      <w:r w:rsidRPr="003A21A3">
        <w:rPr>
          <w:rFonts w:ascii="Arial" w:hAnsi="Arial" w:cs="Arial"/>
          <w:sz w:val="24"/>
          <w:szCs w:val="24"/>
        </w:rPr>
        <w:lastRenderedPageBreak/>
        <w:t xml:space="preserve">Sales Act are some of the consumer protection laws in Japan (ICLG, 2026). India's regulatory framework is still evolving. However, organisations continue to face complex taxation and variable compliance regulations across the states in India. According to Sureka and Bordoloi (2025), India can improve its GST framework by following global standards, enhancing compliance and ensuring a streamlined tax system. Japan offers a better legal environment for Toyota, and India's regulatory complexities have forced the organisation to enter the country through joint ventures and strategic alliances (Refer Section 5). Predictable Japanese laws let Toyota operate wholly independently in its home country, whereas India's fragmented legal system makes joint ventures and alliances almost a necessity for the brand. </w:t>
      </w:r>
    </w:p>
    <w:p w14:paraId="4ED88B22"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Environmental</w:t>
      </w:r>
    </w:p>
    <w:p w14:paraId="645E7C2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Japan has the "Law Concerning the Rational Use of Energy" and adopted 2030 fuel efficiency standards in 2020 (DieselNet, 2025). The country has adopted stringent environmental regulations and ambitious carbon reduction targets that have encouraged widespread adoption of hybrid, hydrogen and low-emission vehicles. India is also increasing its environmental policies through initiatives such as Bharat Stage VI emissions norms (DieselNet, 2026). However, due to the increasing number of cars and high population, India has a long way to go. Japan's tighter carbon and fuel efficiency regulations have forced Toyota to lean towards hydrogen and hybrid technology at the centre of its Japanese product line; whereas, in India, the organisation is focused on selling its higher-margin petrol and Diesel models. </w:t>
      </w:r>
    </w:p>
    <w:p w14:paraId="17CCE39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PESTLE analysis showcases that Toyota operates in two very different macro environments: Japan and India. Japan offers political stability, advanced technological support, robust environmental regulations, and a mature automobile market that requires more premium cars and innovative strategies. On the other hand, India is experiencing rapid economic growth, a younger consumer base, regulatory complexity, and high price sensitivity. Toyota is required to adopt more localised marketing and product strategies. </w:t>
      </w:r>
    </w:p>
    <w:p w14:paraId="2A43FD63" w14:textId="77777777" w:rsidR="003A21A3" w:rsidRPr="003A21A3" w:rsidRDefault="003A21A3" w:rsidP="0049434F">
      <w:pPr>
        <w:pStyle w:val="Heading2"/>
        <w:rPr>
          <w:rFonts w:ascii="Arial" w:hAnsi="Arial" w:cs="Arial"/>
          <w:sz w:val="24"/>
          <w:szCs w:val="24"/>
          <w:lang w:val="en-IN"/>
        </w:rPr>
      </w:pPr>
      <w:bookmarkStart w:id="3" w:name="_Toc237514911"/>
      <w:r w:rsidRPr="003A21A3">
        <w:rPr>
          <w:rFonts w:ascii="Arial" w:hAnsi="Arial" w:cs="Arial"/>
          <w:sz w:val="24"/>
          <w:szCs w:val="24"/>
        </w:rPr>
        <w:t>2.2. Comparative Cultural Analysis (Hofstede's Cultural Dimensions)</w:t>
      </w:r>
      <w:bookmarkEnd w:id="3"/>
    </w:p>
    <w:p w14:paraId="0D5C772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Hofstede's cultural dimensions offer a useful framework for understanding how national culture influences consumer behaviour and business practices. Hofstede defined culture as the collective programming of the mind that distinguishes the </w:t>
      </w:r>
      <w:r w:rsidRPr="003A21A3">
        <w:rPr>
          <w:rFonts w:ascii="Arial" w:hAnsi="Arial" w:cs="Arial"/>
          <w:sz w:val="24"/>
          <w:szCs w:val="24"/>
        </w:rPr>
        <w:lastRenderedPageBreak/>
        <w:t xml:space="preserve">members of one group or category from others (Żemojtel-Piotrowska &amp; Piotrowski, 2023). The original version of Hofstede had four dimensions: power distance, individualism-collectivism, masculinity-femininity, and uncertainty avoidance. The next two dimensions, long/short-term orientation and indulgence-restraint, were added later on. All these dimensions in terms of Japan and India are discussed below. </w:t>
      </w:r>
    </w:p>
    <w:p w14:paraId="2F544294" w14:textId="77777777" w:rsidR="003A21A3" w:rsidRPr="003A21A3" w:rsidRDefault="003A21A3" w:rsidP="0049434F">
      <w:pPr>
        <w:spacing w:line="360" w:lineRule="auto"/>
        <w:jc w:val="both"/>
        <w:rPr>
          <w:rFonts w:ascii="Arial" w:hAnsi="Arial" w:cs="Arial"/>
          <w:sz w:val="24"/>
          <w:szCs w:val="24"/>
        </w:rPr>
      </w:pPr>
    </w:p>
    <w:p w14:paraId="4E8AE3B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noProof/>
          <w:sz w:val="24"/>
          <w:szCs w:val="24"/>
          <w:lang w:eastAsia="en-IN" w:bidi="gu-IN"/>
        </w:rPr>
        <w:drawing>
          <wp:inline distT="0" distB="0" distL="0" distR="0" wp14:anchorId="401E8A51" wp14:editId="6EAD263B">
            <wp:extent cx="6410325" cy="3124200"/>
            <wp:effectExtent l="0" t="0" r="9525" b="0"/>
            <wp:docPr id="889849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849199" name="Picture 1"/>
                    <pic:cNvPicPr>
                      <a:picLocks noChangeAspect="1"/>
                    </pic:cNvPicPr>
                  </pic:nvPicPr>
                  <pic:blipFill>
                    <a:blip r:embed="rId9"/>
                    <a:stretch>
                      <a:fillRect/>
                    </a:stretch>
                  </pic:blipFill>
                  <pic:spPr>
                    <a:xfrm>
                      <a:off x="0" y="0"/>
                      <a:ext cx="6411488" cy="3124766"/>
                    </a:xfrm>
                    <a:prstGeom prst="rect">
                      <a:avLst/>
                    </a:prstGeom>
                  </pic:spPr>
                </pic:pic>
              </a:graphicData>
            </a:graphic>
          </wp:inline>
        </w:drawing>
      </w:r>
    </w:p>
    <w:p w14:paraId="414E7C95" w14:textId="77777777" w:rsidR="003A21A3" w:rsidRPr="003A21A3" w:rsidRDefault="003A21A3" w:rsidP="0049434F">
      <w:pPr>
        <w:spacing w:line="360" w:lineRule="auto"/>
        <w:jc w:val="both"/>
        <w:rPr>
          <w:rFonts w:ascii="Arial" w:hAnsi="Arial" w:cs="Arial"/>
          <w:sz w:val="24"/>
          <w:szCs w:val="24"/>
        </w:rPr>
      </w:pPr>
    </w:p>
    <w:p w14:paraId="7B0E343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Image 1. Hofstede's cultural dimensions for Japan and India. Source (The Cultural Factor Group, 2026)</w:t>
      </w:r>
    </w:p>
    <w:p w14:paraId="6AF55AB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As per the image above, the power distance in Japan is moderate (54) and high in India (77). This dimension stands for the extent to which low-status people expect and accept the fact that power is unequally distributed in society (Żemojtel-Piotrowska &amp; Piotrowski, 2023). As a result, Toyota is focused on marketing its premium vehicles such as Fortuner and Camry Hybrid as a symbol of prestige and status. Therefore, the consumers in Japan are more focused on product quality, reliability and technological innovation. Whereas in India, vehicle ownership is often viewed as a symbol of professional success and social achievement (Meena et al., 2021). India has a very high collectivist culture, whereas Japan showcases moderate individualism. Therefore, Japanese consumers' purchasing decisions are based on product quality, </w:t>
      </w:r>
      <w:r w:rsidRPr="003A21A3">
        <w:rPr>
          <w:rFonts w:ascii="Arial" w:hAnsi="Arial" w:cs="Arial"/>
          <w:sz w:val="24"/>
          <w:szCs w:val="24"/>
        </w:rPr>
        <w:lastRenderedPageBreak/>
        <w:t xml:space="preserve">safety, innovation and needs. At the same time, in India, family members play an important role in purchase decisions. As a result, Toyota promotes Multipurpose vehicles and SUVs such as the Toyota Hycross as a family car in India. Masculinity is the extent to which societies value competition, achievement, and material success (Vasile, 2016). In India, consumers perceive larger SUVs and premium vehicles as indicators of financial success and professional status. </w:t>
      </w:r>
    </w:p>
    <w:p w14:paraId="61A64F1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Uncertainty avoidance is very high in Japan (92) and low in India (40). As a result, the consumers in Japan prefer detailed product descriptions, proven technology, and strong after-sales service before making any purchasing decisions (Lin &amp; Kalwani, 2018). Whereas in India, consumers value reliability, with more focus on affordability and better value for money. High uncertainty avoidance means Toyota in Japan should emphasise warranty, reliability, after-sales service and safety, whereas in India it can focus on affordability, finance schemes and family benefits. Japan has an exceptionally strong long-term orientation, whereas India has relatively moderate long-term orientation. This signifies that Japan has a longer ownership cycle that leads to better maintenance and after-sales service expectations, whereas India has growing first-time buyers who include resale value and fuel economy. Similarly, in the case of indulgence, both India and Japan have a restraint culture, with India having a greater restraint culture than Japan. In both cultures, consumers value responsibility, self-control and practical decision-making over luxury consumption. </w:t>
      </w:r>
    </w:p>
    <w:p w14:paraId="4434DDC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Overall, the consumers in Japan give priority to innovation, reliability, long-term quality and after-sales services. The consumers in India place greater importance on family needs, affordability, social status, and value for money. </w:t>
      </w:r>
    </w:p>
    <w:p w14:paraId="3B2CEC84" w14:textId="77777777" w:rsidR="003A21A3" w:rsidRPr="003A21A3" w:rsidRDefault="003A21A3" w:rsidP="0049434F">
      <w:pPr>
        <w:pStyle w:val="Heading1"/>
        <w:rPr>
          <w:rFonts w:ascii="Arial" w:hAnsi="Arial" w:cs="Arial"/>
          <w:sz w:val="24"/>
          <w:szCs w:val="24"/>
        </w:rPr>
      </w:pPr>
      <w:bookmarkStart w:id="4" w:name="_Toc237514912"/>
      <w:r w:rsidRPr="003A21A3">
        <w:rPr>
          <w:rFonts w:ascii="Arial" w:hAnsi="Arial" w:cs="Arial"/>
          <w:sz w:val="24"/>
          <w:szCs w:val="24"/>
        </w:rPr>
        <w:t>3. Segmentation, Targeting and Positioning (STP) Analysis</w:t>
      </w:r>
      <w:bookmarkEnd w:id="4"/>
    </w:p>
    <w:p w14:paraId="457A59E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Segmentation, Targeting and Positioning (STP) are critical for effective international marketing strategy. According to DeSarbo et al. (2017), the STP process is the foundation of all marketing strategies. As Toyota has operations in both markets, it adopts different STP strategies in both markets.</w:t>
      </w:r>
    </w:p>
    <w:p w14:paraId="01D78D2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noProof/>
          <w:sz w:val="24"/>
          <w:szCs w:val="24"/>
          <w:lang w:eastAsia="en-IN" w:bidi="gu-IN"/>
        </w:rPr>
        <w:lastRenderedPageBreak/>
        <w:drawing>
          <wp:inline distT="0" distB="0" distL="0" distR="0" wp14:anchorId="03A0995A" wp14:editId="4327C52C">
            <wp:extent cx="4876800" cy="2026920"/>
            <wp:effectExtent l="0" t="0" r="0" b="0"/>
            <wp:docPr id="1604850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850818" name="Picture 1"/>
                    <pic:cNvPicPr>
                      <a:picLocks noChangeAspect="1"/>
                    </pic:cNvPicPr>
                  </pic:nvPicPr>
                  <pic:blipFill>
                    <a:blip r:embed="rId10"/>
                    <a:stretch>
                      <a:fillRect/>
                    </a:stretch>
                  </pic:blipFill>
                  <pic:spPr>
                    <a:xfrm>
                      <a:off x="0" y="0"/>
                      <a:ext cx="4877223" cy="2027096"/>
                    </a:xfrm>
                    <a:prstGeom prst="rect">
                      <a:avLst/>
                    </a:prstGeom>
                  </pic:spPr>
                </pic:pic>
              </a:graphicData>
            </a:graphic>
          </wp:inline>
        </w:drawing>
      </w:r>
    </w:p>
    <w:p w14:paraId="454E8DF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Image 2. STP process. Source (DeSarbo, et al., 2017)</w:t>
      </w:r>
    </w:p>
    <w:p w14:paraId="71A85E0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All three strategies are discussed in detail below.</w:t>
      </w:r>
    </w:p>
    <w:p w14:paraId="632BE63E" w14:textId="77777777" w:rsidR="003A21A3" w:rsidRPr="003A21A3" w:rsidRDefault="003A21A3" w:rsidP="0049434F">
      <w:pPr>
        <w:pStyle w:val="Heading2"/>
        <w:rPr>
          <w:rFonts w:ascii="Arial" w:hAnsi="Arial" w:cs="Arial"/>
          <w:sz w:val="24"/>
          <w:szCs w:val="24"/>
        </w:rPr>
      </w:pPr>
      <w:bookmarkStart w:id="5" w:name="_Toc237514913"/>
      <w:r w:rsidRPr="003A21A3">
        <w:rPr>
          <w:rFonts w:ascii="Arial" w:hAnsi="Arial" w:cs="Arial"/>
          <w:sz w:val="24"/>
          <w:szCs w:val="24"/>
        </w:rPr>
        <w:t>3.1 Segmentation</w:t>
      </w:r>
      <w:bookmarkEnd w:id="5"/>
    </w:p>
    <w:p w14:paraId="262CBF4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Segmentation is the first step in the STP strategy. Wibowo and Zebua (2025) define segmentation as the process of dividing a market into groups of consumers who have similar needs, characteristics or behaviour. Toyota uses demographic, geographic, psychographic and behavioural segmentation as the basis in both Japan and India. </w:t>
      </w:r>
    </w:p>
    <w:p w14:paraId="1DB1D53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In Japan, Toyota uses income level, life stage, sustainability consciousness and patterns of vehicle usage as primary segments. Japan is a mature, high-income economy with widespread vehicle ownership. Consumers are looking for technologically advanced, premium quality and environmentally friendly vehicles. In the case of India, the wider segmentation strategy is due to the diverse socio-economic conditions in the country. The demographic segmentation is based on household income, where the organisation targets middle-income to affluent income groups. Family size also influences segmentation as large families often require multi-purpose vehicles (MPVs) such as the Innova HyCross. According to Mathur et al. (2018), consumer buying behaviour is influenced by type and brand image. This helps the brand in behavioural segmentation, as first-time buyers mostly look for affordable and fuel-efficient vehicles and commercial and fleet buyers look for durability and long-term reliability. </w:t>
      </w:r>
    </w:p>
    <w:p w14:paraId="4A4D661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According to Tanaka et al. (2014), in Japan there is a high penetration of alternative-fuel vehicles. Environmentally conscious consumers are increasingly looking for hybrid and hydrogen-powered vehicles. Similarly, urban commuters are looking for </w:t>
      </w:r>
      <w:r w:rsidRPr="003A21A3">
        <w:rPr>
          <w:rFonts w:ascii="Arial" w:hAnsi="Arial" w:cs="Arial"/>
          <w:sz w:val="24"/>
          <w:szCs w:val="24"/>
        </w:rPr>
        <w:lastRenderedPageBreak/>
        <w:t xml:space="preserve">compact, fuel-efficient models that are suited for urban living. To satisfy these market segments, Toyota offers vehicles such as the Toyota Prius, Corolla hybrid and Yaris hybrid in Japan. </w:t>
      </w:r>
    </w:p>
    <w:p w14:paraId="1652424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Comparing the segmentation strategies, it is clear that Japan's segmentation is narrower and value-based; it is built around a small number of well-defined psychographic groups, which is appropriate as the market is mature and Toyota is already dominant in the industry. At the same time, in India, the segmentation is broader and income-tiered, which is justified given the affordability gap in the country.</w:t>
      </w:r>
    </w:p>
    <w:p w14:paraId="6CC60B17" w14:textId="77777777" w:rsidR="003A21A3" w:rsidRPr="003A21A3" w:rsidRDefault="003A21A3" w:rsidP="0049434F">
      <w:pPr>
        <w:pStyle w:val="Heading2"/>
        <w:rPr>
          <w:rFonts w:ascii="Arial" w:hAnsi="Arial" w:cs="Arial"/>
          <w:sz w:val="24"/>
          <w:szCs w:val="24"/>
        </w:rPr>
      </w:pPr>
      <w:bookmarkStart w:id="6" w:name="_Toc237514914"/>
      <w:r w:rsidRPr="003A21A3">
        <w:rPr>
          <w:rFonts w:ascii="Arial" w:hAnsi="Arial" w:cs="Arial"/>
          <w:sz w:val="24"/>
          <w:szCs w:val="24"/>
        </w:rPr>
        <w:t>3.2 Targeting</w:t>
      </w:r>
      <w:bookmarkEnd w:id="6"/>
    </w:p>
    <w:p w14:paraId="04A4550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Kotler defined targeting as choosing one or two market segments to enter or how to optimise a market (Ningrum &amp; Hasmarini, 2024). Following the segmentation, Toyota targets the group of customers that offers the greatest growth potential in both markets. </w:t>
      </w:r>
    </w:p>
    <w:p w14:paraId="2F5E1E0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In Japan, Toyota targets the consumers who are environmentally conscious and safety-conscious. Post-2006, the organisation has focused on serving a low-carbon society in Japan (Toyota Global, 2012). At the same time, in India, the company focuses on middle-class families who are value-conscious and put greater emphasis on affordability, practicality, and low maintenance costs. Toyota also targets fleet operators and commercial buyers specifically through vehicles such as Innova, which are widely used by taxi companies and corporate transport providers. Japanese customers have higher purchasing power and are motivated to invest in technologically superior vehicles that are superior in quality, safety and sustainability. </w:t>
      </w:r>
    </w:p>
    <w:p w14:paraId="48B3708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key models sold in India are presented below. </w:t>
      </w:r>
    </w:p>
    <w:p w14:paraId="26F1A1E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noProof/>
          <w:sz w:val="24"/>
          <w:szCs w:val="24"/>
          <w:lang w:eastAsia="en-IN" w:bidi="gu-IN"/>
        </w:rPr>
        <w:lastRenderedPageBreak/>
        <w:drawing>
          <wp:inline distT="0" distB="0" distL="0" distR="0" wp14:anchorId="67C3FAA7" wp14:editId="6473D86B">
            <wp:extent cx="5731510" cy="3458845"/>
            <wp:effectExtent l="0" t="0" r="2540" b="8255"/>
            <wp:docPr id="775480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480279" name="Picture 1"/>
                    <pic:cNvPicPr>
                      <a:picLocks noChangeAspect="1"/>
                    </pic:cNvPicPr>
                  </pic:nvPicPr>
                  <pic:blipFill>
                    <a:blip r:embed="rId11"/>
                    <a:stretch>
                      <a:fillRect/>
                    </a:stretch>
                  </pic:blipFill>
                  <pic:spPr>
                    <a:xfrm>
                      <a:off x="0" y="0"/>
                      <a:ext cx="5731510" cy="3458845"/>
                    </a:xfrm>
                    <a:prstGeom prst="rect">
                      <a:avLst/>
                    </a:prstGeom>
                  </pic:spPr>
                </pic:pic>
              </a:graphicData>
            </a:graphic>
          </wp:inline>
        </w:drawing>
      </w:r>
    </w:p>
    <w:p w14:paraId="1EDDA64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Image 3. No. of cars sold in India 2024. Source (Statista Research Department, 2025)</w:t>
      </w:r>
    </w:p>
    <w:p w14:paraId="384035C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differentiated targeting approach of Toyota is evident and justified as, in Japan, Toyota has a more premium image among a mature and wealthy consumer base. While in India, the brand is targeting value-conscious consumers and fleet commercial vehicles such as the Toyota Innova, diversifying its revenue from different income groups. </w:t>
      </w:r>
    </w:p>
    <w:p w14:paraId="125BDA2E" w14:textId="77777777" w:rsidR="003A21A3" w:rsidRPr="003A21A3" w:rsidRDefault="003A21A3" w:rsidP="0049434F">
      <w:pPr>
        <w:pStyle w:val="Heading2"/>
        <w:rPr>
          <w:rFonts w:ascii="Arial" w:hAnsi="Arial" w:cs="Arial"/>
          <w:sz w:val="24"/>
          <w:szCs w:val="24"/>
        </w:rPr>
      </w:pPr>
      <w:bookmarkStart w:id="7" w:name="_Toc237514915"/>
      <w:r w:rsidRPr="003A21A3">
        <w:rPr>
          <w:rFonts w:ascii="Arial" w:hAnsi="Arial" w:cs="Arial"/>
          <w:sz w:val="24"/>
          <w:szCs w:val="24"/>
        </w:rPr>
        <w:t>3.3 Positioning</w:t>
      </w:r>
      <w:bookmarkEnd w:id="7"/>
    </w:p>
    <w:p w14:paraId="68CDC3B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Positioning is critical for every organisation to distinguish itself from the competition. According to Ningrum and Hasmarini (2024), positioning refers to the act of designing a company's offer and image so that it occupies a distinctive position in the mind of its customers. The Toyota core positioning of reliability is consistent for both the countries Japan and India. Toyota's practices of Customer first, Challenge, Kaizen, Genchi genbutsu (go and see to understand), Shitsujitsu goken (use money and time wisely and avoid waste), Teamwork, Ownership and responsibility, Humility and gratitude and integrity are heavily emphasised (Béndek, 2016). Toyota follows these practices both in India and Japan. </w:t>
      </w:r>
    </w:p>
    <w:p w14:paraId="38DB303B" w14:textId="77777777" w:rsidR="003A21A3" w:rsidRPr="003A21A3" w:rsidRDefault="003A21A3" w:rsidP="0049434F">
      <w:pPr>
        <w:pStyle w:val="NormalWeb"/>
        <w:spacing w:line="360" w:lineRule="auto"/>
        <w:jc w:val="both"/>
        <w:rPr>
          <w:rFonts w:ascii="Arial" w:hAnsi="Arial" w:cs="Arial"/>
        </w:rPr>
      </w:pPr>
      <w:r w:rsidRPr="003A21A3">
        <w:rPr>
          <w:rFonts w:ascii="Arial" w:hAnsi="Arial" w:cs="Arial"/>
          <w:noProof/>
          <w:lang w:bidi="gu-IN"/>
        </w:rPr>
        <w:lastRenderedPageBreak/>
        <w:drawing>
          <wp:inline distT="0" distB="0" distL="0" distR="0" wp14:anchorId="4B427576" wp14:editId="4FA0FB9E">
            <wp:extent cx="5731510" cy="4051935"/>
            <wp:effectExtent l="0" t="0" r="2540" b="5715"/>
            <wp:docPr id="12285158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515856"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a:noFill/>
                    <a:ln>
                      <a:noFill/>
                    </a:ln>
                  </pic:spPr>
                </pic:pic>
              </a:graphicData>
            </a:graphic>
          </wp:inline>
        </w:drawing>
      </w:r>
    </w:p>
    <w:p w14:paraId="4BD629F7" w14:textId="77777777" w:rsidR="003A21A3" w:rsidRPr="003A21A3" w:rsidRDefault="003A21A3" w:rsidP="0049434F">
      <w:pPr>
        <w:pStyle w:val="NormalWeb"/>
        <w:spacing w:line="360" w:lineRule="auto"/>
        <w:jc w:val="both"/>
        <w:rPr>
          <w:rFonts w:ascii="Arial" w:hAnsi="Arial" w:cs="Arial"/>
        </w:rPr>
      </w:pPr>
      <w:r w:rsidRPr="003A21A3">
        <w:rPr>
          <w:rFonts w:ascii="Arial" w:hAnsi="Arial" w:cs="Arial"/>
        </w:rPr>
        <w:t>Image 4. Positioning map of Toyota. Source (Author)</w:t>
      </w:r>
    </w:p>
    <w:p w14:paraId="7214BD1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In terms of competitive positioning, Toyota is a market leader in Japan with key competitors such as Honda, Nissan, etc (Toyota Motors, 2026). Whereas, in India it is one of the mainstream premium brands but has a smaller market share in comparison to competitors such as Maruti Suzuki, Kia, Tata Motors, Hyundai etc. </w:t>
      </w:r>
    </w:p>
    <w:p w14:paraId="20A75627" w14:textId="77777777" w:rsidR="003A21A3" w:rsidRPr="003A21A3" w:rsidRDefault="003A21A3" w:rsidP="0049434F">
      <w:pPr>
        <w:pStyle w:val="Heading1"/>
        <w:rPr>
          <w:rFonts w:ascii="Arial" w:hAnsi="Arial" w:cs="Arial"/>
          <w:sz w:val="24"/>
          <w:szCs w:val="24"/>
          <w:lang w:val="en-IN"/>
        </w:rPr>
      </w:pPr>
      <w:bookmarkStart w:id="8" w:name="_Toc237514916"/>
      <w:r w:rsidRPr="003A21A3">
        <w:rPr>
          <w:rFonts w:ascii="Arial" w:hAnsi="Arial" w:cs="Arial"/>
          <w:sz w:val="24"/>
          <w:szCs w:val="24"/>
        </w:rPr>
        <w:t>4. Toyota Marketing Mix</w:t>
      </w:r>
      <w:bookmarkEnd w:id="8"/>
    </w:p>
    <w:p w14:paraId="4EA0E99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Product, Price, Place, Promotion, People, Process and Physical Evidence (7P framework) are critical for understanding the marketing strategic decisions of Toyota in both countries. According to Išoraitė (2016), marketing mix is the interrelated actions and solutions to meet customer needs and to achieve the company's marketing goals. The marketing mix of the organisation for both countries is discussed in detail below. </w:t>
      </w:r>
    </w:p>
    <w:tbl>
      <w:tblPr>
        <w:tblStyle w:val="TableGrid"/>
        <w:tblW w:w="0" w:type="auto"/>
        <w:tblLook w:val="04A0" w:firstRow="1" w:lastRow="0" w:firstColumn="1" w:lastColumn="0" w:noHBand="0" w:noVBand="1"/>
      </w:tblPr>
      <w:tblGrid>
        <w:gridCol w:w="3005"/>
        <w:gridCol w:w="3005"/>
        <w:gridCol w:w="3006"/>
      </w:tblGrid>
      <w:tr w:rsidR="003A21A3" w:rsidRPr="003A21A3" w14:paraId="0980B4C0" w14:textId="77777777" w:rsidTr="00312406">
        <w:tc>
          <w:tcPr>
            <w:tcW w:w="3005" w:type="dxa"/>
          </w:tcPr>
          <w:p w14:paraId="0E2D198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Marketing Mix</w:t>
            </w:r>
          </w:p>
        </w:tc>
        <w:tc>
          <w:tcPr>
            <w:tcW w:w="3005" w:type="dxa"/>
          </w:tcPr>
          <w:p w14:paraId="7338E5D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Japan</w:t>
            </w:r>
          </w:p>
        </w:tc>
        <w:tc>
          <w:tcPr>
            <w:tcW w:w="3006" w:type="dxa"/>
          </w:tcPr>
          <w:p w14:paraId="68D68A33"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India</w:t>
            </w:r>
          </w:p>
        </w:tc>
      </w:tr>
      <w:tr w:rsidR="003A21A3" w:rsidRPr="003A21A3" w14:paraId="50A21233" w14:textId="77777777" w:rsidTr="00312406">
        <w:tc>
          <w:tcPr>
            <w:tcW w:w="3005" w:type="dxa"/>
          </w:tcPr>
          <w:p w14:paraId="29A2E4A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Product</w:t>
            </w:r>
          </w:p>
        </w:tc>
        <w:tc>
          <w:tcPr>
            <w:tcW w:w="3005" w:type="dxa"/>
          </w:tcPr>
          <w:p w14:paraId="692A5EF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Offers a wider range of products including compact cars, luxury cars, </w:t>
            </w:r>
            <w:r w:rsidRPr="003A21A3">
              <w:rPr>
                <w:rFonts w:ascii="Arial" w:hAnsi="Arial" w:cs="Arial"/>
                <w:sz w:val="24"/>
                <w:szCs w:val="24"/>
              </w:rPr>
              <w:lastRenderedPageBreak/>
              <w:t>hybrids, and mobility services (Toyota Japan, 2026).</w:t>
            </w:r>
          </w:p>
        </w:tc>
        <w:tc>
          <w:tcPr>
            <w:tcW w:w="3006" w:type="dxa"/>
          </w:tcPr>
          <w:p w14:paraId="1989049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Dual product strategy</w:t>
            </w:r>
          </w:p>
          <w:p w14:paraId="3881E1C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Toyota MPV/SUV built locally (Toyota India, 2026). </w:t>
            </w:r>
          </w:p>
          <w:p w14:paraId="69C08A9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Batch-engineered cars</w:t>
            </w:r>
          </w:p>
          <w:p w14:paraId="1A913B7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Imported premium models.</w:t>
            </w:r>
          </w:p>
        </w:tc>
      </w:tr>
      <w:tr w:rsidR="003A21A3" w:rsidRPr="003A21A3" w14:paraId="01BF40FB" w14:textId="77777777" w:rsidTr="00312406">
        <w:tc>
          <w:tcPr>
            <w:tcW w:w="3005" w:type="dxa"/>
          </w:tcPr>
          <w:p w14:paraId="74A1188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Price</w:t>
            </w:r>
          </w:p>
        </w:tc>
        <w:tc>
          <w:tcPr>
            <w:tcW w:w="3005" w:type="dxa"/>
          </w:tcPr>
          <w:p w14:paraId="6337B3E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Pricing is structured around engine displacements and weight-based tax bands (Linchpin, 2026). </w:t>
            </w:r>
          </w:p>
        </w:tc>
        <w:tc>
          <w:tcPr>
            <w:tcW w:w="3006" w:type="dxa"/>
          </w:tcPr>
          <w:p w14:paraId="6AFCDD3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Value-based pricing offers financing schemes, along with competitive pricing (Toyota Financial Services, 2026).</w:t>
            </w:r>
          </w:p>
        </w:tc>
      </w:tr>
      <w:tr w:rsidR="003A21A3" w:rsidRPr="003A21A3" w14:paraId="49CC6506" w14:textId="77777777" w:rsidTr="00312406">
        <w:tc>
          <w:tcPr>
            <w:tcW w:w="3005" w:type="dxa"/>
          </w:tcPr>
          <w:p w14:paraId="212C811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Promotion</w:t>
            </w:r>
          </w:p>
        </w:tc>
        <w:tc>
          <w:tcPr>
            <w:tcW w:w="3005" w:type="dxa"/>
          </w:tcPr>
          <w:p w14:paraId="43608FF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Promotions are based on corporate branding, environmental sustainability, innovation, etc. They use taglines such as "Fun to Drive, Again" and "One and Only Toyota" (Toyota Japan, 2020).</w:t>
            </w:r>
          </w:p>
        </w:tc>
        <w:tc>
          <w:tcPr>
            <w:tcW w:w="3006" w:type="dxa"/>
          </w:tcPr>
          <w:p w14:paraId="6A7FF44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Uses all the digital and traditional modes for advertisement. The organisation has started pushing hybrid models in India by using taglines such as "Enjoy the nil road tax offer" and "Say Goodbye to Diesel" (Sharma &amp; Kalra, 2024).</w:t>
            </w:r>
          </w:p>
        </w:tc>
      </w:tr>
      <w:tr w:rsidR="003A21A3" w:rsidRPr="003A21A3" w14:paraId="0EA1EE8B" w14:textId="77777777" w:rsidTr="00312406">
        <w:tc>
          <w:tcPr>
            <w:tcW w:w="3005" w:type="dxa"/>
          </w:tcPr>
          <w:p w14:paraId="414C675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Place</w:t>
            </w:r>
          </w:p>
        </w:tc>
        <w:tc>
          <w:tcPr>
            <w:tcW w:w="3005" w:type="dxa"/>
          </w:tcPr>
          <w:p w14:paraId="2B25CF2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Toyota is available in almost every city in Japan. Till 2020, there were more than 5000 dealerships in Japan (Japanese Nostalgic Cars, 2020).</w:t>
            </w:r>
          </w:p>
        </w:tc>
        <w:tc>
          <w:tcPr>
            <w:tcW w:w="3006" w:type="dxa"/>
          </w:tcPr>
          <w:p w14:paraId="64899EE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The organisation has an extensive dealership and service network across metropolitan cities, which is extending to tier 2 and 3 cities (170 + dealers) (Toyota Trust, 2026).</w:t>
            </w:r>
          </w:p>
        </w:tc>
      </w:tr>
      <w:tr w:rsidR="003A21A3" w:rsidRPr="003A21A3" w14:paraId="48B2BA9B" w14:textId="77777777" w:rsidTr="00312406">
        <w:tc>
          <w:tcPr>
            <w:tcW w:w="3005" w:type="dxa"/>
          </w:tcPr>
          <w:p w14:paraId="7549102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People</w:t>
            </w:r>
          </w:p>
        </w:tc>
        <w:tc>
          <w:tcPr>
            <w:tcW w:w="3005" w:type="dxa"/>
          </w:tcPr>
          <w:p w14:paraId="0EFE8BB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A strong people-first philosophy is followed with highly trained employees (Toyota Asia, 2024).</w:t>
            </w:r>
          </w:p>
        </w:tc>
        <w:tc>
          <w:tcPr>
            <w:tcW w:w="3006" w:type="dxa"/>
          </w:tcPr>
          <w:p w14:paraId="56424DE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Customer relationship manager, trained dealership staff, certified technicians.</w:t>
            </w:r>
          </w:p>
        </w:tc>
      </w:tr>
      <w:tr w:rsidR="003A21A3" w:rsidRPr="003A21A3" w14:paraId="6514410D" w14:textId="77777777" w:rsidTr="00312406">
        <w:tc>
          <w:tcPr>
            <w:tcW w:w="3005" w:type="dxa"/>
          </w:tcPr>
          <w:p w14:paraId="0BADAE8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Process</w:t>
            </w:r>
          </w:p>
        </w:tc>
        <w:tc>
          <w:tcPr>
            <w:tcW w:w="3005" w:type="dxa"/>
          </w:tcPr>
          <w:p w14:paraId="210DC2F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Birthplace of the Toyota Production System (TPS). This is coupled with the Just-in-Time supply chain and Jidoka (Toyota Global, 2026).</w:t>
            </w:r>
          </w:p>
        </w:tc>
        <w:tc>
          <w:tcPr>
            <w:tcW w:w="3006" w:type="dxa"/>
          </w:tcPr>
          <w:p w14:paraId="27FE627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TPS in India is adapted to Indian conditions at the Bidadi plant to increase localisation and reduce imports of vehicles. TPS, kanban and heijunka are some of the processes adopted in the Indian plant (Terra Insights, 2026).</w:t>
            </w:r>
          </w:p>
        </w:tc>
      </w:tr>
      <w:tr w:rsidR="003A21A3" w:rsidRPr="003A21A3" w14:paraId="65502FFC" w14:textId="77777777" w:rsidTr="00312406">
        <w:tc>
          <w:tcPr>
            <w:tcW w:w="3005" w:type="dxa"/>
          </w:tcPr>
          <w:p w14:paraId="5510770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Physical Evidence</w:t>
            </w:r>
          </w:p>
        </w:tc>
        <w:tc>
          <w:tcPr>
            <w:tcW w:w="3005" w:type="dxa"/>
          </w:tcPr>
          <w:p w14:paraId="73B3F3B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Minimum precision-oriented showroom design that showcases engineering credibility </w:t>
            </w:r>
          </w:p>
        </w:tc>
        <w:tc>
          <w:tcPr>
            <w:tcW w:w="3006" w:type="dxa"/>
          </w:tcPr>
          <w:p w14:paraId="5999334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Modern showrooms. The Bidadi plant showcases physical evidence of community support and environmental concerns (Toyota India, 2026).</w:t>
            </w:r>
          </w:p>
        </w:tc>
      </w:tr>
    </w:tbl>
    <w:p w14:paraId="504DBB8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Table 1. The marketing mix of Toyota in Japan and India. Source (Author)</w:t>
      </w:r>
    </w:p>
    <w:p w14:paraId="5120E45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comparison shows that the marketing mix of the organisation varies in both countries. Culture and the business environment play a very important role. Japan's product range is vast in comparison with that of India. Similarly, the dealer network is also vast in Japan (5000) in comparison with that of India (170). The organisation also tries to replicate its philosophy in terms of processes and physical evidence but changes it according to the local customers and taxation system. The pricing in both markets also varies as India values affordability and Japanese consumers look for comfort, safety and sustainability. </w:t>
      </w:r>
    </w:p>
    <w:p w14:paraId="75E5C34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When evaluated against the PESTLE and Hofstede's analysis, the marketing mix strategy of Toyota appears appropriate rather than arbitrary in both countries. The product and pricing strategy is focused on the economic gap identified between the countries (PESTLE analysis). The promotion reflects the uncertainty avoidance culture in Japan and the social status-conscious and family-collectivist culture of India. The place strategy in India requires further refinement as a 170-dealer network is very sparse for a large geography such as India. </w:t>
      </w:r>
    </w:p>
    <w:p w14:paraId="0A82B3C0" w14:textId="77777777" w:rsidR="003A21A3" w:rsidRPr="003A21A3" w:rsidRDefault="003A21A3" w:rsidP="0049434F">
      <w:pPr>
        <w:spacing w:line="360" w:lineRule="auto"/>
        <w:jc w:val="both"/>
        <w:rPr>
          <w:rFonts w:ascii="Arial" w:hAnsi="Arial" w:cs="Arial"/>
          <w:sz w:val="24"/>
          <w:szCs w:val="24"/>
        </w:rPr>
      </w:pPr>
    </w:p>
    <w:p w14:paraId="53367E94" w14:textId="77777777" w:rsidR="003A21A3" w:rsidRPr="003A21A3" w:rsidRDefault="003A21A3" w:rsidP="0049434F">
      <w:pPr>
        <w:pStyle w:val="Heading1"/>
        <w:rPr>
          <w:rFonts w:ascii="Arial" w:hAnsi="Arial" w:cs="Arial"/>
          <w:sz w:val="24"/>
          <w:szCs w:val="24"/>
          <w:lang w:val="en-IN"/>
        </w:rPr>
      </w:pPr>
      <w:bookmarkStart w:id="9" w:name="_Toc237514917"/>
      <w:r w:rsidRPr="003A21A3">
        <w:rPr>
          <w:rFonts w:ascii="Arial" w:hAnsi="Arial" w:cs="Arial"/>
          <w:sz w:val="24"/>
          <w:szCs w:val="24"/>
          <w:lang w:val="en-IN"/>
        </w:rPr>
        <w:lastRenderedPageBreak/>
        <w:t>5. Market entry strategy: India</w:t>
      </w:r>
      <w:bookmarkEnd w:id="9"/>
    </w:p>
    <w:p w14:paraId="6CA2C59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With increasing globalisation and competition in any new market, the decision on a market entry strategy becomes critical. Depending upon the market conditions and the regulations of the country, organisations decide upon the market entry strategy. </w:t>
      </w:r>
    </w:p>
    <w:p w14:paraId="3B82F2D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noProof/>
          <w:sz w:val="24"/>
          <w:szCs w:val="24"/>
          <w:lang w:eastAsia="en-IN" w:bidi="gu-IN"/>
        </w:rPr>
        <w:drawing>
          <wp:inline distT="0" distB="0" distL="0" distR="0" wp14:anchorId="6DE1CEBD" wp14:editId="0AC5098C">
            <wp:extent cx="4511040" cy="2796540"/>
            <wp:effectExtent l="0" t="0" r="3810" b="3810"/>
            <wp:docPr id="1036047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047981" name="Picture 1"/>
                    <pic:cNvPicPr>
                      <a:picLocks noChangeAspect="1"/>
                    </pic:cNvPicPr>
                  </pic:nvPicPr>
                  <pic:blipFill>
                    <a:blip r:embed="rId13"/>
                    <a:stretch>
                      <a:fillRect/>
                    </a:stretch>
                  </pic:blipFill>
                  <pic:spPr>
                    <a:xfrm>
                      <a:off x="0" y="0"/>
                      <a:ext cx="4511431" cy="2796782"/>
                    </a:xfrm>
                    <a:prstGeom prst="rect">
                      <a:avLst/>
                    </a:prstGeom>
                  </pic:spPr>
                </pic:pic>
              </a:graphicData>
            </a:graphic>
          </wp:inline>
        </w:drawing>
      </w:r>
    </w:p>
    <w:p w14:paraId="29AA285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Image 5. Market entry strategic options. Source (Dinu, 2018)</w:t>
      </w:r>
    </w:p>
    <w:p w14:paraId="7FDAB1C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entered India by establishing a joint venture between Toyota Motor Company and Kirloskar Group (Financial Express, 2023). According to Dinu (2018), a joint venture is a partnership arrangement where two firms contribute capital to a newly created body that they operate either together or through a distinct management structure which is accountable to the parent establishment, or where an international company and a local firm enter into a common partnership arrangement and run the joint venture as a partnership. This entry mode helped Toyota gain access to one of the fastest-growing automobile markets in the world. Furthermore, it benefited from the local knowledge and business experience of the Kirloskar Group (Balachandran, 2022). At the time of entry, India's automotive market was characterised by complex regulations, evolving regulatory policies, limited infrastructure and intense competition. Partnering with Kirloskar has helped Toyota mitigate these barriers by offering a better understanding of India's business environment, a local supply-chain network and regulatory requirements. </w:t>
      </w:r>
    </w:p>
    <w:p w14:paraId="03E3ECA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Another critical advantage is the development of local manufacturing facilities. Toyota and Kirloskar Motors have developed a new manufacturing plant in Bidadi, Karnataka, </w:t>
      </w:r>
      <w:r w:rsidRPr="003A21A3">
        <w:rPr>
          <w:rFonts w:ascii="Arial" w:hAnsi="Arial" w:cs="Arial"/>
          <w:sz w:val="24"/>
          <w:szCs w:val="24"/>
        </w:rPr>
        <w:lastRenderedPageBreak/>
        <w:t xml:space="preserve">which has helped the organisation in producing the vehicles domestically (Balachandran, 2022). This strategy has also helped the organisation to increase the localisation of components which has led to competitive pricing of the cars manufactured locally rather than importing them. The success of this entry strategy can be seen through the 8% market share that Toyota has captured in India (Economic Times, 2025). However, there are a few disadvantages associated with joint ventures as well. According to Baack et al. (2018), lost or leaked proprietary knowledge is one of the key concerns of the organisation when it comes to joint ventures. Furthermore, partners might misappropriate company assets or break the joint venture and then use the knowledge to succeed in separate, independent business ventures. </w:t>
      </w:r>
    </w:p>
    <w:p w14:paraId="59FA7AC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These complexities have not been faced by Toyota, and the joint venture has proven to be very successful in its case. </w:t>
      </w:r>
    </w:p>
    <w:p w14:paraId="79457318" w14:textId="77777777" w:rsidR="003A21A3" w:rsidRPr="003A21A3" w:rsidRDefault="003A21A3" w:rsidP="0049434F">
      <w:pPr>
        <w:pStyle w:val="Heading1"/>
        <w:rPr>
          <w:rFonts w:ascii="Arial" w:hAnsi="Arial" w:cs="Arial"/>
          <w:sz w:val="24"/>
          <w:szCs w:val="24"/>
          <w:lang w:val="en-IN"/>
        </w:rPr>
      </w:pPr>
      <w:bookmarkStart w:id="10" w:name="_Toc237514918"/>
      <w:r w:rsidRPr="003A21A3">
        <w:rPr>
          <w:rFonts w:ascii="Arial" w:hAnsi="Arial" w:cs="Arial"/>
          <w:sz w:val="24"/>
          <w:szCs w:val="24"/>
          <w:lang w:val="en-IN"/>
        </w:rPr>
        <w:t>6. Ethical Issues in Indian marketing mix</w:t>
      </w:r>
      <w:bookmarkEnd w:id="10"/>
    </w:p>
    <w:p w14:paraId="785D462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Toyota’s marketing mix in India showcases both genuine ethical practices along with initiatives that attract serious ethical issues. </w:t>
      </w:r>
    </w:p>
    <w:p w14:paraId="2D58DEF9" w14:textId="77777777" w:rsidR="003A21A3" w:rsidRPr="003A21A3" w:rsidRDefault="003A21A3" w:rsidP="0049434F">
      <w:pPr>
        <w:pStyle w:val="Heading2"/>
        <w:rPr>
          <w:rFonts w:ascii="Arial" w:hAnsi="Arial" w:cs="Arial"/>
          <w:sz w:val="24"/>
          <w:szCs w:val="24"/>
          <w:lang w:val="en-IN"/>
        </w:rPr>
      </w:pPr>
      <w:bookmarkStart w:id="11" w:name="_Toc237514919"/>
      <w:r w:rsidRPr="003A21A3">
        <w:rPr>
          <w:rFonts w:ascii="Arial" w:hAnsi="Arial" w:cs="Arial"/>
          <w:sz w:val="24"/>
          <w:szCs w:val="24"/>
          <w:lang w:val="en-IN"/>
        </w:rPr>
        <w:t>6.1 Ethical practices</w:t>
      </w:r>
      <w:bookmarkEnd w:id="11"/>
    </w:p>
    <w:p w14:paraId="456EAEB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One of the ethical practices that Toyota has conducted in India is the establishment of the Toyota Technical Training Institute (TTTI). Established in 2007, TTTI has emerged as a model institution for vocational training in India. It offers a three-year fully residential training programme in key trades such as automobile assembly, welding, painting, and mechatronics (Toyota India, 2025). This resonates with strengthening the People/Physical Evidence marketing mix in India. This is an ethical and people-focused initiative which has helped in building genuine local human capital and employability. </w:t>
      </w:r>
    </w:p>
    <w:p w14:paraId="4231FF3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Another ethical initiative by the brand in India is environmental and community investments at Bidadi. Toyota has created an ecozone, which is an experiential environmental learning centre that has spread across 25 acres of land inside the TKM premises (Toyota India, 2026). The Bidadi plant is run on 100% renewable energy, meets around 89% of its water demand through rainwater harvesting and recycling and recycles 96% of its waste (Toyota India, 2021). </w:t>
      </w:r>
    </w:p>
    <w:p w14:paraId="1318E58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noProof/>
          <w:sz w:val="24"/>
          <w:szCs w:val="24"/>
          <w:lang w:eastAsia="en-IN" w:bidi="gu-IN"/>
        </w:rPr>
        <w:lastRenderedPageBreak/>
        <w:drawing>
          <wp:inline distT="0" distB="0" distL="0" distR="0" wp14:anchorId="440BEE17" wp14:editId="18B9C4F8">
            <wp:extent cx="5731510" cy="2652395"/>
            <wp:effectExtent l="0" t="0" r="2540" b="0"/>
            <wp:docPr id="1424560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560514" name="Picture 1"/>
                    <pic:cNvPicPr>
                      <a:picLocks noChangeAspect="1"/>
                    </pic:cNvPicPr>
                  </pic:nvPicPr>
                  <pic:blipFill>
                    <a:blip r:embed="rId14"/>
                    <a:stretch>
                      <a:fillRect/>
                    </a:stretch>
                  </pic:blipFill>
                  <pic:spPr>
                    <a:xfrm>
                      <a:off x="0" y="0"/>
                      <a:ext cx="5731510" cy="2652395"/>
                    </a:xfrm>
                    <a:prstGeom prst="rect">
                      <a:avLst/>
                    </a:prstGeom>
                  </pic:spPr>
                </pic:pic>
              </a:graphicData>
            </a:graphic>
          </wp:inline>
        </w:drawing>
      </w:r>
    </w:p>
    <w:p w14:paraId="3D2A523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Image 6. 100% renewable energy achieved by Toyota India. Source (Toyota India, 2021)</w:t>
      </w:r>
    </w:p>
    <w:p w14:paraId="1BA20B7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This resonates with the product and physical evidence aspects of the marketing mix where Toyota presents products that are ethically produced and is taking care of the community where it is operating, presenting physical evidence of the service done well. </w:t>
      </w:r>
    </w:p>
    <w:p w14:paraId="329D8548" w14:textId="77777777" w:rsidR="003A21A3" w:rsidRPr="003A21A3" w:rsidRDefault="003A21A3" w:rsidP="0049434F">
      <w:pPr>
        <w:pStyle w:val="Heading2"/>
        <w:rPr>
          <w:rFonts w:ascii="Arial" w:hAnsi="Arial" w:cs="Arial"/>
          <w:sz w:val="24"/>
          <w:szCs w:val="24"/>
          <w:lang w:val="en-IN"/>
        </w:rPr>
      </w:pPr>
      <w:bookmarkStart w:id="12" w:name="_Toc237514920"/>
      <w:r w:rsidRPr="003A21A3">
        <w:rPr>
          <w:rFonts w:ascii="Arial" w:hAnsi="Arial" w:cs="Arial"/>
          <w:sz w:val="24"/>
          <w:szCs w:val="24"/>
          <w:lang w:val="en-IN"/>
        </w:rPr>
        <w:t>6.2 Unethical Practices</w:t>
      </w:r>
      <w:bookmarkEnd w:id="12"/>
    </w:p>
    <w:p w14:paraId="600EDA7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Bidadi plant of Toyota Kirloskar has experienced repeated strikes and management-imposed lockdowns, including a prolonged lockdown of 40 days in 2020 (The Economic Times, 2021). Workers have alleged unfair labour practices, including the demand to speed up production, extended work hours and suspension of the union leader. This pattern is unethical and does not sit right against the Toyota Way, which is heavily people-focused. This impacts the marketing mix of people negatively. </w:t>
      </w:r>
    </w:p>
    <w:p w14:paraId="34E01A1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Another example of unethical conduct by the brand is opposing environmental regulations while marketing itself as a responsible brand. In 2015, when the Indian Supreme Court and National Green Tribunal imposed a ban on registration of new large-engine diesel vehicles due to high levels of pollution in Delhi NCR, Toyota publicly condemned the move. While the commercial concerns of the organisation were still understandable, the move was against the global promotional identity of the brand as a green ambassador. This negatively impacts the promotional marketing mix of Toyota in India. </w:t>
      </w:r>
    </w:p>
    <w:p w14:paraId="1455BEC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A more recent criticism of the brand has been raised globally that also impacts India: Greenpeace's criticism of Toyota's biofuel-powered prototype vehicle as a decarbonisation solution, arguing that scaling up biofuel threatens tropical forests, food security and leads to long-term climate change (Eco-Business, 2025). This further undermines the environmental work at the Bidadi plant by the brand, and the initiatives come across as greenwashing. </w:t>
      </w:r>
    </w:p>
    <w:p w14:paraId="388554C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Overall, the ethical performance of Toyota's marketing mix in India is uneven. The brand needs to focus on its environmental and people positioning better. </w:t>
      </w:r>
    </w:p>
    <w:p w14:paraId="6E131B41" w14:textId="77777777" w:rsidR="003A21A3" w:rsidRPr="003A21A3" w:rsidRDefault="003A21A3" w:rsidP="0049434F">
      <w:pPr>
        <w:pStyle w:val="Heading1"/>
        <w:rPr>
          <w:rFonts w:ascii="Arial" w:hAnsi="Arial" w:cs="Arial"/>
          <w:sz w:val="24"/>
          <w:szCs w:val="24"/>
          <w:lang w:val="en-IN"/>
        </w:rPr>
      </w:pPr>
      <w:bookmarkStart w:id="13" w:name="_Toc237514921"/>
      <w:r w:rsidRPr="003A21A3">
        <w:rPr>
          <w:rFonts w:ascii="Arial" w:hAnsi="Arial" w:cs="Arial"/>
          <w:sz w:val="24"/>
          <w:szCs w:val="24"/>
          <w:lang w:val="en-IN"/>
        </w:rPr>
        <w:t>7. Recommendations</w:t>
      </w:r>
      <w:bookmarkEnd w:id="13"/>
    </w:p>
    <w:p w14:paraId="6E09843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Based on all the analysis conducted above, a few recommendations are discussed below that Toyota can follow. </w:t>
      </w:r>
    </w:p>
    <w:p w14:paraId="7E216E7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1. Expansion of EV portfolio in India: to establish its good reputation in India, Toyota can work towards offering affordable electric vehicles (EVs) that are designed specifically for Indian consumers. According to Inamdar (2026), the EV market in India expanded to 25% by March 2026. Expanding the EV fleet will help Toyota compete in the Indian market against competitors such as Tata Motors, Mahindra and MG Motor. This directly addresses the environmental credibility weakness of the organisation. </w:t>
      </w:r>
    </w:p>
    <w:p w14:paraId="6397D89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2. Accelerate localisation of hybrid technology: Similar to South Korea and Japan, Toyota can also focus on accelerating hybrid technology in India to ensure it increases its sustainability commitment across the world (Economic Times, 2024). This will help in expanding its affordable hybrid range by manufacturing in India and will help in capturing the growing middle-class consumers in the country. This addresses the place and product weakness of importing the product from outside India. </w:t>
      </w:r>
    </w:p>
    <w:p w14:paraId="535E1C4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3. Use data analytics: By using digital tools and data analytics consistently, Toyota can better understand the customer journey in both countries. According to Gogua and Smirnova (2020), personalisation and customer experience have a common path. Studying the customer journey and experience will offer Toyota an opportunity to tweak its marketing mix and perfect it according to the country where it operates. This recommendation responds to the analytical and communication gap identified throughout Sections 3, 4 and 6 regarding responding to the needs of consumers. </w:t>
      </w:r>
    </w:p>
    <w:p w14:paraId="5C70E6A7" w14:textId="77777777" w:rsidR="003A21A3" w:rsidRPr="003A21A3" w:rsidRDefault="003A21A3" w:rsidP="0049434F">
      <w:pPr>
        <w:pStyle w:val="Heading1"/>
        <w:rPr>
          <w:rFonts w:ascii="Arial" w:hAnsi="Arial" w:cs="Arial"/>
          <w:sz w:val="24"/>
          <w:szCs w:val="24"/>
          <w:lang w:val="en-IN"/>
        </w:rPr>
      </w:pPr>
      <w:bookmarkStart w:id="14" w:name="_Toc237514922"/>
      <w:r w:rsidRPr="003A21A3">
        <w:rPr>
          <w:rFonts w:ascii="Arial" w:hAnsi="Arial" w:cs="Arial"/>
          <w:sz w:val="24"/>
          <w:szCs w:val="24"/>
          <w:lang w:val="en-IN"/>
        </w:rPr>
        <w:lastRenderedPageBreak/>
        <w:t>8. Conclusion</w:t>
      </w:r>
      <w:bookmarkEnd w:id="14"/>
    </w:p>
    <w:p w14:paraId="724D7A5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To conclude, Toyota Motor Corporation (TMC) is the leading global automobile manufacturer and is known for its diverse range of vehicles, including cars, trucks and hybrids. The organisation has a different marketing strategy in both India and Japan, as both countries have different business environments. Japan's economy is more mature, whereas India's economy is still developing. The consumers of Japan are aged and are looking for sustainability, safety and comfort. In India, the consumers are more status-conscious and are looking for cars that are more fuel-efficient, affordable and easy to maintain. The comparison shows that the marketing mix of the organisation varies in both countries. Culture and the business environment play a very important role. Toyota entered India through a joint venture and has tried to conduct its business ethically. However, the organisation has been accused of greenwashing and putting commercial benefits above people and environmental benefits. The brand needs to introduce hybrid and EV vehicles in India to promote its environmental initiatives further. Finally, the brand needs to study the customer experience and journey and analyse the data to develop its marketing mix according to the country where it operates.</w:t>
      </w:r>
    </w:p>
    <w:p w14:paraId="215B6E78" w14:textId="77777777" w:rsidR="003A21A3" w:rsidRPr="003A21A3" w:rsidRDefault="003A21A3" w:rsidP="0049434F">
      <w:pPr>
        <w:pStyle w:val="Heading1"/>
        <w:rPr>
          <w:rFonts w:ascii="Arial" w:hAnsi="Arial" w:cs="Arial"/>
          <w:sz w:val="24"/>
          <w:szCs w:val="24"/>
          <w:lang w:val="en-IN"/>
        </w:rPr>
      </w:pPr>
      <w:bookmarkStart w:id="15" w:name="_Toc237514923"/>
      <w:r w:rsidRPr="003A21A3">
        <w:rPr>
          <w:rFonts w:ascii="Arial" w:hAnsi="Arial" w:cs="Arial"/>
          <w:sz w:val="24"/>
          <w:szCs w:val="24"/>
          <w:lang w:val="en-IN"/>
        </w:rPr>
        <w:t>Section 2: Reflection</w:t>
      </w:r>
      <w:bookmarkEnd w:id="15"/>
    </w:p>
    <w:p w14:paraId="4BA9A5A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This section reflects on the process of researching, analysing, and preparing all the sections of the international marketing report of Toyota in Japan and India. According to Colomer et al. (2020), professional development is a person's capacity to continuously learn through their ability to reflect, to analyse their experiences in depth, to develop and substantiate knowledge, and to refresh and reevaluate it. This reflection uses Gibbs' reflective cycle as it helps in thinking systematically about the different stages of the learning experience (Thıagraj et al., 2021). All the stages are discussed below. </w:t>
      </w:r>
    </w:p>
    <w:p w14:paraId="4645742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noProof/>
          <w:sz w:val="24"/>
          <w:szCs w:val="24"/>
          <w:lang w:eastAsia="en-IN" w:bidi="gu-IN"/>
        </w:rPr>
        <w:lastRenderedPageBreak/>
        <w:drawing>
          <wp:inline distT="0" distB="0" distL="0" distR="0" wp14:anchorId="29C6250D" wp14:editId="31883E16">
            <wp:extent cx="4648200" cy="2324100"/>
            <wp:effectExtent l="0" t="0" r="0" b="0"/>
            <wp:docPr id="1353583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583760" name="Picture 1"/>
                    <pic:cNvPicPr>
                      <a:picLocks noChangeAspect="1"/>
                    </pic:cNvPicPr>
                  </pic:nvPicPr>
                  <pic:blipFill>
                    <a:blip r:embed="rId15"/>
                    <a:stretch>
                      <a:fillRect/>
                    </a:stretch>
                  </pic:blipFill>
                  <pic:spPr>
                    <a:xfrm>
                      <a:off x="0" y="0"/>
                      <a:ext cx="4648603" cy="2324301"/>
                    </a:xfrm>
                    <a:prstGeom prst="rect">
                      <a:avLst/>
                    </a:prstGeom>
                  </pic:spPr>
                </pic:pic>
              </a:graphicData>
            </a:graphic>
          </wp:inline>
        </w:drawing>
      </w:r>
    </w:p>
    <w:p w14:paraId="7186C12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Image 7. Gibbs Reflective Cycle. Source (Ahmed, 2019)</w:t>
      </w:r>
    </w:p>
    <w:p w14:paraId="59AC0693" w14:textId="77777777" w:rsidR="003A21A3" w:rsidRPr="003A21A3" w:rsidRDefault="003A21A3" w:rsidP="0049434F">
      <w:pPr>
        <w:spacing w:line="360" w:lineRule="auto"/>
        <w:jc w:val="both"/>
        <w:rPr>
          <w:rFonts w:ascii="Arial" w:hAnsi="Arial" w:cs="Arial"/>
          <w:b/>
          <w:bCs/>
          <w:sz w:val="24"/>
          <w:szCs w:val="24"/>
        </w:rPr>
      </w:pPr>
    </w:p>
    <w:p w14:paraId="37850B59"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Description</w:t>
      </w:r>
    </w:p>
    <w:p w14:paraId="061115E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The international marketing assessment offered an opportunity to analyse the international marketing strategy of Toyota in two contrasting Asian markets: Japan (home country) and India (host country). The report examines how differences in the external environment and consumer behaviour impact Toyota's marketing decisions in both countries. I chose Toyota as the organisation is a very successful automobile organisation, and the secondary information available for the organisation was also sufficient. I explored the external environment of the organisation through frameworks such as PESTLE and Hofstede's cultural dimensions. Their impact on the organisation's strategy was studied using STP and 7Ps models. Across this assessment, I conducted extensive secondary research using academic journals, industry reports, and news reports. This report has helped me in understanding how international marketing strategies differ across different markets.</w:t>
      </w:r>
    </w:p>
    <w:p w14:paraId="5882C83D"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Feelings</w:t>
      </w:r>
    </w:p>
    <w:p w14:paraId="2C48AD4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At the beginning of the assignment, I was feeling confident as Toyota is one of the most successful automobile brands in the world. However, as I started the research, I realised that international marketing is more than analysing the products and promotions of an organisation. Many factors play a very important role, including culture, consumer behaviour, market conditions and business strategy. I found the comparison between the two countries challenging as each had its own economic and </w:t>
      </w:r>
      <w:r w:rsidRPr="003A21A3">
        <w:rPr>
          <w:rFonts w:ascii="Arial" w:hAnsi="Arial" w:cs="Arial"/>
          <w:sz w:val="24"/>
          <w:szCs w:val="24"/>
        </w:rPr>
        <w:lastRenderedPageBreak/>
        <w:t xml:space="preserve">cultural characteristics. However, once I was able to analyse the environment successfully, I gained more confidence as I developed a deeper understanding of international marketing concepts. Completing the report gave me a sense of satisfaction and achievement as I was able to analyse a real-world case. </w:t>
      </w:r>
    </w:p>
    <w:p w14:paraId="7B2BF320"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Evaluation</w:t>
      </w:r>
    </w:p>
    <w:p w14:paraId="601B024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 think this report helped me improve both my academic knowledge and research skills. One of the key strengths of this assignment is my extensive research and use of different frameworks such as PESTLE, Hofstede's Cultural Dimensions, STP and the marketing mix. These frameworks provided an opportunity to analyse Toyota's standing in each country extensively. The research improved my ability to compare different markets by comparing different parameters such as consumer behaviour, competition and strategic business decisions. The use of credible sources strengthened the reliability of my analysis and improved my academic writing. However, the report also offered a few challenges. One difficulty was researching, filtering the resources and keeping only the credible sources. Another was maintaining the word count while ensuring that each section remained analytical instead of descriptive. Furthermore, I found time management challenging, specifically when there were multiple assessments from different modules to complete. </w:t>
      </w:r>
    </w:p>
    <w:p w14:paraId="0732DD6C"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Analysis</w:t>
      </w:r>
    </w:p>
    <w:p w14:paraId="45652F3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This assessment showcased that successful international marketing requires maintaining a balance between global standardisation and local adaptation. Before this assignment, I thought that organisations adopt the same marketing strategy globally. However, my research showcased that Toyota has adopted different marketing initiatives in different countries depending on the needs of the local consumers. For example, Hofstede's framework helped me understand how the culture of a country helps in understanding the purchasing behaviour and developing different marketing communications. Furthermore, marketing ethics left a greater impression on my mind as I understood that not all strategies that are presented as sustainability-focused initiatives are received in a similar way by the stakeholders. I also comprehended that strong value-based companies such as Toyota might also face ethical issues in different countries.</w:t>
      </w:r>
    </w:p>
    <w:p w14:paraId="55D1D0B6"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Conclusion</w:t>
      </w:r>
    </w:p>
    <w:p w14:paraId="6D40ADA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Reflecting on this assignment, I understood that research and planning are my strongest aspects. I was able to improve my research skills further by researching and evaluating relevant information from academic journals, company reports and industry publications. The report successfully integrates macro environmental, cultural, strategic and ethical analysis into a coherent comparative argument about Toyota's international marketing strategy in both countries, Japan and India. One of the main learning points from this assessment was using theoretical frameworks as a building block to analyse the business strategy of Toyota in both countries instead of separate, disconnected sections. This assignment also strengthened my academic writing, analytical thinking and referencing skills. Finally, I also understood the importance of time management in ensuring the timely completion of my projects. </w:t>
      </w:r>
    </w:p>
    <w:p w14:paraId="6551FFAF" w14:textId="77777777" w:rsidR="003A21A3" w:rsidRPr="003A21A3" w:rsidRDefault="003A21A3" w:rsidP="0049434F">
      <w:pPr>
        <w:spacing w:line="360" w:lineRule="auto"/>
        <w:jc w:val="both"/>
        <w:rPr>
          <w:rFonts w:ascii="Arial" w:hAnsi="Arial" w:cs="Arial"/>
          <w:b/>
          <w:bCs/>
          <w:sz w:val="24"/>
          <w:szCs w:val="24"/>
        </w:rPr>
      </w:pPr>
      <w:r w:rsidRPr="003A21A3">
        <w:rPr>
          <w:rFonts w:ascii="Arial" w:hAnsi="Arial" w:cs="Arial"/>
          <w:b/>
          <w:bCs/>
          <w:sz w:val="24"/>
          <w:szCs w:val="24"/>
        </w:rPr>
        <w:t>Action Plan</w:t>
      </w:r>
    </w:p>
    <w:p w14:paraId="15CAC2B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This assignment has highlighted multiple areas that I need to improve. I plan to improve my research ability so that I can carry out independent academic research by using a wide range of peer-reviewed journals along with industry databases. To do this, I will try to solve more case studies in the next three months. Second, I will develop my critical analysis skills by joining an online course that would help me solve business problems more critically. Using the frameworks in real-life situations will help me improve the quality of my academic work and also help me tackle more advanced research problems. I also plan to improve my time management skills by using time management applications and the Pomodoro technique. I also plan to continuously reflect on my learning throughout my degree by maintaining a reflective journal and consistently reflecting on my learning. </w:t>
      </w:r>
    </w:p>
    <w:p w14:paraId="1E9C3CF9" w14:textId="77777777" w:rsidR="003A21A3" w:rsidRPr="003A21A3" w:rsidRDefault="003A21A3" w:rsidP="0049434F">
      <w:pPr>
        <w:spacing w:after="0" w:line="360" w:lineRule="auto"/>
        <w:jc w:val="both"/>
        <w:rPr>
          <w:rFonts w:ascii="Arial" w:eastAsiaTheme="majorEastAsia" w:hAnsi="Arial" w:cs="Arial"/>
          <w:b/>
          <w:sz w:val="24"/>
          <w:szCs w:val="24"/>
        </w:rPr>
      </w:pPr>
      <w:r w:rsidRPr="003A21A3">
        <w:rPr>
          <w:rFonts w:ascii="Arial" w:hAnsi="Arial" w:cs="Arial"/>
          <w:sz w:val="24"/>
          <w:szCs w:val="24"/>
        </w:rPr>
        <w:br w:type="page"/>
      </w:r>
    </w:p>
    <w:p w14:paraId="6ADBDE2B" w14:textId="77777777" w:rsidR="003A21A3" w:rsidRPr="003A21A3" w:rsidRDefault="003A21A3" w:rsidP="0049434F">
      <w:pPr>
        <w:pStyle w:val="Heading1"/>
        <w:rPr>
          <w:rFonts w:ascii="Arial" w:hAnsi="Arial" w:cs="Arial"/>
          <w:sz w:val="24"/>
          <w:szCs w:val="24"/>
        </w:rPr>
      </w:pPr>
      <w:bookmarkStart w:id="16" w:name="_Toc237514924"/>
      <w:r w:rsidRPr="003A21A3">
        <w:rPr>
          <w:rFonts w:ascii="Arial" w:hAnsi="Arial" w:cs="Arial"/>
          <w:sz w:val="24"/>
          <w:szCs w:val="24"/>
        </w:rPr>
        <w:lastRenderedPageBreak/>
        <w:t>References</w:t>
      </w:r>
      <w:bookmarkEnd w:id="16"/>
    </w:p>
    <w:p w14:paraId="0FE6FCE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Ahmed, A. (2019) 'Students' reflective journaling: An impactful strategy that informs instructional practices in an EFL writing university context in Qatar', </w:t>
      </w:r>
      <w:r w:rsidRPr="003A21A3">
        <w:rPr>
          <w:rFonts w:ascii="Arial" w:hAnsi="Arial" w:cs="Arial"/>
          <w:i/>
          <w:iCs/>
          <w:sz w:val="24"/>
          <w:szCs w:val="24"/>
        </w:rPr>
        <w:t>Reflective Practice</w:t>
      </w:r>
      <w:r w:rsidRPr="003A21A3">
        <w:rPr>
          <w:rFonts w:ascii="Arial" w:hAnsi="Arial" w:cs="Arial"/>
          <w:sz w:val="24"/>
          <w:szCs w:val="24"/>
        </w:rPr>
        <w:t>, 20(4), pp. 483–500.</w:t>
      </w:r>
    </w:p>
    <w:p w14:paraId="2B81D9C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Baack, D., Baack, D. and Czarnecka, B. (2018) </w:t>
      </w:r>
      <w:r w:rsidRPr="003A21A3">
        <w:rPr>
          <w:rFonts w:ascii="Arial" w:hAnsi="Arial" w:cs="Arial"/>
          <w:i/>
          <w:iCs/>
          <w:sz w:val="24"/>
          <w:szCs w:val="24"/>
        </w:rPr>
        <w:t>International marketing</w:t>
      </w:r>
      <w:r w:rsidRPr="003A21A3">
        <w:rPr>
          <w:rFonts w:ascii="Arial" w:hAnsi="Arial" w:cs="Arial"/>
          <w:sz w:val="24"/>
          <w:szCs w:val="24"/>
        </w:rPr>
        <w:t>. London: Sage.</w:t>
      </w:r>
    </w:p>
    <w:p w14:paraId="2F8B89C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Balachandran, M. (2022) 'Vikram Kirloskar, the man who brought Toyota to millions of Indians, was on the cusp of a transformation', </w:t>
      </w:r>
      <w:r w:rsidRPr="003A21A3">
        <w:rPr>
          <w:rFonts w:ascii="Arial" w:hAnsi="Arial" w:cs="Arial"/>
          <w:i/>
          <w:iCs/>
          <w:sz w:val="24"/>
          <w:szCs w:val="24"/>
        </w:rPr>
        <w:t>Forbes India</w:t>
      </w:r>
      <w:r w:rsidRPr="003A21A3">
        <w:rPr>
          <w:rFonts w:ascii="Arial" w:hAnsi="Arial" w:cs="Arial"/>
          <w:sz w:val="24"/>
          <w:szCs w:val="24"/>
        </w:rPr>
        <w:t xml:space="preserve">. Available at: </w:t>
      </w:r>
      <w:hyperlink r:id="rId16" w:tgtFrame="_new" w:history="1">
        <w:r w:rsidRPr="003A21A3">
          <w:rPr>
            <w:rStyle w:val="Hyperlink"/>
            <w:rFonts w:ascii="Arial" w:hAnsi="Arial" w:cs="Arial"/>
            <w:sz w:val="24"/>
            <w:szCs w:val="24"/>
          </w:rPr>
          <w:t>https://www.forbesindia.com/article/news/vikram-kirloskar-the-man-who-brought-toyota-to-millions-of-indians-was-on-the-cusp-of-a-transformation/81609/1</w:t>
        </w:r>
      </w:hyperlink>
      <w:r w:rsidRPr="003A21A3">
        <w:rPr>
          <w:rFonts w:ascii="Arial" w:hAnsi="Arial" w:cs="Arial"/>
          <w:sz w:val="24"/>
          <w:szCs w:val="24"/>
        </w:rPr>
        <w:t xml:space="preserve"> (Accessed: 18 July 2026).</w:t>
      </w:r>
    </w:p>
    <w:p w14:paraId="173211E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Béndek, P. (2016) 'The Toyota Way', in </w:t>
      </w:r>
      <w:r w:rsidRPr="003A21A3">
        <w:rPr>
          <w:rFonts w:ascii="Arial" w:hAnsi="Arial" w:cs="Arial"/>
          <w:i/>
          <w:iCs/>
          <w:sz w:val="24"/>
          <w:szCs w:val="24"/>
        </w:rPr>
        <w:t>Beyond Lean: A Revised Framework of Leadership and Continuous Improvement</w:t>
      </w:r>
      <w:r w:rsidRPr="003A21A3">
        <w:rPr>
          <w:rFonts w:ascii="Arial" w:hAnsi="Arial" w:cs="Arial"/>
          <w:sz w:val="24"/>
          <w:szCs w:val="24"/>
        </w:rPr>
        <w:t>. Cham: Springer International Publishing, pp. 57–74.</w:t>
      </w:r>
    </w:p>
    <w:p w14:paraId="76E6A17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Colomer, J., Serra, T., Cañabate, D. and Bubnys, R. (2020) 'Reflective learning in higher education: Active methodologies for transformative practices', </w:t>
      </w:r>
      <w:r w:rsidRPr="003A21A3">
        <w:rPr>
          <w:rFonts w:ascii="Arial" w:hAnsi="Arial" w:cs="Arial"/>
          <w:i/>
          <w:iCs/>
          <w:sz w:val="24"/>
          <w:szCs w:val="24"/>
        </w:rPr>
        <w:t>Sustainability</w:t>
      </w:r>
      <w:r w:rsidRPr="003A21A3">
        <w:rPr>
          <w:rFonts w:ascii="Arial" w:hAnsi="Arial" w:cs="Arial"/>
          <w:sz w:val="24"/>
          <w:szCs w:val="24"/>
        </w:rPr>
        <w:t>, 12(9), p. 3827.</w:t>
      </w:r>
    </w:p>
    <w:p w14:paraId="08CE23F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Dalirazar, S. and Sabzi, Z. (2023) 'Strategic analysis of barriers and solutions to development of sustainable buildings using PESTLE technique', </w:t>
      </w:r>
      <w:r w:rsidRPr="003A21A3">
        <w:rPr>
          <w:rFonts w:ascii="Arial" w:hAnsi="Arial" w:cs="Arial"/>
          <w:i/>
          <w:iCs/>
          <w:sz w:val="24"/>
          <w:szCs w:val="24"/>
        </w:rPr>
        <w:t>International Journal of Construction Management</w:t>
      </w:r>
      <w:r w:rsidRPr="003A21A3">
        <w:rPr>
          <w:rFonts w:ascii="Arial" w:hAnsi="Arial" w:cs="Arial"/>
          <w:sz w:val="24"/>
          <w:szCs w:val="24"/>
        </w:rPr>
        <w:t>, 23(1), pp. 167–181.</w:t>
      </w:r>
    </w:p>
    <w:p w14:paraId="6745547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DeSarbo, W.S., Blanchard, S.J. and Atalay, A.S. (2017) 'A new spatial classification methodology for simultaneous segmentation, targeting, and positioning (STP analysis) for marketing research', in </w:t>
      </w:r>
      <w:r w:rsidRPr="003A21A3">
        <w:rPr>
          <w:rFonts w:ascii="Arial" w:hAnsi="Arial" w:cs="Arial"/>
          <w:i/>
          <w:iCs/>
          <w:sz w:val="24"/>
          <w:szCs w:val="24"/>
        </w:rPr>
        <w:t>Review of Marketing Research</w:t>
      </w:r>
      <w:r w:rsidRPr="003A21A3">
        <w:rPr>
          <w:rFonts w:ascii="Arial" w:hAnsi="Arial" w:cs="Arial"/>
          <w:sz w:val="24"/>
          <w:szCs w:val="24"/>
        </w:rPr>
        <w:t>. New York: Routledge, pp. 75–103.</w:t>
      </w:r>
    </w:p>
    <w:p w14:paraId="69C69F3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DieselNet (2025) </w:t>
      </w:r>
      <w:r w:rsidRPr="003A21A3">
        <w:rPr>
          <w:rFonts w:ascii="Arial" w:hAnsi="Arial" w:cs="Arial"/>
          <w:i/>
          <w:iCs/>
          <w:sz w:val="24"/>
          <w:szCs w:val="24"/>
        </w:rPr>
        <w:t>Japan: Fuel economy</w:t>
      </w:r>
      <w:r w:rsidRPr="003A21A3">
        <w:rPr>
          <w:rFonts w:ascii="Arial" w:hAnsi="Arial" w:cs="Arial"/>
          <w:sz w:val="24"/>
          <w:szCs w:val="24"/>
        </w:rPr>
        <w:t xml:space="preserve">. Available at: </w:t>
      </w:r>
      <w:hyperlink r:id="rId17" w:tgtFrame="_new" w:history="1">
        <w:r w:rsidRPr="003A21A3">
          <w:rPr>
            <w:rStyle w:val="Hyperlink"/>
            <w:rFonts w:ascii="Arial" w:hAnsi="Arial" w:cs="Arial"/>
            <w:sz w:val="24"/>
            <w:szCs w:val="24"/>
          </w:rPr>
          <w:t>https://dieselnet.com/standards/jp/fe.php</w:t>
        </w:r>
      </w:hyperlink>
      <w:r w:rsidRPr="003A21A3">
        <w:rPr>
          <w:rFonts w:ascii="Arial" w:hAnsi="Arial" w:cs="Arial"/>
          <w:sz w:val="24"/>
          <w:szCs w:val="24"/>
        </w:rPr>
        <w:t xml:space="preserve"> (Accessed: 16 July 2026).</w:t>
      </w:r>
    </w:p>
    <w:p w14:paraId="03D5F09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DieselNet (2026) </w:t>
      </w:r>
      <w:r w:rsidRPr="003A21A3">
        <w:rPr>
          <w:rFonts w:ascii="Arial" w:hAnsi="Arial" w:cs="Arial"/>
          <w:i/>
          <w:iCs/>
          <w:sz w:val="24"/>
          <w:szCs w:val="24"/>
        </w:rPr>
        <w:t>Emission standards: India</w:t>
      </w:r>
      <w:r w:rsidRPr="003A21A3">
        <w:rPr>
          <w:rFonts w:ascii="Arial" w:hAnsi="Arial" w:cs="Arial"/>
          <w:sz w:val="24"/>
          <w:szCs w:val="24"/>
        </w:rPr>
        <w:t xml:space="preserve">. Available at: </w:t>
      </w:r>
      <w:hyperlink r:id="rId18" w:tgtFrame="_new" w:history="1">
        <w:r w:rsidRPr="003A21A3">
          <w:rPr>
            <w:rStyle w:val="Hyperlink"/>
            <w:rFonts w:ascii="Arial" w:hAnsi="Arial" w:cs="Arial"/>
            <w:sz w:val="24"/>
            <w:szCs w:val="24"/>
          </w:rPr>
          <w:t>https://dieselnet.com/standards/in/</w:t>
        </w:r>
      </w:hyperlink>
      <w:r w:rsidRPr="003A21A3">
        <w:rPr>
          <w:rFonts w:ascii="Arial" w:hAnsi="Arial" w:cs="Arial"/>
          <w:sz w:val="24"/>
          <w:szCs w:val="24"/>
        </w:rPr>
        <w:t xml:space="preserve"> (Accessed: 16 July 2026).</w:t>
      </w:r>
    </w:p>
    <w:p w14:paraId="417BD03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Dinu, A. (2018) 'International market entry strategies', </w:t>
      </w:r>
      <w:r w:rsidRPr="003A21A3">
        <w:rPr>
          <w:rFonts w:ascii="Arial" w:hAnsi="Arial" w:cs="Arial"/>
          <w:i/>
          <w:iCs/>
          <w:sz w:val="24"/>
          <w:szCs w:val="24"/>
        </w:rPr>
        <w:t>Academic Journal of Economic Studies</w:t>
      </w:r>
      <w:r w:rsidRPr="003A21A3">
        <w:rPr>
          <w:rFonts w:ascii="Arial" w:hAnsi="Arial" w:cs="Arial"/>
          <w:sz w:val="24"/>
          <w:szCs w:val="24"/>
        </w:rPr>
        <w:t>, 4(2), pp. 20–25.</w:t>
      </w:r>
    </w:p>
    <w:p w14:paraId="45F05F8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EBSCO (2023) </w:t>
      </w:r>
      <w:r w:rsidRPr="003A21A3">
        <w:rPr>
          <w:rFonts w:ascii="Arial" w:hAnsi="Arial" w:cs="Arial"/>
          <w:i/>
          <w:iCs/>
          <w:sz w:val="24"/>
          <w:szCs w:val="24"/>
        </w:rPr>
        <w:t>Toyota Motor Corporation</w:t>
      </w:r>
      <w:r w:rsidRPr="003A21A3">
        <w:rPr>
          <w:rFonts w:ascii="Arial" w:hAnsi="Arial" w:cs="Arial"/>
          <w:sz w:val="24"/>
          <w:szCs w:val="24"/>
        </w:rPr>
        <w:t xml:space="preserve">. Available at: </w:t>
      </w:r>
      <w:hyperlink r:id="rId19" w:tgtFrame="_new" w:history="1">
        <w:r w:rsidRPr="003A21A3">
          <w:rPr>
            <w:rStyle w:val="Hyperlink"/>
            <w:rFonts w:ascii="Arial" w:hAnsi="Arial" w:cs="Arial"/>
            <w:sz w:val="24"/>
            <w:szCs w:val="24"/>
          </w:rPr>
          <w:t>https://www.ebsco.com/research-starters/business-and-management/toyota-motor-corporation</w:t>
        </w:r>
      </w:hyperlink>
      <w:r w:rsidRPr="003A21A3">
        <w:rPr>
          <w:rFonts w:ascii="Arial" w:hAnsi="Arial" w:cs="Arial"/>
          <w:sz w:val="24"/>
          <w:szCs w:val="24"/>
        </w:rPr>
        <w:t xml:space="preserve"> (Accessed: 15 July 2026).</w:t>
      </w:r>
    </w:p>
    <w:p w14:paraId="318E37D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Eco-Business (2025) </w:t>
      </w:r>
      <w:r w:rsidRPr="003A21A3">
        <w:rPr>
          <w:rFonts w:ascii="Arial" w:hAnsi="Arial" w:cs="Arial"/>
          <w:i/>
          <w:iCs/>
          <w:sz w:val="24"/>
          <w:szCs w:val="24"/>
        </w:rPr>
        <w:t>20 brands called out for greenwashing in 2025</w:t>
      </w:r>
      <w:r w:rsidRPr="003A21A3">
        <w:rPr>
          <w:rFonts w:ascii="Arial" w:hAnsi="Arial" w:cs="Arial"/>
          <w:sz w:val="24"/>
          <w:szCs w:val="24"/>
        </w:rPr>
        <w:t xml:space="preserve">. Available at: </w:t>
      </w:r>
      <w:hyperlink r:id="rId20" w:tgtFrame="_new" w:history="1">
        <w:r w:rsidRPr="003A21A3">
          <w:rPr>
            <w:rStyle w:val="Hyperlink"/>
            <w:rFonts w:ascii="Arial" w:hAnsi="Arial" w:cs="Arial"/>
            <w:sz w:val="24"/>
            <w:szCs w:val="24"/>
          </w:rPr>
          <w:t>https://www.eco-business.com/news/20-brands-called-out-for-greenwashing-in-2025/</w:t>
        </w:r>
      </w:hyperlink>
      <w:r w:rsidRPr="003A21A3">
        <w:rPr>
          <w:rFonts w:ascii="Arial" w:hAnsi="Arial" w:cs="Arial"/>
          <w:sz w:val="24"/>
          <w:szCs w:val="24"/>
        </w:rPr>
        <w:t xml:space="preserve"> (Accessed: 6 August 2026).</w:t>
      </w:r>
    </w:p>
    <w:p w14:paraId="380196A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The Economic Times</w:t>
      </w:r>
      <w:r w:rsidRPr="003A21A3">
        <w:rPr>
          <w:rFonts w:ascii="Arial" w:hAnsi="Arial" w:cs="Arial"/>
          <w:sz w:val="24"/>
          <w:szCs w:val="24"/>
        </w:rPr>
        <w:t xml:space="preserve"> (2021) 'Labour strike ends at Toyota Kirlosskar Motor's Karnataka plant'. Available at: </w:t>
      </w:r>
      <w:hyperlink r:id="rId21" w:tgtFrame="_new" w:history="1">
        <w:r w:rsidRPr="003A21A3">
          <w:rPr>
            <w:rStyle w:val="Hyperlink"/>
            <w:rFonts w:ascii="Arial" w:hAnsi="Arial" w:cs="Arial"/>
            <w:sz w:val="24"/>
            <w:szCs w:val="24"/>
          </w:rPr>
          <w:t>https://economictimes.indiatimes.com/industry/auto/auto-news/labour-strike-ends-at-toyota-kirloskar-motors-karnataka-plant/articleshow/81295336.cms</w:t>
        </w:r>
      </w:hyperlink>
      <w:r w:rsidRPr="003A21A3">
        <w:rPr>
          <w:rFonts w:ascii="Arial" w:hAnsi="Arial" w:cs="Arial"/>
          <w:sz w:val="24"/>
          <w:szCs w:val="24"/>
        </w:rPr>
        <w:t xml:space="preserve"> (Accessed: 18 July 2026).</w:t>
      </w:r>
    </w:p>
    <w:p w14:paraId="2FFDC3E3"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The Economic Times</w:t>
      </w:r>
      <w:r w:rsidRPr="003A21A3">
        <w:rPr>
          <w:rFonts w:ascii="Arial" w:hAnsi="Arial" w:cs="Arial"/>
          <w:sz w:val="24"/>
          <w:szCs w:val="24"/>
        </w:rPr>
        <w:t xml:space="preserve"> (2024) 'How Toyota hybrid cars help Japan thaw relations with South Korea'. Available at: </w:t>
      </w:r>
      <w:hyperlink r:id="rId22" w:tgtFrame="_new" w:history="1">
        <w:r w:rsidRPr="003A21A3">
          <w:rPr>
            <w:rStyle w:val="Hyperlink"/>
            <w:rFonts w:ascii="Arial" w:hAnsi="Arial" w:cs="Arial"/>
            <w:sz w:val="24"/>
            <w:szCs w:val="24"/>
          </w:rPr>
          <w:t>https://auto.economictimes.indiatimes.com/news/passenger-vehicle/how-toyota-hybrid-cars-help-japan-thaw-relations-with-south-korea/113143870</w:t>
        </w:r>
      </w:hyperlink>
      <w:r w:rsidRPr="003A21A3">
        <w:rPr>
          <w:rFonts w:ascii="Arial" w:hAnsi="Arial" w:cs="Arial"/>
          <w:sz w:val="24"/>
          <w:szCs w:val="24"/>
        </w:rPr>
        <w:t xml:space="preserve"> (Accessed: 18 July 2026).</w:t>
      </w:r>
    </w:p>
    <w:p w14:paraId="3550A3E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The Economic Times</w:t>
      </w:r>
      <w:r w:rsidRPr="003A21A3">
        <w:rPr>
          <w:rFonts w:ascii="Arial" w:hAnsi="Arial" w:cs="Arial"/>
          <w:sz w:val="24"/>
          <w:szCs w:val="24"/>
        </w:rPr>
        <w:t xml:space="preserve"> (2025) 'Toyota eyes 10% market share in India with 15 new models, rural expansion plans'. Available at: </w:t>
      </w:r>
      <w:hyperlink r:id="rId23" w:tgtFrame="_new" w:history="1">
        <w:r w:rsidRPr="003A21A3">
          <w:rPr>
            <w:rStyle w:val="Hyperlink"/>
            <w:rFonts w:ascii="Arial" w:hAnsi="Arial" w:cs="Arial"/>
            <w:sz w:val="24"/>
            <w:szCs w:val="24"/>
          </w:rPr>
          <w:t>https://auto.economictimes.indiatimes.com/news/passenger-vehicle/toyota-eyes-10-market-share-in-india-with-15-new-models-rural-expansion-plans/124953321</w:t>
        </w:r>
      </w:hyperlink>
      <w:r w:rsidRPr="003A21A3">
        <w:rPr>
          <w:rFonts w:ascii="Arial" w:hAnsi="Arial" w:cs="Arial"/>
          <w:sz w:val="24"/>
          <w:szCs w:val="24"/>
        </w:rPr>
        <w:t xml:space="preserve"> (Accessed: 18 July 2026).</w:t>
      </w:r>
    </w:p>
    <w:p w14:paraId="71AD610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Farrag, O. and Robitaille, P. (2026) </w:t>
      </w:r>
      <w:r w:rsidRPr="003A21A3">
        <w:rPr>
          <w:rFonts w:ascii="Arial" w:hAnsi="Arial" w:cs="Arial"/>
          <w:i/>
          <w:iCs/>
          <w:sz w:val="24"/>
          <w:szCs w:val="24"/>
        </w:rPr>
        <w:t>India and the global economy</w:t>
      </w:r>
      <w:r w:rsidRPr="003A21A3">
        <w:rPr>
          <w:rFonts w:ascii="Arial" w:hAnsi="Arial" w:cs="Arial"/>
          <w:sz w:val="24"/>
          <w:szCs w:val="24"/>
        </w:rPr>
        <w:t xml:space="preserve">. Available at: </w:t>
      </w:r>
      <w:hyperlink r:id="rId24" w:tgtFrame="_new" w:history="1">
        <w:r w:rsidRPr="003A21A3">
          <w:rPr>
            <w:rStyle w:val="Hyperlink"/>
            <w:rFonts w:ascii="Arial" w:hAnsi="Arial" w:cs="Arial"/>
            <w:sz w:val="24"/>
            <w:szCs w:val="24"/>
          </w:rPr>
          <w:t>https://www.federalreserve.gov/econres/notes/feds-notes/india-and-the-global-economy-20260408.html</w:t>
        </w:r>
      </w:hyperlink>
      <w:r w:rsidRPr="003A21A3">
        <w:rPr>
          <w:rFonts w:ascii="Arial" w:hAnsi="Arial" w:cs="Arial"/>
          <w:sz w:val="24"/>
          <w:szCs w:val="24"/>
        </w:rPr>
        <w:t xml:space="preserve"> (Accessed: 16 July 2026).</w:t>
      </w:r>
    </w:p>
    <w:p w14:paraId="236F867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Financial Express</w:t>
      </w:r>
      <w:r w:rsidRPr="003A21A3">
        <w:rPr>
          <w:rFonts w:ascii="Arial" w:hAnsi="Arial" w:cs="Arial"/>
          <w:sz w:val="24"/>
          <w:szCs w:val="24"/>
        </w:rPr>
        <w:t xml:space="preserve"> (2023) 'Toyota Kirloskar Motor set to expand manufacturing capacity in India'. Available at: </w:t>
      </w:r>
      <w:hyperlink r:id="rId25" w:tgtFrame="_new" w:history="1">
        <w:r w:rsidRPr="003A21A3">
          <w:rPr>
            <w:rStyle w:val="Hyperlink"/>
            <w:rFonts w:ascii="Arial" w:hAnsi="Arial" w:cs="Arial"/>
            <w:sz w:val="24"/>
            <w:szCs w:val="24"/>
          </w:rPr>
          <w:t>https://www.financialexpress.com/business/express-mobility-toyota-kirloskar-motor-set-to-expand-manufacturing-capacity-in-india-3287998/</w:t>
        </w:r>
      </w:hyperlink>
      <w:r w:rsidRPr="003A21A3">
        <w:rPr>
          <w:rFonts w:ascii="Arial" w:hAnsi="Arial" w:cs="Arial"/>
          <w:sz w:val="24"/>
          <w:szCs w:val="24"/>
        </w:rPr>
        <w:t xml:space="preserve"> (Accessed: 17 July 2026).</w:t>
      </w:r>
    </w:p>
    <w:p w14:paraId="0887072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Gogua, M. and Smirnova, M. (2020) 'Revisiting personalization through customer experience journey', </w:t>
      </w:r>
      <w:r w:rsidRPr="003A21A3">
        <w:rPr>
          <w:rFonts w:ascii="Arial" w:hAnsi="Arial" w:cs="Arial"/>
          <w:i/>
          <w:iCs/>
          <w:sz w:val="24"/>
          <w:szCs w:val="24"/>
        </w:rPr>
        <w:t>Vestnik of Saint Petersburg University. Management</w:t>
      </w:r>
      <w:r w:rsidRPr="003A21A3">
        <w:rPr>
          <w:rFonts w:ascii="Arial" w:hAnsi="Arial" w:cs="Arial"/>
          <w:sz w:val="24"/>
          <w:szCs w:val="24"/>
        </w:rPr>
        <w:t>, 19(4), pp. 430–460.</w:t>
      </w:r>
    </w:p>
    <w:p w14:paraId="3F2A67A4"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IBEF (2026) </w:t>
      </w:r>
      <w:r w:rsidRPr="003A21A3">
        <w:rPr>
          <w:rFonts w:ascii="Arial" w:hAnsi="Arial" w:cs="Arial"/>
          <w:i/>
          <w:iCs/>
          <w:sz w:val="24"/>
          <w:szCs w:val="24"/>
        </w:rPr>
        <w:t>Science and technology development in India</w:t>
      </w:r>
      <w:r w:rsidRPr="003A21A3">
        <w:rPr>
          <w:rFonts w:ascii="Arial" w:hAnsi="Arial" w:cs="Arial"/>
          <w:sz w:val="24"/>
          <w:szCs w:val="24"/>
        </w:rPr>
        <w:t xml:space="preserve">. Available at: </w:t>
      </w:r>
      <w:hyperlink r:id="rId26" w:tgtFrame="_new" w:history="1">
        <w:r w:rsidRPr="003A21A3">
          <w:rPr>
            <w:rStyle w:val="Hyperlink"/>
            <w:rFonts w:ascii="Arial" w:hAnsi="Arial" w:cs="Arial"/>
            <w:sz w:val="24"/>
            <w:szCs w:val="24"/>
          </w:rPr>
          <w:t>https://www.ibef.org/industry/science-and-technology</w:t>
        </w:r>
      </w:hyperlink>
      <w:r w:rsidRPr="003A21A3">
        <w:rPr>
          <w:rFonts w:ascii="Arial" w:hAnsi="Arial" w:cs="Arial"/>
          <w:sz w:val="24"/>
          <w:szCs w:val="24"/>
        </w:rPr>
        <w:t xml:space="preserve"> (Accessed: 16 July 2026).</w:t>
      </w:r>
    </w:p>
    <w:p w14:paraId="58D6DDD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ICLG (2026) </w:t>
      </w:r>
      <w:r w:rsidRPr="003A21A3">
        <w:rPr>
          <w:rFonts w:ascii="Arial" w:hAnsi="Arial" w:cs="Arial"/>
          <w:i/>
          <w:iCs/>
          <w:sz w:val="24"/>
          <w:szCs w:val="24"/>
        </w:rPr>
        <w:t>Japan – Consumer protection laws and regulations 2026</w:t>
      </w:r>
      <w:r w:rsidRPr="003A21A3">
        <w:rPr>
          <w:rFonts w:ascii="Arial" w:hAnsi="Arial" w:cs="Arial"/>
          <w:sz w:val="24"/>
          <w:szCs w:val="24"/>
        </w:rPr>
        <w:t xml:space="preserve">. Available at: </w:t>
      </w:r>
      <w:hyperlink r:id="rId27" w:tgtFrame="_new" w:history="1">
        <w:r w:rsidRPr="003A21A3">
          <w:rPr>
            <w:rStyle w:val="Hyperlink"/>
            <w:rFonts w:ascii="Arial" w:hAnsi="Arial" w:cs="Arial"/>
            <w:sz w:val="24"/>
            <w:szCs w:val="24"/>
          </w:rPr>
          <w:t>https://iclg.com/practice-areas/consumer-protection-laws-and-regulations/japan/</w:t>
        </w:r>
      </w:hyperlink>
      <w:r w:rsidRPr="003A21A3">
        <w:rPr>
          <w:rFonts w:ascii="Arial" w:hAnsi="Arial" w:cs="Arial"/>
          <w:sz w:val="24"/>
          <w:szCs w:val="24"/>
        </w:rPr>
        <w:t xml:space="preserve"> (Accessed: 16 July 2026).</w:t>
      </w:r>
    </w:p>
    <w:p w14:paraId="4608493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Inamdar, N. (2026) 'Costly fuel pushes more Indians to buy electric cars but challenges remain', </w:t>
      </w:r>
      <w:r w:rsidRPr="003A21A3">
        <w:rPr>
          <w:rFonts w:ascii="Arial" w:hAnsi="Arial" w:cs="Arial"/>
          <w:i/>
          <w:iCs/>
          <w:sz w:val="24"/>
          <w:szCs w:val="24"/>
        </w:rPr>
        <w:t>BBC News</w:t>
      </w:r>
      <w:r w:rsidRPr="003A21A3">
        <w:rPr>
          <w:rFonts w:ascii="Arial" w:hAnsi="Arial" w:cs="Arial"/>
          <w:sz w:val="24"/>
          <w:szCs w:val="24"/>
        </w:rPr>
        <w:t>. Available at: https://www.bbc.com/news/articles/cx21181yq4no (Accessed: 18 July 2026).</w:t>
      </w:r>
    </w:p>
    <w:p w14:paraId="46EE4003"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Indian Express</w:t>
      </w:r>
      <w:r w:rsidRPr="003A21A3">
        <w:rPr>
          <w:rFonts w:ascii="Arial" w:hAnsi="Arial" w:cs="Arial"/>
          <w:sz w:val="24"/>
          <w:szCs w:val="24"/>
        </w:rPr>
        <w:t xml:space="preserve"> (2016) 'Ban on diesel cars is corporate death penalty: Toyota tells NGT'. Available at: </w:t>
      </w:r>
      <w:hyperlink r:id="rId28" w:tgtFrame="_new" w:history="1">
        <w:r w:rsidRPr="003A21A3">
          <w:rPr>
            <w:rStyle w:val="Hyperlink"/>
            <w:rFonts w:ascii="Arial" w:hAnsi="Arial" w:cs="Arial"/>
            <w:sz w:val="24"/>
            <w:szCs w:val="24"/>
          </w:rPr>
          <w:t>https://indianexpress.com/article/business/companies/ban-on-diesel-cars-is-corporate-death-penalty-toyota-tells-ngt-2940702/</w:t>
        </w:r>
      </w:hyperlink>
      <w:r w:rsidRPr="003A21A3">
        <w:rPr>
          <w:rFonts w:ascii="Arial" w:hAnsi="Arial" w:cs="Arial"/>
          <w:sz w:val="24"/>
          <w:szCs w:val="24"/>
        </w:rPr>
        <w:t xml:space="preserve"> (Accessed: 18 July 2026).</w:t>
      </w:r>
    </w:p>
    <w:p w14:paraId="3D1A9C4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Inoue, T. and Inoue, N. (2024) 'The future process of Japan's population aging: A cluster analysis using small area population projection data', </w:t>
      </w:r>
      <w:r w:rsidRPr="003A21A3">
        <w:rPr>
          <w:rFonts w:ascii="Arial" w:hAnsi="Arial" w:cs="Arial"/>
          <w:i/>
          <w:iCs/>
          <w:sz w:val="24"/>
          <w:szCs w:val="24"/>
        </w:rPr>
        <w:t>Population Research and Policy Review</w:t>
      </w:r>
      <w:r w:rsidRPr="003A21A3">
        <w:rPr>
          <w:rFonts w:ascii="Arial" w:hAnsi="Arial" w:cs="Arial"/>
          <w:sz w:val="24"/>
          <w:szCs w:val="24"/>
        </w:rPr>
        <w:t>, 43(4), p. 58.</w:t>
      </w:r>
    </w:p>
    <w:p w14:paraId="40EA9D9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Išoraitė, M. (2016) 'Marketing mix theoretical aspects', </w:t>
      </w:r>
      <w:r w:rsidRPr="003A21A3">
        <w:rPr>
          <w:rFonts w:ascii="Arial" w:hAnsi="Arial" w:cs="Arial"/>
          <w:i/>
          <w:iCs/>
          <w:sz w:val="24"/>
          <w:szCs w:val="24"/>
        </w:rPr>
        <w:t>International Journal of Research–Granthaalayah</w:t>
      </w:r>
      <w:r w:rsidRPr="003A21A3">
        <w:rPr>
          <w:rFonts w:ascii="Arial" w:hAnsi="Arial" w:cs="Arial"/>
          <w:sz w:val="24"/>
          <w:szCs w:val="24"/>
        </w:rPr>
        <w:t>, 4(6), pp. 25–37.</w:t>
      </w:r>
    </w:p>
    <w:p w14:paraId="03ADB55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Japan External Trade Organization (JETRO) (2026) </w:t>
      </w:r>
      <w:r w:rsidRPr="003A21A3">
        <w:rPr>
          <w:rFonts w:ascii="Arial" w:hAnsi="Arial" w:cs="Arial"/>
          <w:i/>
          <w:iCs/>
          <w:sz w:val="24"/>
          <w:szCs w:val="24"/>
        </w:rPr>
        <w:t>Why Japan? A flexible, expansive market and economy</w:t>
      </w:r>
      <w:r w:rsidRPr="003A21A3">
        <w:rPr>
          <w:rFonts w:ascii="Arial" w:hAnsi="Arial" w:cs="Arial"/>
          <w:sz w:val="24"/>
          <w:szCs w:val="24"/>
        </w:rPr>
        <w:t xml:space="preserve">. Available at: </w:t>
      </w:r>
      <w:hyperlink r:id="rId29" w:tgtFrame="_new" w:history="1">
        <w:r w:rsidRPr="003A21A3">
          <w:rPr>
            <w:rStyle w:val="Hyperlink"/>
            <w:rFonts w:ascii="Arial" w:hAnsi="Arial" w:cs="Arial"/>
            <w:sz w:val="24"/>
            <w:szCs w:val="24"/>
          </w:rPr>
          <w:t>https://www.jetro.go.jp/en/invest/investment_environment/whyjapan/ch1.html</w:t>
        </w:r>
      </w:hyperlink>
      <w:r w:rsidRPr="003A21A3">
        <w:rPr>
          <w:rFonts w:ascii="Arial" w:hAnsi="Arial" w:cs="Arial"/>
          <w:sz w:val="24"/>
          <w:szCs w:val="24"/>
        </w:rPr>
        <w:t xml:space="preserve"> (Accessed: 16 July 2026).</w:t>
      </w:r>
    </w:p>
    <w:p w14:paraId="3A1225D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Japanese Nostalgic Cars</w:t>
      </w:r>
      <w:r w:rsidRPr="003A21A3">
        <w:rPr>
          <w:rFonts w:ascii="Arial" w:hAnsi="Arial" w:cs="Arial"/>
          <w:sz w:val="24"/>
          <w:szCs w:val="24"/>
        </w:rPr>
        <w:t xml:space="preserve"> (2020) 'The history of Toyota's insane dealer networks, explained'. Available at: </w:t>
      </w:r>
      <w:hyperlink r:id="rId30" w:tgtFrame="_new" w:history="1">
        <w:r w:rsidRPr="003A21A3">
          <w:rPr>
            <w:rStyle w:val="Hyperlink"/>
            <w:rFonts w:ascii="Arial" w:hAnsi="Arial" w:cs="Arial"/>
            <w:sz w:val="24"/>
            <w:szCs w:val="24"/>
          </w:rPr>
          <w:t>https://japanesenostalgiccar.com/toyota-consolidates-all-dealerships-into-one/</w:t>
        </w:r>
      </w:hyperlink>
      <w:r w:rsidRPr="003A21A3">
        <w:rPr>
          <w:rFonts w:ascii="Arial" w:hAnsi="Arial" w:cs="Arial"/>
          <w:sz w:val="24"/>
          <w:szCs w:val="24"/>
        </w:rPr>
        <w:t xml:space="preserve"> (Accessed: 19 July 2026).</w:t>
      </w:r>
    </w:p>
    <w:p w14:paraId="654195A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Kelkar, A. </w:t>
      </w:r>
      <w:r w:rsidRPr="003A21A3">
        <w:rPr>
          <w:rFonts w:ascii="Arial" w:hAnsi="Arial" w:cs="Arial"/>
          <w:i/>
          <w:iCs/>
          <w:sz w:val="24"/>
          <w:szCs w:val="24"/>
        </w:rPr>
        <w:t>et al.</w:t>
      </w:r>
      <w:r w:rsidRPr="003A21A3">
        <w:rPr>
          <w:rFonts w:ascii="Arial" w:hAnsi="Arial" w:cs="Arial"/>
          <w:sz w:val="24"/>
          <w:szCs w:val="24"/>
        </w:rPr>
        <w:t xml:space="preserve"> (2026) </w:t>
      </w:r>
      <w:r w:rsidRPr="003A21A3">
        <w:rPr>
          <w:rFonts w:ascii="Arial" w:hAnsi="Arial" w:cs="Arial"/>
          <w:i/>
          <w:iCs/>
          <w:sz w:val="24"/>
          <w:szCs w:val="24"/>
        </w:rPr>
        <w:t>Japan's $100 billion opportunity in general-purpose robotics</w:t>
      </w:r>
      <w:r w:rsidRPr="003A21A3">
        <w:rPr>
          <w:rFonts w:ascii="Arial" w:hAnsi="Arial" w:cs="Arial"/>
          <w:sz w:val="24"/>
          <w:szCs w:val="24"/>
        </w:rPr>
        <w:t xml:space="preserve">. McKinsey &amp; Company. Available at: </w:t>
      </w:r>
      <w:hyperlink r:id="rId31" w:tgtFrame="_new" w:history="1">
        <w:r w:rsidRPr="003A21A3">
          <w:rPr>
            <w:rStyle w:val="Hyperlink"/>
            <w:rFonts w:ascii="Arial" w:hAnsi="Arial" w:cs="Arial"/>
            <w:sz w:val="24"/>
            <w:szCs w:val="24"/>
          </w:rPr>
          <w:t>https://www.mckinsey.com/industries/industrials/our-insights/japans-100-billion-opportunity-in-general-purpose-robotics</w:t>
        </w:r>
      </w:hyperlink>
      <w:r w:rsidRPr="003A21A3">
        <w:rPr>
          <w:rFonts w:ascii="Arial" w:hAnsi="Arial" w:cs="Arial"/>
          <w:sz w:val="24"/>
          <w:szCs w:val="24"/>
        </w:rPr>
        <w:t xml:space="preserve"> (Accessed: 16 July 2026).</w:t>
      </w:r>
    </w:p>
    <w:p w14:paraId="2016C92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Lin, H. and Kalwani, M.U. (2018) 'Culturally contingent electronic word-of-mouth signalling and screening: A comparative study of product reviews in the United States and Japan', </w:t>
      </w:r>
      <w:r w:rsidRPr="003A21A3">
        <w:rPr>
          <w:rFonts w:ascii="Arial" w:hAnsi="Arial" w:cs="Arial"/>
          <w:i/>
          <w:iCs/>
          <w:sz w:val="24"/>
          <w:szCs w:val="24"/>
        </w:rPr>
        <w:t>Journal of International Marketing</w:t>
      </w:r>
      <w:r w:rsidRPr="003A21A3">
        <w:rPr>
          <w:rFonts w:ascii="Arial" w:hAnsi="Arial" w:cs="Arial"/>
          <w:sz w:val="24"/>
          <w:szCs w:val="24"/>
        </w:rPr>
        <w:t>, 26(2), pp. 80–102.</w:t>
      </w:r>
    </w:p>
    <w:p w14:paraId="25300B2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Linchpin (2026) </w:t>
      </w:r>
      <w:r w:rsidRPr="003A21A3">
        <w:rPr>
          <w:rFonts w:ascii="Arial" w:hAnsi="Arial" w:cs="Arial"/>
          <w:i/>
          <w:iCs/>
          <w:sz w:val="24"/>
          <w:szCs w:val="24"/>
        </w:rPr>
        <w:t>How Japan's automotive tax structure is quietly reshaping vehicle demand</w:t>
      </w:r>
      <w:r w:rsidRPr="003A21A3">
        <w:rPr>
          <w:rFonts w:ascii="Arial" w:hAnsi="Arial" w:cs="Arial"/>
          <w:sz w:val="24"/>
          <w:szCs w:val="24"/>
        </w:rPr>
        <w:t xml:space="preserve">. Available at: </w:t>
      </w:r>
      <w:hyperlink r:id="rId32" w:tgtFrame="_new" w:history="1">
        <w:r w:rsidRPr="003A21A3">
          <w:rPr>
            <w:rStyle w:val="Hyperlink"/>
            <w:rFonts w:ascii="Arial" w:hAnsi="Arial" w:cs="Arial"/>
            <w:sz w:val="24"/>
            <w:szCs w:val="24"/>
          </w:rPr>
          <w:t>https://linchpin-consulting.com/how-japans-automotive-tax-structure-is-quietly-reshaping-vehicle-demand/</w:t>
        </w:r>
      </w:hyperlink>
      <w:r w:rsidRPr="003A21A3">
        <w:rPr>
          <w:rFonts w:ascii="Arial" w:hAnsi="Arial" w:cs="Arial"/>
          <w:sz w:val="24"/>
          <w:szCs w:val="24"/>
        </w:rPr>
        <w:t xml:space="preserve"> (Accessed: 19 July 2026).</w:t>
      </w:r>
    </w:p>
    <w:p w14:paraId="3F28A82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i/>
          <w:iCs/>
          <w:sz w:val="24"/>
          <w:szCs w:val="24"/>
        </w:rPr>
        <w:t>Make in India</w:t>
      </w:r>
      <w:r w:rsidRPr="003A21A3">
        <w:rPr>
          <w:rFonts w:ascii="Arial" w:hAnsi="Arial" w:cs="Arial"/>
          <w:sz w:val="24"/>
          <w:szCs w:val="24"/>
        </w:rPr>
        <w:t xml:space="preserve"> (2026) </w:t>
      </w:r>
      <w:r w:rsidRPr="003A21A3">
        <w:rPr>
          <w:rFonts w:ascii="Arial" w:hAnsi="Arial" w:cs="Arial"/>
          <w:i/>
          <w:iCs/>
          <w:sz w:val="24"/>
          <w:szCs w:val="24"/>
        </w:rPr>
        <w:t>Home</w:t>
      </w:r>
      <w:r w:rsidRPr="003A21A3">
        <w:rPr>
          <w:rFonts w:ascii="Arial" w:hAnsi="Arial" w:cs="Arial"/>
          <w:sz w:val="24"/>
          <w:szCs w:val="24"/>
        </w:rPr>
        <w:t xml:space="preserve">. Available at: </w:t>
      </w:r>
      <w:hyperlink r:id="rId33" w:tgtFrame="_new" w:history="1">
        <w:r w:rsidRPr="003A21A3">
          <w:rPr>
            <w:rStyle w:val="Hyperlink"/>
            <w:rFonts w:ascii="Arial" w:hAnsi="Arial" w:cs="Arial"/>
            <w:sz w:val="24"/>
            <w:szCs w:val="24"/>
          </w:rPr>
          <w:t>https://www.makeinindia.com/</w:t>
        </w:r>
      </w:hyperlink>
      <w:r w:rsidRPr="003A21A3">
        <w:rPr>
          <w:rFonts w:ascii="Arial" w:hAnsi="Arial" w:cs="Arial"/>
          <w:sz w:val="24"/>
          <w:szCs w:val="24"/>
        </w:rPr>
        <w:t xml:space="preserve"> (Accessed: 16 July 2026).</w:t>
      </w:r>
    </w:p>
    <w:p w14:paraId="15C83AA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Mathur, D. </w:t>
      </w:r>
      <w:r w:rsidRPr="003A21A3">
        <w:rPr>
          <w:rFonts w:ascii="Arial" w:hAnsi="Arial" w:cs="Arial"/>
          <w:i/>
          <w:iCs/>
          <w:sz w:val="24"/>
          <w:szCs w:val="24"/>
        </w:rPr>
        <w:t>et al.</w:t>
      </w:r>
      <w:r w:rsidRPr="003A21A3">
        <w:rPr>
          <w:rFonts w:ascii="Arial" w:hAnsi="Arial" w:cs="Arial"/>
          <w:sz w:val="24"/>
          <w:szCs w:val="24"/>
        </w:rPr>
        <w:t xml:space="preserve"> (2018) 'Consumer buying behaviour of cars in India: A survey', in </w:t>
      </w:r>
      <w:r w:rsidRPr="003A21A3">
        <w:rPr>
          <w:rFonts w:ascii="Arial" w:hAnsi="Arial" w:cs="Arial"/>
          <w:i/>
          <w:iCs/>
          <w:sz w:val="24"/>
          <w:szCs w:val="24"/>
        </w:rPr>
        <w:t>Proceedings of the 1st International Conference on New Frontiers in Engineering, Science &amp; Technology</w:t>
      </w:r>
      <w:r w:rsidRPr="003A21A3">
        <w:rPr>
          <w:rFonts w:ascii="Arial" w:hAnsi="Arial" w:cs="Arial"/>
          <w:sz w:val="24"/>
          <w:szCs w:val="24"/>
        </w:rPr>
        <w:t>, pp. 468–473.</w:t>
      </w:r>
    </w:p>
    <w:p w14:paraId="3D7F3259"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Meena, S., Singh, S. and Jodha, K. (2021) 'Identification of psychological factors associated with car ownership decisions of young adults: Case study of Jodhpur city', </w:t>
      </w:r>
      <w:r w:rsidRPr="003A21A3">
        <w:rPr>
          <w:rFonts w:ascii="Arial" w:hAnsi="Arial" w:cs="Arial"/>
          <w:i/>
          <w:iCs/>
          <w:sz w:val="24"/>
          <w:szCs w:val="24"/>
        </w:rPr>
        <w:t>Asian Transport Studies</w:t>
      </w:r>
      <w:r w:rsidRPr="003A21A3">
        <w:rPr>
          <w:rFonts w:ascii="Arial" w:hAnsi="Arial" w:cs="Arial"/>
          <w:sz w:val="24"/>
          <w:szCs w:val="24"/>
        </w:rPr>
        <w:t>, 7, p. 100037.</w:t>
      </w:r>
    </w:p>
    <w:p w14:paraId="53BB48B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Ministry of Economy, Trade and Industry (METI) (2026) </w:t>
      </w:r>
      <w:r w:rsidRPr="003A21A3">
        <w:rPr>
          <w:rFonts w:ascii="Arial" w:hAnsi="Arial" w:cs="Arial"/>
          <w:i/>
          <w:iCs/>
          <w:sz w:val="24"/>
          <w:szCs w:val="24"/>
        </w:rPr>
        <w:t>Automobile industry</w:t>
      </w:r>
      <w:r w:rsidRPr="003A21A3">
        <w:rPr>
          <w:rFonts w:ascii="Arial" w:hAnsi="Arial" w:cs="Arial"/>
          <w:sz w:val="24"/>
          <w:szCs w:val="24"/>
        </w:rPr>
        <w:t xml:space="preserve">. Available at: </w:t>
      </w:r>
      <w:hyperlink r:id="rId34" w:tgtFrame="_new" w:history="1">
        <w:r w:rsidRPr="003A21A3">
          <w:rPr>
            <w:rStyle w:val="Hyperlink"/>
            <w:rFonts w:ascii="Arial" w:hAnsi="Arial" w:cs="Arial"/>
            <w:sz w:val="24"/>
            <w:szCs w:val="24"/>
          </w:rPr>
          <w:t>https://www.meti.go.jp/english/policy/mono_info_service/automobile_industry/index.html</w:t>
        </w:r>
      </w:hyperlink>
      <w:r w:rsidRPr="003A21A3">
        <w:rPr>
          <w:rFonts w:ascii="Arial" w:hAnsi="Arial" w:cs="Arial"/>
          <w:sz w:val="24"/>
          <w:szCs w:val="24"/>
        </w:rPr>
        <w:t xml:space="preserve"> (Accessed: 16 July 2026).</w:t>
      </w:r>
    </w:p>
    <w:p w14:paraId="52E159CA"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Ministry of Heavy Industry (2026) </w:t>
      </w:r>
      <w:r w:rsidRPr="003A21A3">
        <w:rPr>
          <w:rFonts w:ascii="Arial" w:hAnsi="Arial" w:cs="Arial"/>
          <w:i/>
          <w:iCs/>
          <w:sz w:val="24"/>
          <w:szCs w:val="24"/>
        </w:rPr>
        <w:t>Faster Adoption and Manufacturing of Electric Vehicles (FAME II)</w:t>
      </w:r>
      <w:r w:rsidRPr="003A21A3">
        <w:rPr>
          <w:rFonts w:ascii="Arial" w:hAnsi="Arial" w:cs="Arial"/>
          <w:sz w:val="24"/>
          <w:szCs w:val="24"/>
        </w:rPr>
        <w:t xml:space="preserve">. Available at: </w:t>
      </w:r>
      <w:hyperlink r:id="rId35" w:tgtFrame="_new" w:history="1">
        <w:r w:rsidRPr="003A21A3">
          <w:rPr>
            <w:rStyle w:val="Hyperlink"/>
            <w:rFonts w:ascii="Arial" w:hAnsi="Arial" w:cs="Arial"/>
            <w:sz w:val="24"/>
            <w:szCs w:val="24"/>
          </w:rPr>
          <w:t>https://heavyindustries.gov.in/en/fame-ii</w:t>
        </w:r>
      </w:hyperlink>
      <w:r w:rsidRPr="003A21A3">
        <w:rPr>
          <w:rFonts w:ascii="Arial" w:hAnsi="Arial" w:cs="Arial"/>
          <w:sz w:val="24"/>
          <w:szCs w:val="24"/>
        </w:rPr>
        <w:t xml:space="preserve"> (Accessed: 16 July 2026).</w:t>
      </w:r>
    </w:p>
    <w:p w14:paraId="2A3E74E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Ningrum, H. and Hasmarini, M. (2024) 'Marketing strategy analysis using STP strategy (Segmentation, Targeting, Positioning) at PT Berkah Ridho Cinta Indonesia', </w:t>
      </w:r>
      <w:r w:rsidRPr="003A21A3">
        <w:rPr>
          <w:rFonts w:ascii="Arial" w:hAnsi="Arial" w:cs="Arial"/>
          <w:i/>
          <w:iCs/>
          <w:sz w:val="24"/>
          <w:szCs w:val="24"/>
        </w:rPr>
        <w:t>Income Journal of Economics Development</w:t>
      </w:r>
      <w:r w:rsidRPr="003A21A3">
        <w:rPr>
          <w:rFonts w:ascii="Arial" w:hAnsi="Arial" w:cs="Arial"/>
          <w:sz w:val="24"/>
          <w:szCs w:val="24"/>
        </w:rPr>
        <w:t>, 4(1), pp. 15–19.</w:t>
      </w:r>
    </w:p>
    <w:p w14:paraId="39175F3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Reuters (2024) 'Toyota, Maruti launch marketing drive for hybrids in key Indian state'. Available at: </w:t>
      </w:r>
      <w:hyperlink r:id="rId36" w:tgtFrame="_new" w:history="1">
        <w:r w:rsidRPr="003A21A3">
          <w:rPr>
            <w:rStyle w:val="Hyperlink"/>
            <w:rFonts w:ascii="Arial" w:hAnsi="Arial" w:cs="Arial"/>
            <w:sz w:val="24"/>
            <w:szCs w:val="24"/>
          </w:rPr>
          <w:t>https://www.reuters.com/business/autos-transportation/toyota-maruti-launch-marketing-drive-hybrids-key-indian-state-2024-09-03/</w:t>
        </w:r>
      </w:hyperlink>
      <w:r w:rsidRPr="003A21A3">
        <w:rPr>
          <w:rFonts w:ascii="Arial" w:hAnsi="Arial" w:cs="Arial"/>
          <w:sz w:val="24"/>
          <w:szCs w:val="24"/>
        </w:rPr>
        <w:t xml:space="preserve"> (Accessed: 19 July 2026).</w:t>
      </w:r>
    </w:p>
    <w:p w14:paraId="50AC9BA5"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Sureka, A. and Bordoloi, N. (2025) 'A comparative analysis of VAT, service tax, and GST: Implications, challenges and transition in the Indian tax system', </w:t>
      </w:r>
      <w:r w:rsidRPr="003A21A3">
        <w:rPr>
          <w:rFonts w:ascii="Arial" w:hAnsi="Arial" w:cs="Arial"/>
          <w:i/>
          <w:iCs/>
          <w:sz w:val="24"/>
          <w:szCs w:val="24"/>
        </w:rPr>
        <w:t>Journal of Cases in Management Studies</w:t>
      </w:r>
      <w:r w:rsidRPr="003A21A3">
        <w:rPr>
          <w:rFonts w:ascii="Arial" w:hAnsi="Arial" w:cs="Arial"/>
          <w:sz w:val="24"/>
          <w:szCs w:val="24"/>
        </w:rPr>
        <w:t>, 1(1).</w:t>
      </w:r>
    </w:p>
    <w:p w14:paraId="08DBDA8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Tanaka, M., Ida, T., Murakami, K. and Friedman, L. (2014) 'Consumers' willingness to pay for alternative fuel vehicles: A comparative discrete choice analysis between the US and Japan', </w:t>
      </w:r>
      <w:r w:rsidRPr="003A21A3">
        <w:rPr>
          <w:rFonts w:ascii="Arial" w:hAnsi="Arial" w:cs="Arial"/>
          <w:i/>
          <w:iCs/>
          <w:sz w:val="24"/>
          <w:szCs w:val="24"/>
        </w:rPr>
        <w:t>Transportation Research Part A: Policy and Practice</w:t>
      </w:r>
      <w:r w:rsidRPr="003A21A3">
        <w:rPr>
          <w:rFonts w:ascii="Arial" w:hAnsi="Arial" w:cs="Arial"/>
          <w:sz w:val="24"/>
          <w:szCs w:val="24"/>
        </w:rPr>
        <w:t>, 70, pp. 194–209.</w:t>
      </w:r>
    </w:p>
    <w:p w14:paraId="755BB28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Terra Insights (2026) </w:t>
      </w:r>
      <w:r w:rsidRPr="003A21A3">
        <w:rPr>
          <w:rFonts w:ascii="Arial" w:hAnsi="Arial" w:cs="Arial"/>
          <w:i/>
          <w:iCs/>
          <w:sz w:val="24"/>
          <w:szCs w:val="24"/>
        </w:rPr>
        <w:t>Toyota Kirloskar Motor supplier reconciliation: TPS, Heijunka and Indian tax overlay</w:t>
      </w:r>
      <w:r w:rsidRPr="003A21A3">
        <w:rPr>
          <w:rFonts w:ascii="Arial" w:hAnsi="Arial" w:cs="Arial"/>
          <w:sz w:val="24"/>
          <w:szCs w:val="24"/>
        </w:rPr>
        <w:t xml:space="preserve">. Available at: </w:t>
      </w:r>
      <w:hyperlink r:id="rId37" w:tgtFrame="_new" w:history="1">
        <w:r w:rsidRPr="003A21A3">
          <w:rPr>
            <w:rStyle w:val="Hyperlink"/>
            <w:rFonts w:ascii="Arial" w:hAnsi="Arial" w:cs="Arial"/>
            <w:sz w:val="24"/>
            <w:szCs w:val="24"/>
          </w:rPr>
          <w:t>https://www.terra-insight.com/insights/toyota-kirloskar-supplier-reconciliation-india/</w:t>
        </w:r>
      </w:hyperlink>
      <w:r w:rsidRPr="003A21A3">
        <w:rPr>
          <w:rFonts w:ascii="Arial" w:hAnsi="Arial" w:cs="Arial"/>
          <w:sz w:val="24"/>
          <w:szCs w:val="24"/>
        </w:rPr>
        <w:t xml:space="preserve"> (Accessed: 19 July 2026).</w:t>
      </w:r>
    </w:p>
    <w:p w14:paraId="59DDC3E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The Cultural Factor Group (2026) </w:t>
      </w:r>
      <w:r w:rsidRPr="003A21A3">
        <w:rPr>
          <w:rFonts w:ascii="Arial" w:hAnsi="Arial" w:cs="Arial"/>
          <w:i/>
          <w:iCs/>
          <w:sz w:val="24"/>
          <w:szCs w:val="24"/>
        </w:rPr>
        <w:t>Country comparison tool</w:t>
      </w:r>
      <w:r w:rsidRPr="003A21A3">
        <w:rPr>
          <w:rFonts w:ascii="Arial" w:hAnsi="Arial" w:cs="Arial"/>
          <w:sz w:val="24"/>
          <w:szCs w:val="24"/>
        </w:rPr>
        <w:t>. Available at: https://www.theculturefactor.com/country-comparison-tool?countries=india%2Cjapan (Accessed: 16 July 2026).</w:t>
      </w:r>
    </w:p>
    <w:p w14:paraId="2BB27347"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Thıagraj, M., Karım, A. and Veloo, A. (2021) 'Using reflective practices to explore postgraduate students' self-directed learning readiness in mobile learning platform and task-centred activity', </w:t>
      </w:r>
      <w:r w:rsidRPr="003A21A3">
        <w:rPr>
          <w:rFonts w:ascii="Arial" w:hAnsi="Arial" w:cs="Arial"/>
          <w:i/>
          <w:iCs/>
          <w:sz w:val="24"/>
          <w:szCs w:val="24"/>
        </w:rPr>
        <w:t>Turkish Online Journal of Distance Education</w:t>
      </w:r>
      <w:r w:rsidRPr="003A21A3">
        <w:rPr>
          <w:rFonts w:ascii="Arial" w:hAnsi="Arial" w:cs="Arial"/>
          <w:sz w:val="24"/>
          <w:szCs w:val="24"/>
        </w:rPr>
        <w:t>, 22(2), pp. 192–205.</w:t>
      </w:r>
    </w:p>
    <w:p w14:paraId="77FD4142"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Asia (2024) </w:t>
      </w:r>
      <w:r w:rsidRPr="003A21A3">
        <w:rPr>
          <w:rFonts w:ascii="Arial" w:hAnsi="Arial" w:cs="Arial"/>
          <w:i/>
          <w:iCs/>
          <w:sz w:val="24"/>
          <w:szCs w:val="24"/>
        </w:rPr>
        <w:t>Toyota vision &amp; philosophy</w:t>
      </w:r>
      <w:r w:rsidRPr="003A21A3">
        <w:rPr>
          <w:rFonts w:ascii="Arial" w:hAnsi="Arial" w:cs="Arial"/>
          <w:sz w:val="24"/>
          <w:szCs w:val="24"/>
        </w:rPr>
        <w:t xml:space="preserve">. Available at: </w:t>
      </w:r>
      <w:hyperlink r:id="rId38" w:tgtFrame="_new" w:history="1">
        <w:r w:rsidRPr="003A21A3">
          <w:rPr>
            <w:rStyle w:val="Hyperlink"/>
            <w:rFonts w:ascii="Arial" w:hAnsi="Arial" w:cs="Arial"/>
            <w:sz w:val="24"/>
            <w:szCs w:val="24"/>
          </w:rPr>
          <w:t>https://www.toyota-asia.com/about-philosophy</w:t>
        </w:r>
      </w:hyperlink>
      <w:r w:rsidRPr="003A21A3">
        <w:rPr>
          <w:rFonts w:ascii="Arial" w:hAnsi="Arial" w:cs="Arial"/>
          <w:sz w:val="24"/>
          <w:szCs w:val="24"/>
        </w:rPr>
        <w:t xml:space="preserve"> (Accessed: 19 July 2026).</w:t>
      </w:r>
    </w:p>
    <w:p w14:paraId="49BD7258"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Financial Services India (2026) </w:t>
      </w:r>
      <w:r w:rsidRPr="003A21A3">
        <w:rPr>
          <w:rFonts w:ascii="Arial" w:hAnsi="Arial" w:cs="Arial"/>
          <w:i/>
          <w:iCs/>
          <w:sz w:val="24"/>
          <w:szCs w:val="24"/>
        </w:rPr>
        <w:t>Apply for a Toyota loan online</w:t>
      </w:r>
      <w:r w:rsidRPr="003A21A3">
        <w:rPr>
          <w:rFonts w:ascii="Arial" w:hAnsi="Arial" w:cs="Arial"/>
          <w:sz w:val="24"/>
          <w:szCs w:val="24"/>
        </w:rPr>
        <w:t xml:space="preserve">. Available at: </w:t>
      </w:r>
      <w:hyperlink r:id="rId39" w:tgtFrame="_new" w:history="1">
        <w:r w:rsidRPr="003A21A3">
          <w:rPr>
            <w:rStyle w:val="Hyperlink"/>
            <w:rFonts w:ascii="Arial" w:hAnsi="Arial" w:cs="Arial"/>
            <w:sz w:val="24"/>
            <w:szCs w:val="24"/>
          </w:rPr>
          <w:t>https://www.toyotafinance.co.in/apply-loan-online/index.html</w:t>
        </w:r>
      </w:hyperlink>
      <w:r w:rsidRPr="003A21A3">
        <w:rPr>
          <w:rFonts w:ascii="Arial" w:hAnsi="Arial" w:cs="Arial"/>
          <w:sz w:val="24"/>
          <w:szCs w:val="24"/>
        </w:rPr>
        <w:t xml:space="preserve"> (Accessed: 19 July 2026).</w:t>
      </w:r>
    </w:p>
    <w:p w14:paraId="03D86D1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Global (2012) </w:t>
      </w:r>
      <w:r w:rsidRPr="003A21A3">
        <w:rPr>
          <w:rFonts w:ascii="Arial" w:hAnsi="Arial" w:cs="Arial"/>
          <w:i/>
          <w:iCs/>
          <w:sz w:val="24"/>
          <w:szCs w:val="24"/>
        </w:rPr>
        <w:t>Advertising and publicity: Japan</w:t>
      </w:r>
      <w:r w:rsidRPr="003A21A3">
        <w:rPr>
          <w:rFonts w:ascii="Arial" w:hAnsi="Arial" w:cs="Arial"/>
          <w:sz w:val="24"/>
          <w:szCs w:val="24"/>
        </w:rPr>
        <w:t xml:space="preserve">. Available at: </w:t>
      </w:r>
      <w:hyperlink r:id="rId40" w:tgtFrame="_new" w:history="1">
        <w:r w:rsidRPr="003A21A3">
          <w:rPr>
            <w:rStyle w:val="Hyperlink"/>
            <w:rFonts w:ascii="Arial" w:hAnsi="Arial" w:cs="Arial"/>
            <w:sz w:val="24"/>
            <w:szCs w:val="24"/>
          </w:rPr>
          <w:t>https://www.toyota-global.com/company/history_of_toyota/75years/data/automotive_business/sales/activity/japan/advertising/h18.html</w:t>
        </w:r>
      </w:hyperlink>
      <w:r w:rsidRPr="003A21A3">
        <w:rPr>
          <w:rFonts w:ascii="Arial" w:hAnsi="Arial" w:cs="Arial"/>
          <w:sz w:val="24"/>
          <w:szCs w:val="24"/>
        </w:rPr>
        <w:t xml:space="preserve"> (Accessed: 17 July 2026).</w:t>
      </w:r>
    </w:p>
    <w:p w14:paraId="20DCE983"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Global (2026a) </w:t>
      </w:r>
      <w:r w:rsidRPr="003A21A3">
        <w:rPr>
          <w:rFonts w:ascii="Arial" w:hAnsi="Arial" w:cs="Arial"/>
          <w:i/>
          <w:iCs/>
          <w:sz w:val="24"/>
          <w:szCs w:val="24"/>
        </w:rPr>
        <w:t>Toyota production system</w:t>
      </w:r>
      <w:r w:rsidRPr="003A21A3">
        <w:rPr>
          <w:rFonts w:ascii="Arial" w:hAnsi="Arial" w:cs="Arial"/>
          <w:sz w:val="24"/>
          <w:szCs w:val="24"/>
        </w:rPr>
        <w:t xml:space="preserve">. Available at: </w:t>
      </w:r>
      <w:hyperlink r:id="rId41" w:tgtFrame="_new" w:history="1">
        <w:r w:rsidRPr="003A21A3">
          <w:rPr>
            <w:rStyle w:val="Hyperlink"/>
            <w:rFonts w:ascii="Arial" w:hAnsi="Arial" w:cs="Arial"/>
            <w:sz w:val="24"/>
            <w:szCs w:val="24"/>
          </w:rPr>
          <w:t>https://global.toyota/en/company/vision-and-philosophy/production-system/</w:t>
        </w:r>
      </w:hyperlink>
      <w:r w:rsidRPr="003A21A3">
        <w:rPr>
          <w:rFonts w:ascii="Arial" w:hAnsi="Arial" w:cs="Arial"/>
          <w:sz w:val="24"/>
          <w:szCs w:val="24"/>
        </w:rPr>
        <w:t xml:space="preserve"> (Accessed: 19 July 2026).</w:t>
      </w:r>
    </w:p>
    <w:p w14:paraId="55F7133E"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Toyota Global (2026b) </w:t>
      </w:r>
      <w:r w:rsidRPr="003A21A3">
        <w:rPr>
          <w:rFonts w:ascii="Arial" w:hAnsi="Arial" w:cs="Arial"/>
          <w:i/>
          <w:iCs/>
          <w:sz w:val="24"/>
          <w:szCs w:val="24"/>
        </w:rPr>
        <w:t>Vehicle gallery</w:t>
      </w:r>
      <w:r w:rsidRPr="003A21A3">
        <w:rPr>
          <w:rFonts w:ascii="Arial" w:hAnsi="Arial" w:cs="Arial"/>
          <w:sz w:val="24"/>
          <w:szCs w:val="24"/>
        </w:rPr>
        <w:t xml:space="preserve">. Available at: </w:t>
      </w:r>
      <w:hyperlink r:id="rId42" w:tgtFrame="_new" w:history="1">
        <w:r w:rsidRPr="003A21A3">
          <w:rPr>
            <w:rStyle w:val="Hyperlink"/>
            <w:rFonts w:ascii="Arial" w:hAnsi="Arial" w:cs="Arial"/>
            <w:sz w:val="24"/>
            <w:szCs w:val="24"/>
          </w:rPr>
          <w:t>https://global.toyota/en/mobility/toyota-brand/gallery/</w:t>
        </w:r>
      </w:hyperlink>
      <w:r w:rsidRPr="003A21A3">
        <w:rPr>
          <w:rFonts w:ascii="Arial" w:hAnsi="Arial" w:cs="Arial"/>
          <w:sz w:val="24"/>
          <w:szCs w:val="24"/>
        </w:rPr>
        <w:t xml:space="preserve"> (Accessed: 19 July 2026).</w:t>
      </w:r>
    </w:p>
    <w:p w14:paraId="02AA046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Kirloskar Motor (2021) </w:t>
      </w:r>
      <w:r w:rsidRPr="003A21A3">
        <w:rPr>
          <w:rFonts w:ascii="Arial" w:hAnsi="Arial" w:cs="Arial"/>
          <w:i/>
          <w:iCs/>
          <w:sz w:val="24"/>
          <w:szCs w:val="24"/>
        </w:rPr>
        <w:t>Toyota Kirloskar Motor achieves 100% carbon neutrality in renewable energy</w:t>
      </w:r>
      <w:r w:rsidRPr="003A21A3">
        <w:rPr>
          <w:rFonts w:ascii="Arial" w:hAnsi="Arial" w:cs="Arial"/>
          <w:sz w:val="24"/>
          <w:szCs w:val="24"/>
        </w:rPr>
        <w:t xml:space="preserve">. Available at: </w:t>
      </w:r>
      <w:hyperlink r:id="rId43" w:tgtFrame="_new" w:history="1">
        <w:r w:rsidRPr="003A21A3">
          <w:rPr>
            <w:rStyle w:val="Hyperlink"/>
            <w:rFonts w:ascii="Arial" w:hAnsi="Arial" w:cs="Arial"/>
            <w:sz w:val="24"/>
            <w:szCs w:val="24"/>
          </w:rPr>
          <w:t>https://www.toyotabharat.com/news/2021/tkm-achieves-100-percent-carbon-neutrality-in-renewable-energy.html</w:t>
        </w:r>
      </w:hyperlink>
      <w:r w:rsidRPr="003A21A3">
        <w:rPr>
          <w:rFonts w:ascii="Arial" w:hAnsi="Arial" w:cs="Arial"/>
          <w:sz w:val="24"/>
          <w:szCs w:val="24"/>
        </w:rPr>
        <w:t xml:space="preserve"> (Accessed: 18 July 2026).</w:t>
      </w:r>
    </w:p>
    <w:p w14:paraId="4F776C7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Kirloskar Motor (2025) </w:t>
      </w:r>
      <w:r w:rsidRPr="003A21A3">
        <w:rPr>
          <w:rFonts w:ascii="Arial" w:hAnsi="Arial" w:cs="Arial"/>
          <w:i/>
          <w:iCs/>
          <w:sz w:val="24"/>
          <w:szCs w:val="24"/>
        </w:rPr>
        <w:t>Toyota Technical Training Institute (TTTI) opens admissions for batch of 2025–2028</w:t>
      </w:r>
      <w:r w:rsidRPr="003A21A3">
        <w:rPr>
          <w:rFonts w:ascii="Arial" w:hAnsi="Arial" w:cs="Arial"/>
          <w:sz w:val="24"/>
          <w:szCs w:val="24"/>
        </w:rPr>
        <w:t xml:space="preserve">. Available at: </w:t>
      </w:r>
      <w:hyperlink r:id="rId44" w:tgtFrame="_new" w:history="1">
        <w:r w:rsidRPr="003A21A3">
          <w:rPr>
            <w:rStyle w:val="Hyperlink"/>
            <w:rFonts w:ascii="Arial" w:hAnsi="Arial" w:cs="Arial"/>
            <w:sz w:val="24"/>
            <w:szCs w:val="24"/>
          </w:rPr>
          <w:t>https://www.toyotabharat.com/news/2025/toyota-technical-training-institute-ttti-opens-admissions-for-batch-of-2025-2028.html</w:t>
        </w:r>
      </w:hyperlink>
      <w:r w:rsidRPr="003A21A3">
        <w:rPr>
          <w:rFonts w:ascii="Arial" w:hAnsi="Arial" w:cs="Arial"/>
          <w:sz w:val="24"/>
          <w:szCs w:val="24"/>
        </w:rPr>
        <w:t xml:space="preserve"> (Accessed: 18 July 2026).</w:t>
      </w:r>
    </w:p>
    <w:p w14:paraId="3389AA1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Kirloskar Motor (2026a) </w:t>
      </w:r>
      <w:r w:rsidRPr="003A21A3">
        <w:rPr>
          <w:rFonts w:ascii="Arial" w:hAnsi="Arial" w:cs="Arial"/>
          <w:i/>
          <w:iCs/>
          <w:sz w:val="24"/>
          <w:szCs w:val="24"/>
        </w:rPr>
        <w:t>Discover the Toyota range</w:t>
      </w:r>
      <w:r w:rsidRPr="003A21A3">
        <w:rPr>
          <w:rFonts w:ascii="Arial" w:hAnsi="Arial" w:cs="Arial"/>
          <w:sz w:val="24"/>
          <w:szCs w:val="24"/>
        </w:rPr>
        <w:t xml:space="preserve">. Available at: </w:t>
      </w:r>
      <w:hyperlink r:id="rId45" w:tgtFrame="_new" w:history="1">
        <w:r w:rsidRPr="003A21A3">
          <w:rPr>
            <w:rStyle w:val="Hyperlink"/>
            <w:rFonts w:ascii="Arial" w:hAnsi="Arial" w:cs="Arial"/>
            <w:sz w:val="24"/>
            <w:szCs w:val="24"/>
          </w:rPr>
          <w:t>https://www.toyotabharat.com/</w:t>
        </w:r>
      </w:hyperlink>
      <w:r w:rsidRPr="003A21A3">
        <w:rPr>
          <w:rFonts w:ascii="Arial" w:hAnsi="Arial" w:cs="Arial"/>
          <w:sz w:val="24"/>
          <w:szCs w:val="24"/>
        </w:rPr>
        <w:t xml:space="preserve"> (Accessed: 19 July 2026).</w:t>
      </w:r>
    </w:p>
    <w:p w14:paraId="434E1090"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Kirloskar Motor (2026b) </w:t>
      </w:r>
      <w:r w:rsidRPr="003A21A3">
        <w:rPr>
          <w:rFonts w:ascii="Arial" w:hAnsi="Arial" w:cs="Arial"/>
          <w:i/>
          <w:iCs/>
          <w:sz w:val="24"/>
          <w:szCs w:val="24"/>
        </w:rPr>
        <w:t>Ecozone</w:t>
      </w:r>
      <w:r w:rsidRPr="003A21A3">
        <w:rPr>
          <w:rFonts w:ascii="Arial" w:hAnsi="Arial" w:cs="Arial"/>
          <w:sz w:val="24"/>
          <w:szCs w:val="24"/>
        </w:rPr>
        <w:t xml:space="preserve">. Available at: </w:t>
      </w:r>
      <w:hyperlink r:id="rId46" w:tgtFrame="_new" w:history="1">
        <w:r w:rsidRPr="003A21A3">
          <w:rPr>
            <w:rStyle w:val="Hyperlink"/>
            <w:rFonts w:ascii="Arial" w:hAnsi="Arial" w:cs="Arial"/>
            <w:sz w:val="24"/>
            <w:szCs w:val="24"/>
          </w:rPr>
          <w:t>https://www.toyotabharat.com/toyota-in-india/environment/ecozone.html</w:t>
        </w:r>
      </w:hyperlink>
      <w:r w:rsidRPr="003A21A3">
        <w:rPr>
          <w:rFonts w:ascii="Arial" w:hAnsi="Arial" w:cs="Arial"/>
          <w:sz w:val="24"/>
          <w:szCs w:val="24"/>
        </w:rPr>
        <w:t xml:space="preserve"> (Accessed: 18 July 2026).</w:t>
      </w:r>
    </w:p>
    <w:p w14:paraId="24DE3B9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Motor Europe (2026) </w:t>
      </w:r>
      <w:r w:rsidRPr="003A21A3">
        <w:rPr>
          <w:rFonts w:ascii="Arial" w:hAnsi="Arial" w:cs="Arial"/>
          <w:i/>
          <w:iCs/>
          <w:sz w:val="24"/>
          <w:szCs w:val="24"/>
        </w:rPr>
        <w:t>Toyota in the world</w:t>
      </w:r>
      <w:r w:rsidRPr="003A21A3">
        <w:rPr>
          <w:rFonts w:ascii="Arial" w:hAnsi="Arial" w:cs="Arial"/>
          <w:sz w:val="24"/>
          <w:szCs w:val="24"/>
        </w:rPr>
        <w:t xml:space="preserve">. Available at: </w:t>
      </w:r>
      <w:hyperlink r:id="rId47" w:tgtFrame="_new" w:history="1">
        <w:r w:rsidRPr="003A21A3">
          <w:rPr>
            <w:rStyle w:val="Hyperlink"/>
            <w:rFonts w:ascii="Arial" w:hAnsi="Arial" w:cs="Arial"/>
            <w:sz w:val="24"/>
            <w:szCs w:val="24"/>
          </w:rPr>
          <w:t>https://www.toyota-europe.com/about-us/toyota-in-the-world</w:t>
        </w:r>
      </w:hyperlink>
      <w:r w:rsidRPr="003A21A3">
        <w:rPr>
          <w:rFonts w:ascii="Arial" w:hAnsi="Arial" w:cs="Arial"/>
          <w:sz w:val="24"/>
          <w:szCs w:val="24"/>
        </w:rPr>
        <w:t xml:space="preserve"> (Accessed: 15 July 2026).</w:t>
      </w:r>
    </w:p>
    <w:p w14:paraId="7CA1743C"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Times (2020) </w:t>
      </w:r>
      <w:r w:rsidRPr="003A21A3">
        <w:rPr>
          <w:rFonts w:ascii="Arial" w:hAnsi="Arial" w:cs="Arial"/>
          <w:i/>
          <w:iCs/>
          <w:sz w:val="24"/>
          <w:szCs w:val="24"/>
        </w:rPr>
        <w:t>'One and Only': A true tale of Toyota's unwavering principles</w:t>
      </w:r>
      <w:r w:rsidRPr="003A21A3">
        <w:rPr>
          <w:rFonts w:ascii="Arial" w:hAnsi="Arial" w:cs="Arial"/>
          <w:sz w:val="24"/>
          <w:szCs w:val="24"/>
        </w:rPr>
        <w:t xml:space="preserve">. Available at: </w:t>
      </w:r>
      <w:hyperlink r:id="rId48" w:tgtFrame="_new" w:history="1">
        <w:r w:rsidRPr="003A21A3">
          <w:rPr>
            <w:rStyle w:val="Hyperlink"/>
            <w:rFonts w:ascii="Arial" w:hAnsi="Arial" w:cs="Arial"/>
            <w:sz w:val="24"/>
            <w:szCs w:val="24"/>
          </w:rPr>
          <w:t>https://toyotatimes.jp/en/series/oneandonly/085.html</w:t>
        </w:r>
      </w:hyperlink>
      <w:r w:rsidRPr="003A21A3">
        <w:rPr>
          <w:rFonts w:ascii="Arial" w:hAnsi="Arial" w:cs="Arial"/>
          <w:sz w:val="24"/>
          <w:szCs w:val="24"/>
        </w:rPr>
        <w:t xml:space="preserve"> (Accessed: 19 July 2026).</w:t>
      </w:r>
    </w:p>
    <w:p w14:paraId="58F51436"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Toyota U Trust (2026) </w:t>
      </w:r>
      <w:r w:rsidRPr="003A21A3">
        <w:rPr>
          <w:rFonts w:ascii="Arial" w:hAnsi="Arial" w:cs="Arial"/>
          <w:i/>
          <w:iCs/>
          <w:sz w:val="24"/>
          <w:szCs w:val="24"/>
        </w:rPr>
        <w:t>Why Toyota U Trust</w:t>
      </w:r>
      <w:r w:rsidRPr="003A21A3">
        <w:rPr>
          <w:rFonts w:ascii="Arial" w:hAnsi="Arial" w:cs="Arial"/>
          <w:sz w:val="24"/>
          <w:szCs w:val="24"/>
        </w:rPr>
        <w:t xml:space="preserve">. Available at: </w:t>
      </w:r>
      <w:hyperlink r:id="rId49" w:tgtFrame="_new" w:history="1">
        <w:r w:rsidRPr="003A21A3">
          <w:rPr>
            <w:rStyle w:val="Hyperlink"/>
            <w:rFonts w:ascii="Arial" w:hAnsi="Arial" w:cs="Arial"/>
            <w:sz w:val="24"/>
            <w:szCs w:val="24"/>
          </w:rPr>
          <w:t>https://www.toyotautrust.in/</w:t>
        </w:r>
      </w:hyperlink>
      <w:r w:rsidRPr="003A21A3">
        <w:rPr>
          <w:rFonts w:ascii="Arial" w:hAnsi="Arial" w:cs="Arial"/>
          <w:sz w:val="24"/>
          <w:szCs w:val="24"/>
        </w:rPr>
        <w:t xml:space="preserve"> (Accessed: 19 July 2026).</w:t>
      </w:r>
    </w:p>
    <w:p w14:paraId="4D15438B"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Tien, N.H., Phu, P.P. and Chi, D.T.P. (2019) 'The role of international marketing in international business strategy', </w:t>
      </w:r>
      <w:r w:rsidRPr="003A21A3">
        <w:rPr>
          <w:rFonts w:ascii="Arial" w:hAnsi="Arial" w:cs="Arial"/>
          <w:i/>
          <w:iCs/>
          <w:sz w:val="24"/>
          <w:szCs w:val="24"/>
        </w:rPr>
        <w:t>International Journal of Research in Marketing Management and Sales</w:t>
      </w:r>
      <w:r w:rsidRPr="003A21A3">
        <w:rPr>
          <w:rFonts w:ascii="Arial" w:hAnsi="Arial" w:cs="Arial"/>
          <w:sz w:val="24"/>
          <w:szCs w:val="24"/>
        </w:rPr>
        <w:t>, 1(2), pp. 134–138.</w:t>
      </w:r>
    </w:p>
    <w:p w14:paraId="43CD02DD"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Vasile, A. (2016) 'Hofstede's cultural dimensions and management in corporations', </w:t>
      </w:r>
      <w:r w:rsidRPr="003A21A3">
        <w:rPr>
          <w:rFonts w:ascii="Arial" w:hAnsi="Arial" w:cs="Arial"/>
          <w:i/>
          <w:iCs/>
          <w:sz w:val="24"/>
          <w:szCs w:val="24"/>
        </w:rPr>
        <w:t>Cross-Cultural Management Journal</w:t>
      </w:r>
      <w:r w:rsidRPr="003A21A3">
        <w:rPr>
          <w:rFonts w:ascii="Arial" w:hAnsi="Arial" w:cs="Arial"/>
          <w:sz w:val="24"/>
          <w:szCs w:val="24"/>
        </w:rPr>
        <w:t>, 18(1), pp. 35–46.</w:t>
      </w:r>
    </w:p>
    <w:p w14:paraId="2AF3AA2F"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t xml:space="preserve">Wibowo, B. and Zebua, M. (2025) 'STP strategy in marketing secondary crop products: A case study of HB Company in Lamongan', </w:t>
      </w:r>
      <w:r w:rsidRPr="003A21A3">
        <w:rPr>
          <w:rFonts w:ascii="Arial" w:hAnsi="Arial" w:cs="Arial"/>
          <w:i/>
          <w:iCs/>
          <w:sz w:val="24"/>
          <w:szCs w:val="24"/>
        </w:rPr>
        <w:t>Jurnal Manajemen Bisnis dan Kewirausahaan</w:t>
      </w:r>
      <w:r w:rsidRPr="003A21A3">
        <w:rPr>
          <w:rFonts w:ascii="Arial" w:hAnsi="Arial" w:cs="Arial"/>
          <w:sz w:val="24"/>
          <w:szCs w:val="24"/>
        </w:rPr>
        <w:t>, 5(1), pp. 49–60.</w:t>
      </w:r>
    </w:p>
    <w:p w14:paraId="60D49501" w14:textId="77777777" w:rsidR="003A21A3" w:rsidRPr="003A21A3" w:rsidRDefault="003A21A3" w:rsidP="0049434F">
      <w:pPr>
        <w:spacing w:line="360" w:lineRule="auto"/>
        <w:jc w:val="both"/>
        <w:rPr>
          <w:rFonts w:ascii="Arial" w:hAnsi="Arial" w:cs="Arial"/>
          <w:sz w:val="24"/>
          <w:szCs w:val="24"/>
        </w:rPr>
      </w:pPr>
      <w:r w:rsidRPr="003A21A3">
        <w:rPr>
          <w:rFonts w:ascii="Arial" w:hAnsi="Arial" w:cs="Arial"/>
          <w:sz w:val="24"/>
          <w:szCs w:val="24"/>
        </w:rPr>
        <w:lastRenderedPageBreak/>
        <w:t xml:space="preserve">Żemojtel-Piotrowska, M. and Piotrowski, J. (2023) 'Hofstede's cultural dimensions theory', in </w:t>
      </w:r>
      <w:r w:rsidRPr="003A21A3">
        <w:rPr>
          <w:rFonts w:ascii="Arial" w:hAnsi="Arial" w:cs="Arial"/>
          <w:i/>
          <w:iCs/>
          <w:sz w:val="24"/>
          <w:szCs w:val="24"/>
        </w:rPr>
        <w:t>Encyclopedia of Sexual Psychology and Behaviour</w:t>
      </w:r>
      <w:r w:rsidRPr="003A21A3">
        <w:rPr>
          <w:rFonts w:ascii="Arial" w:hAnsi="Arial" w:cs="Arial"/>
          <w:sz w:val="24"/>
          <w:szCs w:val="24"/>
        </w:rPr>
        <w:t>. Cham: Springer Nature, pp. 1–4.</w:t>
      </w:r>
    </w:p>
    <w:p w14:paraId="56652F96" w14:textId="77777777" w:rsidR="003A21A3" w:rsidRPr="003A21A3" w:rsidRDefault="003A21A3" w:rsidP="0049434F">
      <w:pPr>
        <w:spacing w:line="360" w:lineRule="auto"/>
        <w:jc w:val="both"/>
        <w:rPr>
          <w:rFonts w:ascii="Arial" w:hAnsi="Arial" w:cs="Arial"/>
          <w:sz w:val="24"/>
          <w:szCs w:val="24"/>
        </w:rPr>
      </w:pPr>
    </w:p>
    <w:p w14:paraId="02DF80BC" w14:textId="77777777" w:rsidR="003A21A3" w:rsidRPr="003A21A3" w:rsidRDefault="003A21A3" w:rsidP="0049434F">
      <w:pPr>
        <w:spacing w:line="360" w:lineRule="auto"/>
        <w:jc w:val="both"/>
        <w:rPr>
          <w:rFonts w:ascii="Arial" w:hAnsi="Arial" w:cs="Arial"/>
          <w:sz w:val="24"/>
          <w:szCs w:val="24"/>
        </w:rPr>
      </w:pPr>
    </w:p>
    <w:p w14:paraId="535A6DB5" w14:textId="77777777" w:rsidR="003A21A3" w:rsidRPr="003A21A3" w:rsidRDefault="003A21A3" w:rsidP="0049434F">
      <w:pPr>
        <w:spacing w:line="360" w:lineRule="auto"/>
        <w:jc w:val="both"/>
        <w:rPr>
          <w:rFonts w:ascii="Arial" w:hAnsi="Arial" w:cs="Arial"/>
          <w:sz w:val="24"/>
          <w:szCs w:val="24"/>
        </w:rPr>
      </w:pPr>
    </w:p>
    <w:p w14:paraId="4F2FA88C" w14:textId="77777777" w:rsidR="003A21A3" w:rsidRPr="003A21A3" w:rsidRDefault="003A21A3" w:rsidP="0049434F">
      <w:pPr>
        <w:spacing w:line="360" w:lineRule="auto"/>
        <w:jc w:val="both"/>
        <w:rPr>
          <w:rFonts w:ascii="Arial" w:hAnsi="Arial" w:cs="Arial"/>
          <w:sz w:val="24"/>
          <w:szCs w:val="24"/>
        </w:rPr>
      </w:pPr>
    </w:p>
    <w:p w14:paraId="7261F400" w14:textId="77777777" w:rsidR="003A21A3" w:rsidRPr="003A21A3" w:rsidRDefault="003A21A3" w:rsidP="0049434F">
      <w:pPr>
        <w:spacing w:line="360" w:lineRule="auto"/>
        <w:jc w:val="both"/>
        <w:rPr>
          <w:rFonts w:ascii="Arial" w:hAnsi="Arial" w:cs="Arial"/>
          <w:sz w:val="24"/>
          <w:szCs w:val="24"/>
        </w:rPr>
      </w:pPr>
    </w:p>
    <w:p w14:paraId="32DA887B" w14:textId="77777777" w:rsidR="003A21A3" w:rsidRPr="003A21A3" w:rsidRDefault="003A21A3" w:rsidP="0049434F">
      <w:pPr>
        <w:spacing w:line="360" w:lineRule="auto"/>
        <w:jc w:val="both"/>
        <w:rPr>
          <w:rFonts w:ascii="Arial" w:hAnsi="Arial" w:cs="Arial"/>
          <w:sz w:val="24"/>
          <w:szCs w:val="24"/>
        </w:rPr>
      </w:pPr>
    </w:p>
    <w:p w14:paraId="04B2A07E" w14:textId="77777777" w:rsidR="003A21A3" w:rsidRPr="003A21A3" w:rsidRDefault="003A21A3" w:rsidP="0049434F">
      <w:pPr>
        <w:spacing w:line="360" w:lineRule="auto"/>
        <w:jc w:val="both"/>
        <w:rPr>
          <w:rFonts w:ascii="Arial" w:hAnsi="Arial" w:cs="Arial"/>
          <w:sz w:val="24"/>
          <w:szCs w:val="24"/>
        </w:rPr>
      </w:pPr>
    </w:p>
    <w:p w14:paraId="53C3B207" w14:textId="77777777" w:rsidR="00200AF1" w:rsidRPr="003A21A3" w:rsidRDefault="00200AF1" w:rsidP="0049434F">
      <w:pPr>
        <w:spacing w:line="360" w:lineRule="auto"/>
        <w:jc w:val="both"/>
        <w:rPr>
          <w:rFonts w:ascii="Arial" w:hAnsi="Arial" w:cs="Arial"/>
          <w:sz w:val="24"/>
          <w:szCs w:val="24"/>
        </w:rPr>
      </w:pPr>
    </w:p>
    <w:sectPr w:rsidR="00200AF1" w:rsidRPr="003A21A3">
      <w:headerReference w:type="even" r:id="rId50"/>
      <w:headerReference w:type="default" r:id="rId51"/>
      <w:footerReference w:type="even" r:id="rId52"/>
      <w:footerReference w:type="default" r:id="rId53"/>
      <w:headerReference w:type="first" r:id="rId54"/>
      <w:footerReference w:type="first" r:id="rId5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E46F7" w14:textId="77777777" w:rsidR="0078671A" w:rsidRDefault="0078671A">
      <w:pPr>
        <w:spacing w:after="0" w:line="240" w:lineRule="auto"/>
      </w:pPr>
      <w:r>
        <w:separator/>
      </w:r>
    </w:p>
  </w:endnote>
  <w:endnote w:type="continuationSeparator" w:id="0">
    <w:p w14:paraId="308BAA19" w14:textId="77777777" w:rsidR="0078671A" w:rsidRDefault="00786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B0F26" w14:textId="77777777" w:rsidR="007B02F8" w:rsidRDefault="007B0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7225665"/>
      <w:docPartObj>
        <w:docPartGallery w:val="AutoText"/>
      </w:docPartObj>
    </w:sdtPr>
    <w:sdtContent>
      <w:p w14:paraId="2233773C" w14:textId="77777777" w:rsidR="00A20DC3" w:rsidRDefault="003A21A3">
        <w:pPr>
          <w:pStyle w:val="Footer"/>
          <w:jc w:val="right"/>
        </w:pPr>
        <w:r>
          <w:fldChar w:fldCharType="begin"/>
        </w:r>
        <w:r>
          <w:instrText xml:space="preserve"> PAGE   \* MERGEFORMAT </w:instrText>
        </w:r>
        <w:r>
          <w:fldChar w:fldCharType="separate"/>
        </w:r>
        <w:r>
          <w:rPr>
            <w:noProof/>
          </w:rPr>
          <w:t>2</w:t>
        </w:r>
        <w:r>
          <w:fldChar w:fldCharType="end"/>
        </w:r>
      </w:p>
    </w:sdtContent>
  </w:sdt>
  <w:p w14:paraId="2B720AC5" w14:textId="77777777" w:rsidR="00A20DC3" w:rsidRDefault="00A20D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4110F" w14:textId="77777777" w:rsidR="007B02F8" w:rsidRDefault="007B0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2670E" w14:textId="77777777" w:rsidR="0078671A" w:rsidRDefault="0078671A">
      <w:pPr>
        <w:spacing w:after="0" w:line="240" w:lineRule="auto"/>
      </w:pPr>
      <w:r>
        <w:separator/>
      </w:r>
    </w:p>
  </w:footnote>
  <w:footnote w:type="continuationSeparator" w:id="0">
    <w:p w14:paraId="420254A0" w14:textId="77777777" w:rsidR="0078671A" w:rsidRDefault="007867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D494C" w14:textId="77777777" w:rsidR="007B02F8" w:rsidRDefault="007B0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94510" w14:textId="6F1373C2" w:rsidR="005A02F2" w:rsidRDefault="005A02F2" w:rsidP="005A02F2">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4B198" w14:textId="77777777" w:rsidR="007B02F8" w:rsidRDefault="007B02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3F17E8"/>
    <w:multiLevelType w:val="multilevel"/>
    <w:tmpl w:val="433F17E8"/>
    <w:lvl w:ilvl="0">
      <w:start w:val="1"/>
      <w:numFmt w:val="decimal"/>
      <w:lvlText w:val="%1."/>
      <w:lvlJc w:val="left"/>
      <w:pPr>
        <w:ind w:left="720" w:hanging="360"/>
      </w:pPr>
      <w:rPr>
        <w:rFonts w:hint="default"/>
        <w:color w:val="auto"/>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296715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21A3"/>
    <w:rsid w:val="0000596C"/>
    <w:rsid w:val="00200AF1"/>
    <w:rsid w:val="002528B8"/>
    <w:rsid w:val="003A21A3"/>
    <w:rsid w:val="003F7414"/>
    <w:rsid w:val="0049434F"/>
    <w:rsid w:val="005A02F2"/>
    <w:rsid w:val="006941B4"/>
    <w:rsid w:val="0078671A"/>
    <w:rsid w:val="007B02F8"/>
    <w:rsid w:val="00861AF3"/>
    <w:rsid w:val="00A20DC3"/>
    <w:rsid w:val="00EF4541"/>
    <w:rsid w:val="00F84A9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AE8A3"/>
  <w15:chartTrackingRefBased/>
  <w15:docId w15:val="{814493EB-B707-4A26-8BD8-C9C881B51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21A3"/>
    <w:pPr>
      <w:keepNext/>
      <w:keepLines/>
      <w:spacing w:before="360" w:after="80" w:line="360" w:lineRule="auto"/>
      <w:jc w:val="both"/>
      <w:outlineLvl w:val="0"/>
    </w:pPr>
    <w:rPr>
      <w:rFonts w:ascii="Times New Roman" w:eastAsiaTheme="majorEastAsia" w:hAnsi="Times New Roman" w:cstheme="majorBidi"/>
      <w:b/>
      <w:sz w:val="28"/>
      <w:szCs w:val="40"/>
      <w:lang w:val="en-GB"/>
    </w:rPr>
  </w:style>
  <w:style w:type="paragraph" w:styleId="Heading2">
    <w:name w:val="heading 2"/>
    <w:basedOn w:val="Normal"/>
    <w:next w:val="Normal"/>
    <w:link w:val="Heading2Char"/>
    <w:uiPriority w:val="9"/>
    <w:unhideWhenUsed/>
    <w:qFormat/>
    <w:rsid w:val="003A21A3"/>
    <w:pPr>
      <w:keepNext/>
      <w:keepLines/>
      <w:spacing w:before="160" w:after="80" w:line="360" w:lineRule="auto"/>
      <w:jc w:val="both"/>
      <w:outlineLvl w:val="1"/>
    </w:pPr>
    <w:rPr>
      <w:rFonts w:ascii="Times New Roman" w:eastAsiaTheme="majorEastAsia" w:hAnsi="Times New Roman" w:cstheme="majorBidi"/>
      <w:b/>
      <w:sz w:val="28"/>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3A21A3"/>
    <w:rPr>
      <w:rFonts w:ascii="Times New Roman" w:eastAsiaTheme="majorEastAsia" w:hAnsi="Times New Roman" w:cstheme="majorBidi"/>
      <w:b/>
      <w:sz w:val="28"/>
      <w:szCs w:val="40"/>
      <w:lang w:val="en-GB"/>
    </w:rPr>
  </w:style>
  <w:style w:type="character" w:customStyle="1" w:styleId="Heading2Char">
    <w:name w:val="Heading 2 Char"/>
    <w:basedOn w:val="DefaultParagraphFont"/>
    <w:link w:val="Heading2"/>
    <w:uiPriority w:val="9"/>
    <w:qFormat/>
    <w:rsid w:val="003A21A3"/>
    <w:rPr>
      <w:rFonts w:ascii="Times New Roman" w:eastAsiaTheme="majorEastAsia" w:hAnsi="Times New Roman" w:cstheme="majorBidi"/>
      <w:b/>
      <w:sz w:val="28"/>
      <w:szCs w:val="32"/>
      <w:lang w:val="en-GB"/>
    </w:rPr>
  </w:style>
  <w:style w:type="paragraph" w:styleId="Footer">
    <w:name w:val="footer"/>
    <w:basedOn w:val="Normal"/>
    <w:link w:val="FooterChar"/>
    <w:uiPriority w:val="99"/>
    <w:unhideWhenUsed/>
    <w:qFormat/>
    <w:rsid w:val="003A21A3"/>
    <w:pPr>
      <w:tabs>
        <w:tab w:val="center" w:pos="4513"/>
        <w:tab w:val="right" w:pos="9026"/>
      </w:tabs>
      <w:spacing w:after="0" w:line="240" w:lineRule="auto"/>
      <w:jc w:val="both"/>
    </w:pPr>
    <w:rPr>
      <w:rFonts w:ascii="Times New Roman" w:hAnsi="Times New Roman"/>
      <w:sz w:val="24"/>
      <w:lang w:val="en-GB"/>
    </w:rPr>
  </w:style>
  <w:style w:type="character" w:customStyle="1" w:styleId="FooterChar">
    <w:name w:val="Footer Char"/>
    <w:basedOn w:val="DefaultParagraphFont"/>
    <w:link w:val="Footer"/>
    <w:uiPriority w:val="99"/>
    <w:rsid w:val="003A21A3"/>
    <w:rPr>
      <w:rFonts w:ascii="Times New Roman" w:hAnsi="Times New Roman"/>
      <w:sz w:val="24"/>
      <w:lang w:val="en-GB"/>
    </w:rPr>
  </w:style>
  <w:style w:type="character" w:styleId="Hyperlink">
    <w:name w:val="Hyperlink"/>
    <w:basedOn w:val="DefaultParagraphFont"/>
    <w:uiPriority w:val="99"/>
    <w:unhideWhenUsed/>
    <w:qFormat/>
    <w:rsid w:val="003A21A3"/>
    <w:rPr>
      <w:color w:val="0563C1" w:themeColor="hyperlink"/>
      <w:u w:val="single"/>
    </w:rPr>
  </w:style>
  <w:style w:type="paragraph" w:styleId="NormalWeb">
    <w:name w:val="Normal (Web)"/>
    <w:basedOn w:val="Normal"/>
    <w:uiPriority w:val="99"/>
    <w:semiHidden/>
    <w:unhideWhenUsed/>
    <w:rsid w:val="003A21A3"/>
    <w:pPr>
      <w:spacing w:before="100" w:beforeAutospacing="1" w:after="100" w:afterAutospacing="1" w:line="240" w:lineRule="auto"/>
    </w:pPr>
    <w:rPr>
      <w:rFonts w:ascii="Times New Roman" w:eastAsia="Times New Roman" w:hAnsi="Times New Roman" w:cs="Times New Roman"/>
      <w:sz w:val="24"/>
      <w:szCs w:val="24"/>
      <w:lang w:eastAsia="en-IN"/>
    </w:rPr>
  </w:style>
  <w:style w:type="table" w:styleId="TableGrid">
    <w:name w:val="Table Grid"/>
    <w:basedOn w:val="TableNormal"/>
    <w:uiPriority w:val="39"/>
    <w:rsid w:val="003A21A3"/>
    <w:pPr>
      <w:spacing w:after="0" w:line="240" w:lineRule="auto"/>
    </w:pPr>
    <w:rPr>
      <w:sz w:val="20"/>
      <w:szCs w:val="20"/>
      <w:lang w:eastAsia="en-IN" w:bidi="gu-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A21A3"/>
    <w:pPr>
      <w:spacing w:after="8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3A21A3"/>
    <w:rPr>
      <w:rFonts w:asciiTheme="majorHAnsi" w:eastAsiaTheme="majorEastAsia" w:hAnsiTheme="majorHAnsi" w:cstheme="majorBidi"/>
      <w:spacing w:val="-10"/>
      <w:kern w:val="28"/>
      <w:sz w:val="56"/>
      <w:szCs w:val="56"/>
      <w:lang w:val="en-GB"/>
    </w:rPr>
  </w:style>
  <w:style w:type="paragraph" w:styleId="TOC1">
    <w:name w:val="toc 1"/>
    <w:basedOn w:val="Normal"/>
    <w:next w:val="Normal"/>
    <w:autoRedefine/>
    <w:uiPriority w:val="39"/>
    <w:unhideWhenUsed/>
    <w:rsid w:val="003A21A3"/>
    <w:pPr>
      <w:spacing w:after="100" w:line="360" w:lineRule="auto"/>
      <w:jc w:val="both"/>
    </w:pPr>
    <w:rPr>
      <w:rFonts w:ascii="Times New Roman" w:hAnsi="Times New Roman"/>
      <w:sz w:val="24"/>
      <w:lang w:val="en-GB"/>
    </w:rPr>
  </w:style>
  <w:style w:type="paragraph" w:styleId="TOC2">
    <w:name w:val="toc 2"/>
    <w:basedOn w:val="Normal"/>
    <w:next w:val="Normal"/>
    <w:autoRedefine/>
    <w:uiPriority w:val="39"/>
    <w:unhideWhenUsed/>
    <w:qFormat/>
    <w:rsid w:val="003A21A3"/>
    <w:pPr>
      <w:spacing w:after="100" w:line="360" w:lineRule="auto"/>
      <w:ind w:left="220"/>
      <w:jc w:val="both"/>
    </w:pPr>
    <w:rPr>
      <w:rFonts w:ascii="Times New Roman" w:hAnsi="Times New Roman"/>
      <w:sz w:val="24"/>
      <w:lang w:val="en-GB"/>
    </w:rPr>
  </w:style>
  <w:style w:type="paragraph" w:styleId="NoSpacing">
    <w:name w:val="No Spacing"/>
    <w:link w:val="NoSpacingChar"/>
    <w:uiPriority w:val="1"/>
    <w:qFormat/>
    <w:rsid w:val="003A21A3"/>
    <w:pPr>
      <w:spacing w:after="0" w:line="240" w:lineRule="auto"/>
    </w:pPr>
    <w:rPr>
      <w:rFonts w:eastAsiaTheme="minorEastAsia"/>
      <w:lang w:val="en-US"/>
    </w:rPr>
  </w:style>
  <w:style w:type="character" w:customStyle="1" w:styleId="NoSpacingChar">
    <w:name w:val="No Spacing Char"/>
    <w:basedOn w:val="DefaultParagraphFont"/>
    <w:link w:val="NoSpacing"/>
    <w:uiPriority w:val="1"/>
    <w:qFormat/>
    <w:rsid w:val="003A21A3"/>
    <w:rPr>
      <w:rFonts w:eastAsiaTheme="minorEastAsia"/>
      <w:lang w:val="en-US"/>
    </w:rPr>
  </w:style>
  <w:style w:type="paragraph" w:customStyle="1" w:styleId="TOCHeading1">
    <w:name w:val="TOC Heading1"/>
    <w:basedOn w:val="Heading1"/>
    <w:next w:val="Normal"/>
    <w:uiPriority w:val="39"/>
    <w:unhideWhenUsed/>
    <w:qFormat/>
    <w:rsid w:val="003A21A3"/>
    <w:pPr>
      <w:spacing w:before="240" w:after="0"/>
      <w:outlineLvl w:val="9"/>
    </w:pPr>
    <w:rPr>
      <w:szCs w:val="32"/>
      <w:lang w:val="en-US"/>
    </w:rPr>
  </w:style>
  <w:style w:type="paragraph" w:styleId="Header">
    <w:name w:val="header"/>
    <w:basedOn w:val="Normal"/>
    <w:link w:val="HeaderChar"/>
    <w:uiPriority w:val="99"/>
    <w:unhideWhenUsed/>
    <w:rsid w:val="005A02F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02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ieselnet.com/standards/in/" TargetMode="External"/><Relationship Id="rId26" Type="http://schemas.openxmlformats.org/officeDocument/2006/relationships/hyperlink" Target="https://www.ibef.org/industry/science-and-technology" TargetMode="External"/><Relationship Id="rId39" Type="http://schemas.openxmlformats.org/officeDocument/2006/relationships/hyperlink" Target="https://www.toyotafinance.co.in/apply-loan-online/index.html" TargetMode="External"/><Relationship Id="rId21" Type="http://schemas.openxmlformats.org/officeDocument/2006/relationships/hyperlink" Target="https://economictimes.indiatimes.com/industry/auto/auto-news/labour-strike-ends-at-toyota-kirloskar-motors-karnataka-plant/articleshow/81295336.cms" TargetMode="External"/><Relationship Id="rId34" Type="http://schemas.openxmlformats.org/officeDocument/2006/relationships/hyperlink" Target="https://www.meti.go.jp/english/policy/mono_info_service/automobile_industry/index.html" TargetMode="External"/><Relationship Id="rId42" Type="http://schemas.openxmlformats.org/officeDocument/2006/relationships/hyperlink" Target="https://global.toyota/en/mobility/toyota-brand/gallery/" TargetMode="External"/><Relationship Id="rId47" Type="http://schemas.openxmlformats.org/officeDocument/2006/relationships/hyperlink" Target="https://www.toyota-europe.com/about-us/toyota-in-the-world" TargetMode="External"/><Relationship Id="rId50" Type="http://schemas.openxmlformats.org/officeDocument/2006/relationships/header" Target="header1.xml"/><Relationship Id="rId55" Type="http://schemas.openxmlformats.org/officeDocument/2006/relationships/footer" Target="footer3.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orbesindia.com/article/news/vikram-kirloskar-the-man-who-brought-toyota-to-millions-of-indians-was-on-the-cusp-of-a-transformation/81609/1" TargetMode="External"/><Relationship Id="rId29" Type="http://schemas.openxmlformats.org/officeDocument/2006/relationships/hyperlink" Target="https://www.jetro.go.jp/en/invest/investment_environment/whyjapan/ch1.html" TargetMode="External"/><Relationship Id="rId11" Type="http://schemas.openxmlformats.org/officeDocument/2006/relationships/image" Target="media/image4.png"/><Relationship Id="rId24" Type="http://schemas.openxmlformats.org/officeDocument/2006/relationships/hyperlink" Target="https://www.federalreserve.gov/econres/notes/feds-notes/india-and-the-global-economy-20260408.html" TargetMode="External"/><Relationship Id="rId32" Type="http://schemas.openxmlformats.org/officeDocument/2006/relationships/hyperlink" Target="https://linchpin-consulting.com/how-japans-automotive-tax-structure-is-quietly-reshaping-vehicle-demand/" TargetMode="External"/><Relationship Id="rId37" Type="http://schemas.openxmlformats.org/officeDocument/2006/relationships/hyperlink" Target="https://www.terra-insight.com/insights/toyota-kirloskar-supplier-reconciliation-india/" TargetMode="External"/><Relationship Id="rId40" Type="http://schemas.openxmlformats.org/officeDocument/2006/relationships/hyperlink" Target="https://www.toyota-global.com/company/history_of_toyota/75years/data/automotive_business/sales/activity/japan/advertising/h18.html" TargetMode="External"/><Relationship Id="rId45" Type="http://schemas.openxmlformats.org/officeDocument/2006/relationships/hyperlink" Target="https://www.toyotabharat.com/" TargetMode="External"/><Relationship Id="rId53"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hyperlink" Target="https://www.ebsco.com/research-starters/business-and-management/toyota-motor-corporatio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auto.economictimes.indiatimes.com/news/passenger-vehicle/how-toyota-hybrid-cars-help-japan-thaw-relations-with-south-korea/113143870" TargetMode="External"/><Relationship Id="rId27" Type="http://schemas.openxmlformats.org/officeDocument/2006/relationships/hyperlink" Target="https://iclg.com/practice-areas/consumer-protection-laws-and-regulations/japan/" TargetMode="External"/><Relationship Id="rId30" Type="http://schemas.openxmlformats.org/officeDocument/2006/relationships/hyperlink" Target="https://japanesenostalgiccar.com/toyota-consolidates-all-dealerships-into-one/" TargetMode="External"/><Relationship Id="rId35" Type="http://schemas.openxmlformats.org/officeDocument/2006/relationships/hyperlink" Target="https://heavyindustries.gov.in/en/fame-ii" TargetMode="External"/><Relationship Id="rId43" Type="http://schemas.openxmlformats.org/officeDocument/2006/relationships/hyperlink" Target="https://www.toyotabharat.com/news/2021/tkm-achieves-100-percent-carbon-neutrality-in-renewable-energy.html" TargetMode="External"/><Relationship Id="rId48" Type="http://schemas.openxmlformats.org/officeDocument/2006/relationships/hyperlink" Target="https://toyotatimes.jp/en/series/oneandonly/085.html" TargetMode="External"/><Relationship Id="rId56" Type="http://schemas.openxmlformats.org/officeDocument/2006/relationships/fontTable" Target="fontTable.xml"/><Relationship Id="rId8" Type="http://schemas.openxmlformats.org/officeDocument/2006/relationships/image" Target="../../AzZedin01/Library/Group%20Containers/UBF8T346G9.ms/WebArchiveCopyPasteTempFiles/com.microsoft.Word/8P2xdp3q1g646AAAAAElFTkSuQmCC" TargetMode="External"/><Relationship Id="rId51"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hyperlink" Target="https://dieselnet.com/standards/jp/fe.php" TargetMode="External"/><Relationship Id="rId25" Type="http://schemas.openxmlformats.org/officeDocument/2006/relationships/hyperlink" Target="https://www.financialexpress.com/business/express-mobility-toyota-kirloskar-motor-set-to-expand-manufacturing-capacity-in-india-3287998/" TargetMode="External"/><Relationship Id="rId33" Type="http://schemas.openxmlformats.org/officeDocument/2006/relationships/hyperlink" Target="https://www.makeinindia.com/" TargetMode="External"/><Relationship Id="rId38" Type="http://schemas.openxmlformats.org/officeDocument/2006/relationships/hyperlink" Target="https://www.toyota-asia.com/about-philosophy" TargetMode="External"/><Relationship Id="rId46" Type="http://schemas.openxmlformats.org/officeDocument/2006/relationships/hyperlink" Target="https://www.toyotabharat.com/toyota-in-india/environment/ecozone.html" TargetMode="External"/><Relationship Id="rId20" Type="http://schemas.openxmlformats.org/officeDocument/2006/relationships/hyperlink" Target="https://www.eco-business.com/news/20-brands-called-out-for-greenwashing-in-2025/" TargetMode="External"/><Relationship Id="rId41" Type="http://schemas.openxmlformats.org/officeDocument/2006/relationships/hyperlink" Target="https://global.toyota/en/company/vision-and-philosophy/production-system/" TargetMode="External"/><Relationship Id="rId54"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auto.economictimes.indiatimes.com/news/passenger-vehicle/toyota-eyes-10-market-share-in-india-with-15-new-models-rural-expansion-plans/124953321" TargetMode="External"/><Relationship Id="rId28" Type="http://schemas.openxmlformats.org/officeDocument/2006/relationships/hyperlink" Target="https://indianexpress.com/article/business/companies/ban-on-diesel-cars-is-corporate-death-penalty-toyota-tells-ngt-2940702/" TargetMode="External"/><Relationship Id="rId36" Type="http://schemas.openxmlformats.org/officeDocument/2006/relationships/hyperlink" Target="https://www.reuters.com/business/autos-transportation/toyota-maruti-launch-marketing-drive-hybrids-key-indian-state-2024-09-03/" TargetMode="External"/><Relationship Id="rId49" Type="http://schemas.openxmlformats.org/officeDocument/2006/relationships/hyperlink" Target="https://www.toyotautrust.in/"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www.mckinsey.com/industries/industrials/our-insights/japans-100-billion-opportunity-in-general-purpose-robotics" TargetMode="External"/><Relationship Id="rId44" Type="http://schemas.openxmlformats.org/officeDocument/2006/relationships/hyperlink" Target="https://www.toyotabharat.com/news/2025/toyota-technical-training-institute-ttti-opens-admissions-for-batch-of-2025-2028.html" TargetMode="External"/><Relationship Id="rId5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29</Pages>
  <Words>8142</Words>
  <Characters>46410</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Dhaval Ahir</dc:creator>
  <cp:keywords/>
  <dc:description/>
  <cp:lastModifiedBy>Jeel Sumantbhai Ahir</cp:lastModifiedBy>
  <cp:revision>12</cp:revision>
  <dcterms:created xsi:type="dcterms:W3CDTF">2026-08-13T06:12:00Z</dcterms:created>
  <dcterms:modified xsi:type="dcterms:W3CDTF">2026-08-13T07:54:00Z</dcterms:modified>
</cp:coreProperties>
</file>