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24CB1" w14:textId="52647106" w:rsidR="006A650D" w:rsidRPr="004C3FD3" w:rsidRDefault="006A650D" w:rsidP="006A650D">
      <w:pPr>
        <w:spacing w:line="360" w:lineRule="auto"/>
        <w:jc w:val="center"/>
        <w:rPr>
          <w:rFonts w:ascii="Arial" w:hAnsi="Arial" w:cs="Arial"/>
          <w:b/>
          <w:sz w:val="24"/>
          <w:szCs w:val="24"/>
        </w:rPr>
      </w:pPr>
      <w:r w:rsidRPr="004C3FD3">
        <w:rPr>
          <w:rFonts w:ascii="Arial" w:hAnsi="Arial" w:cs="Arial"/>
          <w:b/>
          <w:sz w:val="24"/>
          <w:szCs w:val="24"/>
        </w:rPr>
        <w:t>Understanding Dementia</w:t>
      </w:r>
    </w:p>
    <w:p w14:paraId="2807A012" w14:textId="509A761E" w:rsidR="006A650D" w:rsidRPr="004C3FD3" w:rsidRDefault="006A650D" w:rsidP="006A650D">
      <w:pPr>
        <w:spacing w:line="360" w:lineRule="auto"/>
        <w:jc w:val="center"/>
        <w:rPr>
          <w:rFonts w:ascii="Arial" w:hAnsi="Arial" w:cs="Arial"/>
          <w:sz w:val="24"/>
          <w:szCs w:val="24"/>
        </w:rPr>
      </w:pPr>
      <w:r w:rsidRPr="004C3FD3">
        <w:rPr>
          <w:rFonts w:ascii="Arial" w:hAnsi="Arial" w:cs="Arial"/>
          <w:b/>
          <w:sz w:val="24"/>
          <w:szCs w:val="24"/>
        </w:rPr>
        <w:br/>
        <w:t>Management of a Long-Term Condition in the UK</w:t>
      </w:r>
    </w:p>
    <w:p w14:paraId="47949680" w14:textId="77777777" w:rsidR="006A650D" w:rsidRPr="004C3FD3" w:rsidRDefault="006A650D" w:rsidP="006A650D">
      <w:pPr>
        <w:spacing w:after="400" w:line="360" w:lineRule="auto"/>
        <w:jc w:val="center"/>
        <w:rPr>
          <w:rFonts w:ascii="Arial" w:hAnsi="Arial" w:cs="Arial"/>
          <w:sz w:val="24"/>
          <w:szCs w:val="24"/>
        </w:rPr>
      </w:pPr>
      <w:r w:rsidRPr="004C3FD3">
        <w:rPr>
          <w:rFonts w:ascii="Arial" w:hAnsi="Arial" w:cs="Arial"/>
          <w:i/>
          <w:sz w:val="24"/>
          <w:szCs w:val="24"/>
        </w:rPr>
        <w:t>Information Booklet for Health and Social Care Professionals</w:t>
      </w:r>
    </w:p>
    <w:p w14:paraId="2BAE223E" w14:textId="77777777" w:rsidR="006A650D" w:rsidRPr="004C3FD3" w:rsidRDefault="006A650D" w:rsidP="006A650D">
      <w:pPr>
        <w:spacing w:line="360" w:lineRule="auto"/>
        <w:rPr>
          <w:rFonts w:ascii="Arial" w:hAnsi="Arial" w:cs="Arial"/>
          <w:sz w:val="24"/>
          <w:szCs w:val="24"/>
        </w:rPr>
      </w:pPr>
    </w:p>
    <w:p w14:paraId="2A5E7CAD" w14:textId="018B4ECA" w:rsidR="006A650D" w:rsidRPr="004C3FD3" w:rsidRDefault="006A650D" w:rsidP="006A650D">
      <w:pPr>
        <w:spacing w:line="360" w:lineRule="auto"/>
        <w:rPr>
          <w:rFonts w:ascii="Arial" w:hAnsi="Arial" w:cs="Arial"/>
          <w:sz w:val="24"/>
          <w:szCs w:val="24"/>
        </w:rPr>
      </w:pPr>
      <w:r w:rsidRPr="004C3FD3">
        <w:rPr>
          <w:rFonts w:ascii="Arial" w:hAnsi="Arial" w:cs="Arial"/>
          <w:sz w:val="24"/>
          <w:szCs w:val="24"/>
        </w:rPr>
        <w:t xml:space="preserve">Student </w:t>
      </w:r>
      <w:r w:rsidR="009D2EAE" w:rsidRPr="004C3FD3">
        <w:rPr>
          <w:rFonts w:ascii="Arial" w:hAnsi="Arial" w:cs="Arial"/>
          <w:sz w:val="24"/>
          <w:szCs w:val="24"/>
        </w:rPr>
        <w:t>Name:</w:t>
      </w:r>
      <w:r w:rsidR="009D2EAE">
        <w:rPr>
          <w:rFonts w:ascii="Arial" w:hAnsi="Arial" w:cs="Arial"/>
          <w:sz w:val="24"/>
          <w:szCs w:val="24"/>
        </w:rPr>
        <w:t xml:space="preserve"> Paul Amoh</w:t>
      </w:r>
    </w:p>
    <w:p w14:paraId="05E1B9F7" w14:textId="7C8A0FAF" w:rsidR="006A650D" w:rsidRPr="004C3FD3" w:rsidRDefault="006A650D" w:rsidP="006A650D">
      <w:pPr>
        <w:spacing w:line="360" w:lineRule="auto"/>
        <w:rPr>
          <w:rFonts w:ascii="Arial" w:hAnsi="Arial" w:cs="Arial"/>
          <w:sz w:val="24"/>
          <w:szCs w:val="24"/>
        </w:rPr>
      </w:pPr>
      <w:r w:rsidRPr="004C3FD3">
        <w:rPr>
          <w:rFonts w:ascii="Arial" w:hAnsi="Arial" w:cs="Arial"/>
          <w:sz w:val="24"/>
          <w:szCs w:val="24"/>
        </w:rPr>
        <w:t xml:space="preserve">Student ID: </w:t>
      </w:r>
      <w:r w:rsidR="00BC1DDE">
        <w:rPr>
          <w:rFonts w:ascii="Arial" w:hAnsi="Arial" w:cs="Arial"/>
          <w:sz w:val="24"/>
          <w:szCs w:val="24"/>
        </w:rPr>
        <w:t>2246297</w:t>
      </w:r>
    </w:p>
    <w:p w14:paraId="273A6925" w14:textId="686542B1" w:rsidR="006A650D" w:rsidRPr="004C3FD3" w:rsidRDefault="006A650D" w:rsidP="006A650D">
      <w:pPr>
        <w:spacing w:line="360" w:lineRule="auto"/>
        <w:rPr>
          <w:rFonts w:ascii="Arial" w:hAnsi="Arial" w:cs="Arial"/>
          <w:sz w:val="24"/>
          <w:szCs w:val="24"/>
        </w:rPr>
      </w:pPr>
      <w:r w:rsidRPr="004C3FD3">
        <w:rPr>
          <w:rFonts w:ascii="Arial" w:hAnsi="Arial" w:cs="Arial"/>
          <w:sz w:val="24"/>
          <w:szCs w:val="24"/>
        </w:rPr>
        <w:t>Module: Community Care and Management of Longer-term Conditions (LCHS7003)</w:t>
      </w:r>
    </w:p>
    <w:p w14:paraId="3A0F891E" w14:textId="36248BCF" w:rsidR="006A650D" w:rsidRPr="004C3FD3" w:rsidRDefault="006A650D" w:rsidP="006A650D">
      <w:pPr>
        <w:rPr>
          <w:rFonts w:ascii="Arial" w:hAnsi="Arial" w:cs="Arial"/>
          <w:sz w:val="24"/>
          <w:szCs w:val="24"/>
        </w:rPr>
      </w:pPr>
      <w:r w:rsidRPr="004C3FD3">
        <w:rPr>
          <w:rFonts w:ascii="Arial" w:hAnsi="Arial" w:cs="Arial"/>
          <w:sz w:val="24"/>
          <w:szCs w:val="24"/>
        </w:rPr>
        <w:br w:type="page"/>
      </w:r>
    </w:p>
    <w:p w14:paraId="06E07621" w14:textId="15BB1A8D" w:rsidR="006A650D" w:rsidRPr="004C3FD3" w:rsidRDefault="006A650D" w:rsidP="006A650D">
      <w:pPr>
        <w:jc w:val="center"/>
        <w:rPr>
          <w:rFonts w:ascii="Arial" w:hAnsi="Arial" w:cs="Arial"/>
          <w:sz w:val="24"/>
          <w:szCs w:val="24"/>
        </w:rPr>
      </w:pPr>
      <w:r w:rsidRPr="004C3FD3">
        <w:rPr>
          <w:rFonts w:ascii="Arial" w:hAnsi="Arial" w:cs="Arial"/>
          <w:noProof/>
          <w:sz w:val="24"/>
          <w:szCs w:val="24"/>
        </w:rPr>
        <w:lastRenderedPageBreak/>
        <w:drawing>
          <wp:inline distT="0" distB="0" distL="0" distR="0" wp14:anchorId="6E4294A5" wp14:editId="79964AA8">
            <wp:extent cx="6332220" cy="8603615"/>
            <wp:effectExtent l="0" t="0" r="0" b="6985"/>
            <wp:docPr id="857426079" name="Picture 3" descr="Health Understanding Dementia: The Editors of Health: 9781547861057:  Amazon.com: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 Understanding Dementia: The Editors of Health: 9781547861057:  Amazon.com: Book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2220" cy="8603615"/>
                    </a:xfrm>
                    <a:prstGeom prst="rect">
                      <a:avLst/>
                    </a:prstGeom>
                    <a:noFill/>
                    <a:ln>
                      <a:noFill/>
                    </a:ln>
                  </pic:spPr>
                </pic:pic>
              </a:graphicData>
            </a:graphic>
          </wp:inline>
        </w:drawing>
      </w:r>
      <w:r w:rsidRPr="004C3FD3">
        <w:rPr>
          <w:rFonts w:ascii="Arial" w:hAnsi="Arial" w:cs="Arial"/>
          <w:sz w:val="24"/>
          <w:szCs w:val="24"/>
        </w:rPr>
        <w:t xml:space="preserve"> </w:t>
      </w:r>
      <w:r w:rsidRPr="004C3FD3">
        <w:rPr>
          <w:rFonts w:ascii="Arial" w:hAnsi="Arial" w:cs="Arial"/>
          <w:sz w:val="24"/>
          <w:szCs w:val="24"/>
        </w:rPr>
        <w:br w:type="page"/>
      </w:r>
    </w:p>
    <w:p w14:paraId="3116F959" w14:textId="77777777" w:rsidR="006A650D" w:rsidRPr="004C3FD3" w:rsidRDefault="006A650D" w:rsidP="006A650D">
      <w:pPr>
        <w:spacing w:line="360" w:lineRule="auto"/>
        <w:jc w:val="center"/>
        <w:rPr>
          <w:rFonts w:ascii="Arial" w:hAnsi="Arial" w:cs="Arial"/>
          <w:sz w:val="24"/>
          <w:szCs w:val="24"/>
        </w:rPr>
        <w:sectPr w:rsidR="006A650D" w:rsidRPr="004C3FD3" w:rsidSect="006A650D">
          <w:footerReference w:type="default" r:id="rId9"/>
          <w:pgSz w:w="12240" w:h="15840"/>
          <w:pgMar w:top="1020" w:right="1134" w:bottom="1020" w:left="1134" w:header="720" w:footer="720" w:gutter="0"/>
          <w:cols w:space="720"/>
          <w:docGrid w:linePitch="360"/>
        </w:sectPr>
      </w:pPr>
    </w:p>
    <w:sdt>
      <w:sdtPr>
        <w:rPr>
          <w:rFonts w:ascii="Arial" w:eastAsiaTheme="minorEastAsia" w:hAnsi="Arial" w:cs="Arial"/>
          <w:b w:val="0"/>
          <w:color w:val="auto"/>
          <w:sz w:val="24"/>
          <w:szCs w:val="24"/>
          <w:u w:val="none"/>
        </w:rPr>
        <w:id w:val="-540679703"/>
        <w:docPartObj>
          <w:docPartGallery w:val="Table of Contents"/>
          <w:docPartUnique/>
        </w:docPartObj>
      </w:sdtPr>
      <w:sdtEndPr>
        <w:rPr>
          <w:bCs/>
          <w:noProof/>
        </w:rPr>
      </w:sdtEndPr>
      <w:sdtContent>
        <w:p w14:paraId="2EAAD033" w14:textId="139FAE00" w:rsidR="006A650D" w:rsidRPr="004C3FD3" w:rsidRDefault="006A650D" w:rsidP="006A650D">
          <w:pPr>
            <w:pStyle w:val="TOCHeading"/>
            <w:spacing w:line="360" w:lineRule="auto"/>
            <w:rPr>
              <w:rFonts w:ascii="Arial" w:hAnsi="Arial" w:cs="Arial"/>
              <w:sz w:val="24"/>
              <w:szCs w:val="24"/>
            </w:rPr>
          </w:pPr>
          <w:r w:rsidRPr="004C3FD3">
            <w:rPr>
              <w:rFonts w:ascii="Arial" w:hAnsi="Arial" w:cs="Arial"/>
              <w:sz w:val="24"/>
              <w:szCs w:val="24"/>
            </w:rPr>
            <w:t>Table of Contents</w:t>
          </w:r>
        </w:p>
        <w:p w14:paraId="51E5D176" w14:textId="499ED179"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r w:rsidRPr="004C3FD3">
            <w:rPr>
              <w:rFonts w:ascii="Arial" w:hAnsi="Arial" w:cs="Arial"/>
              <w:sz w:val="24"/>
              <w:szCs w:val="24"/>
            </w:rPr>
            <w:fldChar w:fldCharType="begin"/>
          </w:r>
          <w:r w:rsidRPr="004C3FD3">
            <w:rPr>
              <w:rFonts w:ascii="Arial" w:hAnsi="Arial" w:cs="Arial"/>
              <w:sz w:val="24"/>
              <w:szCs w:val="24"/>
            </w:rPr>
            <w:instrText xml:space="preserve"> TOC \o "1-3" \h \z \u </w:instrText>
          </w:r>
          <w:r w:rsidRPr="004C3FD3">
            <w:rPr>
              <w:rFonts w:ascii="Arial" w:hAnsi="Arial" w:cs="Arial"/>
              <w:sz w:val="24"/>
              <w:szCs w:val="24"/>
            </w:rPr>
            <w:fldChar w:fldCharType="separate"/>
          </w:r>
          <w:hyperlink w:anchor="_Toc231678389" w:history="1">
            <w:r w:rsidRPr="004C3FD3">
              <w:rPr>
                <w:rStyle w:val="Hyperlink"/>
                <w:rFonts w:ascii="Arial" w:hAnsi="Arial" w:cs="Arial"/>
                <w:noProof/>
                <w:sz w:val="24"/>
                <w:szCs w:val="24"/>
              </w:rPr>
              <w:t>1. Introduction</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_Toc231678389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3</w:t>
            </w:r>
            <w:r w:rsidRPr="004C3FD3">
              <w:rPr>
                <w:rFonts w:ascii="Arial" w:hAnsi="Arial" w:cs="Arial"/>
                <w:noProof/>
                <w:webHidden/>
                <w:sz w:val="24"/>
                <w:szCs w:val="24"/>
              </w:rPr>
              <w:fldChar w:fldCharType="end"/>
            </w:r>
          </w:hyperlink>
        </w:p>
        <w:p w14:paraId="78A17E18" w14:textId="0AB956C7"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0" w:history="1">
            <w:r w:rsidRPr="004C3FD3">
              <w:rPr>
                <w:rStyle w:val="Hyperlink"/>
                <w:rFonts w:ascii="Arial" w:hAnsi="Arial" w:cs="Arial"/>
                <w:noProof/>
                <w:sz w:val="24"/>
                <w:szCs w:val="24"/>
              </w:rPr>
              <w:t>2. Understanding Dementia</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_Toc231678390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4</w:t>
            </w:r>
            <w:r w:rsidRPr="004C3FD3">
              <w:rPr>
                <w:rFonts w:ascii="Arial" w:hAnsi="Arial" w:cs="Arial"/>
                <w:noProof/>
                <w:webHidden/>
                <w:sz w:val="24"/>
                <w:szCs w:val="24"/>
              </w:rPr>
              <w:fldChar w:fldCharType="end"/>
            </w:r>
          </w:hyperlink>
        </w:p>
        <w:p w14:paraId="666F63F0" w14:textId="340F6639"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1" w:history="1">
            <w:r w:rsidRPr="004C3FD3">
              <w:rPr>
                <w:rStyle w:val="Hyperlink"/>
                <w:rFonts w:ascii="Arial" w:hAnsi="Arial" w:cs="Arial"/>
                <w:noProof/>
                <w:sz w:val="24"/>
                <w:szCs w:val="24"/>
              </w:rPr>
              <w:t>3. Burden and Prevalence of Dementia</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_Toc231678391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4</w:t>
            </w:r>
            <w:r w:rsidRPr="004C3FD3">
              <w:rPr>
                <w:rFonts w:ascii="Arial" w:hAnsi="Arial" w:cs="Arial"/>
                <w:noProof/>
                <w:webHidden/>
                <w:sz w:val="24"/>
                <w:szCs w:val="24"/>
              </w:rPr>
              <w:fldChar w:fldCharType="end"/>
            </w:r>
          </w:hyperlink>
        </w:p>
        <w:p w14:paraId="5A59ECE4" w14:textId="73477A05"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2" w:history="1">
            <w:r w:rsidRPr="004C3FD3">
              <w:rPr>
                <w:rStyle w:val="Hyperlink"/>
                <w:rFonts w:ascii="Arial" w:hAnsi="Arial" w:cs="Arial"/>
                <w:noProof/>
                <w:sz w:val="24"/>
                <w:szCs w:val="24"/>
              </w:rPr>
              <w:t>4. Risk Factors and Aetiology</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_Toc231678392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6</w:t>
            </w:r>
            <w:r w:rsidRPr="004C3FD3">
              <w:rPr>
                <w:rFonts w:ascii="Arial" w:hAnsi="Arial" w:cs="Arial"/>
                <w:noProof/>
                <w:webHidden/>
                <w:sz w:val="24"/>
                <w:szCs w:val="24"/>
              </w:rPr>
              <w:fldChar w:fldCharType="end"/>
            </w:r>
          </w:hyperlink>
        </w:p>
        <w:p w14:paraId="46E1C696" w14:textId="460B0F04"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3" w:history="1">
            <w:r w:rsidRPr="004C3FD3">
              <w:rPr>
                <w:rStyle w:val="Hyperlink"/>
                <w:rFonts w:ascii="Arial" w:hAnsi="Arial" w:cs="Arial"/>
                <w:noProof/>
                <w:sz w:val="24"/>
                <w:szCs w:val="24"/>
              </w:rPr>
              <w:t>5. Impact of Dementia on Individuals and Families</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_Toc231678393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6</w:t>
            </w:r>
            <w:r w:rsidRPr="004C3FD3">
              <w:rPr>
                <w:rFonts w:ascii="Arial" w:hAnsi="Arial" w:cs="Arial"/>
                <w:noProof/>
                <w:webHidden/>
                <w:sz w:val="24"/>
                <w:szCs w:val="24"/>
              </w:rPr>
              <w:fldChar w:fldCharType="end"/>
            </w:r>
          </w:hyperlink>
        </w:p>
        <w:p w14:paraId="5E8C4793" w14:textId="49022F14"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4" w:history="1">
            <w:r w:rsidRPr="004C3FD3">
              <w:rPr>
                <w:rStyle w:val="Hyperlink"/>
                <w:rFonts w:ascii="Arial" w:hAnsi="Arial" w:cs="Arial"/>
                <w:noProof/>
                <w:sz w:val="24"/>
                <w:szCs w:val="24"/>
              </w:rPr>
              <w:t>6. Evidence-Based Treatment and Management in the UK</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_Toc231678394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7</w:t>
            </w:r>
            <w:r w:rsidRPr="004C3FD3">
              <w:rPr>
                <w:rFonts w:ascii="Arial" w:hAnsi="Arial" w:cs="Arial"/>
                <w:noProof/>
                <w:webHidden/>
                <w:sz w:val="24"/>
                <w:szCs w:val="24"/>
              </w:rPr>
              <w:fldChar w:fldCharType="end"/>
            </w:r>
          </w:hyperlink>
        </w:p>
        <w:p w14:paraId="46A2BF7F" w14:textId="4D49D8C3"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5" w:history="1">
            <w:r w:rsidRPr="004C3FD3">
              <w:rPr>
                <w:rStyle w:val="Hyperlink"/>
                <w:rFonts w:ascii="Arial" w:hAnsi="Arial" w:cs="Arial"/>
                <w:noProof/>
                <w:sz w:val="24"/>
                <w:szCs w:val="24"/>
              </w:rPr>
              <w:t>7. Theoretical Models for Long-Term Condition Management</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_Toc231678395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9</w:t>
            </w:r>
            <w:r w:rsidRPr="004C3FD3">
              <w:rPr>
                <w:rFonts w:ascii="Arial" w:hAnsi="Arial" w:cs="Arial"/>
                <w:noProof/>
                <w:webHidden/>
                <w:sz w:val="24"/>
                <w:szCs w:val="24"/>
              </w:rPr>
              <w:fldChar w:fldCharType="end"/>
            </w:r>
          </w:hyperlink>
        </w:p>
        <w:p w14:paraId="6C9956F5" w14:textId="127A134D"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6" w:history="1">
            <w:r w:rsidRPr="004C3FD3">
              <w:rPr>
                <w:rStyle w:val="Hyperlink"/>
                <w:rFonts w:ascii="Arial" w:hAnsi="Arial" w:cs="Arial"/>
                <w:noProof/>
                <w:sz w:val="24"/>
                <w:szCs w:val="24"/>
              </w:rPr>
              <w:t>8. Policy and Political Agendas</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_Toc231678396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9</w:t>
            </w:r>
            <w:r w:rsidRPr="004C3FD3">
              <w:rPr>
                <w:rFonts w:ascii="Arial" w:hAnsi="Arial" w:cs="Arial"/>
                <w:noProof/>
                <w:webHidden/>
                <w:sz w:val="24"/>
                <w:szCs w:val="24"/>
              </w:rPr>
              <w:fldChar w:fldCharType="end"/>
            </w:r>
          </w:hyperlink>
        </w:p>
        <w:p w14:paraId="51A9DD74" w14:textId="5C94CD88"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7" w:history="1">
            <w:r w:rsidRPr="004C3FD3">
              <w:rPr>
                <w:rStyle w:val="Hyperlink"/>
                <w:rFonts w:ascii="Arial" w:hAnsi="Arial" w:cs="Arial"/>
                <w:noProof/>
                <w:sz w:val="24"/>
                <w:szCs w:val="24"/>
              </w:rPr>
              <w:t>9. Recommendations for Improving Dementia Care</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_Toc231678397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10</w:t>
            </w:r>
            <w:r w:rsidRPr="004C3FD3">
              <w:rPr>
                <w:rFonts w:ascii="Arial" w:hAnsi="Arial" w:cs="Arial"/>
                <w:noProof/>
                <w:webHidden/>
                <w:sz w:val="24"/>
                <w:szCs w:val="24"/>
              </w:rPr>
              <w:fldChar w:fldCharType="end"/>
            </w:r>
          </w:hyperlink>
        </w:p>
        <w:p w14:paraId="7CA18D12" w14:textId="66A80912"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8" w:history="1">
            <w:r w:rsidRPr="004C3FD3">
              <w:rPr>
                <w:rStyle w:val="Hyperlink"/>
                <w:rFonts w:ascii="Arial" w:hAnsi="Arial" w:cs="Arial"/>
                <w:noProof/>
                <w:sz w:val="24"/>
                <w:szCs w:val="24"/>
              </w:rPr>
              <w:t>Conclusion</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_Toc231678398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11</w:t>
            </w:r>
            <w:r w:rsidRPr="004C3FD3">
              <w:rPr>
                <w:rFonts w:ascii="Arial" w:hAnsi="Arial" w:cs="Arial"/>
                <w:noProof/>
                <w:webHidden/>
                <w:sz w:val="24"/>
                <w:szCs w:val="24"/>
              </w:rPr>
              <w:fldChar w:fldCharType="end"/>
            </w:r>
          </w:hyperlink>
        </w:p>
        <w:p w14:paraId="5CADD4E3" w14:textId="20F76710" w:rsidR="006A650D" w:rsidRPr="004C3FD3" w:rsidRDefault="006A650D" w:rsidP="006A650D">
          <w:pPr>
            <w:pStyle w:val="TOC1"/>
            <w:tabs>
              <w:tab w:val="right" w:leader="dot" w:pos="9962"/>
            </w:tabs>
            <w:spacing w:line="360" w:lineRule="auto"/>
            <w:rPr>
              <w:rFonts w:ascii="Arial" w:hAnsi="Arial" w:cs="Arial"/>
              <w:noProof/>
              <w:kern w:val="2"/>
              <w:sz w:val="24"/>
              <w:szCs w:val="24"/>
              <w:lang w:val="en-US"/>
              <w14:ligatures w14:val="standardContextual"/>
            </w:rPr>
          </w:pPr>
          <w:hyperlink w:anchor="_Toc231678399" w:history="1">
            <w:r w:rsidRPr="004C3FD3">
              <w:rPr>
                <w:rStyle w:val="Hyperlink"/>
                <w:rFonts w:ascii="Arial" w:hAnsi="Arial" w:cs="Arial"/>
                <w:noProof/>
                <w:sz w:val="24"/>
                <w:szCs w:val="24"/>
              </w:rPr>
              <w:t>References</w:t>
            </w:r>
            <w:r w:rsidRPr="004C3FD3">
              <w:rPr>
                <w:rFonts w:ascii="Arial" w:hAnsi="Arial" w:cs="Arial"/>
                <w:noProof/>
                <w:webHidden/>
                <w:sz w:val="24"/>
                <w:szCs w:val="24"/>
              </w:rPr>
              <w:tab/>
            </w:r>
            <w:r w:rsidRPr="004C3FD3">
              <w:rPr>
                <w:rFonts w:ascii="Arial" w:hAnsi="Arial" w:cs="Arial"/>
                <w:noProof/>
                <w:webHidden/>
                <w:sz w:val="24"/>
                <w:szCs w:val="24"/>
              </w:rPr>
              <w:fldChar w:fldCharType="begin"/>
            </w:r>
            <w:r w:rsidRPr="004C3FD3">
              <w:rPr>
                <w:rFonts w:ascii="Arial" w:hAnsi="Arial" w:cs="Arial"/>
                <w:noProof/>
                <w:webHidden/>
                <w:sz w:val="24"/>
                <w:szCs w:val="24"/>
              </w:rPr>
              <w:instrText xml:space="preserve"> PAGEREF _Toc231678399 \h </w:instrText>
            </w:r>
            <w:r w:rsidRPr="004C3FD3">
              <w:rPr>
                <w:rFonts w:ascii="Arial" w:hAnsi="Arial" w:cs="Arial"/>
                <w:noProof/>
                <w:webHidden/>
                <w:sz w:val="24"/>
                <w:szCs w:val="24"/>
              </w:rPr>
            </w:r>
            <w:r w:rsidRPr="004C3FD3">
              <w:rPr>
                <w:rFonts w:ascii="Arial" w:hAnsi="Arial" w:cs="Arial"/>
                <w:noProof/>
                <w:webHidden/>
                <w:sz w:val="24"/>
                <w:szCs w:val="24"/>
              </w:rPr>
              <w:fldChar w:fldCharType="separate"/>
            </w:r>
            <w:r w:rsidRPr="004C3FD3">
              <w:rPr>
                <w:rFonts w:ascii="Arial" w:hAnsi="Arial" w:cs="Arial"/>
                <w:noProof/>
                <w:webHidden/>
                <w:sz w:val="24"/>
                <w:szCs w:val="24"/>
              </w:rPr>
              <w:t>12</w:t>
            </w:r>
            <w:r w:rsidRPr="004C3FD3">
              <w:rPr>
                <w:rFonts w:ascii="Arial" w:hAnsi="Arial" w:cs="Arial"/>
                <w:noProof/>
                <w:webHidden/>
                <w:sz w:val="24"/>
                <w:szCs w:val="24"/>
              </w:rPr>
              <w:fldChar w:fldCharType="end"/>
            </w:r>
          </w:hyperlink>
        </w:p>
        <w:p w14:paraId="4CA6E190" w14:textId="7250DE79" w:rsidR="006A650D" w:rsidRPr="004C3FD3" w:rsidRDefault="006A650D" w:rsidP="006A650D">
          <w:pPr>
            <w:spacing w:line="360" w:lineRule="auto"/>
            <w:rPr>
              <w:rFonts w:ascii="Arial" w:hAnsi="Arial" w:cs="Arial"/>
              <w:sz w:val="24"/>
              <w:szCs w:val="24"/>
            </w:rPr>
            <w:sectPr w:rsidR="006A650D" w:rsidRPr="004C3FD3" w:rsidSect="006A650D">
              <w:pgSz w:w="12240" w:h="15840"/>
              <w:pgMar w:top="1020" w:right="1134" w:bottom="1020" w:left="1134" w:header="720" w:footer="720" w:gutter="0"/>
              <w:cols w:space="720"/>
              <w:docGrid w:linePitch="360"/>
            </w:sectPr>
          </w:pPr>
          <w:r w:rsidRPr="004C3FD3">
            <w:rPr>
              <w:rFonts w:ascii="Arial" w:hAnsi="Arial" w:cs="Arial"/>
              <w:b/>
              <w:bCs/>
              <w:noProof/>
              <w:sz w:val="24"/>
              <w:szCs w:val="24"/>
            </w:rPr>
            <w:fldChar w:fldCharType="end"/>
          </w:r>
        </w:p>
      </w:sdtContent>
    </w:sdt>
    <w:p w14:paraId="6E605081" w14:textId="712F5F4D" w:rsidR="003C41D1" w:rsidRPr="004C3FD3" w:rsidRDefault="001E5EB1" w:rsidP="006A650D">
      <w:pPr>
        <w:pStyle w:val="Heading1"/>
        <w:spacing w:line="360" w:lineRule="auto"/>
        <w:jc w:val="left"/>
        <w:rPr>
          <w:rFonts w:ascii="Arial" w:hAnsi="Arial" w:cs="Arial"/>
          <w:sz w:val="24"/>
          <w:szCs w:val="24"/>
        </w:rPr>
      </w:pPr>
      <w:bookmarkStart w:id="0" w:name="_Toc231587149"/>
      <w:bookmarkStart w:id="1" w:name="_Toc231678389"/>
      <w:r w:rsidRPr="004C3FD3">
        <w:rPr>
          <w:rFonts w:ascii="Arial" w:hAnsi="Arial" w:cs="Arial"/>
          <w:sz w:val="24"/>
          <w:szCs w:val="24"/>
        </w:rPr>
        <w:lastRenderedPageBreak/>
        <w:t>1. Introduction</w:t>
      </w:r>
      <w:bookmarkEnd w:id="0"/>
      <w:bookmarkEnd w:id="1"/>
    </w:p>
    <w:p w14:paraId="27108510" w14:textId="77777777" w:rsidR="00EC49FB" w:rsidRPr="004C3FD3" w:rsidRDefault="00EC49FB" w:rsidP="006A650D">
      <w:pPr>
        <w:spacing w:line="360" w:lineRule="auto"/>
        <w:jc w:val="both"/>
        <w:rPr>
          <w:rFonts w:ascii="Arial" w:hAnsi="Arial" w:cs="Arial"/>
          <w:sz w:val="24"/>
          <w:szCs w:val="24"/>
        </w:rPr>
      </w:pPr>
      <w:r w:rsidRPr="004C3FD3">
        <w:rPr>
          <w:rFonts w:ascii="Arial" w:hAnsi="Arial" w:cs="Arial"/>
          <w:sz w:val="24"/>
          <w:szCs w:val="24"/>
        </w:rPr>
        <w:t>Dementia is one of the most important long-term conditions that places a heavy burden on health and social care services in the UK. Symptoms are progressive and involve a deterioration in thinking, memory, communication and decision-making, and can lead to greater dependence on family, carers and health services over time. In the UK, there are currently some 982,000 people living with dementia, while this is expected to be 1.4 million by 2040. Also, approximately 42,000 people under 65 years old have dementia. On an economic level, the cost of dementia to the UK in 2024 is estimated to be £42 billion per annum, rising to £90 billion by 2040 (Alzheimer's Society, 2024).</w:t>
      </w:r>
    </w:p>
    <w:p w14:paraId="6645B850" w14:textId="0C2FF682" w:rsidR="00DC1A44" w:rsidRPr="004C3FD3" w:rsidRDefault="0062410B" w:rsidP="006A650D">
      <w:pPr>
        <w:spacing w:line="360" w:lineRule="auto"/>
        <w:jc w:val="center"/>
        <w:rPr>
          <w:rFonts w:ascii="Arial" w:hAnsi="Arial" w:cs="Arial"/>
          <w:sz w:val="24"/>
          <w:szCs w:val="24"/>
        </w:rPr>
      </w:pPr>
      <w:r w:rsidRPr="004C3FD3">
        <w:rPr>
          <w:rFonts w:ascii="Arial" w:hAnsi="Arial" w:cs="Arial"/>
          <w:noProof/>
          <w:sz w:val="24"/>
          <w:szCs w:val="24"/>
        </w:rPr>
        <w:drawing>
          <wp:inline distT="0" distB="0" distL="0" distR="0" wp14:anchorId="684B9DC8" wp14:editId="228B9F73">
            <wp:extent cx="2974349" cy="1840063"/>
            <wp:effectExtent l="0" t="0" r="0" b="8255"/>
            <wp:docPr id="872827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8107" cy="1848574"/>
                    </a:xfrm>
                    <a:prstGeom prst="rect">
                      <a:avLst/>
                    </a:prstGeom>
                    <a:noFill/>
                  </pic:spPr>
                </pic:pic>
              </a:graphicData>
            </a:graphic>
          </wp:inline>
        </w:drawing>
      </w:r>
    </w:p>
    <w:p w14:paraId="51B1D061" w14:textId="77777777" w:rsidR="0062410B" w:rsidRPr="004C3FD3" w:rsidRDefault="0062410B" w:rsidP="006A650D">
      <w:pPr>
        <w:spacing w:line="360" w:lineRule="auto"/>
        <w:jc w:val="center"/>
        <w:rPr>
          <w:rFonts w:ascii="Arial" w:hAnsi="Arial" w:cs="Arial"/>
          <w:sz w:val="24"/>
          <w:szCs w:val="24"/>
          <w:lang w:val="en-US"/>
        </w:rPr>
      </w:pPr>
      <w:r w:rsidRPr="004C3FD3">
        <w:rPr>
          <w:rFonts w:ascii="Arial" w:hAnsi="Arial" w:cs="Arial"/>
          <w:sz w:val="24"/>
          <w:szCs w:val="24"/>
          <w:lang w:val="en-US"/>
        </w:rPr>
        <w:t>Figure 1: Projected prevalence of dementia in the UK by age group, 2012–2051.</w:t>
      </w:r>
    </w:p>
    <w:p w14:paraId="7E3F87B2" w14:textId="4C540556" w:rsidR="00DC1A44" w:rsidRPr="004C3FD3" w:rsidRDefault="0062410B" w:rsidP="006A650D">
      <w:pPr>
        <w:spacing w:line="360" w:lineRule="auto"/>
        <w:jc w:val="center"/>
        <w:rPr>
          <w:rFonts w:ascii="Arial" w:hAnsi="Arial" w:cs="Arial"/>
          <w:sz w:val="24"/>
          <w:szCs w:val="24"/>
          <w:lang w:val="en-US"/>
        </w:rPr>
      </w:pPr>
      <w:r w:rsidRPr="004C3FD3">
        <w:rPr>
          <w:rFonts w:ascii="Arial" w:hAnsi="Arial" w:cs="Arial"/>
          <w:sz w:val="24"/>
          <w:szCs w:val="24"/>
          <w:lang w:val="en-US"/>
        </w:rPr>
        <w:t>Source: Alzheimer's Society</w:t>
      </w:r>
    </w:p>
    <w:p w14:paraId="6CE6E2E4" w14:textId="77777777" w:rsidR="00EC49FB" w:rsidRPr="004C3FD3" w:rsidRDefault="00EC49FB" w:rsidP="006A650D">
      <w:pPr>
        <w:spacing w:line="360" w:lineRule="auto"/>
        <w:jc w:val="both"/>
        <w:rPr>
          <w:rFonts w:ascii="Arial" w:hAnsi="Arial" w:cs="Arial"/>
          <w:sz w:val="24"/>
          <w:szCs w:val="24"/>
        </w:rPr>
      </w:pPr>
      <w:bookmarkStart w:id="2" w:name="_Toc231587150"/>
      <w:r w:rsidRPr="004C3FD3">
        <w:rPr>
          <w:rFonts w:ascii="Arial" w:hAnsi="Arial" w:cs="Arial"/>
          <w:sz w:val="24"/>
          <w:szCs w:val="24"/>
        </w:rPr>
        <w:t xml:space="preserve">This booklet has been created to improve the understanding of the impact of dementia on assessment, care planning and the </w:t>
      </w:r>
      <w:r w:rsidRPr="004C3FD3">
        <w:rPr>
          <w:rFonts w:ascii="Arial" w:hAnsi="Arial" w:cs="Arial"/>
          <w:sz w:val="24"/>
          <w:szCs w:val="24"/>
        </w:rPr>
        <w:t xml:space="preserve">delivery of services to people with dementia by health and social care professionals. It seeks to raise awareness amongst practitioners about the implications of dementia when assessing people's needs, planning their support and designing services for a person living with dementia. Dementia is an emerging public health problem on a global scale. In 2021, World Health Organization estimated that there were about 57 million people with dementia worldwide, and that almost 10 million new cases were diagnosed annually. </w:t>
      </w:r>
    </w:p>
    <w:p w14:paraId="314FBCC4" w14:textId="0D6B394F" w:rsidR="00EC49FB" w:rsidRPr="004C3FD3" w:rsidRDefault="00EC49FB" w:rsidP="006A650D">
      <w:pPr>
        <w:spacing w:line="360" w:lineRule="auto"/>
        <w:jc w:val="both"/>
        <w:rPr>
          <w:rFonts w:ascii="Arial" w:hAnsi="Arial" w:cs="Arial"/>
          <w:b/>
          <w:sz w:val="24"/>
          <w:szCs w:val="24"/>
        </w:rPr>
      </w:pPr>
      <w:r w:rsidRPr="004C3FD3">
        <w:rPr>
          <w:rFonts w:ascii="Arial" w:hAnsi="Arial" w:cs="Arial"/>
          <w:sz w:val="24"/>
          <w:szCs w:val="24"/>
        </w:rPr>
        <w:t xml:space="preserve">Failure to put more focus on prevention and coordinated care throughout the life course will see the global dementia burden grow significantly (Livingston et al., 2020). Even though it is unclear how many people with dementia are being diagnosed in the community in England, the number of people who have been diagnosed has continued to </w:t>
      </w:r>
      <w:r w:rsidR="006A650D" w:rsidRPr="004C3FD3">
        <w:rPr>
          <w:rFonts w:ascii="Arial" w:hAnsi="Arial" w:cs="Arial"/>
          <w:sz w:val="24"/>
          <w:szCs w:val="24"/>
        </w:rPr>
        <w:t>rise. There</w:t>
      </w:r>
      <w:r w:rsidRPr="004C3FD3">
        <w:rPr>
          <w:rFonts w:ascii="Arial" w:hAnsi="Arial" w:cs="Arial"/>
          <w:sz w:val="24"/>
          <w:szCs w:val="24"/>
        </w:rPr>
        <w:t xml:space="preserve"> are likely to be more people with dementia who are not diagnosed in the community in England, but the number of people who have been diagnosed has also continued to increase. The challenge of health and social care is not just to diagnose </w:t>
      </w:r>
      <w:r w:rsidR="003E62A0" w:rsidRPr="004C3FD3">
        <w:rPr>
          <w:rFonts w:ascii="Arial" w:hAnsi="Arial" w:cs="Arial"/>
          <w:sz w:val="24"/>
          <w:szCs w:val="24"/>
        </w:rPr>
        <w:t>people;</w:t>
      </w:r>
      <w:r w:rsidRPr="004C3FD3">
        <w:rPr>
          <w:rFonts w:ascii="Arial" w:hAnsi="Arial" w:cs="Arial"/>
          <w:sz w:val="24"/>
          <w:szCs w:val="24"/>
        </w:rPr>
        <w:t xml:space="preserve"> it is to engage them into health and social care. To be able to care for someone with dementia effectively, they need to be diagnosed early, they need to be supported in a way that is </w:t>
      </w:r>
      <w:r w:rsidRPr="004C3FD3">
        <w:rPr>
          <w:rFonts w:ascii="Arial" w:hAnsi="Arial" w:cs="Arial"/>
          <w:sz w:val="24"/>
          <w:szCs w:val="24"/>
        </w:rPr>
        <w:lastRenderedPageBreak/>
        <w:t>tailored to them, they need to receive co-ordinated services, and family carers need continuous support. Poorly coordinated diagnosis, care pathways and too reliance on crisis-based interventions can result in poor outcomes and make services more stressful. Thus, dementia is not only a clinical entity but a major public health and health systems problem which needs a coordinated response involving health, social care and community services.</w:t>
      </w:r>
    </w:p>
    <w:p w14:paraId="6099CD79" w14:textId="4CFD6D1D" w:rsidR="003C41D1" w:rsidRPr="004C3FD3" w:rsidRDefault="001E5EB1" w:rsidP="006A650D">
      <w:pPr>
        <w:pStyle w:val="Heading1"/>
        <w:spacing w:line="360" w:lineRule="auto"/>
        <w:rPr>
          <w:rFonts w:ascii="Arial" w:hAnsi="Arial" w:cs="Arial"/>
          <w:sz w:val="24"/>
          <w:szCs w:val="24"/>
        </w:rPr>
      </w:pPr>
      <w:bookmarkStart w:id="3" w:name="_Toc231678390"/>
      <w:r w:rsidRPr="004C3FD3">
        <w:rPr>
          <w:rFonts w:ascii="Arial" w:hAnsi="Arial" w:cs="Arial"/>
          <w:sz w:val="24"/>
          <w:szCs w:val="24"/>
        </w:rPr>
        <w:t>2. Understanding Dementia</w:t>
      </w:r>
      <w:bookmarkEnd w:id="2"/>
      <w:bookmarkEnd w:id="3"/>
    </w:p>
    <w:p w14:paraId="45F034A4" w14:textId="3D8681FF"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Dementia isn't a </w:t>
      </w:r>
      <w:r w:rsidR="00BD43EF" w:rsidRPr="004C3FD3">
        <w:rPr>
          <w:rFonts w:ascii="Arial" w:hAnsi="Arial" w:cs="Arial"/>
          <w:sz w:val="24"/>
          <w:szCs w:val="24"/>
        </w:rPr>
        <w:t>disease;</w:t>
      </w:r>
      <w:r w:rsidRPr="004C3FD3">
        <w:rPr>
          <w:rFonts w:ascii="Arial" w:hAnsi="Arial" w:cs="Arial"/>
          <w:sz w:val="24"/>
          <w:szCs w:val="24"/>
        </w:rPr>
        <w:t xml:space="preserve"> it's a way of describing many diseases. There are several forms of dementia, the most common being Alzheimer's disease, and each form of dementia progresses in a different manner, and therefore, requires differing forms of support </w:t>
      </w:r>
      <w:r w:rsidR="001D09D6" w:rsidRPr="004C3FD3">
        <w:rPr>
          <w:rFonts w:ascii="Arial" w:hAnsi="Arial" w:cs="Arial"/>
          <w:sz w:val="24"/>
          <w:szCs w:val="24"/>
        </w:rPr>
        <w:t>(Pathak, 2018)</w:t>
      </w:r>
      <w:r w:rsidRPr="004C3FD3">
        <w:rPr>
          <w:rFonts w:ascii="Arial" w:hAnsi="Arial" w:cs="Arial"/>
          <w:sz w:val="24"/>
          <w:szCs w:val="24"/>
        </w:rPr>
        <w:t>. This is important in practice as a generic care plan might not include things such as stroke prevention, neuropsychiatric symptoms or severe behavioural change. A diagnosis that has the power to make a difference to decision-making is a good diagnosis, not just a tagging on failure.</w:t>
      </w:r>
      <w:r w:rsidR="006A650D" w:rsidRPr="004C3FD3">
        <w:rPr>
          <w:rFonts w:ascii="Arial" w:hAnsi="Arial" w:cs="Arial"/>
          <w:sz w:val="24"/>
          <w:szCs w:val="24"/>
        </w:rPr>
        <w:t xml:space="preserve"> </w:t>
      </w:r>
      <w:r w:rsidRPr="004C3FD3">
        <w:rPr>
          <w:rFonts w:ascii="Arial" w:hAnsi="Arial" w:cs="Arial"/>
          <w:sz w:val="24"/>
          <w:szCs w:val="24"/>
        </w:rPr>
        <w:t xml:space="preserve">This is why diagnosis is a starting point of an intervention route. Assessment and management should be person </w:t>
      </w:r>
      <w:r w:rsidR="003E62A0" w:rsidRPr="004C3FD3">
        <w:rPr>
          <w:rFonts w:ascii="Arial" w:hAnsi="Arial" w:cs="Arial"/>
          <w:sz w:val="24"/>
          <w:szCs w:val="24"/>
        </w:rPr>
        <w:t>centred,</w:t>
      </w:r>
      <w:r w:rsidRPr="004C3FD3">
        <w:rPr>
          <w:rFonts w:ascii="Arial" w:hAnsi="Arial" w:cs="Arial"/>
          <w:sz w:val="24"/>
          <w:szCs w:val="24"/>
        </w:rPr>
        <w:t xml:space="preserve"> and families/carers should be involved if appropriate </w:t>
      </w:r>
      <w:r w:rsidR="00BD43EF" w:rsidRPr="004C3FD3">
        <w:rPr>
          <w:rFonts w:ascii="Arial" w:hAnsi="Arial" w:cs="Arial"/>
          <w:sz w:val="24"/>
          <w:szCs w:val="24"/>
        </w:rPr>
        <w:t>(Choudery, 2022)</w:t>
      </w:r>
      <w:r w:rsidRPr="004C3FD3">
        <w:rPr>
          <w:rFonts w:ascii="Arial" w:hAnsi="Arial" w:cs="Arial"/>
          <w:sz w:val="24"/>
          <w:szCs w:val="24"/>
        </w:rPr>
        <w:t xml:space="preserve">. The advantage of diagnosis is based on what will </w:t>
      </w:r>
      <w:r w:rsidRPr="004C3FD3">
        <w:rPr>
          <w:rFonts w:ascii="Arial" w:hAnsi="Arial" w:cs="Arial"/>
          <w:sz w:val="24"/>
          <w:szCs w:val="24"/>
        </w:rPr>
        <w:t>follow, in the event of a critical term. Early identification can decrease uncertainty, better future planning, and treatment of potentially reversible factors that may include medication side-effects, depression, hearing loss and delirium</w:t>
      </w:r>
      <w:r w:rsidR="00CB0A48" w:rsidRPr="004C3FD3">
        <w:rPr>
          <w:rFonts w:ascii="Arial" w:hAnsi="Arial" w:cs="Arial"/>
          <w:sz w:val="24"/>
          <w:szCs w:val="24"/>
        </w:rPr>
        <w:t xml:space="preserve"> (Alshizawi et al., 2025)</w:t>
      </w:r>
      <w:r w:rsidRPr="004C3FD3">
        <w:rPr>
          <w:rFonts w:ascii="Arial" w:hAnsi="Arial" w:cs="Arial"/>
          <w:sz w:val="24"/>
          <w:szCs w:val="24"/>
        </w:rPr>
        <w:t>. Limited usefulness of service when it is not available and/or when it is not accompanied by disclosure. But the most important aspect of the care response is not its speed but the care itself.</w:t>
      </w:r>
      <w:r w:rsidR="006A650D" w:rsidRPr="004C3FD3">
        <w:rPr>
          <w:rFonts w:ascii="Arial" w:hAnsi="Arial" w:cs="Arial"/>
          <w:sz w:val="24"/>
          <w:szCs w:val="24"/>
        </w:rPr>
        <w:t xml:space="preserve"> </w:t>
      </w:r>
      <w:r w:rsidRPr="004C3FD3">
        <w:rPr>
          <w:rFonts w:ascii="Arial" w:hAnsi="Arial" w:cs="Arial"/>
          <w:sz w:val="24"/>
          <w:szCs w:val="24"/>
        </w:rPr>
        <w:t>In Table 1, the main dementias and the significance of identifying sub-type for day-to-day care is provided.</w:t>
      </w:r>
    </w:p>
    <w:p w14:paraId="1B013BF0" w14:textId="7FF8C923" w:rsidR="003C41D1" w:rsidRPr="004C3FD3" w:rsidRDefault="001E5EB1" w:rsidP="006A650D">
      <w:pPr>
        <w:spacing w:after="60" w:line="360" w:lineRule="auto"/>
        <w:jc w:val="both"/>
        <w:rPr>
          <w:rFonts w:ascii="Arial" w:hAnsi="Arial" w:cs="Arial"/>
          <w:bCs/>
          <w:sz w:val="24"/>
          <w:szCs w:val="24"/>
        </w:rPr>
      </w:pPr>
      <w:r w:rsidRPr="004C3FD3">
        <w:rPr>
          <w:rFonts w:ascii="Arial" w:hAnsi="Arial" w:cs="Arial"/>
          <w:bCs/>
          <w:sz w:val="24"/>
          <w:szCs w:val="24"/>
        </w:rPr>
        <w:t>Table 1. Major types of dementia and practice implications.</w:t>
      </w:r>
    </w:p>
    <w:tbl>
      <w:tblPr>
        <w:tblStyle w:val="TableGrid"/>
        <w:tblW w:w="0" w:type="auto"/>
        <w:jc w:val="center"/>
        <w:tblLook w:val="04A0" w:firstRow="1" w:lastRow="0" w:firstColumn="1" w:lastColumn="0" w:noHBand="0" w:noVBand="1"/>
      </w:tblPr>
      <w:tblGrid>
        <w:gridCol w:w="1595"/>
        <w:gridCol w:w="1471"/>
        <w:gridCol w:w="1550"/>
      </w:tblGrid>
      <w:tr w:rsidR="003C41D1" w:rsidRPr="004C3FD3" w14:paraId="591021D6" w14:textId="77777777">
        <w:trPr>
          <w:jc w:val="center"/>
        </w:trPr>
        <w:tc>
          <w:tcPr>
            <w:tcW w:w="2088" w:type="dxa"/>
            <w:shd w:val="clear" w:color="auto" w:fill="D9E2F3"/>
            <w:vAlign w:val="center"/>
          </w:tcPr>
          <w:p w14:paraId="196527AD"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Type</w:t>
            </w:r>
          </w:p>
        </w:tc>
        <w:tc>
          <w:tcPr>
            <w:tcW w:w="3744" w:type="dxa"/>
            <w:shd w:val="clear" w:color="auto" w:fill="D9E2F3"/>
            <w:vAlign w:val="center"/>
          </w:tcPr>
          <w:p w14:paraId="58AFE83F"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Core features</w:t>
            </w:r>
          </w:p>
        </w:tc>
        <w:tc>
          <w:tcPr>
            <w:tcW w:w="3384" w:type="dxa"/>
            <w:shd w:val="clear" w:color="auto" w:fill="D9E2F3"/>
            <w:vAlign w:val="center"/>
          </w:tcPr>
          <w:p w14:paraId="6F6D8EE7"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Practice implication</w:t>
            </w:r>
          </w:p>
        </w:tc>
      </w:tr>
      <w:tr w:rsidR="003B3012" w:rsidRPr="004C3FD3" w14:paraId="08E65F2E" w14:textId="77777777" w:rsidTr="00B27737">
        <w:trPr>
          <w:jc w:val="center"/>
        </w:trPr>
        <w:tc>
          <w:tcPr>
            <w:tcW w:w="2088" w:type="dxa"/>
            <w:vAlign w:val="center"/>
          </w:tcPr>
          <w:p w14:paraId="5AEEFA90" w14:textId="77777777" w:rsidR="003B3012" w:rsidRPr="004C3FD3" w:rsidRDefault="003B3012" w:rsidP="006A650D">
            <w:pPr>
              <w:rPr>
                <w:rFonts w:ascii="Arial" w:hAnsi="Arial" w:cs="Arial"/>
                <w:sz w:val="24"/>
                <w:szCs w:val="24"/>
              </w:rPr>
            </w:pPr>
            <w:r w:rsidRPr="004C3FD3">
              <w:rPr>
                <w:rFonts w:ascii="Arial" w:hAnsi="Arial" w:cs="Arial"/>
                <w:sz w:val="24"/>
                <w:szCs w:val="24"/>
              </w:rPr>
              <w:t>Alzheimer’s disease</w:t>
            </w:r>
          </w:p>
        </w:tc>
        <w:tc>
          <w:tcPr>
            <w:tcW w:w="3744" w:type="dxa"/>
          </w:tcPr>
          <w:p w14:paraId="1D0F4EC4" w14:textId="55A6AF00" w:rsidR="003B3012" w:rsidRPr="004C3FD3" w:rsidRDefault="003B3012" w:rsidP="006A650D">
            <w:pPr>
              <w:rPr>
                <w:rFonts w:ascii="Arial" w:hAnsi="Arial" w:cs="Arial"/>
                <w:sz w:val="24"/>
                <w:szCs w:val="24"/>
              </w:rPr>
            </w:pPr>
            <w:r w:rsidRPr="004C3FD3">
              <w:rPr>
                <w:rFonts w:ascii="Arial" w:hAnsi="Arial" w:cs="Arial"/>
                <w:sz w:val="24"/>
                <w:szCs w:val="24"/>
              </w:rPr>
              <w:t>Slowing of episodic memory and loss of orientation.</w:t>
            </w:r>
          </w:p>
        </w:tc>
        <w:tc>
          <w:tcPr>
            <w:tcW w:w="3384" w:type="dxa"/>
          </w:tcPr>
          <w:p w14:paraId="6F4D709E" w14:textId="54CA5C36" w:rsidR="003B3012" w:rsidRPr="004C3FD3" w:rsidRDefault="003B3012" w:rsidP="006A650D">
            <w:pPr>
              <w:rPr>
                <w:rFonts w:ascii="Arial" w:hAnsi="Arial" w:cs="Arial"/>
                <w:sz w:val="24"/>
                <w:szCs w:val="24"/>
              </w:rPr>
            </w:pPr>
            <w:r w:rsidRPr="004C3FD3">
              <w:rPr>
                <w:rFonts w:ascii="Arial" w:hAnsi="Arial" w:cs="Arial"/>
                <w:sz w:val="24"/>
                <w:szCs w:val="24"/>
              </w:rPr>
              <w:t>Plan for thinking and future needs, carer education.</w:t>
            </w:r>
          </w:p>
        </w:tc>
      </w:tr>
      <w:tr w:rsidR="003B3012" w:rsidRPr="004C3FD3" w14:paraId="0F815A2D" w14:textId="77777777" w:rsidTr="00B27737">
        <w:trPr>
          <w:jc w:val="center"/>
        </w:trPr>
        <w:tc>
          <w:tcPr>
            <w:tcW w:w="2088" w:type="dxa"/>
            <w:vAlign w:val="center"/>
          </w:tcPr>
          <w:p w14:paraId="08DE0BE8" w14:textId="77777777" w:rsidR="003B3012" w:rsidRPr="004C3FD3" w:rsidRDefault="003B3012" w:rsidP="006A650D">
            <w:pPr>
              <w:rPr>
                <w:rFonts w:ascii="Arial" w:hAnsi="Arial" w:cs="Arial"/>
                <w:sz w:val="24"/>
                <w:szCs w:val="24"/>
              </w:rPr>
            </w:pPr>
            <w:r w:rsidRPr="004C3FD3">
              <w:rPr>
                <w:rFonts w:ascii="Arial" w:hAnsi="Arial" w:cs="Arial"/>
                <w:sz w:val="24"/>
                <w:szCs w:val="24"/>
              </w:rPr>
              <w:t>Vascular dementia</w:t>
            </w:r>
          </w:p>
        </w:tc>
        <w:tc>
          <w:tcPr>
            <w:tcW w:w="3744" w:type="dxa"/>
          </w:tcPr>
          <w:p w14:paraId="497B6C7E" w14:textId="3631B083" w:rsidR="003B3012" w:rsidRPr="004C3FD3" w:rsidRDefault="003B3012" w:rsidP="006A650D">
            <w:pPr>
              <w:rPr>
                <w:rFonts w:ascii="Arial" w:hAnsi="Arial" w:cs="Arial"/>
                <w:sz w:val="24"/>
                <w:szCs w:val="24"/>
              </w:rPr>
            </w:pPr>
            <w:r w:rsidRPr="004C3FD3">
              <w:rPr>
                <w:rFonts w:ascii="Arial" w:hAnsi="Arial" w:cs="Arial"/>
                <w:sz w:val="24"/>
                <w:szCs w:val="24"/>
              </w:rPr>
              <w:t>Executive dysfunction associated with cerebro-vascular disorders.</w:t>
            </w:r>
          </w:p>
        </w:tc>
        <w:tc>
          <w:tcPr>
            <w:tcW w:w="3384" w:type="dxa"/>
          </w:tcPr>
          <w:p w14:paraId="1EFDF3DE" w14:textId="2B7635DB" w:rsidR="003B3012" w:rsidRPr="004C3FD3" w:rsidRDefault="003B3012" w:rsidP="006A650D">
            <w:pPr>
              <w:rPr>
                <w:rFonts w:ascii="Arial" w:hAnsi="Arial" w:cs="Arial"/>
                <w:sz w:val="24"/>
                <w:szCs w:val="24"/>
              </w:rPr>
            </w:pPr>
            <w:r w:rsidRPr="004C3FD3">
              <w:rPr>
                <w:rFonts w:ascii="Arial" w:hAnsi="Arial" w:cs="Arial"/>
                <w:sz w:val="24"/>
                <w:szCs w:val="24"/>
              </w:rPr>
              <w:t>Manage vascular risk factors and monitor prevention of stroke.</w:t>
            </w:r>
          </w:p>
        </w:tc>
      </w:tr>
      <w:tr w:rsidR="003B3012" w:rsidRPr="004C3FD3" w14:paraId="16142BC6" w14:textId="77777777" w:rsidTr="00B27737">
        <w:trPr>
          <w:jc w:val="center"/>
        </w:trPr>
        <w:tc>
          <w:tcPr>
            <w:tcW w:w="2088" w:type="dxa"/>
            <w:vAlign w:val="center"/>
          </w:tcPr>
          <w:p w14:paraId="706D319C" w14:textId="77777777" w:rsidR="003B3012" w:rsidRPr="004C3FD3" w:rsidRDefault="003B3012" w:rsidP="006A650D">
            <w:pPr>
              <w:rPr>
                <w:rFonts w:ascii="Arial" w:hAnsi="Arial" w:cs="Arial"/>
                <w:sz w:val="24"/>
                <w:szCs w:val="24"/>
              </w:rPr>
            </w:pPr>
            <w:r w:rsidRPr="004C3FD3">
              <w:rPr>
                <w:rFonts w:ascii="Arial" w:hAnsi="Arial" w:cs="Arial"/>
                <w:sz w:val="24"/>
                <w:szCs w:val="24"/>
              </w:rPr>
              <w:t>Dementia with Lewy bodies</w:t>
            </w:r>
          </w:p>
        </w:tc>
        <w:tc>
          <w:tcPr>
            <w:tcW w:w="3744" w:type="dxa"/>
          </w:tcPr>
          <w:p w14:paraId="28150F88" w14:textId="539532D7" w:rsidR="003B3012" w:rsidRPr="004C3FD3" w:rsidRDefault="003B3012" w:rsidP="006A650D">
            <w:pPr>
              <w:rPr>
                <w:rFonts w:ascii="Arial" w:hAnsi="Arial" w:cs="Arial"/>
                <w:sz w:val="24"/>
                <w:szCs w:val="24"/>
              </w:rPr>
            </w:pPr>
            <w:r w:rsidRPr="004C3FD3">
              <w:rPr>
                <w:rFonts w:ascii="Arial" w:hAnsi="Arial" w:cs="Arial"/>
                <w:sz w:val="24"/>
                <w:szCs w:val="24"/>
              </w:rPr>
              <w:t>Changes in cognition, visual hallucinations and parkinsonism.</w:t>
            </w:r>
          </w:p>
        </w:tc>
        <w:tc>
          <w:tcPr>
            <w:tcW w:w="3384" w:type="dxa"/>
          </w:tcPr>
          <w:p w14:paraId="4B019093" w14:textId="31989BA4" w:rsidR="003B3012" w:rsidRPr="004C3FD3" w:rsidRDefault="003B3012" w:rsidP="006A650D">
            <w:pPr>
              <w:rPr>
                <w:rFonts w:ascii="Arial" w:hAnsi="Arial" w:cs="Arial"/>
                <w:sz w:val="24"/>
                <w:szCs w:val="24"/>
              </w:rPr>
            </w:pPr>
            <w:r w:rsidRPr="004C3FD3">
              <w:rPr>
                <w:rFonts w:ascii="Arial" w:hAnsi="Arial" w:cs="Arial"/>
                <w:sz w:val="24"/>
                <w:szCs w:val="24"/>
              </w:rPr>
              <w:t>Check medications, and expect falls, and sensitivity to antipsychotics.</w:t>
            </w:r>
          </w:p>
        </w:tc>
      </w:tr>
      <w:tr w:rsidR="003B3012" w:rsidRPr="004C3FD3" w14:paraId="79830A60" w14:textId="77777777" w:rsidTr="00B27737">
        <w:trPr>
          <w:jc w:val="center"/>
        </w:trPr>
        <w:tc>
          <w:tcPr>
            <w:tcW w:w="2088" w:type="dxa"/>
            <w:vAlign w:val="center"/>
          </w:tcPr>
          <w:p w14:paraId="1EE012A3" w14:textId="77777777" w:rsidR="003B3012" w:rsidRPr="004C3FD3" w:rsidRDefault="003B3012" w:rsidP="006A650D">
            <w:pPr>
              <w:rPr>
                <w:rFonts w:ascii="Arial" w:hAnsi="Arial" w:cs="Arial"/>
                <w:sz w:val="24"/>
                <w:szCs w:val="24"/>
              </w:rPr>
            </w:pPr>
            <w:r w:rsidRPr="004C3FD3">
              <w:rPr>
                <w:rFonts w:ascii="Arial" w:hAnsi="Arial" w:cs="Arial"/>
                <w:sz w:val="24"/>
                <w:szCs w:val="24"/>
              </w:rPr>
              <w:t>Frontotemporal dementia</w:t>
            </w:r>
          </w:p>
        </w:tc>
        <w:tc>
          <w:tcPr>
            <w:tcW w:w="3744" w:type="dxa"/>
          </w:tcPr>
          <w:p w14:paraId="1537CA8A" w14:textId="3FF93B04" w:rsidR="003B3012" w:rsidRPr="004C3FD3" w:rsidRDefault="003B3012" w:rsidP="006A650D">
            <w:pPr>
              <w:rPr>
                <w:rFonts w:ascii="Arial" w:hAnsi="Arial" w:cs="Arial"/>
                <w:sz w:val="24"/>
                <w:szCs w:val="24"/>
              </w:rPr>
            </w:pPr>
            <w:r w:rsidRPr="004C3FD3">
              <w:rPr>
                <w:rFonts w:ascii="Arial" w:hAnsi="Arial" w:cs="Arial"/>
                <w:sz w:val="24"/>
                <w:szCs w:val="24"/>
              </w:rPr>
              <w:t>Early behavioural</w:t>
            </w:r>
            <w:r w:rsidRPr="004C3FD3">
              <w:rPr>
                <w:rFonts w:ascii="Arial" w:hAnsi="Arial" w:cs="Arial"/>
                <w:sz w:val="24"/>
                <w:szCs w:val="24"/>
              </w:rPr>
              <w:lastRenderedPageBreak/>
              <w:t>, language or personality change.</w:t>
            </w:r>
          </w:p>
        </w:tc>
        <w:tc>
          <w:tcPr>
            <w:tcW w:w="3384" w:type="dxa"/>
          </w:tcPr>
          <w:p w14:paraId="1861C303" w14:textId="3DC96F03" w:rsidR="003B3012" w:rsidRPr="004C3FD3" w:rsidRDefault="003B3012" w:rsidP="006A650D">
            <w:pPr>
              <w:rPr>
                <w:rFonts w:ascii="Arial" w:hAnsi="Arial" w:cs="Arial"/>
                <w:sz w:val="24"/>
                <w:szCs w:val="24"/>
              </w:rPr>
            </w:pPr>
            <w:r w:rsidRPr="004C3FD3">
              <w:rPr>
                <w:rFonts w:ascii="Arial" w:hAnsi="Arial" w:cs="Arial"/>
                <w:sz w:val="24"/>
                <w:szCs w:val="24"/>
              </w:rPr>
              <w:lastRenderedPageBreak/>
              <w:t xml:space="preserve">Focus on </w:t>
            </w:r>
            <w:r w:rsidR="006A650D" w:rsidRPr="004C3FD3">
              <w:rPr>
                <w:rFonts w:ascii="Arial" w:hAnsi="Arial" w:cs="Arial"/>
                <w:sz w:val="24"/>
                <w:szCs w:val="24"/>
              </w:rPr>
              <w:t>career</w:t>
            </w:r>
            <w:r w:rsidRPr="004C3FD3">
              <w:rPr>
                <w:rFonts w:ascii="Arial" w:hAnsi="Arial" w:cs="Arial"/>
                <w:sz w:val="24"/>
                <w:szCs w:val="24"/>
              </w:rPr>
              <w:t xml:space="preserve"> </w:t>
            </w:r>
            <w:r w:rsidRPr="004C3FD3">
              <w:rPr>
                <w:rFonts w:ascii="Arial" w:hAnsi="Arial" w:cs="Arial"/>
                <w:sz w:val="24"/>
                <w:szCs w:val="24"/>
              </w:rPr>
              <w:lastRenderedPageBreak/>
              <w:t>guidance and behaviour sensitive supports.</w:t>
            </w:r>
          </w:p>
        </w:tc>
      </w:tr>
    </w:tbl>
    <w:p w14:paraId="20196C1A" w14:textId="7B7ED8E7" w:rsidR="003C41D1" w:rsidRPr="004C3FD3" w:rsidRDefault="006F5E4E" w:rsidP="006A650D">
      <w:pPr>
        <w:spacing w:line="360" w:lineRule="auto"/>
        <w:jc w:val="both"/>
        <w:rPr>
          <w:rFonts w:ascii="Arial" w:hAnsi="Arial" w:cs="Arial"/>
          <w:sz w:val="24"/>
          <w:szCs w:val="24"/>
        </w:rPr>
      </w:pPr>
      <w:r w:rsidRPr="004C3FD3">
        <w:rPr>
          <w:rFonts w:ascii="Arial" w:hAnsi="Arial" w:cs="Arial"/>
          <w:sz w:val="24"/>
          <w:szCs w:val="24"/>
        </w:rPr>
        <w:lastRenderedPageBreak/>
        <w:t>Source: Author, (2026)</w:t>
      </w:r>
    </w:p>
    <w:p w14:paraId="17003173" w14:textId="77777777" w:rsidR="003C41D1" w:rsidRPr="004C3FD3" w:rsidRDefault="001E5EB1" w:rsidP="006A650D">
      <w:pPr>
        <w:pStyle w:val="Heading1"/>
        <w:spacing w:line="360" w:lineRule="auto"/>
        <w:rPr>
          <w:rFonts w:ascii="Arial" w:hAnsi="Arial" w:cs="Arial"/>
          <w:sz w:val="24"/>
          <w:szCs w:val="24"/>
        </w:rPr>
      </w:pPr>
      <w:bookmarkStart w:id="4" w:name="_Toc231587151"/>
      <w:bookmarkStart w:id="5" w:name="_Toc231678391"/>
      <w:r w:rsidRPr="004C3FD3">
        <w:rPr>
          <w:rFonts w:ascii="Arial" w:hAnsi="Arial" w:cs="Arial"/>
          <w:sz w:val="24"/>
          <w:szCs w:val="24"/>
        </w:rPr>
        <w:t>3. Burden and Prevalence of Dementia</w:t>
      </w:r>
      <w:bookmarkEnd w:id="4"/>
      <w:bookmarkEnd w:id="5"/>
    </w:p>
    <w:p w14:paraId="6265F246" w14:textId="6B7CB7A5"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The absolute and economic costs of dementia are increasing. In 2021, it is estimated that there were 57 million people worldwide living with dementia. According to the Lancet Commission, the number of cases will be around 153 million by 2050 </w:t>
      </w:r>
      <w:r w:rsidR="00BD43EF" w:rsidRPr="004C3FD3">
        <w:rPr>
          <w:rFonts w:ascii="Arial" w:hAnsi="Arial" w:cs="Arial"/>
          <w:sz w:val="24"/>
          <w:szCs w:val="24"/>
        </w:rPr>
        <w:t>(Kang et al., 2026)</w:t>
      </w:r>
      <w:r w:rsidRPr="004C3FD3">
        <w:rPr>
          <w:rFonts w:ascii="Arial" w:hAnsi="Arial" w:cs="Arial"/>
          <w:sz w:val="24"/>
          <w:szCs w:val="24"/>
        </w:rPr>
        <w:t>. This rise is not only due to the increased numbers of people born, but also due to the increased numbers of people surviving with chronic vascular and metabolic conditions, thus increasing the number of people surviving long enough to become cognitively impaired.</w:t>
      </w:r>
      <w:r w:rsidR="006A650D" w:rsidRPr="004C3FD3">
        <w:rPr>
          <w:rFonts w:ascii="Arial" w:hAnsi="Arial" w:cs="Arial"/>
          <w:sz w:val="24"/>
          <w:szCs w:val="24"/>
        </w:rPr>
        <w:t xml:space="preserve"> </w:t>
      </w:r>
      <w:r w:rsidRPr="004C3FD3">
        <w:rPr>
          <w:rFonts w:ascii="Arial" w:hAnsi="Arial" w:cs="Arial"/>
          <w:sz w:val="24"/>
          <w:szCs w:val="24"/>
        </w:rPr>
        <w:t>This is a burden on the UK that is especially great. Alzheimer's Society estimates that there are approximately 1 million people living with dementia in the UK and by 2040 this will increase to approximately 1.4 million</w:t>
      </w:r>
      <w:r w:rsidR="00F76E8C" w:rsidRPr="004C3FD3">
        <w:rPr>
          <w:rFonts w:ascii="Arial" w:hAnsi="Arial" w:cs="Arial"/>
          <w:sz w:val="24"/>
          <w:szCs w:val="24"/>
        </w:rPr>
        <w:t xml:space="preserve">. </w:t>
      </w:r>
      <w:r w:rsidRPr="004C3FD3">
        <w:rPr>
          <w:rFonts w:ascii="Arial" w:hAnsi="Arial" w:cs="Arial"/>
          <w:sz w:val="24"/>
          <w:szCs w:val="24"/>
        </w:rPr>
        <w:t xml:space="preserve">The annual cost of the UK in 2024 is estimated to be £42 billion, rising to £90 billion by 2040, with most of this unpaid care (Alzheimer's Society, 2024). This is an important policy point – there is a substantial amount of burden within families, rather than a direct cost to the NHS. In the public sector, dementia can seem “economically viable” while in the family context it can be </w:t>
      </w:r>
      <w:r w:rsidRPr="004C3FD3">
        <w:rPr>
          <w:rFonts w:ascii="Arial" w:hAnsi="Arial" w:cs="Arial"/>
          <w:sz w:val="24"/>
          <w:szCs w:val="24"/>
        </w:rPr>
        <w:t>extremely burdensome.</w:t>
      </w:r>
      <w:r w:rsidR="006A650D" w:rsidRPr="004C3FD3">
        <w:rPr>
          <w:rFonts w:ascii="Arial" w:hAnsi="Arial" w:cs="Arial"/>
          <w:sz w:val="24"/>
          <w:szCs w:val="24"/>
        </w:rPr>
        <w:t xml:space="preserve"> </w:t>
      </w:r>
      <w:r w:rsidRPr="004C3FD3">
        <w:rPr>
          <w:rFonts w:ascii="Arial" w:hAnsi="Arial" w:cs="Arial"/>
          <w:sz w:val="24"/>
          <w:szCs w:val="24"/>
        </w:rPr>
        <w:t xml:space="preserve">England's diagnosis figures indicate some </w:t>
      </w:r>
      <w:r w:rsidR="003E62A0" w:rsidRPr="004C3FD3">
        <w:rPr>
          <w:rFonts w:ascii="Arial" w:hAnsi="Arial" w:cs="Arial"/>
          <w:sz w:val="24"/>
          <w:szCs w:val="24"/>
        </w:rPr>
        <w:t>improvement but</w:t>
      </w:r>
      <w:r w:rsidRPr="004C3FD3">
        <w:rPr>
          <w:rFonts w:ascii="Arial" w:hAnsi="Arial" w:cs="Arial"/>
          <w:sz w:val="24"/>
          <w:szCs w:val="24"/>
        </w:rPr>
        <w:t xml:space="preserve"> also provide a diagnosis of structural restrictions. NHS England (2025) stated that there were over half a million formal diagnoses in 2025. Diagnostic activity is still not sufficient and equal, across areas and population groups</w:t>
      </w:r>
      <w:r w:rsidR="00F76E8C" w:rsidRPr="004C3FD3">
        <w:rPr>
          <w:rFonts w:ascii="Arial" w:hAnsi="Arial" w:cs="Arial"/>
          <w:sz w:val="24"/>
          <w:szCs w:val="24"/>
        </w:rPr>
        <w:t xml:space="preserve">. </w:t>
      </w:r>
      <w:r w:rsidRPr="004C3FD3">
        <w:rPr>
          <w:rFonts w:ascii="Arial" w:hAnsi="Arial" w:cs="Arial"/>
          <w:sz w:val="24"/>
          <w:szCs w:val="24"/>
        </w:rPr>
        <w:t>Analytically, this means that lack of access to memory assessment as well as inequal access, poor post diagnostic follow-up, are all factors related to service pressure and are not just closely tied to prevalence. More than just expanded diagnosis is suggested as a means of enhancing outcomes. It will require continuity of care, more supportive communities and early planning for care.</w:t>
      </w:r>
    </w:p>
    <w:p w14:paraId="6A1CDED7" w14:textId="53F112AA" w:rsidR="003C41D1" w:rsidRPr="004C3FD3" w:rsidRDefault="001E5EB1" w:rsidP="006A650D">
      <w:pPr>
        <w:spacing w:after="60" w:line="360" w:lineRule="auto"/>
        <w:jc w:val="both"/>
        <w:rPr>
          <w:rFonts w:ascii="Arial" w:hAnsi="Arial" w:cs="Arial"/>
          <w:bCs/>
          <w:sz w:val="24"/>
          <w:szCs w:val="24"/>
        </w:rPr>
      </w:pPr>
      <w:r w:rsidRPr="004C3FD3">
        <w:rPr>
          <w:rFonts w:ascii="Arial" w:hAnsi="Arial" w:cs="Arial"/>
          <w:bCs/>
          <w:sz w:val="24"/>
          <w:szCs w:val="24"/>
        </w:rPr>
        <w:t>Table 2. Selected recent dementia statistics.</w:t>
      </w:r>
    </w:p>
    <w:tbl>
      <w:tblPr>
        <w:tblStyle w:val="TableGrid"/>
        <w:tblW w:w="0" w:type="auto"/>
        <w:jc w:val="center"/>
        <w:tblLook w:val="04A0" w:firstRow="1" w:lastRow="0" w:firstColumn="1" w:lastColumn="0" w:noHBand="0" w:noVBand="1"/>
      </w:tblPr>
      <w:tblGrid>
        <w:gridCol w:w="1637"/>
        <w:gridCol w:w="1176"/>
        <w:gridCol w:w="1803"/>
      </w:tblGrid>
      <w:tr w:rsidR="003C41D1" w:rsidRPr="004C3FD3" w14:paraId="6DF33617" w14:textId="77777777">
        <w:trPr>
          <w:jc w:val="center"/>
        </w:trPr>
        <w:tc>
          <w:tcPr>
            <w:tcW w:w="3600" w:type="dxa"/>
            <w:shd w:val="clear" w:color="auto" w:fill="D9E2F3"/>
            <w:vAlign w:val="center"/>
          </w:tcPr>
          <w:p w14:paraId="709DCAAD" w14:textId="77777777" w:rsidR="003C41D1" w:rsidRPr="004C3FD3" w:rsidRDefault="001E5EB1" w:rsidP="006A650D">
            <w:pPr>
              <w:spacing w:line="360" w:lineRule="auto"/>
              <w:jc w:val="both"/>
              <w:rPr>
                <w:rFonts w:ascii="Arial" w:hAnsi="Arial" w:cs="Arial"/>
                <w:sz w:val="24"/>
                <w:szCs w:val="24"/>
              </w:rPr>
            </w:pPr>
            <w:r w:rsidRPr="004C3FD3">
              <w:rPr>
                <w:rFonts w:ascii="Arial" w:hAnsi="Arial" w:cs="Arial"/>
                <w:b/>
                <w:sz w:val="24"/>
                <w:szCs w:val="24"/>
              </w:rPr>
              <w:t>Indicator</w:t>
            </w:r>
          </w:p>
        </w:tc>
        <w:tc>
          <w:tcPr>
            <w:tcW w:w="1728" w:type="dxa"/>
            <w:shd w:val="clear" w:color="auto" w:fill="D9E2F3"/>
            <w:vAlign w:val="center"/>
          </w:tcPr>
          <w:p w14:paraId="70753040" w14:textId="77777777" w:rsidR="003C41D1" w:rsidRPr="004C3FD3" w:rsidRDefault="001E5EB1" w:rsidP="006A650D">
            <w:pPr>
              <w:spacing w:line="360" w:lineRule="auto"/>
              <w:jc w:val="both"/>
              <w:rPr>
                <w:rFonts w:ascii="Arial" w:hAnsi="Arial" w:cs="Arial"/>
                <w:sz w:val="24"/>
                <w:szCs w:val="24"/>
              </w:rPr>
            </w:pPr>
            <w:r w:rsidRPr="004C3FD3">
              <w:rPr>
                <w:rFonts w:ascii="Arial" w:hAnsi="Arial" w:cs="Arial"/>
                <w:b/>
                <w:sz w:val="24"/>
                <w:szCs w:val="24"/>
              </w:rPr>
              <w:t>Value</w:t>
            </w:r>
          </w:p>
        </w:tc>
        <w:tc>
          <w:tcPr>
            <w:tcW w:w="3888" w:type="dxa"/>
            <w:shd w:val="clear" w:color="auto" w:fill="D9E2F3"/>
            <w:vAlign w:val="center"/>
          </w:tcPr>
          <w:p w14:paraId="5AC90C8C" w14:textId="77777777" w:rsidR="003C41D1" w:rsidRPr="004C3FD3" w:rsidRDefault="001E5EB1" w:rsidP="006A650D">
            <w:pPr>
              <w:spacing w:line="360" w:lineRule="auto"/>
              <w:jc w:val="both"/>
              <w:rPr>
                <w:rFonts w:ascii="Arial" w:hAnsi="Arial" w:cs="Arial"/>
                <w:sz w:val="24"/>
                <w:szCs w:val="24"/>
              </w:rPr>
            </w:pPr>
            <w:r w:rsidRPr="004C3FD3">
              <w:rPr>
                <w:rFonts w:ascii="Arial" w:hAnsi="Arial" w:cs="Arial"/>
                <w:b/>
                <w:sz w:val="24"/>
                <w:szCs w:val="24"/>
              </w:rPr>
              <w:t>Source</w:t>
            </w:r>
          </w:p>
        </w:tc>
      </w:tr>
      <w:tr w:rsidR="003C41D1" w:rsidRPr="004C3FD3" w14:paraId="2E207C2F" w14:textId="77777777">
        <w:trPr>
          <w:jc w:val="center"/>
        </w:trPr>
        <w:tc>
          <w:tcPr>
            <w:tcW w:w="3600" w:type="dxa"/>
            <w:vAlign w:val="center"/>
          </w:tcPr>
          <w:p w14:paraId="266F0B64"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People living with dementia worldwide</w:t>
            </w:r>
          </w:p>
        </w:tc>
        <w:tc>
          <w:tcPr>
            <w:tcW w:w="1728" w:type="dxa"/>
            <w:vAlign w:val="center"/>
          </w:tcPr>
          <w:p w14:paraId="0D14B8B3"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57 million</w:t>
            </w:r>
          </w:p>
        </w:tc>
        <w:tc>
          <w:tcPr>
            <w:tcW w:w="3888" w:type="dxa"/>
            <w:vAlign w:val="center"/>
          </w:tcPr>
          <w:p w14:paraId="6EFE556F" w14:textId="2793FF5A" w:rsidR="003C41D1" w:rsidRPr="004C3FD3" w:rsidRDefault="00BD43EF" w:rsidP="006A650D">
            <w:pPr>
              <w:spacing w:line="360" w:lineRule="auto"/>
              <w:rPr>
                <w:rFonts w:ascii="Arial" w:hAnsi="Arial" w:cs="Arial"/>
                <w:sz w:val="24"/>
                <w:szCs w:val="24"/>
              </w:rPr>
            </w:pPr>
            <w:r w:rsidRPr="004C3FD3">
              <w:rPr>
                <w:rFonts w:ascii="Arial" w:hAnsi="Arial" w:cs="Arial"/>
                <w:sz w:val="24"/>
                <w:szCs w:val="24"/>
              </w:rPr>
              <w:t>(Choudery, 2022)</w:t>
            </w:r>
          </w:p>
        </w:tc>
      </w:tr>
      <w:tr w:rsidR="003C41D1" w:rsidRPr="004C3FD3" w14:paraId="33E4DEF4" w14:textId="77777777">
        <w:trPr>
          <w:jc w:val="center"/>
        </w:trPr>
        <w:tc>
          <w:tcPr>
            <w:tcW w:w="3600" w:type="dxa"/>
            <w:vAlign w:val="center"/>
          </w:tcPr>
          <w:p w14:paraId="2F48F077"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Projected global cases by 2050</w:t>
            </w:r>
          </w:p>
        </w:tc>
        <w:tc>
          <w:tcPr>
            <w:tcW w:w="1728" w:type="dxa"/>
            <w:vAlign w:val="center"/>
          </w:tcPr>
          <w:p w14:paraId="1C3DD375"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153 million</w:t>
            </w:r>
          </w:p>
        </w:tc>
        <w:tc>
          <w:tcPr>
            <w:tcW w:w="3888" w:type="dxa"/>
            <w:vAlign w:val="center"/>
          </w:tcPr>
          <w:p w14:paraId="0AE5FB43"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Livingston et al., 2024</w:t>
            </w:r>
          </w:p>
        </w:tc>
      </w:tr>
      <w:tr w:rsidR="003C41D1" w:rsidRPr="004C3FD3" w14:paraId="69E6190F" w14:textId="77777777">
        <w:trPr>
          <w:jc w:val="center"/>
        </w:trPr>
        <w:tc>
          <w:tcPr>
            <w:tcW w:w="3600" w:type="dxa"/>
            <w:vAlign w:val="center"/>
          </w:tcPr>
          <w:p w14:paraId="6E4A1785"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Recorded diagnoses in England</w:t>
            </w:r>
          </w:p>
        </w:tc>
        <w:tc>
          <w:tcPr>
            <w:tcW w:w="1728" w:type="dxa"/>
            <w:vAlign w:val="center"/>
          </w:tcPr>
          <w:p w14:paraId="2B754433"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498,729</w:t>
            </w:r>
          </w:p>
        </w:tc>
        <w:tc>
          <w:tcPr>
            <w:tcW w:w="3888" w:type="dxa"/>
            <w:vAlign w:val="center"/>
          </w:tcPr>
          <w:p w14:paraId="4CC62E2C" w14:textId="1AA14DFC" w:rsidR="003C41D1" w:rsidRPr="004C3FD3" w:rsidRDefault="00BD43EF" w:rsidP="006A650D">
            <w:pPr>
              <w:spacing w:line="360" w:lineRule="auto"/>
              <w:rPr>
                <w:rFonts w:ascii="Arial" w:hAnsi="Arial" w:cs="Arial"/>
                <w:sz w:val="24"/>
                <w:szCs w:val="24"/>
              </w:rPr>
            </w:pPr>
            <w:r w:rsidRPr="004C3FD3">
              <w:rPr>
                <w:rFonts w:ascii="Arial" w:hAnsi="Arial" w:cs="Arial"/>
                <w:sz w:val="24"/>
                <w:szCs w:val="24"/>
              </w:rPr>
              <w:t>NHS England 2025</w:t>
            </w:r>
          </w:p>
        </w:tc>
      </w:tr>
      <w:tr w:rsidR="003C41D1" w:rsidRPr="004C3FD3" w14:paraId="415AFB45" w14:textId="77777777">
        <w:trPr>
          <w:jc w:val="center"/>
        </w:trPr>
        <w:tc>
          <w:tcPr>
            <w:tcW w:w="3600" w:type="dxa"/>
            <w:vAlign w:val="center"/>
          </w:tcPr>
          <w:p w14:paraId="3B5C54CD"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 xml:space="preserve">People living with </w:t>
            </w:r>
            <w:r w:rsidRPr="004C3FD3">
              <w:rPr>
                <w:rFonts w:ascii="Arial" w:hAnsi="Arial" w:cs="Arial"/>
                <w:sz w:val="24"/>
                <w:szCs w:val="24"/>
              </w:rPr>
              <w:lastRenderedPageBreak/>
              <w:t>dementia in the UK</w:t>
            </w:r>
          </w:p>
        </w:tc>
        <w:tc>
          <w:tcPr>
            <w:tcW w:w="1728" w:type="dxa"/>
            <w:vAlign w:val="center"/>
          </w:tcPr>
          <w:p w14:paraId="602E1C14"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lastRenderedPageBreak/>
              <w:t>around 1 million</w:t>
            </w:r>
          </w:p>
        </w:tc>
        <w:tc>
          <w:tcPr>
            <w:tcW w:w="3888" w:type="dxa"/>
            <w:vAlign w:val="center"/>
          </w:tcPr>
          <w:p w14:paraId="63F822C6"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Alzheimer’s Society, 2024</w:t>
            </w:r>
          </w:p>
        </w:tc>
      </w:tr>
      <w:tr w:rsidR="003C41D1" w:rsidRPr="004C3FD3" w14:paraId="5F4201F3" w14:textId="77777777">
        <w:trPr>
          <w:jc w:val="center"/>
        </w:trPr>
        <w:tc>
          <w:tcPr>
            <w:tcW w:w="3600" w:type="dxa"/>
            <w:vAlign w:val="center"/>
          </w:tcPr>
          <w:p w14:paraId="5A664AC6"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Annual UK cost of dementia</w:t>
            </w:r>
          </w:p>
        </w:tc>
        <w:tc>
          <w:tcPr>
            <w:tcW w:w="1728" w:type="dxa"/>
            <w:vAlign w:val="center"/>
          </w:tcPr>
          <w:p w14:paraId="214F7D6D"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£42 billion</w:t>
            </w:r>
          </w:p>
        </w:tc>
        <w:tc>
          <w:tcPr>
            <w:tcW w:w="3888" w:type="dxa"/>
            <w:vAlign w:val="center"/>
          </w:tcPr>
          <w:p w14:paraId="018B7CDE" w14:textId="77777777" w:rsidR="003C41D1" w:rsidRPr="004C3FD3" w:rsidRDefault="001E5EB1" w:rsidP="006A650D">
            <w:pPr>
              <w:spacing w:line="360" w:lineRule="auto"/>
              <w:rPr>
                <w:rFonts w:ascii="Arial" w:hAnsi="Arial" w:cs="Arial"/>
                <w:sz w:val="24"/>
                <w:szCs w:val="24"/>
              </w:rPr>
            </w:pPr>
            <w:r w:rsidRPr="004C3FD3">
              <w:rPr>
                <w:rFonts w:ascii="Arial" w:hAnsi="Arial" w:cs="Arial"/>
                <w:sz w:val="24"/>
                <w:szCs w:val="24"/>
              </w:rPr>
              <w:t>Alzheimer’s Society, 2024</w:t>
            </w:r>
          </w:p>
        </w:tc>
      </w:tr>
    </w:tbl>
    <w:p w14:paraId="6011D849" w14:textId="39BAC8E4" w:rsidR="006F5E4E" w:rsidRPr="004C3FD3" w:rsidRDefault="006F5E4E" w:rsidP="006A650D">
      <w:pPr>
        <w:spacing w:line="360" w:lineRule="auto"/>
        <w:jc w:val="both"/>
        <w:rPr>
          <w:rFonts w:ascii="Arial" w:hAnsi="Arial" w:cs="Arial"/>
          <w:sz w:val="24"/>
          <w:szCs w:val="24"/>
        </w:rPr>
      </w:pPr>
      <w:r w:rsidRPr="004C3FD3">
        <w:rPr>
          <w:rFonts w:ascii="Arial" w:hAnsi="Arial" w:cs="Arial"/>
          <w:sz w:val="24"/>
          <w:szCs w:val="24"/>
        </w:rPr>
        <w:t>Source: Author, (2026)</w:t>
      </w:r>
    </w:p>
    <w:p w14:paraId="6178AA1A" w14:textId="77777777" w:rsidR="006A650D" w:rsidRPr="004C3FD3" w:rsidRDefault="006A650D" w:rsidP="006A650D">
      <w:pPr>
        <w:spacing w:line="360" w:lineRule="auto"/>
        <w:jc w:val="both"/>
        <w:rPr>
          <w:rFonts w:ascii="Arial" w:hAnsi="Arial" w:cs="Arial"/>
          <w:sz w:val="24"/>
          <w:szCs w:val="24"/>
        </w:rPr>
      </w:pPr>
    </w:p>
    <w:p w14:paraId="139B76A3" w14:textId="77777777" w:rsidR="003C41D1" w:rsidRPr="004C3FD3" w:rsidRDefault="001E5EB1" w:rsidP="006A650D">
      <w:pPr>
        <w:spacing w:line="360" w:lineRule="auto"/>
        <w:jc w:val="center"/>
        <w:rPr>
          <w:rFonts w:ascii="Arial" w:hAnsi="Arial" w:cs="Arial"/>
          <w:sz w:val="24"/>
          <w:szCs w:val="24"/>
        </w:rPr>
      </w:pPr>
      <w:r w:rsidRPr="004C3FD3">
        <w:rPr>
          <w:rFonts w:ascii="Arial" w:hAnsi="Arial" w:cs="Arial"/>
          <w:noProof/>
          <w:sz w:val="24"/>
          <w:szCs w:val="24"/>
        </w:rPr>
        <w:drawing>
          <wp:inline distT="0" distB="0" distL="0" distR="0" wp14:anchorId="5F3BE60F" wp14:editId="627465AF">
            <wp:extent cx="3257550" cy="1809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england_diagnosis.png"/>
                    <pic:cNvPicPr/>
                  </pic:nvPicPr>
                  <pic:blipFill rotWithShape="1">
                    <a:blip r:embed="rId11"/>
                    <a:srcRect t="7407"/>
                    <a:stretch>
                      <a:fillRect/>
                    </a:stretch>
                  </pic:blipFill>
                  <pic:spPr bwMode="auto">
                    <a:xfrm>
                      <a:off x="0" y="0"/>
                      <a:ext cx="3268212" cy="1815673"/>
                    </a:xfrm>
                    <a:prstGeom prst="rect">
                      <a:avLst/>
                    </a:prstGeom>
                    <a:ln>
                      <a:noFill/>
                    </a:ln>
                    <a:extLst>
                      <a:ext uri="{53640926-AAD7-44D8-BBD7-CCE9431645EC}">
                        <a14:shadowObscured xmlns:a14="http://schemas.microsoft.com/office/drawing/2010/main"/>
                      </a:ext>
                    </a:extLst>
                  </pic:spPr>
                </pic:pic>
              </a:graphicData>
            </a:graphic>
          </wp:inline>
        </w:drawing>
      </w:r>
    </w:p>
    <w:p w14:paraId="4E23068F" w14:textId="4C176E27" w:rsidR="003C41D1" w:rsidRPr="004C3FD3" w:rsidRDefault="001E5EB1" w:rsidP="006A650D">
      <w:pPr>
        <w:spacing w:line="360" w:lineRule="auto"/>
        <w:jc w:val="center"/>
        <w:rPr>
          <w:rFonts w:ascii="Arial" w:hAnsi="Arial" w:cs="Arial"/>
          <w:sz w:val="24"/>
          <w:szCs w:val="24"/>
        </w:rPr>
      </w:pPr>
      <w:r w:rsidRPr="004C3FD3">
        <w:rPr>
          <w:rFonts w:ascii="Arial" w:hAnsi="Arial" w:cs="Arial"/>
          <w:i/>
          <w:sz w:val="24"/>
          <w:szCs w:val="24"/>
        </w:rPr>
        <w:t xml:space="preserve">Figure </w:t>
      </w:r>
      <w:r w:rsidR="00BD1518" w:rsidRPr="004C3FD3">
        <w:rPr>
          <w:rFonts w:ascii="Arial" w:hAnsi="Arial" w:cs="Arial"/>
          <w:i/>
          <w:sz w:val="24"/>
          <w:szCs w:val="24"/>
        </w:rPr>
        <w:t>2:</w:t>
      </w:r>
      <w:r w:rsidRPr="004C3FD3">
        <w:rPr>
          <w:rFonts w:ascii="Arial" w:hAnsi="Arial" w:cs="Arial"/>
          <w:i/>
          <w:sz w:val="24"/>
          <w:szCs w:val="24"/>
        </w:rPr>
        <w:t xml:space="preserve"> Recorded dementia diagnoses in England.</w:t>
      </w:r>
    </w:p>
    <w:p w14:paraId="30BF8766" w14:textId="2BF15BA4" w:rsidR="003C41D1" w:rsidRPr="004C3FD3" w:rsidRDefault="001E5EB1" w:rsidP="006A650D">
      <w:pPr>
        <w:spacing w:line="360" w:lineRule="auto"/>
        <w:jc w:val="center"/>
        <w:rPr>
          <w:rFonts w:ascii="Arial" w:hAnsi="Arial" w:cs="Arial"/>
          <w:sz w:val="24"/>
          <w:szCs w:val="24"/>
        </w:rPr>
      </w:pPr>
      <w:r w:rsidRPr="004C3FD3">
        <w:rPr>
          <w:rFonts w:ascii="Arial" w:hAnsi="Arial" w:cs="Arial"/>
          <w:sz w:val="24"/>
          <w:szCs w:val="24"/>
        </w:rPr>
        <w:t>Source: NHS England (2025).</w:t>
      </w:r>
    </w:p>
    <w:p w14:paraId="3EBA19AA" w14:textId="77777777" w:rsidR="003C41D1" w:rsidRPr="004C3FD3" w:rsidRDefault="001E5EB1" w:rsidP="006A650D">
      <w:pPr>
        <w:spacing w:line="360" w:lineRule="auto"/>
        <w:jc w:val="center"/>
        <w:rPr>
          <w:rFonts w:ascii="Arial" w:hAnsi="Arial" w:cs="Arial"/>
          <w:sz w:val="24"/>
          <w:szCs w:val="24"/>
        </w:rPr>
      </w:pPr>
      <w:r w:rsidRPr="004C3FD3">
        <w:rPr>
          <w:rFonts w:ascii="Arial" w:hAnsi="Arial" w:cs="Arial"/>
          <w:noProof/>
          <w:sz w:val="24"/>
          <w:szCs w:val="24"/>
        </w:rPr>
        <w:drawing>
          <wp:inline distT="0" distB="0" distL="0" distR="0" wp14:anchorId="47C9006A" wp14:editId="46B02558">
            <wp:extent cx="3088168" cy="17231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preventable.png"/>
                    <pic:cNvPicPr/>
                  </pic:nvPicPr>
                  <pic:blipFill rotWithShape="1">
                    <a:blip r:embed="rId12"/>
                    <a:srcRect t="7004"/>
                    <a:stretch>
                      <a:fillRect/>
                    </a:stretch>
                  </pic:blipFill>
                  <pic:spPr bwMode="auto">
                    <a:xfrm>
                      <a:off x="0" y="0"/>
                      <a:ext cx="3103860" cy="1731867"/>
                    </a:xfrm>
                    <a:prstGeom prst="rect">
                      <a:avLst/>
                    </a:prstGeom>
                    <a:ln>
                      <a:noFill/>
                    </a:ln>
                    <a:extLst>
                      <a:ext uri="{53640926-AAD7-44D8-BBD7-CCE9431645EC}">
                        <a14:shadowObscured xmlns:a14="http://schemas.microsoft.com/office/drawing/2010/main"/>
                      </a:ext>
                    </a:extLst>
                  </pic:spPr>
                </pic:pic>
              </a:graphicData>
            </a:graphic>
          </wp:inline>
        </w:drawing>
      </w:r>
    </w:p>
    <w:p w14:paraId="04775EC9" w14:textId="5DEAD9A3" w:rsidR="003C41D1" w:rsidRPr="004C3FD3" w:rsidRDefault="001E5EB1" w:rsidP="006A650D">
      <w:pPr>
        <w:spacing w:line="360" w:lineRule="auto"/>
        <w:jc w:val="center"/>
        <w:rPr>
          <w:rFonts w:ascii="Arial" w:hAnsi="Arial" w:cs="Arial"/>
          <w:sz w:val="24"/>
          <w:szCs w:val="24"/>
        </w:rPr>
      </w:pPr>
      <w:r w:rsidRPr="004C3FD3">
        <w:rPr>
          <w:rFonts w:ascii="Arial" w:hAnsi="Arial" w:cs="Arial"/>
          <w:i/>
          <w:sz w:val="24"/>
          <w:szCs w:val="24"/>
        </w:rPr>
        <w:t xml:space="preserve">Figure </w:t>
      </w:r>
      <w:r w:rsidR="00BD1518" w:rsidRPr="004C3FD3">
        <w:rPr>
          <w:rFonts w:ascii="Arial" w:hAnsi="Arial" w:cs="Arial"/>
          <w:i/>
          <w:sz w:val="24"/>
          <w:szCs w:val="24"/>
        </w:rPr>
        <w:t xml:space="preserve">3: </w:t>
      </w:r>
      <w:r w:rsidRPr="004C3FD3">
        <w:rPr>
          <w:rFonts w:ascii="Arial" w:hAnsi="Arial" w:cs="Arial"/>
          <w:i/>
          <w:sz w:val="24"/>
          <w:szCs w:val="24"/>
        </w:rPr>
        <w:t xml:space="preserve"> Potentially preventable share of dementia cases.</w:t>
      </w:r>
    </w:p>
    <w:p w14:paraId="727BF831" w14:textId="77777777" w:rsidR="003C41D1" w:rsidRPr="004C3FD3" w:rsidRDefault="001E5EB1" w:rsidP="006A650D">
      <w:pPr>
        <w:spacing w:line="360" w:lineRule="auto"/>
        <w:jc w:val="center"/>
        <w:rPr>
          <w:rFonts w:ascii="Arial" w:hAnsi="Arial" w:cs="Arial"/>
          <w:sz w:val="24"/>
          <w:szCs w:val="24"/>
        </w:rPr>
      </w:pPr>
      <w:r w:rsidRPr="004C3FD3">
        <w:rPr>
          <w:rFonts w:ascii="Arial" w:hAnsi="Arial" w:cs="Arial"/>
          <w:sz w:val="24"/>
          <w:szCs w:val="24"/>
        </w:rPr>
        <w:t>Source: Livingston et al. (2024).</w:t>
      </w:r>
    </w:p>
    <w:p w14:paraId="18ED7254" w14:textId="77777777" w:rsidR="003C41D1" w:rsidRPr="004C3FD3" w:rsidRDefault="001E5EB1" w:rsidP="006A650D">
      <w:pPr>
        <w:pStyle w:val="Heading1"/>
        <w:spacing w:line="360" w:lineRule="auto"/>
        <w:rPr>
          <w:rFonts w:ascii="Arial" w:hAnsi="Arial" w:cs="Arial"/>
          <w:sz w:val="24"/>
          <w:szCs w:val="24"/>
        </w:rPr>
      </w:pPr>
      <w:bookmarkStart w:id="6" w:name="_Toc231587152"/>
      <w:bookmarkStart w:id="7" w:name="_Toc231678392"/>
      <w:r w:rsidRPr="004C3FD3">
        <w:rPr>
          <w:rFonts w:ascii="Arial" w:hAnsi="Arial" w:cs="Arial"/>
          <w:sz w:val="24"/>
          <w:szCs w:val="24"/>
        </w:rPr>
        <w:t>4. Risk Factors and Aetiology</w:t>
      </w:r>
      <w:bookmarkEnd w:id="6"/>
      <w:bookmarkEnd w:id="7"/>
    </w:p>
    <w:p w14:paraId="0C264D40" w14:textId="414A361C" w:rsidR="003B3012" w:rsidRPr="004C3FD3" w:rsidRDefault="003B3012" w:rsidP="006A650D">
      <w:pPr>
        <w:spacing w:line="360" w:lineRule="auto"/>
        <w:jc w:val="both"/>
        <w:rPr>
          <w:rFonts w:ascii="Arial" w:hAnsi="Arial" w:cs="Arial"/>
          <w:sz w:val="24"/>
          <w:szCs w:val="24"/>
        </w:rPr>
      </w:pPr>
      <w:r w:rsidRPr="004C3FD3">
        <w:rPr>
          <w:rFonts w:ascii="Arial" w:hAnsi="Arial" w:cs="Arial"/>
          <w:sz w:val="24"/>
          <w:szCs w:val="24"/>
        </w:rPr>
        <w:t xml:space="preserve">A robust evidence base linking a life course approach to prevention exists. It has been </w:t>
      </w:r>
      <w:r w:rsidRPr="004C3FD3">
        <w:rPr>
          <w:rFonts w:ascii="Arial" w:hAnsi="Arial" w:cs="Arial"/>
          <w:sz w:val="24"/>
          <w:szCs w:val="24"/>
        </w:rPr>
        <w:t xml:space="preserve">estimated that the Lancet Commission on Dementia the potential for reducing dementia cases is up to 45.3% if 14 modifiable risk factors in childhood, midlife and later life are addressed </w:t>
      </w:r>
      <w:r w:rsidR="0062410B" w:rsidRPr="004C3FD3">
        <w:rPr>
          <w:rFonts w:ascii="Arial" w:hAnsi="Arial" w:cs="Arial"/>
          <w:sz w:val="24"/>
          <w:szCs w:val="24"/>
        </w:rPr>
        <w:t xml:space="preserve">(Choudery, 2022). </w:t>
      </w:r>
      <w:r w:rsidRPr="004C3FD3">
        <w:rPr>
          <w:rFonts w:ascii="Arial" w:hAnsi="Arial" w:cs="Arial"/>
          <w:sz w:val="24"/>
          <w:szCs w:val="24"/>
        </w:rPr>
        <w:t>This is a significant change as it takes a step away from the ‘age/gene' dilemma when considering dementia prevention. It also means that prevention isn't a single intervention, but is a series of interventions in education, cardiovascular risk management, hearing/vision care, and social connection</w:t>
      </w:r>
      <w:r w:rsidR="00CB0A48" w:rsidRPr="004C3FD3">
        <w:rPr>
          <w:rFonts w:ascii="Arial" w:hAnsi="Arial" w:cs="Arial"/>
          <w:b/>
          <w:bCs/>
          <w:sz w:val="24"/>
          <w:szCs w:val="24"/>
        </w:rPr>
        <w:t xml:space="preserve"> </w:t>
      </w:r>
      <w:r w:rsidR="00CB0A48" w:rsidRPr="004C3FD3">
        <w:rPr>
          <w:rFonts w:ascii="Arial" w:hAnsi="Arial" w:cs="Arial"/>
          <w:sz w:val="24"/>
          <w:szCs w:val="24"/>
        </w:rPr>
        <w:t>(Alghamdi, 2022)</w:t>
      </w:r>
      <w:r w:rsidR="00CB0A48" w:rsidRPr="004C3FD3">
        <w:rPr>
          <w:rFonts w:ascii="Arial" w:hAnsi="Arial" w:cs="Arial"/>
          <w:b/>
          <w:bCs/>
          <w:sz w:val="24"/>
          <w:szCs w:val="24"/>
        </w:rPr>
        <w:t>.</w:t>
      </w:r>
      <w:r w:rsidR="006A650D" w:rsidRPr="004C3FD3">
        <w:rPr>
          <w:rFonts w:ascii="Arial" w:hAnsi="Arial" w:cs="Arial"/>
          <w:sz w:val="24"/>
          <w:szCs w:val="24"/>
        </w:rPr>
        <w:t xml:space="preserve"> </w:t>
      </w:r>
      <w:r w:rsidRPr="004C3FD3">
        <w:rPr>
          <w:rFonts w:ascii="Arial" w:hAnsi="Arial" w:cs="Arial"/>
          <w:sz w:val="24"/>
          <w:szCs w:val="24"/>
        </w:rPr>
        <w:t xml:space="preserve">Age is the most important non-modifiable risk factor and a minority of cases are due to genetic susceptibility. For public health planning however, modifiable contributors are more useful as they can be targeted at population level. These include hypertension, smoking, obesity, diabetes, physical inactivity, excess alcohol consumption, social isolation, untreated hearing loss, high LDL cholesterol, traumatic brain injury and untreated vision loss </w:t>
      </w:r>
      <w:r w:rsidR="00936335" w:rsidRPr="004C3FD3">
        <w:rPr>
          <w:rFonts w:ascii="Arial" w:hAnsi="Arial" w:cs="Arial"/>
          <w:sz w:val="24"/>
          <w:szCs w:val="24"/>
        </w:rPr>
        <w:t>(Walsh et al., 2023)</w:t>
      </w:r>
      <w:r w:rsidRPr="004C3FD3">
        <w:rPr>
          <w:rFonts w:ascii="Arial" w:hAnsi="Arial" w:cs="Arial"/>
          <w:sz w:val="24"/>
          <w:szCs w:val="24"/>
        </w:rPr>
        <w:t>. The implication for analysis is that the prevention of dementia is heavily overlapping with prevention of cardiovascular disease and frailty. Hence, primary care plays an important role in the prevention of dementia, before memory loss occurs.</w:t>
      </w:r>
      <w:r w:rsidR="006A650D" w:rsidRPr="004C3FD3">
        <w:rPr>
          <w:rFonts w:ascii="Arial" w:hAnsi="Arial" w:cs="Arial"/>
          <w:sz w:val="24"/>
          <w:szCs w:val="24"/>
        </w:rPr>
        <w:t xml:space="preserve"> </w:t>
      </w:r>
      <w:r w:rsidRPr="004C3FD3">
        <w:rPr>
          <w:rFonts w:ascii="Arial" w:hAnsi="Arial" w:cs="Arial"/>
          <w:sz w:val="24"/>
          <w:szCs w:val="24"/>
        </w:rPr>
        <w:t xml:space="preserve">The problem is that just because something can be prevented, doesn't mean it will be. There are many risk factors that </w:t>
      </w:r>
      <w:r w:rsidRPr="004C3FD3">
        <w:rPr>
          <w:rFonts w:ascii="Arial" w:hAnsi="Arial" w:cs="Arial"/>
          <w:sz w:val="24"/>
          <w:szCs w:val="24"/>
        </w:rPr>
        <w:lastRenderedPageBreak/>
        <w:t>could be classified under the disadvantaged populations that are often those who have the least access to high quality preventive health care. Preventing dementia is thus an equity issue as well. Successful strategies should include public health action in the form of individual behaviour change, education, air quality and vascular screening and access to services</w:t>
      </w:r>
      <w:r w:rsidR="00CB0A48" w:rsidRPr="004C3FD3">
        <w:rPr>
          <w:rFonts w:ascii="Arial" w:hAnsi="Arial" w:cs="Arial"/>
          <w:b/>
          <w:bCs/>
          <w:sz w:val="24"/>
          <w:szCs w:val="24"/>
        </w:rPr>
        <w:t xml:space="preserve"> </w:t>
      </w:r>
      <w:r w:rsidR="00CB0A48" w:rsidRPr="004C3FD3">
        <w:rPr>
          <w:rFonts w:ascii="Arial" w:hAnsi="Arial" w:cs="Arial"/>
          <w:sz w:val="24"/>
          <w:szCs w:val="24"/>
        </w:rPr>
        <w:t>(World Health Organization, 2019)</w:t>
      </w:r>
      <w:r w:rsidRPr="004C3FD3">
        <w:rPr>
          <w:rFonts w:ascii="Arial" w:hAnsi="Arial" w:cs="Arial"/>
          <w:sz w:val="24"/>
          <w:szCs w:val="24"/>
        </w:rPr>
        <w:t>.</w:t>
      </w:r>
    </w:p>
    <w:p w14:paraId="6EEFDB5B" w14:textId="7AF10A55" w:rsidR="003C41D1" w:rsidRPr="004C3FD3" w:rsidRDefault="001E5EB1" w:rsidP="006A650D">
      <w:pPr>
        <w:pStyle w:val="Heading1"/>
        <w:spacing w:line="360" w:lineRule="auto"/>
        <w:rPr>
          <w:rFonts w:ascii="Arial" w:hAnsi="Arial" w:cs="Arial"/>
          <w:sz w:val="24"/>
          <w:szCs w:val="24"/>
        </w:rPr>
      </w:pPr>
      <w:bookmarkStart w:id="8" w:name="_Toc231587153"/>
      <w:bookmarkStart w:id="9" w:name="_Toc231678393"/>
      <w:r w:rsidRPr="004C3FD3">
        <w:rPr>
          <w:rFonts w:ascii="Arial" w:hAnsi="Arial" w:cs="Arial"/>
          <w:sz w:val="24"/>
          <w:szCs w:val="24"/>
        </w:rPr>
        <w:t>5. Impact of Dementia on Individuals and Families</w:t>
      </w:r>
      <w:bookmarkEnd w:id="8"/>
      <w:bookmarkEnd w:id="9"/>
    </w:p>
    <w:p w14:paraId="72E0A2CB" w14:textId="4F8222C1" w:rsidR="003B3012" w:rsidRPr="004C3FD3" w:rsidRDefault="003B3012" w:rsidP="006A650D">
      <w:pPr>
        <w:spacing w:line="360" w:lineRule="auto"/>
        <w:jc w:val="both"/>
        <w:rPr>
          <w:rFonts w:ascii="Arial" w:hAnsi="Arial" w:cs="Arial"/>
          <w:sz w:val="24"/>
          <w:szCs w:val="24"/>
        </w:rPr>
      </w:pPr>
      <w:r w:rsidRPr="004C3FD3">
        <w:rPr>
          <w:rFonts w:ascii="Arial" w:hAnsi="Arial" w:cs="Arial"/>
          <w:sz w:val="24"/>
          <w:szCs w:val="24"/>
        </w:rPr>
        <w:t>Dementia is a progressive condition and has many aspects to it. Physically, a person may progress from forgetfulness to difficulty walking and moving, loss of weight, communication problems and need for increased support with activities of daily living. The potential for falls, medication errors, malnutrition (particularly with frailty or sensory loss) accompany these changes. It is not only a cognitive disorder, and with the progression of the disease the important difference from a point of analysis is that it is a dependency disorder in general.</w:t>
      </w:r>
      <w:r w:rsidR="006A650D" w:rsidRPr="004C3FD3">
        <w:rPr>
          <w:rFonts w:ascii="Arial" w:hAnsi="Arial" w:cs="Arial"/>
          <w:sz w:val="24"/>
          <w:szCs w:val="24"/>
        </w:rPr>
        <w:t xml:space="preserve"> </w:t>
      </w:r>
      <w:r w:rsidRPr="004C3FD3">
        <w:rPr>
          <w:rFonts w:ascii="Arial" w:hAnsi="Arial" w:cs="Arial"/>
          <w:sz w:val="24"/>
          <w:szCs w:val="24"/>
        </w:rPr>
        <w:t>The psychological impacts are just as serious. Failure to decipher the environment, and/or express unmet needs, can lead to anxiety and agitation, apathy, depression, fear and behavioural disturbance</w:t>
      </w:r>
      <w:r w:rsidR="00CB0A48" w:rsidRPr="004C3FD3">
        <w:rPr>
          <w:rFonts w:ascii="Arial" w:hAnsi="Arial" w:cs="Arial"/>
          <w:b/>
          <w:bCs/>
          <w:sz w:val="24"/>
          <w:szCs w:val="24"/>
        </w:rPr>
        <w:t xml:space="preserve"> </w:t>
      </w:r>
      <w:r w:rsidR="00CB0A48" w:rsidRPr="004C3FD3">
        <w:rPr>
          <w:rFonts w:ascii="Arial" w:hAnsi="Arial" w:cs="Arial"/>
          <w:sz w:val="24"/>
          <w:szCs w:val="24"/>
        </w:rPr>
        <w:t>(Burley et al., 2021)</w:t>
      </w:r>
      <w:r w:rsidRPr="004C3FD3">
        <w:rPr>
          <w:rFonts w:ascii="Arial" w:hAnsi="Arial" w:cs="Arial"/>
          <w:sz w:val="24"/>
          <w:szCs w:val="24"/>
        </w:rPr>
        <w:t xml:space="preserve">. This is key as distress may be confused with “challenging behaviour” when </w:t>
      </w:r>
      <w:r w:rsidRPr="004C3FD3">
        <w:rPr>
          <w:rFonts w:ascii="Arial" w:hAnsi="Arial" w:cs="Arial"/>
          <w:sz w:val="24"/>
          <w:szCs w:val="24"/>
        </w:rPr>
        <w:t>it is actually a symptom of pain, boredom, confusion, or sensory deprivation. A critical approach is one in which staff attempt to delve deeper into distress as an issue instead of symptom management. Unstructured care settings, confusion, and meaninglessness can exacerbate symptoms, and structured care settings, cues, and meaningful activity can minimize symptoms.</w:t>
      </w:r>
    </w:p>
    <w:p w14:paraId="193255EB" w14:textId="5C81A7E1" w:rsidR="003B3012" w:rsidRPr="004C3FD3" w:rsidRDefault="003B3012" w:rsidP="006A650D">
      <w:pPr>
        <w:spacing w:line="360" w:lineRule="auto"/>
        <w:jc w:val="both"/>
        <w:rPr>
          <w:rFonts w:ascii="Arial" w:hAnsi="Arial" w:cs="Arial"/>
          <w:sz w:val="24"/>
          <w:szCs w:val="24"/>
        </w:rPr>
      </w:pPr>
      <w:r w:rsidRPr="004C3FD3">
        <w:rPr>
          <w:rFonts w:ascii="Arial" w:hAnsi="Arial" w:cs="Arial"/>
          <w:sz w:val="24"/>
          <w:szCs w:val="24"/>
        </w:rPr>
        <w:t xml:space="preserve">People are suffering "social losses" before they experience physical dependency. Stigma, embarrassment or the belief that there is nothing that can be done may lead to an individual's decision to stay away from work and from roles and relationships in the community. This imposes a secondary </w:t>
      </w:r>
      <w:r w:rsidR="0062410B" w:rsidRPr="004C3FD3">
        <w:rPr>
          <w:rFonts w:ascii="Arial" w:hAnsi="Arial" w:cs="Arial"/>
          <w:sz w:val="24"/>
          <w:szCs w:val="24"/>
        </w:rPr>
        <w:t>burden;</w:t>
      </w:r>
      <w:r w:rsidRPr="004C3FD3">
        <w:rPr>
          <w:rFonts w:ascii="Arial" w:hAnsi="Arial" w:cs="Arial"/>
          <w:sz w:val="24"/>
          <w:szCs w:val="24"/>
        </w:rPr>
        <w:t xml:space="preserve"> the disease is socially disabling (before clinical disability). Research and policy have been emphasised to help the person retain their identity, dignity and autonomy, for as long as possible (NICE, 20</w:t>
      </w:r>
      <w:r w:rsidR="00936335" w:rsidRPr="004C3FD3">
        <w:rPr>
          <w:rFonts w:ascii="Arial" w:hAnsi="Arial" w:cs="Arial"/>
          <w:b/>
          <w:bCs/>
          <w:sz w:val="24"/>
          <w:szCs w:val="24"/>
        </w:rPr>
        <w:t>18</w:t>
      </w:r>
      <w:r w:rsidRPr="004C3FD3">
        <w:rPr>
          <w:rFonts w:ascii="Arial" w:hAnsi="Arial" w:cs="Arial"/>
          <w:sz w:val="24"/>
          <w:szCs w:val="24"/>
        </w:rPr>
        <w:t>). But in practice, inflexible service paths can work against these objectives, by focusing on avoiding risk rather than engagement.</w:t>
      </w:r>
      <w:r w:rsidR="006A650D" w:rsidRPr="004C3FD3">
        <w:rPr>
          <w:rFonts w:ascii="Arial" w:hAnsi="Arial" w:cs="Arial"/>
          <w:sz w:val="24"/>
          <w:szCs w:val="24"/>
        </w:rPr>
        <w:t xml:space="preserve"> </w:t>
      </w:r>
      <w:r w:rsidRPr="004C3FD3">
        <w:rPr>
          <w:rFonts w:ascii="Arial" w:hAnsi="Arial" w:cs="Arial"/>
          <w:sz w:val="24"/>
          <w:szCs w:val="24"/>
        </w:rPr>
        <w:t xml:space="preserve">The day-to-day burden is borne by family and unpaid carers. Stress in the carer can be associated with sleep disturbance, financial loss, decreased work and mental health issues. Dementia care has an emotional effect on families and carers </w:t>
      </w:r>
      <w:r w:rsidR="004474DB" w:rsidRPr="004C3FD3">
        <w:rPr>
          <w:rFonts w:ascii="Arial" w:hAnsi="Arial" w:cs="Arial"/>
          <w:sz w:val="24"/>
          <w:szCs w:val="24"/>
        </w:rPr>
        <w:t>(</w:t>
      </w:r>
      <w:proofErr w:type="spellStart"/>
      <w:r w:rsidR="004474DB" w:rsidRPr="004C3FD3">
        <w:rPr>
          <w:rFonts w:ascii="Arial" w:hAnsi="Arial" w:cs="Arial"/>
          <w:sz w:val="24"/>
          <w:szCs w:val="24"/>
        </w:rPr>
        <w:t>Lindeza</w:t>
      </w:r>
      <w:proofErr w:type="spellEnd"/>
      <w:r w:rsidR="004474DB" w:rsidRPr="004C3FD3">
        <w:rPr>
          <w:rFonts w:ascii="Arial" w:hAnsi="Arial" w:cs="Arial"/>
          <w:sz w:val="24"/>
          <w:szCs w:val="24"/>
        </w:rPr>
        <w:t xml:space="preserve"> et al., 2020)</w:t>
      </w:r>
      <w:r w:rsidRPr="004C3FD3">
        <w:rPr>
          <w:rFonts w:ascii="Arial" w:hAnsi="Arial" w:cs="Arial"/>
          <w:sz w:val="24"/>
          <w:szCs w:val="24"/>
        </w:rPr>
        <w:t xml:space="preserve"> and specific </w:t>
      </w:r>
      <w:r w:rsidRPr="004C3FD3">
        <w:rPr>
          <w:rFonts w:ascii="Arial" w:hAnsi="Arial" w:cs="Arial"/>
          <w:sz w:val="24"/>
          <w:szCs w:val="24"/>
        </w:rPr>
        <w:lastRenderedPageBreak/>
        <w:t>interventions for carers are suggested. But care-giving doesn't have to be all bad. Many carers feel a sense of meaning, reciprocity and improved relationships when services provide them with information, respite and emotional support. What's important, however, is that systems recognize the burden and complexity of caring rather than how difficult it is for an individual to carry it. If not supported, family care is not a supported partnership, but an invisible alternative to formal services.</w:t>
      </w:r>
      <w:r w:rsidR="006A650D" w:rsidRPr="004C3FD3">
        <w:rPr>
          <w:rFonts w:ascii="Arial" w:hAnsi="Arial" w:cs="Arial"/>
          <w:sz w:val="24"/>
          <w:szCs w:val="24"/>
        </w:rPr>
        <w:t xml:space="preserve"> </w:t>
      </w:r>
      <w:r w:rsidRPr="004C3FD3">
        <w:rPr>
          <w:rFonts w:ascii="Arial" w:hAnsi="Arial" w:cs="Arial"/>
          <w:sz w:val="24"/>
          <w:szCs w:val="24"/>
        </w:rPr>
        <w:t>The other one is the inequality of burden. Less affluent families have a greater practical and economic cost when they use less paid respite and/or flexibility in work. Not only is dementia a health issue, it is also an issue of social inequalities.</w:t>
      </w:r>
    </w:p>
    <w:p w14:paraId="6936CC14" w14:textId="1472F51F" w:rsidR="003C41D1" w:rsidRPr="004C3FD3" w:rsidRDefault="001E5EB1" w:rsidP="006A650D">
      <w:pPr>
        <w:pStyle w:val="Heading1"/>
        <w:spacing w:line="360" w:lineRule="auto"/>
        <w:rPr>
          <w:rFonts w:ascii="Arial" w:hAnsi="Arial" w:cs="Arial"/>
          <w:sz w:val="24"/>
          <w:szCs w:val="24"/>
        </w:rPr>
      </w:pPr>
      <w:bookmarkStart w:id="10" w:name="_Toc231587154"/>
      <w:bookmarkStart w:id="11" w:name="_Toc231678394"/>
      <w:r w:rsidRPr="004C3FD3">
        <w:rPr>
          <w:rFonts w:ascii="Arial" w:hAnsi="Arial" w:cs="Arial"/>
          <w:sz w:val="24"/>
          <w:szCs w:val="24"/>
        </w:rPr>
        <w:t>6. Evidence-Based Treatment and Management in the UK</w:t>
      </w:r>
      <w:bookmarkEnd w:id="10"/>
      <w:bookmarkEnd w:id="11"/>
    </w:p>
    <w:p w14:paraId="2C8734AF" w14:textId="489B08A3"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Pharmacological and non-pharmacological management are both a part of evidence-based dementia management in the UK. NICE recommends using cholinesterase inhibitors for Alzheimer's disease (donepezil, rivastigmine and galantamine) as the </w:t>
      </w:r>
      <w:r w:rsidR="004474DB" w:rsidRPr="004C3FD3">
        <w:rPr>
          <w:rFonts w:ascii="Arial" w:hAnsi="Arial" w:cs="Arial"/>
          <w:sz w:val="24"/>
          <w:szCs w:val="24"/>
        </w:rPr>
        <w:t>first-choice</w:t>
      </w:r>
      <w:r w:rsidRPr="004C3FD3">
        <w:rPr>
          <w:rFonts w:ascii="Arial" w:hAnsi="Arial" w:cs="Arial"/>
          <w:sz w:val="24"/>
          <w:szCs w:val="24"/>
        </w:rPr>
        <w:t xml:space="preserve"> treatment </w:t>
      </w:r>
      <w:r w:rsidR="004474DB" w:rsidRPr="004C3FD3">
        <w:rPr>
          <w:rFonts w:ascii="Arial" w:hAnsi="Arial" w:cs="Arial"/>
          <w:sz w:val="24"/>
          <w:szCs w:val="24"/>
        </w:rPr>
        <w:t>(Vaci et al., 2021)</w:t>
      </w:r>
      <w:r w:rsidRPr="004C3FD3">
        <w:rPr>
          <w:rFonts w:ascii="Arial" w:hAnsi="Arial" w:cs="Arial"/>
          <w:sz w:val="24"/>
          <w:szCs w:val="24"/>
        </w:rPr>
        <w:t xml:space="preserve">. NICE recommends using memantine in moderate to severe Alzheimer's disease and where cholinesterase inhibitors cannot be tolerated. The drugs will help maintain symptoms but cannot cure the disease. </w:t>
      </w:r>
      <w:r w:rsidRPr="004C3FD3">
        <w:rPr>
          <w:rFonts w:ascii="Arial" w:hAnsi="Arial" w:cs="Arial"/>
          <w:sz w:val="24"/>
          <w:szCs w:val="24"/>
        </w:rPr>
        <w:t>They should therefore be evaluated realistically: They confer a moderate cognitive and functional advantage but not a cure and should not be a substitute for psychosocial care.</w:t>
      </w:r>
    </w:p>
    <w:p w14:paraId="29658D80" w14:textId="02C67CAE" w:rsidR="006F5E4E" w:rsidRPr="004C3FD3" w:rsidRDefault="006F5E4E" w:rsidP="006A650D">
      <w:pPr>
        <w:spacing w:after="60" w:line="360" w:lineRule="auto"/>
        <w:jc w:val="center"/>
        <w:rPr>
          <w:rFonts w:ascii="Arial" w:hAnsi="Arial" w:cs="Arial"/>
          <w:sz w:val="24"/>
          <w:szCs w:val="24"/>
        </w:rPr>
      </w:pPr>
      <w:r w:rsidRPr="004C3FD3">
        <w:rPr>
          <w:rFonts w:ascii="Arial" w:hAnsi="Arial" w:cs="Arial"/>
          <w:noProof/>
          <w:sz w:val="24"/>
          <w:szCs w:val="24"/>
        </w:rPr>
        <w:drawing>
          <wp:inline distT="0" distB="0" distL="0" distR="0" wp14:anchorId="575AEA2F" wp14:editId="3DB7A5D5">
            <wp:extent cx="3083694" cy="1782123"/>
            <wp:effectExtent l="0" t="0" r="2540" b="8890"/>
            <wp:docPr id="157011478" name="Picture 2" descr="Elements of person-centered dementia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ments of person-centered dementia ca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9031" cy="1790987"/>
                    </a:xfrm>
                    <a:prstGeom prst="rect">
                      <a:avLst/>
                    </a:prstGeom>
                    <a:noFill/>
                    <a:ln>
                      <a:noFill/>
                    </a:ln>
                  </pic:spPr>
                </pic:pic>
              </a:graphicData>
            </a:graphic>
          </wp:inline>
        </w:drawing>
      </w:r>
    </w:p>
    <w:p w14:paraId="7DBA268E" w14:textId="5A08CD74" w:rsidR="006F5E4E" w:rsidRPr="004C3FD3" w:rsidRDefault="00BD1518" w:rsidP="006A650D">
      <w:pPr>
        <w:spacing w:after="60" w:line="360" w:lineRule="auto"/>
        <w:jc w:val="center"/>
        <w:rPr>
          <w:rFonts w:ascii="Arial" w:hAnsi="Arial" w:cs="Arial"/>
          <w:sz w:val="24"/>
          <w:szCs w:val="24"/>
        </w:rPr>
      </w:pPr>
      <w:r w:rsidRPr="004C3FD3">
        <w:rPr>
          <w:rFonts w:ascii="Arial" w:hAnsi="Arial" w:cs="Arial"/>
          <w:sz w:val="24"/>
          <w:szCs w:val="24"/>
        </w:rPr>
        <w:t xml:space="preserve">Figure 4: </w:t>
      </w:r>
      <w:r w:rsidR="006F5E4E" w:rsidRPr="004C3FD3">
        <w:rPr>
          <w:rFonts w:ascii="Arial" w:hAnsi="Arial" w:cs="Arial"/>
          <w:sz w:val="24"/>
          <w:szCs w:val="24"/>
        </w:rPr>
        <w:t>Framework for person-centred dementia care and wellbeing outcomes.</w:t>
      </w:r>
    </w:p>
    <w:p w14:paraId="0C3F197B" w14:textId="7E015FCF" w:rsidR="006F5E4E" w:rsidRPr="004C3FD3" w:rsidRDefault="006F5E4E" w:rsidP="006A650D">
      <w:pPr>
        <w:spacing w:after="60" w:line="360" w:lineRule="auto"/>
        <w:jc w:val="center"/>
        <w:rPr>
          <w:rFonts w:ascii="Arial" w:hAnsi="Arial" w:cs="Arial"/>
          <w:sz w:val="24"/>
          <w:szCs w:val="24"/>
        </w:rPr>
      </w:pPr>
      <w:r w:rsidRPr="004C3FD3">
        <w:rPr>
          <w:rFonts w:ascii="Arial" w:hAnsi="Arial" w:cs="Arial"/>
          <w:sz w:val="24"/>
          <w:szCs w:val="24"/>
        </w:rPr>
        <w:t xml:space="preserve">Source: (Wu </w:t>
      </w:r>
      <w:r w:rsidRPr="004C3FD3">
        <w:rPr>
          <w:rFonts w:ascii="Arial" w:hAnsi="Arial" w:cs="Arial"/>
          <w:i/>
          <w:iCs/>
          <w:sz w:val="24"/>
          <w:szCs w:val="24"/>
        </w:rPr>
        <w:t>et al.</w:t>
      </w:r>
      <w:r w:rsidRPr="004C3FD3">
        <w:rPr>
          <w:rFonts w:ascii="Arial" w:hAnsi="Arial" w:cs="Arial"/>
          <w:sz w:val="24"/>
          <w:szCs w:val="24"/>
        </w:rPr>
        <w:t>, 2020)</w:t>
      </w:r>
    </w:p>
    <w:p w14:paraId="7ECF763A" w14:textId="77777777" w:rsidR="00DB2D82" w:rsidRPr="004C3FD3" w:rsidRDefault="00DB2D82" w:rsidP="006A650D">
      <w:pPr>
        <w:spacing w:after="60" w:line="360" w:lineRule="auto"/>
        <w:jc w:val="both"/>
        <w:rPr>
          <w:rFonts w:ascii="Arial" w:hAnsi="Arial" w:cs="Arial"/>
          <w:sz w:val="24"/>
          <w:szCs w:val="24"/>
        </w:rPr>
      </w:pPr>
    </w:p>
    <w:p w14:paraId="59FCEA99" w14:textId="0E37694D"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Routine practice is more related to NPI's. Cognitive stimulation, OT, structured physical activity, approaches focused on environment adaptation and reminiscence are a means of supporting function and distress when personalized to the unique history and abilities of the individual. These interventions are effective as they work with the lived experience of a person with dementia rather than its underlying pathology. The drawback is the lack of balance in access: there is a clear difference in the coverage and capacity of the workforce in different locations. A service can be in theory person </w:t>
      </w:r>
      <w:proofErr w:type="spellStart"/>
      <w:r w:rsidR="000809F3" w:rsidRPr="004C3FD3">
        <w:rPr>
          <w:rFonts w:ascii="Arial" w:hAnsi="Arial" w:cs="Arial"/>
          <w:sz w:val="24"/>
          <w:szCs w:val="24"/>
        </w:rPr>
        <w:t>centered</w:t>
      </w:r>
      <w:proofErr w:type="spellEnd"/>
      <w:r w:rsidRPr="004C3FD3">
        <w:rPr>
          <w:rFonts w:ascii="Arial" w:hAnsi="Arial" w:cs="Arial"/>
          <w:sz w:val="24"/>
          <w:szCs w:val="24"/>
        </w:rPr>
        <w:t xml:space="preserve">, but lack </w:t>
      </w:r>
      <w:r w:rsidRPr="004C3FD3">
        <w:rPr>
          <w:rFonts w:ascii="Arial" w:hAnsi="Arial" w:cs="Arial"/>
          <w:sz w:val="24"/>
          <w:szCs w:val="24"/>
        </w:rPr>
        <w:lastRenderedPageBreak/>
        <w:t>the staffing time or training to make this happen, consistently.</w:t>
      </w:r>
    </w:p>
    <w:p w14:paraId="69CD4DFF" w14:textId="05EB3299"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Typically, the journey within the NHS will start with GP assessment and then move on to memory services, community mental health teams and social care services. The pathway is sound and logical, but not necessarily done so in a coordinated way. Crisis admissions are preventable if the referral is delayed, information is not shared or if the diagnostic follow-up is not sufficient</w:t>
      </w:r>
      <w:r w:rsidR="000809F3" w:rsidRPr="004C3FD3">
        <w:rPr>
          <w:rFonts w:ascii="Arial" w:hAnsi="Arial" w:cs="Arial"/>
          <w:sz w:val="24"/>
          <w:szCs w:val="24"/>
        </w:rPr>
        <w:t xml:space="preserve"> (Henni Rached and Ullmer, 2025)</w:t>
      </w:r>
      <w:r w:rsidRPr="004C3FD3">
        <w:rPr>
          <w:rFonts w:ascii="Arial" w:hAnsi="Arial" w:cs="Arial"/>
          <w:sz w:val="24"/>
          <w:szCs w:val="24"/>
        </w:rPr>
        <w:t>. The findings from the analysis are that effective care for dementia is more about coordination of care along the dementia pathway, than any one treatment.</w:t>
      </w:r>
    </w:p>
    <w:p w14:paraId="003CED2B" w14:textId="412955CC" w:rsidR="003C41D1" w:rsidRPr="004C3FD3" w:rsidRDefault="001E5EB1" w:rsidP="006A650D">
      <w:pPr>
        <w:spacing w:after="60" w:line="360" w:lineRule="auto"/>
        <w:jc w:val="both"/>
        <w:rPr>
          <w:rFonts w:ascii="Arial" w:hAnsi="Arial" w:cs="Arial"/>
          <w:bCs/>
          <w:sz w:val="24"/>
          <w:szCs w:val="24"/>
        </w:rPr>
      </w:pPr>
      <w:r w:rsidRPr="004C3FD3">
        <w:rPr>
          <w:rFonts w:ascii="Arial" w:hAnsi="Arial" w:cs="Arial"/>
          <w:bCs/>
          <w:sz w:val="24"/>
          <w:szCs w:val="24"/>
        </w:rPr>
        <w:t>Table 3. Common medicines used in dementia care.</w:t>
      </w:r>
    </w:p>
    <w:tbl>
      <w:tblPr>
        <w:tblStyle w:val="TableGrid"/>
        <w:tblW w:w="0" w:type="auto"/>
        <w:jc w:val="center"/>
        <w:tblLook w:val="04A0" w:firstRow="1" w:lastRow="0" w:firstColumn="1" w:lastColumn="0" w:noHBand="0" w:noVBand="1"/>
      </w:tblPr>
      <w:tblGrid>
        <w:gridCol w:w="1591"/>
        <w:gridCol w:w="1458"/>
        <w:gridCol w:w="1567"/>
      </w:tblGrid>
      <w:tr w:rsidR="003C41D1" w:rsidRPr="004C3FD3" w14:paraId="59868827" w14:textId="77777777" w:rsidTr="00DB2D82">
        <w:trPr>
          <w:trHeight w:val="677"/>
          <w:jc w:val="center"/>
        </w:trPr>
        <w:tc>
          <w:tcPr>
            <w:tcW w:w="1972" w:type="dxa"/>
            <w:shd w:val="clear" w:color="auto" w:fill="D9E2F3"/>
            <w:vAlign w:val="center"/>
          </w:tcPr>
          <w:p w14:paraId="3C6340A5"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Medicine</w:t>
            </w:r>
          </w:p>
        </w:tc>
        <w:tc>
          <w:tcPr>
            <w:tcW w:w="2682" w:type="dxa"/>
            <w:shd w:val="clear" w:color="auto" w:fill="D9E2F3"/>
            <w:vAlign w:val="center"/>
          </w:tcPr>
          <w:p w14:paraId="46B3D25C"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Typical use</w:t>
            </w:r>
          </w:p>
        </w:tc>
        <w:tc>
          <w:tcPr>
            <w:tcW w:w="4894" w:type="dxa"/>
            <w:shd w:val="clear" w:color="auto" w:fill="D9E2F3"/>
            <w:vAlign w:val="center"/>
          </w:tcPr>
          <w:p w14:paraId="7B99E22B"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Analytical note</w:t>
            </w:r>
          </w:p>
        </w:tc>
      </w:tr>
      <w:tr w:rsidR="003C41D1" w:rsidRPr="004C3FD3" w14:paraId="471DC249" w14:textId="77777777" w:rsidTr="00DB2D82">
        <w:trPr>
          <w:trHeight w:val="1318"/>
          <w:jc w:val="center"/>
        </w:trPr>
        <w:tc>
          <w:tcPr>
            <w:tcW w:w="1972" w:type="dxa"/>
            <w:vAlign w:val="center"/>
          </w:tcPr>
          <w:p w14:paraId="192215D0" w14:textId="77777777" w:rsidR="003C41D1" w:rsidRPr="004C3FD3" w:rsidRDefault="001E5EB1" w:rsidP="006A650D">
            <w:pPr>
              <w:rPr>
                <w:rFonts w:ascii="Arial" w:hAnsi="Arial" w:cs="Arial"/>
                <w:sz w:val="24"/>
                <w:szCs w:val="24"/>
              </w:rPr>
            </w:pPr>
            <w:r w:rsidRPr="004C3FD3">
              <w:rPr>
                <w:rFonts w:ascii="Arial" w:hAnsi="Arial" w:cs="Arial"/>
                <w:sz w:val="24"/>
                <w:szCs w:val="24"/>
              </w:rPr>
              <w:t>Donepezil</w:t>
            </w:r>
          </w:p>
        </w:tc>
        <w:tc>
          <w:tcPr>
            <w:tcW w:w="2682" w:type="dxa"/>
            <w:vAlign w:val="center"/>
          </w:tcPr>
          <w:p w14:paraId="4BAB97A4" w14:textId="77777777" w:rsidR="003C41D1" w:rsidRPr="004C3FD3" w:rsidRDefault="001E5EB1" w:rsidP="006A650D">
            <w:pPr>
              <w:rPr>
                <w:rFonts w:ascii="Arial" w:hAnsi="Arial" w:cs="Arial"/>
                <w:sz w:val="24"/>
                <w:szCs w:val="24"/>
              </w:rPr>
            </w:pPr>
            <w:r w:rsidRPr="004C3FD3">
              <w:rPr>
                <w:rFonts w:ascii="Arial" w:hAnsi="Arial" w:cs="Arial"/>
                <w:sz w:val="24"/>
                <w:szCs w:val="24"/>
              </w:rPr>
              <w:t>Alzheimer’s disease</w:t>
            </w:r>
          </w:p>
        </w:tc>
        <w:tc>
          <w:tcPr>
            <w:tcW w:w="4894" w:type="dxa"/>
            <w:vAlign w:val="center"/>
          </w:tcPr>
          <w:p w14:paraId="10E54892" w14:textId="77777777" w:rsidR="003C41D1" w:rsidRPr="004C3FD3" w:rsidRDefault="001E5EB1" w:rsidP="006A650D">
            <w:pPr>
              <w:rPr>
                <w:rFonts w:ascii="Arial" w:hAnsi="Arial" w:cs="Arial"/>
                <w:sz w:val="24"/>
                <w:szCs w:val="24"/>
              </w:rPr>
            </w:pPr>
            <w:r w:rsidRPr="004C3FD3">
              <w:rPr>
                <w:rFonts w:ascii="Arial" w:hAnsi="Arial" w:cs="Arial"/>
                <w:sz w:val="24"/>
                <w:szCs w:val="24"/>
              </w:rPr>
              <w:t>May provide modest symptomatic benefit but does not halt disease progression.</w:t>
            </w:r>
          </w:p>
        </w:tc>
      </w:tr>
      <w:tr w:rsidR="003C41D1" w:rsidRPr="004C3FD3" w14:paraId="575519E0" w14:textId="77777777" w:rsidTr="00DB2D82">
        <w:trPr>
          <w:trHeight w:val="1958"/>
          <w:jc w:val="center"/>
        </w:trPr>
        <w:tc>
          <w:tcPr>
            <w:tcW w:w="1972" w:type="dxa"/>
            <w:vAlign w:val="center"/>
          </w:tcPr>
          <w:p w14:paraId="5BB33BAA" w14:textId="77777777" w:rsidR="003C41D1" w:rsidRPr="004C3FD3" w:rsidRDefault="001E5EB1" w:rsidP="006A650D">
            <w:pPr>
              <w:rPr>
                <w:rFonts w:ascii="Arial" w:hAnsi="Arial" w:cs="Arial"/>
                <w:sz w:val="24"/>
                <w:szCs w:val="24"/>
              </w:rPr>
            </w:pPr>
            <w:r w:rsidRPr="004C3FD3">
              <w:rPr>
                <w:rFonts w:ascii="Arial" w:hAnsi="Arial" w:cs="Arial"/>
                <w:sz w:val="24"/>
                <w:szCs w:val="24"/>
              </w:rPr>
              <w:t>Rivastigmine</w:t>
            </w:r>
          </w:p>
        </w:tc>
        <w:tc>
          <w:tcPr>
            <w:tcW w:w="2682" w:type="dxa"/>
            <w:vAlign w:val="center"/>
          </w:tcPr>
          <w:p w14:paraId="0604DE19" w14:textId="77777777" w:rsidR="003C41D1" w:rsidRPr="004C3FD3" w:rsidRDefault="001E5EB1" w:rsidP="006A650D">
            <w:pPr>
              <w:rPr>
                <w:rFonts w:ascii="Arial" w:hAnsi="Arial" w:cs="Arial"/>
                <w:sz w:val="24"/>
                <w:szCs w:val="24"/>
              </w:rPr>
            </w:pPr>
            <w:r w:rsidRPr="004C3FD3">
              <w:rPr>
                <w:rFonts w:ascii="Arial" w:hAnsi="Arial" w:cs="Arial"/>
                <w:sz w:val="24"/>
                <w:szCs w:val="24"/>
              </w:rPr>
              <w:t>Alzheimer’s disease and Lewy body dementia</w:t>
            </w:r>
          </w:p>
        </w:tc>
        <w:tc>
          <w:tcPr>
            <w:tcW w:w="4894" w:type="dxa"/>
            <w:vAlign w:val="center"/>
          </w:tcPr>
          <w:p w14:paraId="03C929CC" w14:textId="77777777" w:rsidR="003C41D1" w:rsidRPr="004C3FD3" w:rsidRDefault="001E5EB1" w:rsidP="006A650D">
            <w:pPr>
              <w:rPr>
                <w:rFonts w:ascii="Arial" w:hAnsi="Arial" w:cs="Arial"/>
                <w:sz w:val="24"/>
                <w:szCs w:val="24"/>
              </w:rPr>
            </w:pPr>
            <w:r w:rsidRPr="004C3FD3">
              <w:rPr>
                <w:rFonts w:ascii="Arial" w:hAnsi="Arial" w:cs="Arial"/>
                <w:sz w:val="24"/>
                <w:szCs w:val="24"/>
              </w:rPr>
              <w:t>Can support cognition and function in selected patients.</w:t>
            </w:r>
          </w:p>
        </w:tc>
      </w:tr>
      <w:tr w:rsidR="003C41D1" w:rsidRPr="004C3FD3" w14:paraId="18A891B1" w14:textId="77777777" w:rsidTr="00DB2D82">
        <w:trPr>
          <w:trHeight w:val="1318"/>
          <w:jc w:val="center"/>
        </w:trPr>
        <w:tc>
          <w:tcPr>
            <w:tcW w:w="1972" w:type="dxa"/>
            <w:vAlign w:val="center"/>
          </w:tcPr>
          <w:p w14:paraId="76CE8B00" w14:textId="77777777" w:rsidR="003C41D1" w:rsidRPr="004C3FD3" w:rsidRDefault="001E5EB1" w:rsidP="006A650D">
            <w:pPr>
              <w:rPr>
                <w:rFonts w:ascii="Arial" w:hAnsi="Arial" w:cs="Arial"/>
                <w:sz w:val="24"/>
                <w:szCs w:val="24"/>
              </w:rPr>
            </w:pPr>
            <w:r w:rsidRPr="004C3FD3">
              <w:rPr>
                <w:rFonts w:ascii="Arial" w:hAnsi="Arial" w:cs="Arial"/>
                <w:sz w:val="24"/>
                <w:szCs w:val="24"/>
              </w:rPr>
              <w:t>Galantamine</w:t>
            </w:r>
          </w:p>
        </w:tc>
        <w:tc>
          <w:tcPr>
            <w:tcW w:w="2682" w:type="dxa"/>
            <w:vAlign w:val="center"/>
          </w:tcPr>
          <w:p w14:paraId="6CB77D07" w14:textId="77777777" w:rsidR="003C41D1" w:rsidRPr="004C3FD3" w:rsidRDefault="001E5EB1" w:rsidP="006A650D">
            <w:pPr>
              <w:rPr>
                <w:rFonts w:ascii="Arial" w:hAnsi="Arial" w:cs="Arial"/>
                <w:sz w:val="24"/>
                <w:szCs w:val="24"/>
              </w:rPr>
            </w:pPr>
            <w:r w:rsidRPr="004C3FD3">
              <w:rPr>
                <w:rFonts w:ascii="Arial" w:hAnsi="Arial" w:cs="Arial"/>
                <w:sz w:val="24"/>
                <w:szCs w:val="24"/>
              </w:rPr>
              <w:t>Mild to moderate Alzheimer’s disease</w:t>
            </w:r>
          </w:p>
        </w:tc>
        <w:tc>
          <w:tcPr>
            <w:tcW w:w="4894" w:type="dxa"/>
            <w:vAlign w:val="center"/>
          </w:tcPr>
          <w:p w14:paraId="56446376" w14:textId="77777777" w:rsidR="003C41D1" w:rsidRPr="004C3FD3" w:rsidRDefault="001E5EB1" w:rsidP="006A650D">
            <w:pPr>
              <w:rPr>
                <w:rFonts w:ascii="Arial" w:hAnsi="Arial" w:cs="Arial"/>
                <w:sz w:val="24"/>
                <w:szCs w:val="24"/>
              </w:rPr>
            </w:pPr>
            <w:r w:rsidRPr="004C3FD3">
              <w:rPr>
                <w:rFonts w:ascii="Arial" w:hAnsi="Arial" w:cs="Arial"/>
                <w:sz w:val="24"/>
                <w:szCs w:val="24"/>
              </w:rPr>
              <w:t xml:space="preserve">Useful where tolerability and </w:t>
            </w:r>
            <w:r w:rsidRPr="004C3FD3">
              <w:rPr>
                <w:rFonts w:ascii="Arial" w:hAnsi="Arial" w:cs="Arial"/>
                <w:sz w:val="24"/>
                <w:szCs w:val="24"/>
              </w:rPr>
              <w:t>adherence are monitored.</w:t>
            </w:r>
          </w:p>
        </w:tc>
      </w:tr>
      <w:tr w:rsidR="003C41D1" w:rsidRPr="004C3FD3" w14:paraId="0D304D08" w14:textId="77777777" w:rsidTr="00DB2D82">
        <w:trPr>
          <w:trHeight w:val="1318"/>
          <w:jc w:val="center"/>
        </w:trPr>
        <w:tc>
          <w:tcPr>
            <w:tcW w:w="1972" w:type="dxa"/>
            <w:vAlign w:val="center"/>
          </w:tcPr>
          <w:p w14:paraId="15E9F564" w14:textId="77777777" w:rsidR="003C41D1" w:rsidRPr="004C3FD3" w:rsidRDefault="001E5EB1" w:rsidP="006A650D">
            <w:pPr>
              <w:rPr>
                <w:rFonts w:ascii="Arial" w:hAnsi="Arial" w:cs="Arial"/>
                <w:sz w:val="24"/>
                <w:szCs w:val="24"/>
              </w:rPr>
            </w:pPr>
            <w:r w:rsidRPr="004C3FD3">
              <w:rPr>
                <w:rFonts w:ascii="Arial" w:hAnsi="Arial" w:cs="Arial"/>
                <w:sz w:val="24"/>
                <w:szCs w:val="24"/>
              </w:rPr>
              <w:t>Memantine</w:t>
            </w:r>
          </w:p>
        </w:tc>
        <w:tc>
          <w:tcPr>
            <w:tcW w:w="2682" w:type="dxa"/>
            <w:vAlign w:val="center"/>
          </w:tcPr>
          <w:p w14:paraId="4B77B8BF" w14:textId="77777777" w:rsidR="003C41D1" w:rsidRPr="004C3FD3" w:rsidRDefault="001E5EB1" w:rsidP="006A650D">
            <w:pPr>
              <w:rPr>
                <w:rFonts w:ascii="Arial" w:hAnsi="Arial" w:cs="Arial"/>
                <w:sz w:val="24"/>
                <w:szCs w:val="24"/>
              </w:rPr>
            </w:pPr>
            <w:r w:rsidRPr="004C3FD3">
              <w:rPr>
                <w:rFonts w:ascii="Arial" w:hAnsi="Arial" w:cs="Arial"/>
                <w:sz w:val="24"/>
                <w:szCs w:val="24"/>
              </w:rPr>
              <w:t>Moderate to severe Alzheimer’s disease</w:t>
            </w:r>
          </w:p>
        </w:tc>
        <w:tc>
          <w:tcPr>
            <w:tcW w:w="4894" w:type="dxa"/>
            <w:vAlign w:val="center"/>
          </w:tcPr>
          <w:p w14:paraId="4AF752CD" w14:textId="77777777" w:rsidR="003C41D1" w:rsidRPr="004C3FD3" w:rsidRDefault="001E5EB1" w:rsidP="006A650D">
            <w:pPr>
              <w:rPr>
                <w:rFonts w:ascii="Arial" w:hAnsi="Arial" w:cs="Arial"/>
                <w:sz w:val="24"/>
                <w:szCs w:val="24"/>
              </w:rPr>
            </w:pPr>
            <w:r w:rsidRPr="004C3FD3">
              <w:rPr>
                <w:rFonts w:ascii="Arial" w:hAnsi="Arial" w:cs="Arial"/>
                <w:sz w:val="24"/>
                <w:szCs w:val="24"/>
              </w:rPr>
              <w:t>Often used when cognitive symptoms are more advanced.</w:t>
            </w:r>
          </w:p>
        </w:tc>
      </w:tr>
    </w:tbl>
    <w:p w14:paraId="1107D51F" w14:textId="4A1EFDDC" w:rsidR="003C41D1" w:rsidRPr="004C3FD3" w:rsidRDefault="00DB2D82" w:rsidP="006A650D">
      <w:pPr>
        <w:spacing w:line="360" w:lineRule="auto"/>
        <w:jc w:val="both"/>
        <w:rPr>
          <w:rFonts w:ascii="Arial" w:hAnsi="Arial" w:cs="Arial"/>
          <w:sz w:val="24"/>
          <w:szCs w:val="24"/>
        </w:rPr>
      </w:pPr>
      <w:r w:rsidRPr="004C3FD3">
        <w:rPr>
          <w:rFonts w:ascii="Arial" w:hAnsi="Arial" w:cs="Arial"/>
          <w:sz w:val="24"/>
          <w:szCs w:val="24"/>
        </w:rPr>
        <w:t>Source: Author, (2026)</w:t>
      </w:r>
    </w:p>
    <w:p w14:paraId="7487B5FD" w14:textId="77777777" w:rsidR="003C41D1" w:rsidRPr="004C3FD3" w:rsidRDefault="001E5EB1" w:rsidP="006A650D">
      <w:pPr>
        <w:pStyle w:val="Heading1"/>
        <w:spacing w:line="360" w:lineRule="auto"/>
        <w:rPr>
          <w:rFonts w:ascii="Arial" w:hAnsi="Arial" w:cs="Arial"/>
          <w:sz w:val="24"/>
          <w:szCs w:val="24"/>
        </w:rPr>
      </w:pPr>
      <w:bookmarkStart w:id="12" w:name="_Toc231587155"/>
      <w:bookmarkStart w:id="13" w:name="_Toc231678395"/>
      <w:r w:rsidRPr="004C3FD3">
        <w:rPr>
          <w:rFonts w:ascii="Arial" w:hAnsi="Arial" w:cs="Arial"/>
          <w:sz w:val="24"/>
          <w:szCs w:val="24"/>
        </w:rPr>
        <w:t>7. Theoretical Models for Long-Term Condition Management</w:t>
      </w:r>
      <w:bookmarkEnd w:id="12"/>
      <w:bookmarkEnd w:id="13"/>
    </w:p>
    <w:p w14:paraId="5F061168" w14:textId="1B1ECAB9"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The House of Care is useful in the UK context because it is a process of structured collaborative discussion with the person and professional, and is a structure for managing LTCs. It prioritises the key features of practice: care planning, self-management support and organisational readiness </w:t>
      </w:r>
      <w:r w:rsidR="004474DB" w:rsidRPr="004C3FD3">
        <w:rPr>
          <w:rFonts w:ascii="Arial" w:hAnsi="Arial" w:cs="Arial"/>
          <w:sz w:val="24"/>
          <w:szCs w:val="24"/>
        </w:rPr>
        <w:t>(Low et al., 2023)</w:t>
      </w:r>
      <w:r w:rsidRPr="004C3FD3">
        <w:rPr>
          <w:rFonts w:ascii="Arial" w:hAnsi="Arial" w:cs="Arial"/>
          <w:sz w:val="24"/>
          <w:szCs w:val="24"/>
        </w:rPr>
        <w:t>. This is particularly important for dementia as it relates to the decisions made regarding routine, safety, communication and future planning which is both negotiated early, and reviewed over time. Its biggest benefit is that it helps to make care target an individual's hobbies. This has a drawback that it requires time, continuity and workforce stability, which are not collective and available.</w:t>
      </w:r>
    </w:p>
    <w:p w14:paraId="06D69D00" w14:textId="3050F0CE"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The Chronic Care Model provided by Wagner is a more comprehensive systems approach. Its emphasis is informed patient, proactive teams, decision support, and </w:t>
      </w:r>
      <w:r w:rsidRPr="004C3FD3">
        <w:rPr>
          <w:rFonts w:ascii="Arial" w:hAnsi="Arial" w:cs="Arial"/>
          <w:sz w:val="24"/>
          <w:szCs w:val="24"/>
        </w:rPr>
        <w:lastRenderedPageBreak/>
        <w:t xml:space="preserve">clinical information systems and community resources </w:t>
      </w:r>
      <w:r w:rsidR="004474DB" w:rsidRPr="004C3FD3">
        <w:rPr>
          <w:rFonts w:ascii="Arial" w:hAnsi="Arial" w:cs="Arial"/>
          <w:sz w:val="24"/>
          <w:szCs w:val="24"/>
        </w:rPr>
        <w:t>(Saxena and Khan, 2025)</w:t>
      </w:r>
      <w:r w:rsidRPr="004C3FD3">
        <w:rPr>
          <w:rFonts w:ascii="Arial" w:hAnsi="Arial" w:cs="Arial"/>
          <w:sz w:val="24"/>
          <w:szCs w:val="24"/>
        </w:rPr>
        <w:t>. This is useful for dementia as there is not one professional group that can manage the condition. It must be a co-ordinated system and requires general practice, memory services, community support, carers and social care to do this. That the linkage of service design to outcomes is good. But it is constrained in scope as it can be abstract if there are no local organisations willing to invest in the infrastructure that enables coordination to be actualised.</w:t>
      </w:r>
    </w:p>
    <w:p w14:paraId="3E4513DF" w14:textId="7A81B421" w:rsidR="003B3012" w:rsidRPr="004C3FD3" w:rsidRDefault="003B3012" w:rsidP="006A650D">
      <w:pPr>
        <w:spacing w:after="60" w:line="360" w:lineRule="auto"/>
        <w:jc w:val="both"/>
        <w:rPr>
          <w:rFonts w:ascii="Arial" w:hAnsi="Arial" w:cs="Arial"/>
          <w:sz w:val="24"/>
          <w:szCs w:val="24"/>
        </w:rPr>
      </w:pPr>
      <w:r w:rsidRPr="004C3FD3">
        <w:rPr>
          <w:rFonts w:ascii="Arial" w:hAnsi="Arial" w:cs="Arial"/>
          <w:sz w:val="24"/>
          <w:szCs w:val="24"/>
        </w:rPr>
        <w:t xml:space="preserve">Both models are better than a biomedical model as they are rooted in the fact that dementia is a relational and organisational issue. The Chronic Care Model is complementary to House of Care's </w:t>
      </w:r>
      <w:r w:rsidR="0062410B" w:rsidRPr="004C3FD3">
        <w:rPr>
          <w:rFonts w:ascii="Arial" w:hAnsi="Arial" w:cs="Arial"/>
          <w:sz w:val="24"/>
          <w:szCs w:val="24"/>
        </w:rPr>
        <w:t>person-centred</w:t>
      </w:r>
      <w:r w:rsidRPr="004C3FD3">
        <w:rPr>
          <w:rFonts w:ascii="Arial" w:hAnsi="Arial" w:cs="Arial"/>
          <w:sz w:val="24"/>
          <w:szCs w:val="24"/>
        </w:rPr>
        <w:t xml:space="preserve"> planning for dementia; not the one or the other</w:t>
      </w:r>
      <w:r w:rsidR="000809F3" w:rsidRPr="004C3FD3">
        <w:rPr>
          <w:rFonts w:ascii="Arial" w:hAnsi="Arial" w:cs="Arial"/>
          <w:sz w:val="24"/>
          <w:szCs w:val="24"/>
        </w:rPr>
        <w:t xml:space="preserve"> (Chenoweth et al., 2019).</w:t>
      </w:r>
    </w:p>
    <w:p w14:paraId="6193EC8C" w14:textId="42F7FA2B" w:rsidR="003C41D1" w:rsidRPr="004C3FD3" w:rsidRDefault="001E5EB1" w:rsidP="006A650D">
      <w:pPr>
        <w:spacing w:after="60" w:line="360" w:lineRule="auto"/>
        <w:jc w:val="both"/>
        <w:rPr>
          <w:rFonts w:ascii="Arial" w:hAnsi="Arial" w:cs="Arial"/>
          <w:bCs/>
          <w:sz w:val="24"/>
          <w:szCs w:val="24"/>
        </w:rPr>
      </w:pPr>
      <w:r w:rsidRPr="004C3FD3">
        <w:rPr>
          <w:rFonts w:ascii="Arial" w:hAnsi="Arial" w:cs="Arial"/>
          <w:bCs/>
          <w:sz w:val="24"/>
          <w:szCs w:val="24"/>
        </w:rPr>
        <w:t>Table 4. Comparison of the House of Care and Chronic Care Model.</w:t>
      </w:r>
    </w:p>
    <w:tbl>
      <w:tblPr>
        <w:tblStyle w:val="TableGrid"/>
        <w:tblW w:w="0" w:type="auto"/>
        <w:jc w:val="center"/>
        <w:tblLook w:val="04A0" w:firstRow="1" w:lastRow="0" w:firstColumn="1" w:lastColumn="0" w:noHBand="0" w:noVBand="1"/>
      </w:tblPr>
      <w:tblGrid>
        <w:gridCol w:w="1437"/>
        <w:gridCol w:w="1409"/>
        <w:gridCol w:w="1770"/>
      </w:tblGrid>
      <w:tr w:rsidR="003C41D1" w:rsidRPr="004C3FD3" w14:paraId="72FA9199" w14:textId="77777777" w:rsidTr="00DB2D82">
        <w:trPr>
          <w:trHeight w:val="811"/>
          <w:jc w:val="center"/>
        </w:trPr>
        <w:tc>
          <w:tcPr>
            <w:tcW w:w="2107" w:type="dxa"/>
            <w:shd w:val="clear" w:color="auto" w:fill="D9E2F3"/>
            <w:vAlign w:val="center"/>
          </w:tcPr>
          <w:p w14:paraId="02E6A3BC"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Aspect</w:t>
            </w:r>
          </w:p>
        </w:tc>
        <w:tc>
          <w:tcPr>
            <w:tcW w:w="3913" w:type="dxa"/>
            <w:shd w:val="clear" w:color="auto" w:fill="D9E2F3"/>
            <w:vAlign w:val="center"/>
          </w:tcPr>
          <w:p w14:paraId="652413D9"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House of Care</w:t>
            </w:r>
          </w:p>
        </w:tc>
        <w:tc>
          <w:tcPr>
            <w:tcW w:w="3913" w:type="dxa"/>
            <w:shd w:val="clear" w:color="auto" w:fill="D9E2F3"/>
            <w:vAlign w:val="center"/>
          </w:tcPr>
          <w:p w14:paraId="341A60A6" w14:textId="77777777" w:rsidR="003C41D1" w:rsidRPr="004C3FD3" w:rsidRDefault="001E5EB1" w:rsidP="006A650D">
            <w:pPr>
              <w:jc w:val="both"/>
              <w:rPr>
                <w:rFonts w:ascii="Arial" w:hAnsi="Arial" w:cs="Arial"/>
                <w:sz w:val="24"/>
                <w:szCs w:val="24"/>
              </w:rPr>
            </w:pPr>
            <w:r w:rsidRPr="004C3FD3">
              <w:rPr>
                <w:rFonts w:ascii="Arial" w:hAnsi="Arial" w:cs="Arial"/>
                <w:b/>
                <w:sz w:val="24"/>
                <w:szCs w:val="24"/>
              </w:rPr>
              <w:t>Chronic Care Model</w:t>
            </w:r>
          </w:p>
        </w:tc>
      </w:tr>
      <w:tr w:rsidR="003C41D1" w:rsidRPr="004C3FD3" w14:paraId="2E7121D7" w14:textId="77777777" w:rsidTr="00DB2D82">
        <w:trPr>
          <w:trHeight w:val="765"/>
          <w:jc w:val="center"/>
        </w:trPr>
        <w:tc>
          <w:tcPr>
            <w:tcW w:w="2107" w:type="dxa"/>
            <w:vAlign w:val="center"/>
          </w:tcPr>
          <w:p w14:paraId="11B09DDC" w14:textId="77777777" w:rsidR="003C41D1" w:rsidRPr="004C3FD3" w:rsidRDefault="001E5EB1" w:rsidP="006A650D">
            <w:pPr>
              <w:rPr>
                <w:rFonts w:ascii="Arial" w:hAnsi="Arial" w:cs="Arial"/>
                <w:sz w:val="24"/>
                <w:szCs w:val="24"/>
              </w:rPr>
            </w:pPr>
            <w:r w:rsidRPr="004C3FD3">
              <w:rPr>
                <w:rFonts w:ascii="Arial" w:hAnsi="Arial" w:cs="Arial"/>
                <w:sz w:val="24"/>
                <w:szCs w:val="24"/>
              </w:rPr>
              <w:t>Orientation</w:t>
            </w:r>
          </w:p>
        </w:tc>
        <w:tc>
          <w:tcPr>
            <w:tcW w:w="3913" w:type="dxa"/>
            <w:vAlign w:val="center"/>
          </w:tcPr>
          <w:p w14:paraId="3FA4BD64" w14:textId="77777777" w:rsidR="003C41D1" w:rsidRPr="004C3FD3" w:rsidRDefault="001E5EB1" w:rsidP="006A650D">
            <w:pPr>
              <w:rPr>
                <w:rFonts w:ascii="Arial" w:hAnsi="Arial" w:cs="Arial"/>
                <w:sz w:val="24"/>
                <w:szCs w:val="24"/>
              </w:rPr>
            </w:pPr>
            <w:r w:rsidRPr="004C3FD3">
              <w:rPr>
                <w:rFonts w:ascii="Arial" w:hAnsi="Arial" w:cs="Arial"/>
                <w:sz w:val="24"/>
                <w:szCs w:val="24"/>
              </w:rPr>
              <w:t>Person-centred and relational</w:t>
            </w:r>
          </w:p>
        </w:tc>
        <w:tc>
          <w:tcPr>
            <w:tcW w:w="3913" w:type="dxa"/>
            <w:vAlign w:val="center"/>
          </w:tcPr>
          <w:p w14:paraId="2E026F35" w14:textId="77777777" w:rsidR="003C41D1" w:rsidRPr="004C3FD3" w:rsidRDefault="001E5EB1" w:rsidP="006A650D">
            <w:pPr>
              <w:rPr>
                <w:rFonts w:ascii="Arial" w:hAnsi="Arial" w:cs="Arial"/>
                <w:sz w:val="24"/>
                <w:szCs w:val="24"/>
              </w:rPr>
            </w:pPr>
            <w:r w:rsidRPr="004C3FD3">
              <w:rPr>
                <w:rFonts w:ascii="Arial" w:hAnsi="Arial" w:cs="Arial"/>
                <w:sz w:val="24"/>
                <w:szCs w:val="24"/>
              </w:rPr>
              <w:t>System-centred and organised</w:t>
            </w:r>
          </w:p>
        </w:tc>
      </w:tr>
      <w:tr w:rsidR="003C41D1" w:rsidRPr="004C3FD3" w14:paraId="683398BD" w14:textId="77777777" w:rsidTr="00DB2D82">
        <w:trPr>
          <w:trHeight w:val="811"/>
          <w:jc w:val="center"/>
        </w:trPr>
        <w:tc>
          <w:tcPr>
            <w:tcW w:w="2107" w:type="dxa"/>
            <w:vAlign w:val="center"/>
          </w:tcPr>
          <w:p w14:paraId="452C09ED" w14:textId="77777777" w:rsidR="003C41D1" w:rsidRPr="004C3FD3" w:rsidRDefault="001E5EB1" w:rsidP="006A650D">
            <w:pPr>
              <w:rPr>
                <w:rFonts w:ascii="Arial" w:hAnsi="Arial" w:cs="Arial"/>
                <w:sz w:val="24"/>
                <w:szCs w:val="24"/>
              </w:rPr>
            </w:pPr>
            <w:r w:rsidRPr="004C3FD3">
              <w:rPr>
                <w:rFonts w:ascii="Arial" w:hAnsi="Arial" w:cs="Arial"/>
                <w:sz w:val="24"/>
                <w:szCs w:val="24"/>
              </w:rPr>
              <w:t>Main strength</w:t>
            </w:r>
          </w:p>
        </w:tc>
        <w:tc>
          <w:tcPr>
            <w:tcW w:w="3913" w:type="dxa"/>
            <w:vAlign w:val="center"/>
          </w:tcPr>
          <w:p w14:paraId="45859440" w14:textId="77777777" w:rsidR="003C41D1" w:rsidRPr="004C3FD3" w:rsidRDefault="001E5EB1" w:rsidP="006A650D">
            <w:pPr>
              <w:rPr>
                <w:rFonts w:ascii="Arial" w:hAnsi="Arial" w:cs="Arial"/>
                <w:sz w:val="24"/>
                <w:szCs w:val="24"/>
              </w:rPr>
            </w:pPr>
            <w:r w:rsidRPr="004C3FD3">
              <w:rPr>
                <w:rFonts w:ascii="Arial" w:hAnsi="Arial" w:cs="Arial"/>
                <w:sz w:val="24"/>
                <w:szCs w:val="24"/>
              </w:rPr>
              <w:t>Shared care planning</w:t>
            </w:r>
          </w:p>
        </w:tc>
        <w:tc>
          <w:tcPr>
            <w:tcW w:w="3913" w:type="dxa"/>
            <w:vAlign w:val="center"/>
          </w:tcPr>
          <w:p w14:paraId="30953C35" w14:textId="77777777" w:rsidR="003C41D1" w:rsidRPr="004C3FD3" w:rsidRDefault="001E5EB1" w:rsidP="006A650D">
            <w:pPr>
              <w:rPr>
                <w:rFonts w:ascii="Arial" w:hAnsi="Arial" w:cs="Arial"/>
                <w:sz w:val="24"/>
                <w:szCs w:val="24"/>
              </w:rPr>
            </w:pPr>
            <w:r w:rsidRPr="004C3FD3">
              <w:rPr>
                <w:rFonts w:ascii="Arial" w:hAnsi="Arial" w:cs="Arial"/>
                <w:sz w:val="24"/>
                <w:szCs w:val="24"/>
              </w:rPr>
              <w:t>Integrated service design</w:t>
            </w:r>
          </w:p>
        </w:tc>
      </w:tr>
      <w:tr w:rsidR="003C41D1" w:rsidRPr="004C3FD3" w14:paraId="350FD369" w14:textId="77777777" w:rsidTr="00DB2D82">
        <w:trPr>
          <w:trHeight w:val="811"/>
          <w:jc w:val="center"/>
        </w:trPr>
        <w:tc>
          <w:tcPr>
            <w:tcW w:w="2107" w:type="dxa"/>
            <w:vAlign w:val="center"/>
          </w:tcPr>
          <w:p w14:paraId="1E77828C" w14:textId="77777777" w:rsidR="003C41D1" w:rsidRPr="004C3FD3" w:rsidRDefault="001E5EB1" w:rsidP="006A650D">
            <w:pPr>
              <w:rPr>
                <w:rFonts w:ascii="Arial" w:hAnsi="Arial" w:cs="Arial"/>
                <w:sz w:val="24"/>
                <w:szCs w:val="24"/>
              </w:rPr>
            </w:pPr>
            <w:r w:rsidRPr="004C3FD3">
              <w:rPr>
                <w:rFonts w:ascii="Arial" w:hAnsi="Arial" w:cs="Arial"/>
                <w:sz w:val="24"/>
                <w:szCs w:val="24"/>
              </w:rPr>
              <w:t>Main weakness</w:t>
            </w:r>
          </w:p>
        </w:tc>
        <w:tc>
          <w:tcPr>
            <w:tcW w:w="3913" w:type="dxa"/>
            <w:vAlign w:val="center"/>
          </w:tcPr>
          <w:p w14:paraId="69D8004F" w14:textId="77777777" w:rsidR="003C41D1" w:rsidRPr="004C3FD3" w:rsidRDefault="001E5EB1" w:rsidP="006A650D">
            <w:pPr>
              <w:rPr>
                <w:rFonts w:ascii="Arial" w:hAnsi="Arial" w:cs="Arial"/>
                <w:sz w:val="24"/>
                <w:szCs w:val="24"/>
              </w:rPr>
            </w:pPr>
            <w:r w:rsidRPr="004C3FD3">
              <w:rPr>
                <w:rFonts w:ascii="Arial" w:hAnsi="Arial" w:cs="Arial"/>
                <w:sz w:val="24"/>
                <w:szCs w:val="24"/>
              </w:rPr>
              <w:t>Depends on continuity and time</w:t>
            </w:r>
          </w:p>
        </w:tc>
        <w:tc>
          <w:tcPr>
            <w:tcW w:w="3913" w:type="dxa"/>
            <w:vAlign w:val="center"/>
          </w:tcPr>
          <w:p w14:paraId="1E90D388" w14:textId="77777777" w:rsidR="003C41D1" w:rsidRPr="004C3FD3" w:rsidRDefault="001E5EB1" w:rsidP="006A650D">
            <w:pPr>
              <w:rPr>
                <w:rFonts w:ascii="Arial" w:hAnsi="Arial" w:cs="Arial"/>
                <w:sz w:val="24"/>
                <w:szCs w:val="24"/>
              </w:rPr>
            </w:pPr>
            <w:r w:rsidRPr="004C3FD3">
              <w:rPr>
                <w:rFonts w:ascii="Arial" w:hAnsi="Arial" w:cs="Arial"/>
                <w:sz w:val="24"/>
                <w:szCs w:val="24"/>
              </w:rPr>
              <w:t>Requires coordination infrastructure</w:t>
            </w:r>
          </w:p>
        </w:tc>
      </w:tr>
      <w:tr w:rsidR="003C41D1" w:rsidRPr="004C3FD3" w14:paraId="054CCA39" w14:textId="77777777" w:rsidTr="00DB2D82">
        <w:trPr>
          <w:trHeight w:val="1576"/>
          <w:jc w:val="center"/>
        </w:trPr>
        <w:tc>
          <w:tcPr>
            <w:tcW w:w="2107" w:type="dxa"/>
            <w:vAlign w:val="center"/>
          </w:tcPr>
          <w:p w14:paraId="3B2E362A" w14:textId="77777777" w:rsidR="003C41D1" w:rsidRPr="004C3FD3" w:rsidRDefault="001E5EB1" w:rsidP="006A650D">
            <w:pPr>
              <w:rPr>
                <w:rFonts w:ascii="Arial" w:hAnsi="Arial" w:cs="Arial"/>
                <w:sz w:val="24"/>
                <w:szCs w:val="24"/>
              </w:rPr>
            </w:pPr>
            <w:r w:rsidRPr="004C3FD3">
              <w:rPr>
                <w:rFonts w:ascii="Arial" w:hAnsi="Arial" w:cs="Arial"/>
                <w:sz w:val="24"/>
                <w:szCs w:val="24"/>
              </w:rPr>
              <w:t>Best use in dementia</w:t>
            </w:r>
          </w:p>
        </w:tc>
        <w:tc>
          <w:tcPr>
            <w:tcW w:w="3913" w:type="dxa"/>
            <w:vAlign w:val="center"/>
          </w:tcPr>
          <w:p w14:paraId="76E0CCFC" w14:textId="77777777" w:rsidR="003C41D1" w:rsidRPr="004C3FD3" w:rsidRDefault="001E5EB1" w:rsidP="006A650D">
            <w:pPr>
              <w:rPr>
                <w:rFonts w:ascii="Arial" w:hAnsi="Arial" w:cs="Arial"/>
                <w:sz w:val="24"/>
                <w:szCs w:val="24"/>
              </w:rPr>
            </w:pPr>
            <w:r w:rsidRPr="004C3FD3">
              <w:rPr>
                <w:rFonts w:ascii="Arial" w:hAnsi="Arial" w:cs="Arial"/>
                <w:sz w:val="24"/>
                <w:szCs w:val="24"/>
              </w:rPr>
              <w:t>Values, goals and planning</w:t>
            </w:r>
          </w:p>
        </w:tc>
        <w:tc>
          <w:tcPr>
            <w:tcW w:w="3913" w:type="dxa"/>
            <w:vAlign w:val="center"/>
          </w:tcPr>
          <w:p w14:paraId="2924D6AF" w14:textId="77777777" w:rsidR="003C41D1" w:rsidRPr="004C3FD3" w:rsidRDefault="001E5EB1" w:rsidP="006A650D">
            <w:pPr>
              <w:rPr>
                <w:rFonts w:ascii="Arial" w:hAnsi="Arial" w:cs="Arial"/>
                <w:sz w:val="24"/>
                <w:szCs w:val="24"/>
              </w:rPr>
            </w:pPr>
            <w:r w:rsidRPr="004C3FD3">
              <w:rPr>
                <w:rFonts w:ascii="Arial" w:hAnsi="Arial" w:cs="Arial"/>
                <w:sz w:val="24"/>
                <w:szCs w:val="24"/>
              </w:rPr>
              <w:t>Multi-agency coordination</w:t>
            </w:r>
          </w:p>
        </w:tc>
      </w:tr>
    </w:tbl>
    <w:p w14:paraId="6DF6AD98" w14:textId="7030764D" w:rsidR="003C41D1" w:rsidRPr="004C3FD3" w:rsidRDefault="00DB2D82" w:rsidP="006A650D">
      <w:pPr>
        <w:spacing w:line="360" w:lineRule="auto"/>
        <w:jc w:val="both"/>
        <w:rPr>
          <w:rFonts w:ascii="Arial" w:hAnsi="Arial" w:cs="Arial"/>
          <w:sz w:val="24"/>
          <w:szCs w:val="24"/>
        </w:rPr>
      </w:pPr>
      <w:r w:rsidRPr="004C3FD3">
        <w:rPr>
          <w:rFonts w:ascii="Arial" w:hAnsi="Arial" w:cs="Arial"/>
          <w:sz w:val="24"/>
          <w:szCs w:val="24"/>
        </w:rPr>
        <w:t>Source: Author, (2026)</w:t>
      </w:r>
    </w:p>
    <w:p w14:paraId="2B6E8599" w14:textId="77777777" w:rsidR="003C41D1" w:rsidRPr="004C3FD3" w:rsidRDefault="001E5EB1" w:rsidP="006A650D">
      <w:pPr>
        <w:pStyle w:val="Heading1"/>
        <w:spacing w:line="360" w:lineRule="auto"/>
        <w:rPr>
          <w:rFonts w:ascii="Arial" w:hAnsi="Arial" w:cs="Arial"/>
          <w:sz w:val="24"/>
          <w:szCs w:val="24"/>
        </w:rPr>
      </w:pPr>
      <w:bookmarkStart w:id="14" w:name="_Toc231587156"/>
      <w:bookmarkStart w:id="15" w:name="_Toc231678396"/>
      <w:r w:rsidRPr="004C3FD3">
        <w:rPr>
          <w:rFonts w:ascii="Arial" w:hAnsi="Arial" w:cs="Arial"/>
          <w:sz w:val="24"/>
          <w:szCs w:val="24"/>
        </w:rPr>
        <w:t>8. Policy and Political Agendas</w:t>
      </w:r>
      <w:bookmarkEnd w:id="14"/>
      <w:bookmarkEnd w:id="15"/>
    </w:p>
    <w:p w14:paraId="4B6CF2F4" w14:textId="613B3848" w:rsidR="003B3012" w:rsidRPr="004C3FD3" w:rsidRDefault="003B3012" w:rsidP="006A650D">
      <w:pPr>
        <w:spacing w:line="360" w:lineRule="auto"/>
        <w:jc w:val="both"/>
        <w:rPr>
          <w:rFonts w:ascii="Arial" w:hAnsi="Arial" w:cs="Arial"/>
          <w:sz w:val="24"/>
          <w:szCs w:val="24"/>
        </w:rPr>
      </w:pPr>
      <w:r w:rsidRPr="004C3FD3">
        <w:rPr>
          <w:rFonts w:ascii="Arial" w:hAnsi="Arial" w:cs="Arial"/>
          <w:sz w:val="24"/>
          <w:szCs w:val="24"/>
        </w:rPr>
        <w:t xml:space="preserve">Dementia is now recognised as a priority long term condition and this is being implemented to varying extents across the nation. The NHS Long Term Plan aims to increase the quality of diagnosis, personalised care and support for carers and NICE provide evidence-based standards which underpin assessment and treatment </w:t>
      </w:r>
      <w:r w:rsidR="004474DB" w:rsidRPr="004C3FD3">
        <w:rPr>
          <w:rFonts w:ascii="Arial" w:hAnsi="Arial" w:cs="Arial"/>
          <w:sz w:val="24"/>
          <w:szCs w:val="24"/>
        </w:rPr>
        <w:t xml:space="preserve">(Spencer et al., 2024). </w:t>
      </w:r>
      <w:r w:rsidRPr="004C3FD3">
        <w:rPr>
          <w:rFonts w:ascii="Arial" w:hAnsi="Arial" w:cs="Arial"/>
          <w:sz w:val="24"/>
          <w:szCs w:val="24"/>
        </w:rPr>
        <w:t>The Care Act 2014 also has an impact as it imposes a duty on local authorities to consider carers and wellbeing. On the theoretical side, it's a good policy structure. The issue is not policy, but policy intention and capacity to provide services.</w:t>
      </w:r>
    </w:p>
    <w:p w14:paraId="2DB168DD" w14:textId="350AA649" w:rsidR="003B3012" w:rsidRPr="004C3FD3" w:rsidRDefault="003B3012" w:rsidP="006A650D">
      <w:pPr>
        <w:spacing w:line="360" w:lineRule="auto"/>
        <w:jc w:val="both"/>
        <w:rPr>
          <w:rFonts w:ascii="Arial" w:hAnsi="Arial" w:cs="Arial"/>
          <w:sz w:val="24"/>
          <w:szCs w:val="24"/>
        </w:rPr>
      </w:pPr>
      <w:r w:rsidRPr="004C3FD3">
        <w:rPr>
          <w:rFonts w:ascii="Arial" w:hAnsi="Arial" w:cs="Arial"/>
          <w:sz w:val="24"/>
          <w:szCs w:val="24"/>
        </w:rPr>
        <w:t>Political issues are mainly resource and accountability issues. Responsibility is diffused in dementia care as it spans NHS, local authority and voluntary care sectors</w:t>
      </w:r>
      <w:r w:rsidR="000809F3" w:rsidRPr="004C3FD3">
        <w:rPr>
          <w:rFonts w:ascii="Arial" w:hAnsi="Arial" w:cs="Arial"/>
          <w:b/>
          <w:bCs/>
          <w:sz w:val="24"/>
          <w:szCs w:val="24"/>
        </w:rPr>
        <w:t xml:space="preserve"> </w:t>
      </w:r>
      <w:r w:rsidR="000809F3" w:rsidRPr="004C3FD3">
        <w:rPr>
          <w:rFonts w:ascii="Arial" w:hAnsi="Arial" w:cs="Arial"/>
          <w:sz w:val="24"/>
          <w:szCs w:val="24"/>
        </w:rPr>
        <w:t>(World Health Organization, 2018)</w:t>
      </w:r>
      <w:r w:rsidRPr="004C3FD3">
        <w:rPr>
          <w:rFonts w:ascii="Arial" w:hAnsi="Arial" w:cs="Arial"/>
          <w:sz w:val="24"/>
          <w:szCs w:val="24"/>
        </w:rPr>
        <w:t xml:space="preserve">. ICSs were developed to enhance the coordination but there is still variation from area to area. There is a greater continuity of service in areas with more social care capacity and voluntary sector partnerships, and more crisis responses in areas that lack </w:t>
      </w:r>
      <w:r w:rsidRPr="004C3FD3">
        <w:rPr>
          <w:rFonts w:ascii="Arial" w:hAnsi="Arial" w:cs="Arial"/>
          <w:sz w:val="24"/>
          <w:szCs w:val="24"/>
        </w:rPr>
        <w:lastRenderedPageBreak/>
        <w:t>these. This means that there is a postcode lottery for timely diagnosis, care planning and care for carers.</w:t>
      </w:r>
    </w:p>
    <w:p w14:paraId="2B1A3128" w14:textId="2EA6863E" w:rsidR="003B3012" w:rsidRPr="004C3FD3" w:rsidRDefault="003B3012" w:rsidP="006A650D">
      <w:pPr>
        <w:spacing w:line="360" w:lineRule="auto"/>
        <w:jc w:val="both"/>
        <w:rPr>
          <w:rFonts w:ascii="Arial" w:hAnsi="Arial" w:cs="Arial"/>
          <w:b/>
          <w:bCs/>
          <w:sz w:val="24"/>
          <w:szCs w:val="24"/>
        </w:rPr>
      </w:pPr>
      <w:r w:rsidRPr="004C3FD3">
        <w:rPr>
          <w:rFonts w:ascii="Arial" w:hAnsi="Arial" w:cs="Arial"/>
          <w:sz w:val="24"/>
          <w:szCs w:val="24"/>
        </w:rPr>
        <w:t>The policy landscape is a complex one, and if one reads it critically, then it would be a fair statement to say that the recognition of dementia has improved over the past ten years, but it has yet to be well resourced. Policy promises, if not accompanied by investment in community services and measurable post- diagnosis support, may fall short of being actionable due to lack of workforce planning</w:t>
      </w:r>
      <w:r w:rsidR="000809F3" w:rsidRPr="004C3FD3">
        <w:rPr>
          <w:rFonts w:ascii="Arial" w:hAnsi="Arial" w:cs="Arial"/>
          <w:b/>
          <w:bCs/>
          <w:sz w:val="24"/>
          <w:szCs w:val="24"/>
        </w:rPr>
        <w:t xml:space="preserve"> </w:t>
      </w:r>
      <w:r w:rsidR="000809F3" w:rsidRPr="004C3FD3">
        <w:rPr>
          <w:rFonts w:ascii="Arial" w:hAnsi="Arial" w:cs="Arial"/>
          <w:sz w:val="24"/>
          <w:szCs w:val="24"/>
        </w:rPr>
        <w:t xml:space="preserve">(Oung, </w:t>
      </w:r>
      <w:proofErr w:type="spellStart"/>
      <w:r w:rsidR="000809F3" w:rsidRPr="004C3FD3">
        <w:rPr>
          <w:rFonts w:ascii="Arial" w:hAnsi="Arial" w:cs="Arial"/>
          <w:sz w:val="24"/>
          <w:szCs w:val="24"/>
        </w:rPr>
        <w:t>Lobont</w:t>
      </w:r>
      <w:proofErr w:type="spellEnd"/>
      <w:r w:rsidR="000809F3" w:rsidRPr="004C3FD3">
        <w:rPr>
          <w:rFonts w:ascii="Arial" w:hAnsi="Arial" w:cs="Arial"/>
          <w:sz w:val="24"/>
          <w:szCs w:val="24"/>
        </w:rPr>
        <w:t xml:space="preserve"> and Curry, 2024)</w:t>
      </w:r>
      <w:r w:rsidR="000809F3" w:rsidRPr="004C3FD3">
        <w:rPr>
          <w:rFonts w:ascii="Arial" w:hAnsi="Arial" w:cs="Arial"/>
          <w:b/>
          <w:bCs/>
          <w:sz w:val="24"/>
          <w:szCs w:val="24"/>
        </w:rPr>
        <w:t>.</w:t>
      </w:r>
    </w:p>
    <w:p w14:paraId="3AA817D8" w14:textId="77777777" w:rsidR="006A650D" w:rsidRPr="004C3FD3" w:rsidRDefault="006A650D" w:rsidP="006A650D">
      <w:pPr>
        <w:spacing w:line="360" w:lineRule="auto"/>
        <w:jc w:val="both"/>
        <w:rPr>
          <w:rFonts w:ascii="Arial" w:hAnsi="Arial" w:cs="Arial"/>
          <w:b/>
          <w:bCs/>
          <w:sz w:val="24"/>
          <w:szCs w:val="24"/>
        </w:rPr>
      </w:pPr>
    </w:p>
    <w:p w14:paraId="3A0FDCF9" w14:textId="3B0432B6" w:rsidR="003C41D1" w:rsidRPr="004C3FD3" w:rsidRDefault="001E5EB1" w:rsidP="006A650D">
      <w:pPr>
        <w:pStyle w:val="Heading1"/>
        <w:spacing w:line="360" w:lineRule="auto"/>
        <w:rPr>
          <w:rFonts w:ascii="Arial" w:hAnsi="Arial" w:cs="Arial"/>
          <w:sz w:val="24"/>
          <w:szCs w:val="24"/>
        </w:rPr>
      </w:pPr>
      <w:bookmarkStart w:id="16" w:name="_Toc231587157"/>
      <w:bookmarkStart w:id="17" w:name="_Toc231678397"/>
      <w:r w:rsidRPr="004C3FD3">
        <w:rPr>
          <w:rFonts w:ascii="Arial" w:hAnsi="Arial" w:cs="Arial"/>
          <w:sz w:val="24"/>
          <w:szCs w:val="24"/>
        </w:rPr>
        <w:t>9. Recommendations for Improving Dementia Care</w:t>
      </w:r>
      <w:bookmarkEnd w:id="16"/>
      <w:bookmarkEnd w:id="17"/>
    </w:p>
    <w:p w14:paraId="37A5ED24" w14:textId="77777777" w:rsidR="006A650D" w:rsidRPr="004C3FD3" w:rsidRDefault="0062410B" w:rsidP="006A650D">
      <w:pPr>
        <w:spacing w:line="360" w:lineRule="auto"/>
        <w:jc w:val="both"/>
        <w:rPr>
          <w:rFonts w:ascii="Arial" w:hAnsi="Arial" w:cs="Arial"/>
          <w:sz w:val="24"/>
          <w:szCs w:val="24"/>
        </w:rPr>
      </w:pPr>
      <w:bookmarkStart w:id="18" w:name="_Toc231587158"/>
      <w:r w:rsidRPr="004C3FD3">
        <w:rPr>
          <w:rFonts w:ascii="Arial" w:hAnsi="Arial" w:cs="Arial"/>
          <w:sz w:val="24"/>
          <w:szCs w:val="24"/>
        </w:rPr>
        <w:t xml:space="preserve">There are three key priorities that need to be addressed in order to enhance the care of people with dementia. </w:t>
      </w:r>
    </w:p>
    <w:p w14:paraId="29A0CB6B" w14:textId="077A581A" w:rsidR="006A650D" w:rsidRPr="004C3FD3" w:rsidRDefault="0062410B" w:rsidP="006A650D">
      <w:pPr>
        <w:spacing w:line="360" w:lineRule="auto"/>
        <w:jc w:val="both"/>
        <w:rPr>
          <w:rFonts w:ascii="Arial" w:hAnsi="Arial" w:cs="Arial"/>
          <w:sz w:val="24"/>
          <w:szCs w:val="24"/>
        </w:rPr>
      </w:pPr>
      <w:r w:rsidRPr="004C3FD3">
        <w:rPr>
          <w:rFonts w:ascii="Arial" w:hAnsi="Arial" w:cs="Arial"/>
          <w:sz w:val="24"/>
          <w:szCs w:val="24"/>
        </w:rPr>
        <w:t>First</w:t>
      </w:r>
      <w:r w:rsidR="006A650D" w:rsidRPr="004C3FD3">
        <w:rPr>
          <w:rFonts w:ascii="Arial" w:hAnsi="Arial" w:cs="Arial"/>
          <w:sz w:val="24"/>
          <w:szCs w:val="24"/>
        </w:rPr>
        <w:t>ly</w:t>
      </w:r>
      <w:r w:rsidRPr="004C3FD3">
        <w:rPr>
          <w:rFonts w:ascii="Arial" w:hAnsi="Arial" w:cs="Arial"/>
          <w:sz w:val="24"/>
          <w:szCs w:val="24"/>
        </w:rPr>
        <w:t xml:space="preserve">, early diagnosis needs to be associated with early intervention, such as the process of risk assessment and family support and individual care planning. Diagnosis is not enough unless accompanied by the necessary post-diagnostic assistance. </w:t>
      </w:r>
    </w:p>
    <w:p w14:paraId="7B92362B" w14:textId="13378F82" w:rsidR="0062410B" w:rsidRPr="004C3FD3" w:rsidRDefault="0062410B" w:rsidP="006A650D">
      <w:pPr>
        <w:spacing w:line="360" w:lineRule="auto"/>
        <w:jc w:val="both"/>
        <w:rPr>
          <w:rFonts w:ascii="Arial" w:hAnsi="Arial" w:cs="Arial"/>
          <w:sz w:val="24"/>
          <w:szCs w:val="24"/>
        </w:rPr>
      </w:pPr>
      <w:r w:rsidRPr="004C3FD3">
        <w:rPr>
          <w:rFonts w:ascii="Arial" w:hAnsi="Arial" w:cs="Arial"/>
          <w:sz w:val="24"/>
          <w:szCs w:val="24"/>
        </w:rPr>
        <w:t>Second</w:t>
      </w:r>
      <w:r w:rsidR="006A650D" w:rsidRPr="004C3FD3">
        <w:rPr>
          <w:rFonts w:ascii="Arial" w:hAnsi="Arial" w:cs="Arial"/>
          <w:sz w:val="24"/>
          <w:szCs w:val="24"/>
        </w:rPr>
        <w:t>ly</w:t>
      </w:r>
      <w:r w:rsidRPr="004C3FD3">
        <w:rPr>
          <w:rFonts w:ascii="Arial" w:hAnsi="Arial" w:cs="Arial"/>
          <w:sz w:val="24"/>
          <w:szCs w:val="24"/>
        </w:rPr>
        <w:t xml:space="preserve">, self-management should be enhanced by making information accessible, educating the community, providing digital tools as appropriate and </w:t>
      </w:r>
      <w:r w:rsidRPr="004C3FD3">
        <w:rPr>
          <w:rFonts w:ascii="Arial" w:hAnsi="Arial" w:cs="Arial"/>
          <w:sz w:val="24"/>
          <w:szCs w:val="24"/>
        </w:rPr>
        <w:t>regularly revisiting individual goals (Rees et al., 2021).</w:t>
      </w:r>
    </w:p>
    <w:p w14:paraId="12F822A5" w14:textId="01FEBAB6" w:rsidR="0062410B" w:rsidRPr="004C3FD3" w:rsidRDefault="0062410B" w:rsidP="006A650D">
      <w:pPr>
        <w:spacing w:line="360" w:lineRule="auto"/>
        <w:jc w:val="both"/>
        <w:rPr>
          <w:rFonts w:ascii="Arial" w:hAnsi="Arial" w:cs="Arial"/>
          <w:sz w:val="24"/>
          <w:szCs w:val="24"/>
        </w:rPr>
      </w:pPr>
      <w:r w:rsidRPr="004C3FD3">
        <w:rPr>
          <w:rFonts w:ascii="Arial" w:hAnsi="Arial" w:cs="Arial"/>
          <w:sz w:val="24"/>
          <w:szCs w:val="24"/>
        </w:rPr>
        <w:t>Thirdly, more needs to be done to support family carers. Having access to respite services, psychological support, financial advice and behavioural management advice can lessen the burden of caregivers and avoid unnecessary institutionalisation</w:t>
      </w:r>
      <w:r w:rsidR="006A650D" w:rsidRPr="004C3FD3">
        <w:rPr>
          <w:rFonts w:ascii="Arial" w:hAnsi="Arial" w:cs="Arial"/>
          <w:sz w:val="24"/>
          <w:szCs w:val="24"/>
        </w:rPr>
        <w:t xml:space="preserve"> </w:t>
      </w:r>
      <w:r w:rsidRPr="004C3FD3">
        <w:rPr>
          <w:rFonts w:ascii="Arial" w:hAnsi="Arial" w:cs="Arial"/>
          <w:sz w:val="24"/>
          <w:szCs w:val="24"/>
        </w:rPr>
        <w:t>(Islam et al., 2025). Furthermore, advance care planning and initiating palliative care early can enhance quality of life for persons with dementia and their families throughout the course of the disease.</w:t>
      </w:r>
    </w:p>
    <w:p w14:paraId="63AAFCEB" w14:textId="77777777" w:rsidR="0062410B" w:rsidRPr="004C3FD3" w:rsidRDefault="0062410B" w:rsidP="006A650D">
      <w:pPr>
        <w:spacing w:line="360" w:lineRule="auto"/>
        <w:jc w:val="both"/>
        <w:rPr>
          <w:rFonts w:ascii="Arial" w:hAnsi="Arial" w:cs="Arial"/>
          <w:b/>
          <w:sz w:val="24"/>
          <w:szCs w:val="24"/>
        </w:rPr>
      </w:pPr>
      <w:r w:rsidRPr="004C3FD3">
        <w:rPr>
          <w:rFonts w:ascii="Arial" w:hAnsi="Arial" w:cs="Arial"/>
          <w:sz w:val="24"/>
          <w:szCs w:val="24"/>
        </w:rPr>
        <w:t>Overall, effective dementia care requires a coordinated, person-centred approach involving health, social care and community services. Along with diagnosis rates, successful prevention efforts, and service integration and accountability should be key priorities, and success should be measured by the quality of post-diagnostic services, experiences of carers, and the reduction in crisis admissions.</w:t>
      </w:r>
    </w:p>
    <w:p w14:paraId="28AB19A6" w14:textId="5CB33FFF" w:rsidR="003C41D1" w:rsidRPr="004C3FD3" w:rsidRDefault="001E5EB1" w:rsidP="006A650D">
      <w:pPr>
        <w:pStyle w:val="Heading1"/>
        <w:spacing w:line="360" w:lineRule="auto"/>
        <w:rPr>
          <w:rFonts w:ascii="Arial" w:hAnsi="Arial" w:cs="Arial"/>
          <w:sz w:val="24"/>
          <w:szCs w:val="24"/>
        </w:rPr>
      </w:pPr>
      <w:bookmarkStart w:id="19" w:name="_Toc231678398"/>
      <w:r w:rsidRPr="004C3FD3">
        <w:rPr>
          <w:rFonts w:ascii="Arial" w:hAnsi="Arial" w:cs="Arial"/>
          <w:sz w:val="24"/>
          <w:szCs w:val="24"/>
        </w:rPr>
        <w:t>Conclusion</w:t>
      </w:r>
      <w:bookmarkEnd w:id="18"/>
      <w:bookmarkEnd w:id="19"/>
    </w:p>
    <w:p w14:paraId="4617E5B5" w14:textId="77777777" w:rsidR="003B3012" w:rsidRPr="004C3FD3" w:rsidRDefault="003B3012" w:rsidP="006A650D">
      <w:pPr>
        <w:spacing w:line="360" w:lineRule="auto"/>
        <w:jc w:val="both"/>
        <w:rPr>
          <w:rFonts w:ascii="Arial" w:hAnsi="Arial" w:cs="Arial"/>
          <w:b/>
          <w:bCs/>
          <w:sz w:val="24"/>
          <w:szCs w:val="24"/>
        </w:rPr>
      </w:pPr>
      <w:r w:rsidRPr="004C3FD3">
        <w:rPr>
          <w:rFonts w:ascii="Arial" w:hAnsi="Arial" w:cs="Arial"/>
          <w:sz w:val="24"/>
          <w:szCs w:val="24"/>
        </w:rPr>
        <w:t xml:space="preserve">Dementia is an escalating long-term condition, and has significant implications for patients, carers and health systems. Burden of this is growing across the globe and also within the UK and recent evidence indicates that significant proportion of risk may be modifiable across the life course. </w:t>
      </w:r>
      <w:r w:rsidRPr="004C3FD3">
        <w:rPr>
          <w:rFonts w:ascii="Arial" w:hAnsi="Arial" w:cs="Arial"/>
          <w:sz w:val="24"/>
          <w:szCs w:val="24"/>
        </w:rPr>
        <w:lastRenderedPageBreak/>
        <w:t>Diagnosis isn't enough for effective care; a wider array of resources is needed. It needs co-ordinated assessment, person centred planning, carer support and implementation of carers' policies commensurate with resources. The best answer is one that addresses dementia as a clinical condition and one that is a social care challenge. That's the measure by which services should be measured.</w:t>
      </w:r>
    </w:p>
    <w:p w14:paraId="2535375B" w14:textId="77777777" w:rsidR="00B14E94" w:rsidRPr="004C3FD3" w:rsidRDefault="00B14E94" w:rsidP="006A650D">
      <w:pPr>
        <w:spacing w:line="360" w:lineRule="auto"/>
        <w:jc w:val="both"/>
        <w:rPr>
          <w:rFonts w:ascii="Arial" w:eastAsiaTheme="majorEastAsia" w:hAnsi="Arial" w:cs="Arial"/>
          <w:b/>
          <w:bCs/>
          <w:color w:val="365F91" w:themeColor="accent1" w:themeShade="BF"/>
          <w:sz w:val="24"/>
          <w:szCs w:val="24"/>
        </w:rPr>
      </w:pPr>
      <w:r w:rsidRPr="004C3FD3">
        <w:rPr>
          <w:rFonts w:ascii="Arial" w:hAnsi="Arial" w:cs="Arial"/>
          <w:sz w:val="24"/>
          <w:szCs w:val="24"/>
        </w:rPr>
        <w:br w:type="page"/>
      </w:r>
    </w:p>
    <w:p w14:paraId="7576EF68" w14:textId="51FE55FA" w:rsidR="003C41D1" w:rsidRPr="004C3FD3" w:rsidRDefault="001E5EB1" w:rsidP="006A650D">
      <w:pPr>
        <w:pStyle w:val="Heading1"/>
        <w:spacing w:line="360" w:lineRule="auto"/>
        <w:rPr>
          <w:rFonts w:ascii="Arial" w:hAnsi="Arial" w:cs="Arial"/>
          <w:sz w:val="24"/>
          <w:szCs w:val="24"/>
        </w:rPr>
      </w:pPr>
      <w:bookmarkStart w:id="20" w:name="_Toc231587159"/>
      <w:bookmarkStart w:id="21" w:name="_Toc231678399"/>
      <w:r w:rsidRPr="004C3FD3">
        <w:rPr>
          <w:rFonts w:ascii="Arial" w:hAnsi="Arial" w:cs="Arial"/>
          <w:sz w:val="24"/>
          <w:szCs w:val="24"/>
        </w:rPr>
        <w:lastRenderedPageBreak/>
        <w:t>References</w:t>
      </w:r>
      <w:bookmarkEnd w:id="20"/>
      <w:bookmarkEnd w:id="21"/>
    </w:p>
    <w:p w14:paraId="13B0B310" w14:textId="77777777" w:rsidR="00BA74DF" w:rsidRPr="004C3FD3" w:rsidRDefault="00BA74DF" w:rsidP="006A650D">
      <w:pPr>
        <w:pStyle w:val="ListNumber"/>
        <w:numPr>
          <w:ilvl w:val="0"/>
          <w:numId w:val="0"/>
        </w:numPr>
        <w:spacing w:after="20" w:line="360" w:lineRule="auto"/>
        <w:ind w:hanging="284"/>
        <w:jc w:val="both"/>
        <w:rPr>
          <w:rFonts w:ascii="Arial" w:hAnsi="Arial" w:cs="Arial"/>
          <w:sz w:val="24"/>
          <w:szCs w:val="24"/>
        </w:rPr>
      </w:pPr>
    </w:p>
    <w:p w14:paraId="7F1952FF"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Alghamdi, B.H. (2022) </w:t>
      </w:r>
      <w:r w:rsidRPr="004C3FD3">
        <w:rPr>
          <w:rFonts w:ascii="Arial" w:hAnsi="Arial" w:cs="Arial"/>
          <w:i/>
          <w:iCs/>
          <w:sz w:val="24"/>
          <w:szCs w:val="24"/>
        </w:rPr>
        <w:t>Delirium Management and Prevention in Hospitals: Evaluation of Clinical Needs and Design of a Conceptual Framework with a Conversational Agent</w:t>
      </w:r>
      <w:r w:rsidRPr="004C3FD3">
        <w:rPr>
          <w:rFonts w:ascii="Arial" w:hAnsi="Arial" w:cs="Arial"/>
          <w:sz w:val="24"/>
          <w:szCs w:val="24"/>
        </w:rPr>
        <w:t xml:space="preserve">. PhD thesis. Case Western Reserve University. Available at: </w:t>
      </w:r>
      <w:hyperlink r:id="rId14" w:tgtFrame="_new" w:history="1">
        <w:r w:rsidRPr="004C3FD3">
          <w:rPr>
            <w:rStyle w:val="Hyperlink"/>
            <w:rFonts w:ascii="Arial" w:hAnsi="Arial" w:cs="Arial"/>
            <w:sz w:val="24"/>
            <w:szCs w:val="24"/>
          </w:rPr>
          <w:t>https://www.proquest.com/openview/c35fc3e265fce2b2ced6561788dd3538/1</w:t>
        </w:r>
      </w:hyperlink>
      <w:r w:rsidRPr="004C3FD3">
        <w:rPr>
          <w:rFonts w:ascii="Arial" w:hAnsi="Arial" w:cs="Arial"/>
          <w:sz w:val="24"/>
          <w:szCs w:val="24"/>
        </w:rPr>
        <w:t xml:space="preserve"> (Accessed: 5 June 2026). </w:t>
      </w:r>
    </w:p>
    <w:p w14:paraId="09920903"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Alshizawi, A.I., Topiwala, I.M., </w:t>
      </w:r>
      <w:proofErr w:type="spellStart"/>
      <w:r w:rsidRPr="004C3FD3">
        <w:rPr>
          <w:rFonts w:ascii="Arial" w:hAnsi="Arial" w:cs="Arial"/>
          <w:sz w:val="24"/>
          <w:szCs w:val="24"/>
        </w:rPr>
        <w:t>Premvignesh</w:t>
      </w:r>
      <w:proofErr w:type="spellEnd"/>
      <w:r w:rsidRPr="004C3FD3">
        <w:rPr>
          <w:rFonts w:ascii="Arial" w:hAnsi="Arial" w:cs="Arial"/>
          <w:sz w:val="24"/>
          <w:szCs w:val="24"/>
        </w:rPr>
        <w:t xml:space="preserve">, P.A., Hameed, A.S.M., Alsaad, L.N., Sreedharan, J. and Muttappallymyalil, J. (2025) ‘Risk factors, early detection, and management of dementia in the geriatric population: a comprehensive narrative review’, </w:t>
      </w:r>
      <w:r w:rsidRPr="004C3FD3">
        <w:rPr>
          <w:rFonts w:ascii="Arial" w:hAnsi="Arial" w:cs="Arial"/>
          <w:i/>
          <w:iCs/>
          <w:sz w:val="24"/>
          <w:szCs w:val="24"/>
        </w:rPr>
        <w:t>Public Health</w:t>
      </w:r>
      <w:r w:rsidRPr="004C3FD3">
        <w:rPr>
          <w:rFonts w:ascii="Arial" w:hAnsi="Arial" w:cs="Arial"/>
          <w:sz w:val="24"/>
          <w:szCs w:val="24"/>
        </w:rPr>
        <w:t xml:space="preserve">, 13(6), pp. 1509–1521. Available at: </w:t>
      </w:r>
      <w:hyperlink r:id="rId15" w:tgtFrame="_new" w:history="1">
        <w:r w:rsidRPr="004C3FD3">
          <w:rPr>
            <w:rStyle w:val="Hyperlink"/>
            <w:rFonts w:ascii="Arial" w:hAnsi="Arial" w:cs="Arial"/>
            <w:sz w:val="24"/>
            <w:szCs w:val="24"/>
          </w:rPr>
          <w:t>https://www.researchgate.net/profile/Prasanna-Appiya-Premvignesh/publication/397322623_Risk_Factors_Early_Detection_and_Management_of_Dementia_in_the_Geriatric_Population_A_Comprehensive_Narrative_Review/links/690cc08ec900be105cbfccf7/Risk-Factors-Early-Detection-and-Management-of-Dementia-in-the-Geriatric-Population-A-Comprehensive-Narrative-Review.pdf</w:t>
        </w:r>
      </w:hyperlink>
      <w:r w:rsidRPr="004C3FD3">
        <w:rPr>
          <w:rFonts w:ascii="Arial" w:hAnsi="Arial" w:cs="Arial"/>
          <w:sz w:val="24"/>
          <w:szCs w:val="24"/>
        </w:rPr>
        <w:t xml:space="preserve"> (Accessed: 5 June 2026). </w:t>
      </w:r>
    </w:p>
    <w:p w14:paraId="42705BAE"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Alzheimer’s Disease International (2020) </w:t>
      </w:r>
      <w:r w:rsidRPr="004C3FD3">
        <w:rPr>
          <w:rFonts w:ascii="Arial" w:hAnsi="Arial" w:cs="Arial"/>
          <w:i/>
          <w:iCs/>
          <w:sz w:val="24"/>
          <w:szCs w:val="24"/>
        </w:rPr>
        <w:t>Numbers of people with dementia worldwide</w:t>
      </w:r>
      <w:r w:rsidRPr="004C3FD3">
        <w:rPr>
          <w:rFonts w:ascii="Arial" w:hAnsi="Arial" w:cs="Arial"/>
          <w:sz w:val="24"/>
          <w:szCs w:val="24"/>
        </w:rPr>
        <w:t xml:space="preserve">. London: Alzheimer’s Disease International. Available at: </w:t>
      </w:r>
      <w:hyperlink r:id="rId16" w:tgtFrame="_new" w:history="1">
        <w:r w:rsidRPr="004C3FD3">
          <w:rPr>
            <w:rStyle w:val="Hyperlink"/>
            <w:rFonts w:ascii="Arial" w:hAnsi="Arial" w:cs="Arial"/>
            <w:sz w:val="24"/>
            <w:szCs w:val="24"/>
          </w:rPr>
          <w:t>https://www.alzint.org/resource/numbers-of-people-with-dementia-worldwide/</w:t>
        </w:r>
      </w:hyperlink>
      <w:r w:rsidRPr="004C3FD3">
        <w:rPr>
          <w:rFonts w:ascii="Arial" w:hAnsi="Arial" w:cs="Arial"/>
          <w:sz w:val="24"/>
          <w:szCs w:val="24"/>
        </w:rPr>
        <w:t xml:space="preserve"> (Accessed: 5 June 2026).</w:t>
      </w:r>
    </w:p>
    <w:p w14:paraId="6B7A06C3"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Alzheimer’s Society (2024) </w:t>
      </w:r>
      <w:r w:rsidRPr="004C3FD3">
        <w:rPr>
          <w:rFonts w:ascii="Arial" w:hAnsi="Arial" w:cs="Arial"/>
          <w:i/>
          <w:iCs/>
          <w:sz w:val="24"/>
          <w:szCs w:val="24"/>
        </w:rPr>
        <w:t>What is dementia? Factsheet 400</w:t>
      </w:r>
      <w:r w:rsidRPr="004C3FD3">
        <w:rPr>
          <w:rFonts w:ascii="Arial" w:hAnsi="Arial" w:cs="Arial"/>
          <w:sz w:val="24"/>
          <w:szCs w:val="24"/>
        </w:rPr>
        <w:t xml:space="preserve">. London: Alzheimer’s Society. Available at: </w:t>
      </w:r>
      <w:hyperlink r:id="rId17" w:tgtFrame="_new" w:history="1">
        <w:r w:rsidRPr="004C3FD3">
          <w:rPr>
            <w:rStyle w:val="Hyperlink"/>
            <w:rFonts w:ascii="Arial" w:hAnsi="Arial" w:cs="Arial"/>
            <w:sz w:val="24"/>
            <w:szCs w:val="24"/>
          </w:rPr>
          <w:t>https://www.alzheimers.org.uk/about-dementia/types-dementia/what-dementia</w:t>
        </w:r>
      </w:hyperlink>
      <w:r w:rsidRPr="004C3FD3">
        <w:rPr>
          <w:rFonts w:ascii="Arial" w:hAnsi="Arial" w:cs="Arial"/>
          <w:sz w:val="24"/>
          <w:szCs w:val="24"/>
        </w:rPr>
        <w:t xml:space="preserve"> (Accessed: 5 June 2026). </w:t>
      </w:r>
    </w:p>
    <w:p w14:paraId="43625DE7"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Burley, C.V., Casey, A.N., Chenoweth, L. and Brodaty, H. (2021) ‘Reconceptualising </w:t>
      </w:r>
      <w:proofErr w:type="spellStart"/>
      <w:r w:rsidRPr="004C3FD3">
        <w:rPr>
          <w:rFonts w:ascii="Arial" w:hAnsi="Arial" w:cs="Arial"/>
          <w:sz w:val="24"/>
          <w:szCs w:val="24"/>
        </w:rPr>
        <w:t>behavioral</w:t>
      </w:r>
      <w:proofErr w:type="spellEnd"/>
      <w:r w:rsidRPr="004C3FD3">
        <w:rPr>
          <w:rFonts w:ascii="Arial" w:hAnsi="Arial" w:cs="Arial"/>
          <w:sz w:val="24"/>
          <w:szCs w:val="24"/>
        </w:rPr>
        <w:t xml:space="preserve"> and psychological symptoms of dementia: views of people living with dementia and families/care partners’, </w:t>
      </w:r>
      <w:r w:rsidRPr="004C3FD3">
        <w:rPr>
          <w:rFonts w:ascii="Arial" w:hAnsi="Arial" w:cs="Arial"/>
          <w:i/>
          <w:iCs/>
          <w:sz w:val="24"/>
          <w:szCs w:val="24"/>
        </w:rPr>
        <w:t>Frontiers in Psychiatry</w:t>
      </w:r>
      <w:r w:rsidRPr="004C3FD3">
        <w:rPr>
          <w:rFonts w:ascii="Arial" w:hAnsi="Arial" w:cs="Arial"/>
          <w:sz w:val="24"/>
          <w:szCs w:val="24"/>
        </w:rPr>
        <w:t xml:space="preserve">, 12, p. 710703. Available at: </w:t>
      </w:r>
      <w:hyperlink r:id="rId18" w:tgtFrame="_new" w:history="1">
        <w:r w:rsidRPr="004C3FD3">
          <w:rPr>
            <w:rStyle w:val="Hyperlink"/>
            <w:rFonts w:ascii="Arial" w:hAnsi="Arial" w:cs="Arial"/>
            <w:sz w:val="24"/>
            <w:szCs w:val="24"/>
          </w:rPr>
          <w:t>https://www.frontiersin.org/journals/psychiatry/articles/10.3389/fpsyt.2021.710703/full</w:t>
        </w:r>
      </w:hyperlink>
      <w:r w:rsidRPr="004C3FD3">
        <w:rPr>
          <w:rFonts w:ascii="Arial" w:hAnsi="Arial" w:cs="Arial"/>
          <w:sz w:val="24"/>
          <w:szCs w:val="24"/>
        </w:rPr>
        <w:t xml:space="preserve"> (Accessed: 5 June 2026). </w:t>
      </w:r>
    </w:p>
    <w:p w14:paraId="2FB93286"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Chenoweth, L., Stein-Parbury, J., Lapkin, S., Wang, A., Liu, Z. and Williams, A. (2019) ‘Effects of person-centred care at the organisational level for people with dementia: a systematic review’, </w:t>
      </w:r>
      <w:r w:rsidRPr="004C3FD3">
        <w:rPr>
          <w:rFonts w:ascii="Arial" w:hAnsi="Arial" w:cs="Arial"/>
          <w:i/>
          <w:iCs/>
          <w:sz w:val="24"/>
          <w:szCs w:val="24"/>
        </w:rPr>
        <w:t>PLOS ONE</w:t>
      </w:r>
      <w:r w:rsidRPr="004C3FD3">
        <w:rPr>
          <w:rFonts w:ascii="Arial" w:hAnsi="Arial" w:cs="Arial"/>
          <w:sz w:val="24"/>
          <w:szCs w:val="24"/>
        </w:rPr>
        <w:t xml:space="preserve">, 14(2), p. e0212686. Available at: </w:t>
      </w:r>
      <w:hyperlink r:id="rId19" w:tgtFrame="_new" w:history="1">
        <w:r w:rsidRPr="004C3FD3">
          <w:rPr>
            <w:rStyle w:val="Hyperlink"/>
            <w:rFonts w:ascii="Arial" w:hAnsi="Arial" w:cs="Arial"/>
            <w:sz w:val="24"/>
            <w:szCs w:val="24"/>
          </w:rPr>
          <w:t>https://doi.org/10.1371/journal.pone.0212686</w:t>
        </w:r>
      </w:hyperlink>
      <w:r w:rsidRPr="004C3FD3">
        <w:rPr>
          <w:rFonts w:ascii="Arial" w:hAnsi="Arial" w:cs="Arial"/>
          <w:sz w:val="24"/>
          <w:szCs w:val="24"/>
        </w:rPr>
        <w:t xml:space="preserve"> (Accessed: 5 June 2026). </w:t>
      </w:r>
    </w:p>
    <w:p w14:paraId="6ED3FCB8"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lastRenderedPageBreak/>
        <w:t xml:space="preserve">Choudery, E. (2022) </w:t>
      </w:r>
      <w:r w:rsidRPr="004C3FD3">
        <w:rPr>
          <w:rFonts w:ascii="Arial" w:hAnsi="Arial" w:cs="Arial"/>
          <w:i/>
          <w:iCs/>
          <w:sz w:val="24"/>
          <w:szCs w:val="24"/>
        </w:rPr>
        <w:t>Facilitating Speech Pathologists’ Role in Working with People with Dementia</w:t>
      </w:r>
      <w:r w:rsidRPr="004C3FD3">
        <w:rPr>
          <w:rFonts w:ascii="Arial" w:hAnsi="Arial" w:cs="Arial"/>
          <w:sz w:val="24"/>
          <w:szCs w:val="24"/>
        </w:rPr>
        <w:t xml:space="preserve">. PhD thesis. University of Newcastle, NSW. </w:t>
      </w:r>
    </w:p>
    <w:p w14:paraId="559307F8"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Henni Rached, I. and Ullmer, V.F. (2025) ‘Healthcare professionals’ perspectives on contextual factors related to (re)referral and (re)admission to geriatric psychiatry of people with dementia and behaviour that challenges living in nursing homes in Germany: a qualitative study’, </w:t>
      </w:r>
      <w:r w:rsidRPr="004C3FD3">
        <w:rPr>
          <w:rFonts w:ascii="Arial" w:hAnsi="Arial" w:cs="Arial"/>
          <w:i/>
          <w:iCs/>
          <w:sz w:val="24"/>
          <w:szCs w:val="24"/>
        </w:rPr>
        <w:t>BMC Nursing</w:t>
      </w:r>
      <w:r w:rsidRPr="004C3FD3">
        <w:rPr>
          <w:rFonts w:ascii="Arial" w:hAnsi="Arial" w:cs="Arial"/>
          <w:sz w:val="24"/>
          <w:szCs w:val="24"/>
        </w:rPr>
        <w:t xml:space="preserve">, 24(1), p. 1488. Available at: </w:t>
      </w:r>
      <w:hyperlink r:id="rId20" w:tgtFrame="_new" w:history="1">
        <w:r w:rsidRPr="004C3FD3">
          <w:rPr>
            <w:rStyle w:val="Hyperlink"/>
            <w:rFonts w:ascii="Arial" w:hAnsi="Arial" w:cs="Arial"/>
            <w:sz w:val="24"/>
            <w:szCs w:val="24"/>
          </w:rPr>
          <w:t>https://link.springer.com/article/10.1186/s12912-025-04117-2</w:t>
        </w:r>
      </w:hyperlink>
      <w:r w:rsidRPr="004C3FD3">
        <w:rPr>
          <w:rFonts w:ascii="Arial" w:hAnsi="Arial" w:cs="Arial"/>
          <w:sz w:val="24"/>
          <w:szCs w:val="24"/>
        </w:rPr>
        <w:t xml:space="preserve"> (Accessed: 5 June 2026). </w:t>
      </w:r>
    </w:p>
    <w:p w14:paraId="04A588F1"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Islam, M.N., Musarrat, P., Konradsen, H., Tyrrell, M., Roy, A., Anik, A.I. and Kabir, Z.N. (2025) ‘Impact of </w:t>
      </w:r>
      <w:proofErr w:type="spellStart"/>
      <w:r w:rsidRPr="004C3FD3">
        <w:rPr>
          <w:rFonts w:ascii="Arial" w:hAnsi="Arial" w:cs="Arial"/>
          <w:sz w:val="24"/>
          <w:szCs w:val="24"/>
        </w:rPr>
        <w:t>iSupport</w:t>
      </w:r>
      <w:proofErr w:type="spellEnd"/>
      <w:r w:rsidRPr="004C3FD3">
        <w:rPr>
          <w:rFonts w:ascii="Arial" w:hAnsi="Arial" w:cs="Arial"/>
          <w:sz w:val="24"/>
          <w:szCs w:val="24"/>
        </w:rPr>
        <w:t xml:space="preserve"> on improving knowledge on dementia and dementia care among family caregivers to persons with dementia and formal caregivers in Bangladesh: protocol for a non-randomized feasibility study’, </w:t>
      </w:r>
      <w:r w:rsidRPr="004C3FD3">
        <w:rPr>
          <w:rFonts w:ascii="Arial" w:hAnsi="Arial" w:cs="Arial"/>
          <w:i/>
          <w:iCs/>
          <w:sz w:val="24"/>
          <w:szCs w:val="24"/>
        </w:rPr>
        <w:t>PLOS ONE</w:t>
      </w:r>
      <w:r w:rsidRPr="004C3FD3">
        <w:rPr>
          <w:rFonts w:ascii="Arial" w:hAnsi="Arial" w:cs="Arial"/>
          <w:sz w:val="24"/>
          <w:szCs w:val="24"/>
        </w:rPr>
        <w:t xml:space="preserve">, 20(6), p. e0326207. Available at: </w:t>
      </w:r>
      <w:hyperlink r:id="rId21" w:tgtFrame="_new" w:history="1">
        <w:r w:rsidRPr="004C3FD3">
          <w:rPr>
            <w:rStyle w:val="Hyperlink"/>
            <w:rFonts w:ascii="Arial" w:hAnsi="Arial" w:cs="Arial"/>
            <w:sz w:val="24"/>
            <w:szCs w:val="24"/>
          </w:rPr>
          <w:t>https://doi.org/10.1371/journal.pone.0326207</w:t>
        </w:r>
      </w:hyperlink>
      <w:r w:rsidRPr="004C3FD3">
        <w:rPr>
          <w:rFonts w:ascii="Arial" w:hAnsi="Arial" w:cs="Arial"/>
          <w:sz w:val="24"/>
          <w:szCs w:val="24"/>
        </w:rPr>
        <w:t xml:space="preserve"> (Accessed: 5 June 2026). </w:t>
      </w:r>
    </w:p>
    <w:p w14:paraId="5D8342D7"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Kang, N., Deng, J., Li, P., Zhong, M., Wang, H., Xue, T. and Zhu, T. (2026) ‘Trends of PM2.5-attributable dementia deaths in the context of population ageing in China, 2000–60: a health impact assessment’, </w:t>
      </w:r>
      <w:r w:rsidRPr="004C3FD3">
        <w:rPr>
          <w:rFonts w:ascii="Arial" w:hAnsi="Arial" w:cs="Arial"/>
          <w:i/>
          <w:iCs/>
          <w:sz w:val="24"/>
          <w:szCs w:val="24"/>
        </w:rPr>
        <w:t xml:space="preserve">The Lancet </w:t>
      </w:r>
      <w:r w:rsidRPr="004C3FD3">
        <w:rPr>
          <w:rFonts w:ascii="Arial" w:hAnsi="Arial" w:cs="Arial"/>
          <w:i/>
          <w:iCs/>
          <w:sz w:val="24"/>
          <w:szCs w:val="24"/>
        </w:rPr>
        <w:t>Healthy Longevity</w:t>
      </w:r>
      <w:r w:rsidRPr="004C3FD3">
        <w:rPr>
          <w:rFonts w:ascii="Arial" w:hAnsi="Arial" w:cs="Arial"/>
          <w:sz w:val="24"/>
          <w:szCs w:val="24"/>
        </w:rPr>
        <w:t xml:space="preserve">. Available at: </w:t>
      </w:r>
      <w:hyperlink r:id="rId22" w:tgtFrame="_new" w:history="1">
        <w:r w:rsidRPr="004C3FD3">
          <w:rPr>
            <w:rStyle w:val="Hyperlink"/>
            <w:rFonts w:ascii="Arial" w:hAnsi="Arial" w:cs="Arial"/>
            <w:sz w:val="24"/>
            <w:szCs w:val="24"/>
          </w:rPr>
          <w:t>https://www.thelancet.com/action/showPdf?pii=S2666-7568%2826%2900025-5</w:t>
        </w:r>
      </w:hyperlink>
      <w:r w:rsidRPr="004C3FD3">
        <w:rPr>
          <w:rFonts w:ascii="Arial" w:hAnsi="Arial" w:cs="Arial"/>
          <w:sz w:val="24"/>
          <w:szCs w:val="24"/>
        </w:rPr>
        <w:t xml:space="preserve"> (Accessed: 5 June 2026). </w:t>
      </w:r>
    </w:p>
    <w:p w14:paraId="0FA82247"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proofErr w:type="spellStart"/>
      <w:r w:rsidRPr="004C3FD3">
        <w:rPr>
          <w:rFonts w:ascii="Arial" w:hAnsi="Arial" w:cs="Arial"/>
          <w:sz w:val="24"/>
          <w:szCs w:val="24"/>
        </w:rPr>
        <w:t>Lindeza</w:t>
      </w:r>
      <w:proofErr w:type="spellEnd"/>
      <w:r w:rsidRPr="004C3FD3">
        <w:rPr>
          <w:rFonts w:ascii="Arial" w:hAnsi="Arial" w:cs="Arial"/>
          <w:sz w:val="24"/>
          <w:szCs w:val="24"/>
        </w:rPr>
        <w:t xml:space="preserve">, P., Rodrigues, M., Costa, J., Guerreiro, M. and Rosa, M.M. (2020) ‘Impact of dementia on informal care: a systematic review of family caregivers’ perceptions’, </w:t>
      </w:r>
      <w:r w:rsidRPr="004C3FD3">
        <w:rPr>
          <w:rFonts w:ascii="Arial" w:hAnsi="Arial" w:cs="Arial"/>
          <w:i/>
          <w:iCs/>
          <w:sz w:val="24"/>
          <w:szCs w:val="24"/>
        </w:rPr>
        <w:t>BMJ Supportive &amp; Palliative Care</w:t>
      </w:r>
      <w:r w:rsidRPr="004C3FD3">
        <w:rPr>
          <w:rFonts w:ascii="Arial" w:hAnsi="Arial" w:cs="Arial"/>
          <w:sz w:val="24"/>
          <w:szCs w:val="24"/>
        </w:rPr>
        <w:t xml:space="preserve">, 14(e1), pp. e38–e49. Available at: </w:t>
      </w:r>
      <w:hyperlink r:id="rId23" w:tgtFrame="_new" w:history="1">
        <w:r w:rsidRPr="004C3FD3">
          <w:rPr>
            <w:rStyle w:val="Hyperlink"/>
            <w:rFonts w:ascii="Arial" w:hAnsi="Arial" w:cs="Arial"/>
            <w:sz w:val="24"/>
            <w:szCs w:val="24"/>
          </w:rPr>
          <w:t>https://spcare.bmj.com/content/bmjspcare/14/e1/e38.full.pdf</w:t>
        </w:r>
      </w:hyperlink>
      <w:r w:rsidRPr="004C3FD3">
        <w:rPr>
          <w:rFonts w:ascii="Arial" w:hAnsi="Arial" w:cs="Arial"/>
          <w:sz w:val="24"/>
          <w:szCs w:val="24"/>
        </w:rPr>
        <w:t xml:space="preserve"> (Accessed: 5 June 2026). </w:t>
      </w:r>
    </w:p>
    <w:p w14:paraId="4037AE0C"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Livingston, G. et al. (2024) ‘Risk factors for dementia: 2024 update’, </w:t>
      </w:r>
      <w:r w:rsidRPr="004C3FD3">
        <w:rPr>
          <w:rFonts w:ascii="Arial" w:hAnsi="Arial" w:cs="Arial"/>
          <w:i/>
          <w:iCs/>
          <w:sz w:val="24"/>
          <w:szCs w:val="24"/>
        </w:rPr>
        <w:t>The Lancet</w:t>
      </w:r>
      <w:r w:rsidRPr="004C3FD3">
        <w:rPr>
          <w:rFonts w:ascii="Arial" w:hAnsi="Arial" w:cs="Arial"/>
          <w:sz w:val="24"/>
          <w:szCs w:val="24"/>
        </w:rPr>
        <w:t xml:space="preserve">, 404, pp. 572–628. Available at: </w:t>
      </w:r>
      <w:hyperlink r:id="rId24" w:tgtFrame="_new" w:history="1">
        <w:r w:rsidRPr="004C3FD3">
          <w:rPr>
            <w:rStyle w:val="Hyperlink"/>
            <w:rFonts w:ascii="Arial" w:hAnsi="Arial" w:cs="Arial"/>
            <w:sz w:val="24"/>
            <w:szCs w:val="24"/>
          </w:rPr>
          <w:t>https://neuroexeltis.es/wp-content/uploads/2025/04/Livingston_2024_LANCET_Prevention_Dementia.pdf</w:t>
        </w:r>
      </w:hyperlink>
      <w:r w:rsidRPr="004C3FD3">
        <w:rPr>
          <w:rFonts w:ascii="Arial" w:hAnsi="Arial" w:cs="Arial"/>
          <w:sz w:val="24"/>
          <w:szCs w:val="24"/>
        </w:rPr>
        <w:t xml:space="preserve"> (Accessed: 5 June 2026). </w:t>
      </w:r>
    </w:p>
    <w:p w14:paraId="331CDB4D"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Livingston, G., Huntley, J., </w:t>
      </w:r>
      <w:proofErr w:type="spellStart"/>
      <w:r w:rsidRPr="004C3FD3">
        <w:rPr>
          <w:rFonts w:ascii="Arial" w:hAnsi="Arial" w:cs="Arial"/>
          <w:sz w:val="24"/>
          <w:szCs w:val="24"/>
        </w:rPr>
        <w:t>Sommerlad</w:t>
      </w:r>
      <w:proofErr w:type="spellEnd"/>
      <w:r w:rsidRPr="004C3FD3">
        <w:rPr>
          <w:rFonts w:ascii="Arial" w:hAnsi="Arial" w:cs="Arial"/>
          <w:sz w:val="24"/>
          <w:szCs w:val="24"/>
        </w:rPr>
        <w:t xml:space="preserve">, A., Ames, D., Ballard, C., Banerjee, S., </w:t>
      </w:r>
      <w:proofErr w:type="spellStart"/>
      <w:r w:rsidRPr="004C3FD3">
        <w:rPr>
          <w:rFonts w:ascii="Arial" w:hAnsi="Arial" w:cs="Arial"/>
          <w:sz w:val="24"/>
          <w:szCs w:val="24"/>
        </w:rPr>
        <w:t>Brayne</w:t>
      </w:r>
      <w:proofErr w:type="spellEnd"/>
      <w:r w:rsidRPr="004C3FD3">
        <w:rPr>
          <w:rFonts w:ascii="Arial" w:hAnsi="Arial" w:cs="Arial"/>
          <w:sz w:val="24"/>
          <w:szCs w:val="24"/>
        </w:rPr>
        <w:t xml:space="preserve">, C., Burns, A., Cohen-Mansfield, J., Cooper, C. and </w:t>
      </w:r>
      <w:proofErr w:type="spellStart"/>
      <w:r w:rsidRPr="004C3FD3">
        <w:rPr>
          <w:rFonts w:ascii="Arial" w:hAnsi="Arial" w:cs="Arial"/>
          <w:sz w:val="24"/>
          <w:szCs w:val="24"/>
        </w:rPr>
        <w:t>Costafreda</w:t>
      </w:r>
      <w:proofErr w:type="spellEnd"/>
      <w:r w:rsidRPr="004C3FD3">
        <w:rPr>
          <w:rFonts w:ascii="Arial" w:hAnsi="Arial" w:cs="Arial"/>
          <w:sz w:val="24"/>
          <w:szCs w:val="24"/>
        </w:rPr>
        <w:t xml:space="preserve">, S.G. (2020) ‘Dementia prevention, intervention, and care: 2020 report of the Lancet Commission’, </w:t>
      </w:r>
      <w:r w:rsidRPr="004C3FD3">
        <w:rPr>
          <w:rFonts w:ascii="Arial" w:hAnsi="Arial" w:cs="Arial"/>
          <w:i/>
          <w:iCs/>
          <w:sz w:val="24"/>
          <w:szCs w:val="24"/>
        </w:rPr>
        <w:t>The Lancet</w:t>
      </w:r>
      <w:r w:rsidRPr="004C3FD3">
        <w:rPr>
          <w:rFonts w:ascii="Arial" w:hAnsi="Arial" w:cs="Arial"/>
          <w:sz w:val="24"/>
          <w:szCs w:val="24"/>
        </w:rPr>
        <w:t xml:space="preserve">, 396(10248), pp. 413–446. Available at: </w:t>
      </w:r>
      <w:hyperlink r:id="rId25" w:tgtFrame="_new" w:history="1">
        <w:r w:rsidRPr="004C3FD3">
          <w:rPr>
            <w:rStyle w:val="Hyperlink"/>
            <w:rFonts w:ascii="Arial" w:hAnsi="Arial" w:cs="Arial"/>
            <w:sz w:val="24"/>
            <w:szCs w:val="24"/>
          </w:rPr>
          <w:t>https://www.thelancet.com/action/showPdf?pii=S0140-6736%2820%2930367-6</w:t>
        </w:r>
      </w:hyperlink>
      <w:r w:rsidRPr="004C3FD3">
        <w:rPr>
          <w:rFonts w:ascii="Arial" w:hAnsi="Arial" w:cs="Arial"/>
          <w:sz w:val="24"/>
          <w:szCs w:val="24"/>
        </w:rPr>
        <w:t xml:space="preserve"> (Accessed: 5 June 2026). </w:t>
      </w:r>
    </w:p>
    <w:p w14:paraId="7515E3C0"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lastRenderedPageBreak/>
        <w:t xml:space="preserve">Low, L.F., Duckworth, T.J., King, L., Gresham, M., Phillipson, L., Jeon, Y.H. and Brodaty, H. (2023) ‘Care planning for community-dwelling people with dementia: a systematic scoping review’, </w:t>
      </w:r>
      <w:r w:rsidRPr="004C3FD3">
        <w:rPr>
          <w:rFonts w:ascii="Arial" w:hAnsi="Arial" w:cs="Arial"/>
          <w:i/>
          <w:iCs/>
          <w:sz w:val="24"/>
          <w:szCs w:val="24"/>
        </w:rPr>
        <w:t>Health &amp; Social Care in the Community</w:t>
      </w:r>
      <w:r w:rsidRPr="004C3FD3">
        <w:rPr>
          <w:rFonts w:ascii="Arial" w:hAnsi="Arial" w:cs="Arial"/>
          <w:sz w:val="24"/>
          <w:szCs w:val="24"/>
        </w:rPr>
        <w:t xml:space="preserve">, 2023(1), p. 4674120. Available at: </w:t>
      </w:r>
      <w:hyperlink r:id="rId26" w:tgtFrame="_new" w:history="1">
        <w:r w:rsidRPr="004C3FD3">
          <w:rPr>
            <w:rStyle w:val="Hyperlink"/>
            <w:rFonts w:ascii="Arial" w:hAnsi="Arial" w:cs="Arial"/>
            <w:sz w:val="24"/>
            <w:szCs w:val="24"/>
          </w:rPr>
          <w:t>https://doi.org/10.1155/2023/4674120</w:t>
        </w:r>
      </w:hyperlink>
      <w:r w:rsidRPr="004C3FD3">
        <w:rPr>
          <w:rFonts w:ascii="Arial" w:hAnsi="Arial" w:cs="Arial"/>
          <w:sz w:val="24"/>
          <w:szCs w:val="24"/>
        </w:rPr>
        <w:t xml:space="preserve"> (Accessed: 5 June 2026). </w:t>
      </w:r>
    </w:p>
    <w:p w14:paraId="63CF213A"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National Institute for Health and Care Excellence (2018) </w:t>
      </w:r>
      <w:r w:rsidRPr="004C3FD3">
        <w:rPr>
          <w:rFonts w:ascii="Arial" w:hAnsi="Arial" w:cs="Arial"/>
          <w:i/>
          <w:iCs/>
          <w:sz w:val="24"/>
          <w:szCs w:val="24"/>
        </w:rPr>
        <w:t>Dementia: Assessment, Management and Support for People Living with Dementia and Their Carers (NG97)</w:t>
      </w:r>
      <w:r w:rsidRPr="004C3FD3">
        <w:rPr>
          <w:rFonts w:ascii="Arial" w:hAnsi="Arial" w:cs="Arial"/>
          <w:sz w:val="24"/>
          <w:szCs w:val="24"/>
        </w:rPr>
        <w:t xml:space="preserve">. London: NICE. Available at: </w:t>
      </w:r>
      <w:hyperlink r:id="rId27" w:tgtFrame="_new" w:history="1">
        <w:r w:rsidRPr="004C3FD3">
          <w:rPr>
            <w:rStyle w:val="Hyperlink"/>
            <w:rFonts w:ascii="Arial" w:hAnsi="Arial" w:cs="Arial"/>
            <w:sz w:val="24"/>
            <w:szCs w:val="24"/>
          </w:rPr>
          <w:t>https://www.nice.org.uk/guidance/ng97/resources/dementia-assessment-management-and-support-for-people-living-with-dementia-and-their-carers-pdf-1837760199109</w:t>
        </w:r>
      </w:hyperlink>
      <w:r w:rsidRPr="004C3FD3">
        <w:rPr>
          <w:rFonts w:ascii="Arial" w:hAnsi="Arial" w:cs="Arial"/>
          <w:sz w:val="24"/>
          <w:szCs w:val="24"/>
        </w:rPr>
        <w:t xml:space="preserve"> (Accessed: 5 June 2026). </w:t>
      </w:r>
    </w:p>
    <w:p w14:paraId="1C3A9E3E"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NHS England (2025) </w:t>
      </w:r>
      <w:r w:rsidRPr="004C3FD3">
        <w:rPr>
          <w:rFonts w:ascii="Arial" w:hAnsi="Arial" w:cs="Arial"/>
          <w:i/>
          <w:iCs/>
          <w:sz w:val="24"/>
          <w:szCs w:val="24"/>
        </w:rPr>
        <w:t>NHS England planning guidance for 2025 and 2026: Easy read version</w:t>
      </w:r>
      <w:r w:rsidRPr="004C3FD3">
        <w:rPr>
          <w:rFonts w:ascii="Arial" w:hAnsi="Arial" w:cs="Arial"/>
          <w:sz w:val="24"/>
          <w:szCs w:val="24"/>
        </w:rPr>
        <w:t xml:space="preserve">. London: NHS England. Available at: </w:t>
      </w:r>
      <w:hyperlink r:id="rId28" w:tgtFrame="_new" w:history="1">
        <w:r w:rsidRPr="004C3FD3">
          <w:rPr>
            <w:rStyle w:val="Hyperlink"/>
            <w:rFonts w:ascii="Arial" w:hAnsi="Arial" w:cs="Arial"/>
            <w:sz w:val="24"/>
            <w:szCs w:val="24"/>
          </w:rPr>
          <w:t>https://www.england.nhs.uk/wp-content/uploads/2025/01/NHS-England-planning-guidance-for-2025-and-2026-easy-read-.pdf</w:t>
        </w:r>
      </w:hyperlink>
      <w:r w:rsidRPr="004C3FD3">
        <w:rPr>
          <w:rFonts w:ascii="Arial" w:hAnsi="Arial" w:cs="Arial"/>
          <w:sz w:val="24"/>
          <w:szCs w:val="24"/>
        </w:rPr>
        <w:t xml:space="preserve"> (Accessed: 5 June 2026). </w:t>
      </w:r>
    </w:p>
    <w:p w14:paraId="0FD560C8"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Oung, C., </w:t>
      </w:r>
      <w:proofErr w:type="spellStart"/>
      <w:r w:rsidRPr="004C3FD3">
        <w:rPr>
          <w:rFonts w:ascii="Arial" w:hAnsi="Arial" w:cs="Arial"/>
          <w:sz w:val="24"/>
          <w:szCs w:val="24"/>
        </w:rPr>
        <w:t>Lobont</w:t>
      </w:r>
      <w:proofErr w:type="spellEnd"/>
      <w:r w:rsidRPr="004C3FD3">
        <w:rPr>
          <w:rFonts w:ascii="Arial" w:hAnsi="Arial" w:cs="Arial"/>
          <w:sz w:val="24"/>
          <w:szCs w:val="24"/>
        </w:rPr>
        <w:t xml:space="preserve">, C. and Curry, N. (2024) </w:t>
      </w:r>
      <w:r w:rsidRPr="004C3FD3">
        <w:rPr>
          <w:rFonts w:ascii="Arial" w:hAnsi="Arial" w:cs="Arial"/>
          <w:i/>
          <w:iCs/>
          <w:sz w:val="24"/>
          <w:szCs w:val="24"/>
        </w:rPr>
        <w:t xml:space="preserve">What Needs to Improve for Social Care to Better Support People with </w:t>
      </w:r>
      <w:r w:rsidRPr="004C3FD3">
        <w:rPr>
          <w:rFonts w:ascii="Arial" w:hAnsi="Arial" w:cs="Arial"/>
          <w:i/>
          <w:iCs/>
          <w:sz w:val="24"/>
          <w:szCs w:val="24"/>
        </w:rPr>
        <w:t>Dementia</w:t>
      </w:r>
      <w:r w:rsidRPr="004C3FD3">
        <w:rPr>
          <w:rFonts w:ascii="Arial" w:hAnsi="Arial" w:cs="Arial"/>
          <w:sz w:val="24"/>
          <w:szCs w:val="24"/>
        </w:rPr>
        <w:t xml:space="preserve">. London: Nuffield Trust. Available at: </w:t>
      </w:r>
      <w:hyperlink r:id="rId29" w:tgtFrame="_new" w:history="1">
        <w:r w:rsidRPr="004C3FD3">
          <w:rPr>
            <w:rStyle w:val="Hyperlink"/>
            <w:rFonts w:ascii="Arial" w:hAnsi="Arial" w:cs="Arial"/>
            <w:sz w:val="24"/>
            <w:szCs w:val="24"/>
          </w:rPr>
          <w:t>https://www.nuffieldtrust.org.uk/sites/default/files/2024-11/Nuffield%20Trust%20-%20Dementia%20and%20social%20care_WEB_0.pdf</w:t>
        </w:r>
      </w:hyperlink>
      <w:r w:rsidRPr="004C3FD3">
        <w:rPr>
          <w:rFonts w:ascii="Arial" w:hAnsi="Arial" w:cs="Arial"/>
          <w:sz w:val="24"/>
          <w:szCs w:val="24"/>
        </w:rPr>
        <w:t xml:space="preserve"> (Accessed: 5 June 2026). </w:t>
      </w:r>
    </w:p>
    <w:p w14:paraId="07EE8B3D"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Pathak, K.P. (2018) </w:t>
      </w:r>
      <w:r w:rsidRPr="004C3FD3">
        <w:rPr>
          <w:rFonts w:ascii="Arial" w:hAnsi="Arial" w:cs="Arial"/>
          <w:i/>
          <w:iCs/>
          <w:sz w:val="24"/>
          <w:szCs w:val="24"/>
        </w:rPr>
        <w:t>An Overview of Dementia</w:t>
      </w:r>
      <w:r w:rsidRPr="004C3FD3">
        <w:rPr>
          <w:rFonts w:ascii="Arial" w:hAnsi="Arial" w:cs="Arial"/>
          <w:sz w:val="24"/>
          <w:szCs w:val="24"/>
        </w:rPr>
        <w:t xml:space="preserve">. Thessaloniki: Macedonia University. Available at: </w:t>
      </w:r>
      <w:hyperlink r:id="rId30" w:tgtFrame="_new" w:history="1">
        <w:r w:rsidRPr="004C3FD3">
          <w:rPr>
            <w:rStyle w:val="Hyperlink"/>
            <w:rFonts w:ascii="Arial" w:hAnsi="Arial" w:cs="Arial"/>
            <w:sz w:val="24"/>
            <w:szCs w:val="24"/>
          </w:rPr>
          <w:t>https://www.meddocsonline.org/ebooks/an-overview-on-dementia/an-overview-on-dementia.pdf</w:t>
        </w:r>
      </w:hyperlink>
      <w:r w:rsidRPr="004C3FD3">
        <w:rPr>
          <w:rFonts w:ascii="Arial" w:hAnsi="Arial" w:cs="Arial"/>
          <w:sz w:val="24"/>
          <w:szCs w:val="24"/>
        </w:rPr>
        <w:t xml:space="preserve"> (Accessed: 5 June 2026). </w:t>
      </w:r>
    </w:p>
    <w:p w14:paraId="65604793"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Penfold, R.S., Wilkinson, T., Stirland, L.E., MacRae, C., Russ, T.C., </w:t>
      </w:r>
      <w:proofErr w:type="spellStart"/>
      <w:r w:rsidRPr="004C3FD3">
        <w:rPr>
          <w:rFonts w:ascii="Arial" w:hAnsi="Arial" w:cs="Arial"/>
          <w:sz w:val="24"/>
          <w:szCs w:val="24"/>
        </w:rPr>
        <w:t>Shenkin</w:t>
      </w:r>
      <w:proofErr w:type="spellEnd"/>
      <w:r w:rsidRPr="004C3FD3">
        <w:rPr>
          <w:rFonts w:ascii="Arial" w:hAnsi="Arial" w:cs="Arial"/>
          <w:sz w:val="24"/>
          <w:szCs w:val="24"/>
        </w:rPr>
        <w:t xml:space="preserve">, S.D., Vardy, E., Anand, A., Guthrie, B., Sampson, E.L. and MacLullich, A.M. (2026) ‘Prevalence and outcomes of recorded dementia vary by data source: a population cohort study of 133 407 older adults’, </w:t>
      </w:r>
      <w:r w:rsidRPr="004C3FD3">
        <w:rPr>
          <w:rFonts w:ascii="Arial" w:hAnsi="Arial" w:cs="Arial"/>
          <w:i/>
          <w:iCs/>
          <w:sz w:val="24"/>
          <w:szCs w:val="24"/>
        </w:rPr>
        <w:t>Age and Ageing</w:t>
      </w:r>
      <w:r w:rsidRPr="004C3FD3">
        <w:rPr>
          <w:rFonts w:ascii="Arial" w:hAnsi="Arial" w:cs="Arial"/>
          <w:sz w:val="24"/>
          <w:szCs w:val="24"/>
        </w:rPr>
        <w:t xml:space="preserve">, 55(2), p. afag038. Available at: </w:t>
      </w:r>
      <w:hyperlink r:id="rId31" w:tgtFrame="_new" w:history="1">
        <w:r w:rsidRPr="004C3FD3">
          <w:rPr>
            <w:rStyle w:val="Hyperlink"/>
            <w:rFonts w:ascii="Arial" w:hAnsi="Arial" w:cs="Arial"/>
            <w:sz w:val="24"/>
            <w:szCs w:val="24"/>
          </w:rPr>
          <w:t>https://doi.org/10.1093/ageing/afag038</w:t>
        </w:r>
      </w:hyperlink>
      <w:r w:rsidRPr="004C3FD3">
        <w:rPr>
          <w:rFonts w:ascii="Arial" w:hAnsi="Arial" w:cs="Arial"/>
          <w:sz w:val="24"/>
          <w:szCs w:val="24"/>
        </w:rPr>
        <w:t xml:space="preserve"> (Accessed: 5 June 2026). </w:t>
      </w:r>
    </w:p>
    <w:p w14:paraId="39A6B6E2"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Rees, J., </w:t>
      </w:r>
      <w:proofErr w:type="spellStart"/>
      <w:r w:rsidRPr="004C3FD3">
        <w:rPr>
          <w:rFonts w:ascii="Arial" w:hAnsi="Arial" w:cs="Arial"/>
          <w:sz w:val="24"/>
          <w:szCs w:val="24"/>
        </w:rPr>
        <w:t>Tuijt</w:t>
      </w:r>
      <w:proofErr w:type="spellEnd"/>
      <w:r w:rsidRPr="004C3FD3">
        <w:rPr>
          <w:rFonts w:ascii="Arial" w:hAnsi="Arial" w:cs="Arial"/>
          <w:sz w:val="24"/>
          <w:szCs w:val="24"/>
        </w:rPr>
        <w:t xml:space="preserve">, R., Burton, A., Walters, K. and Cooper, C. (2021) ‘Supporting self-care of long-term conditions in people with dementia: a systematic review’, </w:t>
      </w:r>
      <w:r w:rsidRPr="004C3FD3">
        <w:rPr>
          <w:rFonts w:ascii="Arial" w:hAnsi="Arial" w:cs="Arial"/>
          <w:i/>
          <w:iCs/>
          <w:sz w:val="24"/>
          <w:szCs w:val="24"/>
        </w:rPr>
        <w:t>International Journal of Nursing Studies</w:t>
      </w:r>
      <w:r w:rsidRPr="004C3FD3">
        <w:rPr>
          <w:rFonts w:ascii="Arial" w:hAnsi="Arial" w:cs="Arial"/>
          <w:sz w:val="24"/>
          <w:szCs w:val="24"/>
        </w:rPr>
        <w:t xml:space="preserve">, 116, p. 103432. Available at: </w:t>
      </w:r>
      <w:hyperlink r:id="rId32" w:tgtFrame="_new" w:history="1">
        <w:r w:rsidRPr="004C3FD3">
          <w:rPr>
            <w:rStyle w:val="Hyperlink"/>
            <w:rFonts w:ascii="Arial" w:hAnsi="Arial" w:cs="Arial"/>
            <w:sz w:val="24"/>
            <w:szCs w:val="24"/>
          </w:rPr>
          <w:t>https://www.sciencedirect.com/science/</w:t>
        </w:r>
        <w:r w:rsidRPr="004C3FD3">
          <w:rPr>
            <w:rStyle w:val="Hyperlink"/>
            <w:rFonts w:ascii="Arial" w:hAnsi="Arial" w:cs="Arial"/>
            <w:sz w:val="24"/>
            <w:szCs w:val="24"/>
          </w:rPr>
          <w:lastRenderedPageBreak/>
          <w:t>article/abs/pii/S0020748919302391</w:t>
        </w:r>
      </w:hyperlink>
      <w:r w:rsidRPr="004C3FD3">
        <w:rPr>
          <w:rFonts w:ascii="Arial" w:hAnsi="Arial" w:cs="Arial"/>
          <w:sz w:val="24"/>
          <w:szCs w:val="24"/>
        </w:rPr>
        <w:t xml:space="preserve"> (Accessed: 5 June 2026). </w:t>
      </w:r>
    </w:p>
    <w:p w14:paraId="4BC2C5D5"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Saxena, R.R. and Khan, A. (2025) ‘Machine learning-based clinical decision support systems in dementia care’, in </w:t>
      </w:r>
      <w:r w:rsidRPr="004C3FD3">
        <w:rPr>
          <w:rFonts w:ascii="Arial" w:hAnsi="Arial" w:cs="Arial"/>
          <w:i/>
          <w:iCs/>
          <w:sz w:val="24"/>
          <w:szCs w:val="24"/>
        </w:rPr>
        <w:t>Proceedings of BIOSTEC 2025: HEALTHINF</w:t>
      </w:r>
      <w:r w:rsidRPr="004C3FD3">
        <w:rPr>
          <w:rFonts w:ascii="Arial" w:hAnsi="Arial" w:cs="Arial"/>
          <w:sz w:val="24"/>
          <w:szCs w:val="24"/>
        </w:rPr>
        <w:t xml:space="preserve">. pp. 664–671. Available at: </w:t>
      </w:r>
      <w:hyperlink r:id="rId33" w:tgtFrame="_new" w:history="1">
        <w:r w:rsidRPr="004C3FD3">
          <w:rPr>
            <w:rStyle w:val="Hyperlink"/>
            <w:rFonts w:ascii="Arial" w:hAnsi="Arial" w:cs="Arial"/>
            <w:sz w:val="24"/>
            <w:szCs w:val="24"/>
          </w:rPr>
          <w:t>https://www.researchgate.net/profile/Ritwik-Saxena/publication/389361927_Machine_Learning-Based_Clinical_Decision_Support_Systems_in_Dementia_Care/links/67e9c723e8041142a1543fc2/Machine-Learning-Based-Clinical-Decision-Support-Systems-in-Dementia-Care.pdf</w:t>
        </w:r>
      </w:hyperlink>
      <w:r w:rsidRPr="004C3FD3">
        <w:rPr>
          <w:rFonts w:ascii="Arial" w:hAnsi="Arial" w:cs="Arial"/>
          <w:sz w:val="24"/>
          <w:szCs w:val="24"/>
        </w:rPr>
        <w:t xml:space="preserve"> (Accessed: 5 June 2026). </w:t>
      </w:r>
    </w:p>
    <w:p w14:paraId="0A2C4C08"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Spencer, E., Griffiths, S., Flanagan, K., O'Keeffe, A., Wiegand, M., Benjamin, L., D'Andrea, F., Wilcock, J., Poole, M., Walters, K.R. and Robinson, L. (2024) ‘Access to personalised dementia care planning in primary care: a mixed methods evaluation of the </w:t>
      </w:r>
      <w:proofErr w:type="spellStart"/>
      <w:r w:rsidRPr="004C3FD3">
        <w:rPr>
          <w:rFonts w:ascii="Arial" w:hAnsi="Arial" w:cs="Arial"/>
          <w:sz w:val="24"/>
          <w:szCs w:val="24"/>
        </w:rPr>
        <w:t>PriDem</w:t>
      </w:r>
      <w:proofErr w:type="spellEnd"/>
      <w:r w:rsidRPr="004C3FD3">
        <w:rPr>
          <w:rFonts w:ascii="Arial" w:hAnsi="Arial" w:cs="Arial"/>
          <w:sz w:val="24"/>
          <w:szCs w:val="24"/>
        </w:rPr>
        <w:t xml:space="preserve"> intervention’, </w:t>
      </w:r>
      <w:r w:rsidRPr="004C3FD3">
        <w:rPr>
          <w:rFonts w:ascii="Arial" w:hAnsi="Arial" w:cs="Arial"/>
          <w:i/>
          <w:iCs/>
          <w:sz w:val="24"/>
          <w:szCs w:val="24"/>
        </w:rPr>
        <w:t>BMJ Open</w:t>
      </w:r>
      <w:r w:rsidRPr="004C3FD3">
        <w:rPr>
          <w:rFonts w:ascii="Arial" w:hAnsi="Arial" w:cs="Arial"/>
          <w:sz w:val="24"/>
          <w:szCs w:val="24"/>
        </w:rPr>
        <w:t xml:space="preserve">, 14(7), p. e082083. Available at: </w:t>
      </w:r>
      <w:hyperlink r:id="rId34" w:tgtFrame="_new" w:history="1">
        <w:r w:rsidRPr="004C3FD3">
          <w:rPr>
            <w:rStyle w:val="Hyperlink"/>
            <w:rFonts w:ascii="Arial" w:hAnsi="Arial" w:cs="Arial"/>
            <w:sz w:val="24"/>
            <w:szCs w:val="24"/>
          </w:rPr>
          <w:t>https://bmjopen.bmj.com/content/bmjopen/14/7/e082083.full.pdf</w:t>
        </w:r>
      </w:hyperlink>
      <w:r w:rsidRPr="004C3FD3">
        <w:rPr>
          <w:rFonts w:ascii="Arial" w:hAnsi="Arial" w:cs="Arial"/>
          <w:sz w:val="24"/>
          <w:szCs w:val="24"/>
        </w:rPr>
        <w:t xml:space="preserve"> (Accessed: 5 June 2026). </w:t>
      </w:r>
    </w:p>
    <w:p w14:paraId="606D859A" w14:textId="77777777" w:rsidR="006A650D" w:rsidRPr="004C3FD3" w:rsidRDefault="006A650D" w:rsidP="006A650D">
      <w:pPr>
        <w:pStyle w:val="ListNumber"/>
        <w:numPr>
          <w:ilvl w:val="0"/>
          <w:numId w:val="0"/>
        </w:numPr>
        <w:spacing w:after="20" w:line="360" w:lineRule="auto"/>
        <w:ind w:left="360" w:hanging="284"/>
        <w:rPr>
          <w:rFonts w:ascii="Arial" w:hAnsi="Arial" w:cs="Arial"/>
          <w:sz w:val="24"/>
          <w:szCs w:val="24"/>
        </w:rPr>
      </w:pPr>
      <w:r w:rsidRPr="004C3FD3">
        <w:rPr>
          <w:rFonts w:ascii="Arial" w:hAnsi="Arial" w:cs="Arial"/>
          <w:sz w:val="24"/>
          <w:szCs w:val="24"/>
        </w:rPr>
        <w:t xml:space="preserve">Vaci, N., Koychev, I., Kim, C.H., </w:t>
      </w:r>
      <w:proofErr w:type="spellStart"/>
      <w:r w:rsidRPr="004C3FD3">
        <w:rPr>
          <w:rFonts w:ascii="Arial" w:hAnsi="Arial" w:cs="Arial"/>
          <w:sz w:val="24"/>
          <w:szCs w:val="24"/>
        </w:rPr>
        <w:t>Kormilitzin</w:t>
      </w:r>
      <w:proofErr w:type="spellEnd"/>
      <w:r w:rsidRPr="004C3FD3">
        <w:rPr>
          <w:rFonts w:ascii="Arial" w:hAnsi="Arial" w:cs="Arial"/>
          <w:sz w:val="24"/>
          <w:szCs w:val="24"/>
        </w:rPr>
        <w:t xml:space="preserve">, A., Liu, Q., Lucas, C., Dehghan, A., </w:t>
      </w:r>
      <w:proofErr w:type="spellStart"/>
      <w:r w:rsidRPr="004C3FD3">
        <w:rPr>
          <w:rFonts w:ascii="Arial" w:hAnsi="Arial" w:cs="Arial"/>
          <w:sz w:val="24"/>
          <w:szCs w:val="24"/>
        </w:rPr>
        <w:t>Nenadic</w:t>
      </w:r>
      <w:proofErr w:type="spellEnd"/>
      <w:r w:rsidRPr="004C3FD3">
        <w:rPr>
          <w:rFonts w:ascii="Arial" w:hAnsi="Arial" w:cs="Arial"/>
          <w:sz w:val="24"/>
          <w:szCs w:val="24"/>
        </w:rPr>
        <w:t>, G. and Nevado-</w:t>
      </w:r>
      <w:r w:rsidRPr="004C3FD3">
        <w:rPr>
          <w:rFonts w:ascii="Arial" w:hAnsi="Arial" w:cs="Arial"/>
          <w:sz w:val="24"/>
          <w:szCs w:val="24"/>
        </w:rPr>
        <w:t xml:space="preserve">Holgado, A. (2021) ‘Real-world effectiveness, its predictors and onset of action of cholinesterase inhibitors and memantine in dementia: retrospective health record study’, </w:t>
      </w:r>
      <w:r w:rsidRPr="004C3FD3">
        <w:rPr>
          <w:rFonts w:ascii="Arial" w:hAnsi="Arial" w:cs="Arial"/>
          <w:i/>
          <w:iCs/>
          <w:sz w:val="24"/>
          <w:szCs w:val="24"/>
        </w:rPr>
        <w:t>The British Journal of Psychiatry</w:t>
      </w:r>
      <w:r w:rsidRPr="004C3FD3">
        <w:rPr>
          <w:rFonts w:ascii="Arial" w:hAnsi="Arial" w:cs="Arial"/>
          <w:sz w:val="24"/>
          <w:szCs w:val="24"/>
        </w:rPr>
        <w:t xml:space="preserve">, 218(5), pp. 261–267. Available at: </w:t>
      </w:r>
      <w:hyperlink r:id="rId35" w:tgtFrame="_new" w:history="1">
        <w:r w:rsidRPr="004C3FD3">
          <w:rPr>
            <w:rStyle w:val="Hyperlink"/>
            <w:rFonts w:ascii="Arial" w:hAnsi="Arial" w:cs="Arial"/>
            <w:sz w:val="24"/>
            <w:szCs w:val="24"/>
          </w:rPr>
          <w:t>https://www.cambridge.org/core/services/aop-cambridge-core/content/view/5DA2F41763001A6A953A40B05350D52D/S0007125020001361a.pdf</w:t>
        </w:r>
      </w:hyperlink>
      <w:r w:rsidRPr="004C3FD3">
        <w:rPr>
          <w:rFonts w:ascii="Arial" w:hAnsi="Arial" w:cs="Arial"/>
          <w:sz w:val="24"/>
          <w:szCs w:val="24"/>
        </w:rPr>
        <w:t xml:space="preserve"> (Accessed: 5 June 2026). </w:t>
      </w:r>
    </w:p>
    <w:p w14:paraId="64AB55B6" w14:textId="77777777" w:rsidR="006A650D" w:rsidRPr="006A650D" w:rsidRDefault="006A650D" w:rsidP="006A650D">
      <w:pPr>
        <w:pStyle w:val="ListNumber"/>
        <w:numPr>
          <w:ilvl w:val="0"/>
          <w:numId w:val="0"/>
        </w:numPr>
        <w:spacing w:after="20" w:line="360" w:lineRule="auto"/>
        <w:ind w:left="360" w:hanging="284"/>
        <w:rPr>
          <w:rFonts w:asciiTheme="majorBidi" w:hAnsiTheme="majorBidi" w:cstheme="majorBidi"/>
          <w:sz w:val="24"/>
          <w:szCs w:val="24"/>
        </w:rPr>
      </w:pPr>
      <w:r w:rsidRPr="004C3FD3">
        <w:rPr>
          <w:rFonts w:ascii="Arial" w:hAnsi="Arial" w:cs="Arial"/>
          <w:sz w:val="24"/>
          <w:szCs w:val="24"/>
        </w:rPr>
        <w:t xml:space="preserve">Walsh, S., Govia, I., Peters, R., Richard, E., Stephan, B.C., Wilson, N.A., Wallace, L., Anstey, K.J. and </w:t>
      </w:r>
      <w:proofErr w:type="spellStart"/>
      <w:r w:rsidRPr="004C3FD3">
        <w:rPr>
          <w:rFonts w:ascii="Arial" w:hAnsi="Arial" w:cs="Arial"/>
          <w:sz w:val="24"/>
          <w:szCs w:val="24"/>
        </w:rPr>
        <w:t>Brayne</w:t>
      </w:r>
      <w:proofErr w:type="spellEnd"/>
      <w:r w:rsidRPr="004C3FD3">
        <w:rPr>
          <w:rFonts w:ascii="Arial" w:hAnsi="Arial" w:cs="Arial"/>
          <w:sz w:val="24"/>
          <w:szCs w:val="24"/>
        </w:rPr>
        <w:t xml:space="preserve">, C. (2023) ‘What would a population-level approach to dementia risk reduction look like, and how would it work?’, </w:t>
      </w:r>
      <w:r w:rsidRPr="004C3FD3">
        <w:rPr>
          <w:rFonts w:ascii="Arial" w:hAnsi="Arial" w:cs="Arial"/>
          <w:i/>
          <w:iCs/>
          <w:sz w:val="24"/>
          <w:szCs w:val="24"/>
        </w:rPr>
        <w:t>Alzheimer’s &amp; Dementia</w:t>
      </w:r>
      <w:r w:rsidRPr="004C3FD3">
        <w:rPr>
          <w:rFonts w:ascii="Arial" w:hAnsi="Arial" w:cs="Arial"/>
          <w:sz w:val="24"/>
          <w:szCs w:val="24"/>
        </w:rPr>
        <w:t>, 19(7), pp. 3203–3209. Available at:</w:t>
      </w:r>
      <w:r w:rsidRPr="006A650D">
        <w:rPr>
          <w:rFonts w:asciiTheme="majorBidi" w:hAnsiTheme="majorBidi" w:cstheme="majorBidi"/>
          <w:sz w:val="24"/>
          <w:szCs w:val="24"/>
        </w:rPr>
        <w:t xml:space="preserve"> </w:t>
      </w:r>
      <w:hyperlink r:id="rId36" w:tgtFrame="_new" w:history="1">
        <w:r w:rsidRPr="006A650D">
          <w:rPr>
            <w:rStyle w:val="Hyperlink"/>
            <w:rFonts w:asciiTheme="majorBidi" w:hAnsiTheme="majorBidi" w:cstheme="majorBidi"/>
            <w:sz w:val="24"/>
            <w:szCs w:val="24"/>
          </w:rPr>
          <w:t>https://doi.org/10.1002/alz.12985</w:t>
        </w:r>
      </w:hyperlink>
      <w:r w:rsidRPr="006A650D">
        <w:rPr>
          <w:rFonts w:asciiTheme="majorBidi" w:hAnsiTheme="majorBidi" w:cstheme="majorBidi"/>
          <w:sz w:val="24"/>
          <w:szCs w:val="24"/>
        </w:rPr>
        <w:t xml:space="preserve"> (Accessed: 5 June 2026). </w:t>
      </w:r>
    </w:p>
    <w:p w14:paraId="1C040F1F" w14:textId="77777777" w:rsidR="006A650D" w:rsidRPr="006A650D" w:rsidRDefault="006A650D" w:rsidP="006A650D">
      <w:pPr>
        <w:pStyle w:val="ListNumber"/>
        <w:numPr>
          <w:ilvl w:val="0"/>
          <w:numId w:val="0"/>
        </w:numPr>
        <w:spacing w:after="20" w:line="360" w:lineRule="auto"/>
        <w:ind w:left="360" w:hanging="284"/>
        <w:rPr>
          <w:rFonts w:asciiTheme="majorBidi" w:hAnsiTheme="majorBidi" w:cstheme="majorBidi"/>
          <w:sz w:val="24"/>
          <w:szCs w:val="24"/>
        </w:rPr>
      </w:pPr>
      <w:r w:rsidRPr="006A650D">
        <w:rPr>
          <w:rFonts w:asciiTheme="majorBidi" w:hAnsiTheme="majorBidi" w:cstheme="majorBidi"/>
          <w:sz w:val="24"/>
          <w:szCs w:val="24"/>
        </w:rPr>
        <w:t xml:space="preserve">World Health Organization (2018) </w:t>
      </w:r>
      <w:r w:rsidRPr="006A650D">
        <w:rPr>
          <w:rFonts w:asciiTheme="majorBidi" w:hAnsiTheme="majorBidi" w:cstheme="majorBidi"/>
          <w:i/>
          <w:iCs/>
          <w:sz w:val="24"/>
          <w:szCs w:val="24"/>
        </w:rPr>
        <w:t>Towards a Dementia Plan: A WHO Guide</w:t>
      </w:r>
      <w:r w:rsidRPr="006A650D">
        <w:rPr>
          <w:rFonts w:asciiTheme="majorBidi" w:hAnsiTheme="majorBidi" w:cstheme="majorBidi"/>
          <w:sz w:val="24"/>
          <w:szCs w:val="24"/>
        </w:rPr>
        <w:t xml:space="preserve">. Geneva: World Health Organization. Available at: </w:t>
      </w:r>
      <w:hyperlink r:id="rId37" w:tgtFrame="_new" w:history="1">
        <w:r w:rsidRPr="006A650D">
          <w:rPr>
            <w:rStyle w:val="Hyperlink"/>
            <w:rFonts w:asciiTheme="majorBidi" w:hAnsiTheme="majorBidi" w:cstheme="majorBidi"/>
            <w:sz w:val="24"/>
            <w:szCs w:val="24"/>
          </w:rPr>
          <w:t>https://iris.who.int/server/api/core/bitstreams/3f430490-2e37-4ee8-ae7b-15f10a033fd1/content</w:t>
        </w:r>
      </w:hyperlink>
      <w:r w:rsidRPr="006A650D">
        <w:rPr>
          <w:rFonts w:asciiTheme="majorBidi" w:hAnsiTheme="majorBidi" w:cstheme="majorBidi"/>
          <w:sz w:val="24"/>
          <w:szCs w:val="24"/>
        </w:rPr>
        <w:t xml:space="preserve"> (Accessed: 5 June 2026). </w:t>
      </w:r>
    </w:p>
    <w:p w14:paraId="62C4D03B" w14:textId="77777777" w:rsidR="006A650D" w:rsidRPr="006A650D" w:rsidRDefault="006A650D" w:rsidP="006A650D">
      <w:pPr>
        <w:pStyle w:val="ListNumber"/>
        <w:numPr>
          <w:ilvl w:val="0"/>
          <w:numId w:val="0"/>
        </w:numPr>
        <w:spacing w:after="20" w:line="360" w:lineRule="auto"/>
        <w:ind w:left="360" w:hanging="284"/>
        <w:rPr>
          <w:rFonts w:asciiTheme="majorBidi" w:hAnsiTheme="majorBidi" w:cstheme="majorBidi"/>
          <w:sz w:val="24"/>
          <w:szCs w:val="24"/>
        </w:rPr>
      </w:pPr>
      <w:r w:rsidRPr="006A650D">
        <w:rPr>
          <w:rFonts w:asciiTheme="majorBidi" w:hAnsiTheme="majorBidi" w:cstheme="majorBidi"/>
          <w:sz w:val="24"/>
          <w:szCs w:val="24"/>
        </w:rPr>
        <w:t xml:space="preserve">World Health Organization (2019) </w:t>
      </w:r>
      <w:r w:rsidRPr="006A650D">
        <w:rPr>
          <w:rFonts w:asciiTheme="majorBidi" w:hAnsiTheme="majorBidi" w:cstheme="majorBidi"/>
          <w:i/>
          <w:iCs/>
          <w:sz w:val="24"/>
          <w:szCs w:val="24"/>
        </w:rPr>
        <w:t>Risk Reduction of Cognitive Decline and Dementia: WHO Guidelines</w:t>
      </w:r>
      <w:r w:rsidRPr="006A650D">
        <w:rPr>
          <w:rFonts w:asciiTheme="majorBidi" w:hAnsiTheme="majorBidi" w:cstheme="majorBidi"/>
          <w:sz w:val="24"/>
          <w:szCs w:val="24"/>
        </w:rPr>
        <w:t xml:space="preserve">. Geneva: World Health Organization. Available at: </w:t>
      </w:r>
      <w:hyperlink r:id="rId38" w:tgtFrame="_new" w:history="1">
        <w:r w:rsidRPr="006A650D">
          <w:rPr>
            <w:rStyle w:val="Hyperlink"/>
            <w:rFonts w:asciiTheme="majorBidi" w:hAnsiTheme="majorBidi" w:cstheme="majorBidi"/>
            <w:sz w:val="24"/>
            <w:szCs w:val="24"/>
          </w:rPr>
          <w:t>https://iris.who.int/server/api/core/bitstreams/8fc586d7-b864-42eb-9274-95462496b328/content</w:t>
        </w:r>
      </w:hyperlink>
      <w:r w:rsidRPr="006A650D">
        <w:rPr>
          <w:rFonts w:asciiTheme="majorBidi" w:hAnsiTheme="majorBidi" w:cstheme="majorBidi"/>
          <w:sz w:val="24"/>
          <w:szCs w:val="24"/>
        </w:rPr>
        <w:t xml:space="preserve"> (Accessed: 5 June 2026). </w:t>
      </w:r>
    </w:p>
    <w:p w14:paraId="0B24B16A" w14:textId="17348F0D" w:rsidR="006A650D" w:rsidRDefault="006A650D" w:rsidP="006A650D">
      <w:pPr>
        <w:pStyle w:val="ListNumber"/>
        <w:numPr>
          <w:ilvl w:val="0"/>
          <w:numId w:val="0"/>
        </w:numPr>
        <w:spacing w:after="20" w:line="360" w:lineRule="auto"/>
        <w:ind w:left="360" w:hanging="284"/>
        <w:rPr>
          <w:rFonts w:asciiTheme="majorBidi" w:hAnsiTheme="majorBidi" w:cstheme="majorBidi"/>
          <w:sz w:val="24"/>
          <w:szCs w:val="24"/>
        </w:rPr>
      </w:pPr>
      <w:r w:rsidRPr="006A650D">
        <w:rPr>
          <w:rFonts w:asciiTheme="majorBidi" w:hAnsiTheme="majorBidi" w:cstheme="majorBidi"/>
          <w:sz w:val="24"/>
          <w:szCs w:val="24"/>
        </w:rPr>
        <w:t>Wu, Q., Qian, S., Deng, C. and Yu, P. (2020) ‘Understanding interactions between caregivers and care recipients in person-</w:t>
      </w:r>
      <w:proofErr w:type="spellStart"/>
      <w:r w:rsidRPr="006A650D">
        <w:rPr>
          <w:rFonts w:asciiTheme="majorBidi" w:hAnsiTheme="majorBidi" w:cstheme="majorBidi"/>
          <w:sz w:val="24"/>
          <w:szCs w:val="24"/>
        </w:rPr>
        <w:t>centered</w:t>
      </w:r>
      <w:proofErr w:type="spellEnd"/>
      <w:r w:rsidRPr="006A650D">
        <w:rPr>
          <w:rFonts w:asciiTheme="majorBidi" w:hAnsiTheme="majorBidi" w:cstheme="majorBidi"/>
          <w:sz w:val="24"/>
          <w:szCs w:val="24"/>
        </w:rPr>
        <w:t xml:space="preserve"> dementia care: a rapid review’, </w:t>
      </w:r>
      <w:r w:rsidRPr="006A650D">
        <w:rPr>
          <w:rFonts w:asciiTheme="majorBidi" w:hAnsiTheme="majorBidi" w:cstheme="majorBidi"/>
          <w:i/>
          <w:iCs/>
          <w:sz w:val="24"/>
          <w:szCs w:val="24"/>
        </w:rPr>
        <w:t>Clinical Interventions in Aging</w:t>
      </w:r>
      <w:r w:rsidRPr="006A650D">
        <w:rPr>
          <w:rFonts w:asciiTheme="majorBidi" w:hAnsiTheme="majorBidi" w:cstheme="majorBidi"/>
          <w:sz w:val="24"/>
          <w:szCs w:val="24"/>
        </w:rPr>
        <w:t xml:space="preserve">, 15, pp. 1637–1647. Available at: </w:t>
      </w:r>
      <w:hyperlink r:id="rId39" w:history="1">
        <w:r w:rsidRPr="00AE0C61">
          <w:rPr>
            <w:rStyle w:val="Hyperlink"/>
            <w:rFonts w:asciiTheme="majorBidi" w:hAnsiTheme="majorBidi" w:cstheme="majorBidi"/>
            <w:sz w:val="24"/>
            <w:szCs w:val="24"/>
          </w:rPr>
          <w:t>https://doi.org/10.2147/CIA.S255454</w:t>
        </w:r>
      </w:hyperlink>
    </w:p>
    <w:p w14:paraId="33755B93" w14:textId="31FBB86A" w:rsidR="006A650D" w:rsidRPr="006A650D" w:rsidRDefault="006A650D" w:rsidP="006A650D">
      <w:pPr>
        <w:pStyle w:val="ListNumber"/>
        <w:numPr>
          <w:ilvl w:val="0"/>
          <w:numId w:val="0"/>
        </w:numPr>
        <w:spacing w:after="20" w:line="360" w:lineRule="auto"/>
        <w:ind w:left="360" w:hanging="284"/>
        <w:rPr>
          <w:rFonts w:asciiTheme="majorBidi" w:hAnsiTheme="majorBidi" w:cstheme="majorBidi"/>
          <w:sz w:val="24"/>
          <w:szCs w:val="24"/>
        </w:rPr>
      </w:pPr>
      <w:r>
        <w:rPr>
          <w:rFonts w:asciiTheme="majorBidi" w:hAnsiTheme="majorBidi" w:cstheme="majorBidi"/>
          <w:sz w:val="24"/>
          <w:szCs w:val="24"/>
        </w:rPr>
        <w:t xml:space="preserve">    </w:t>
      </w:r>
      <w:r w:rsidRPr="006A650D">
        <w:rPr>
          <w:rFonts w:asciiTheme="majorBidi" w:hAnsiTheme="majorBidi" w:cstheme="majorBidi"/>
          <w:sz w:val="24"/>
          <w:szCs w:val="24"/>
        </w:rPr>
        <w:t>(Accessed: 5 June 2026).</w:t>
      </w:r>
    </w:p>
    <w:sectPr w:rsidR="006A650D" w:rsidRPr="006A650D" w:rsidSect="006A650D">
      <w:pgSz w:w="12240" w:h="15840"/>
      <w:pgMar w:top="1020" w:right="1134" w:bottom="1020" w:left="1134"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4AB37" w14:textId="77777777" w:rsidR="00680105" w:rsidRDefault="00680105" w:rsidP="006A650D">
      <w:pPr>
        <w:spacing w:after="0" w:line="240" w:lineRule="auto"/>
      </w:pPr>
      <w:r>
        <w:separator/>
      </w:r>
    </w:p>
  </w:endnote>
  <w:endnote w:type="continuationSeparator" w:id="0">
    <w:p w14:paraId="62D1BF62" w14:textId="77777777" w:rsidR="00680105" w:rsidRDefault="00680105" w:rsidP="006A6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5418325"/>
      <w:docPartObj>
        <w:docPartGallery w:val="Page Numbers (Bottom of Page)"/>
        <w:docPartUnique/>
      </w:docPartObj>
    </w:sdtPr>
    <w:sdtEndPr>
      <w:rPr>
        <w:color w:val="7F7F7F" w:themeColor="background1" w:themeShade="7F"/>
        <w:spacing w:val="60"/>
      </w:rPr>
    </w:sdtEndPr>
    <w:sdtContent>
      <w:p w14:paraId="1B716231" w14:textId="2AEC6AD0" w:rsidR="006A650D" w:rsidRDefault="006A650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468A37" w14:textId="77777777" w:rsidR="006A650D" w:rsidRDefault="006A6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9CC13" w14:textId="77777777" w:rsidR="00680105" w:rsidRDefault="00680105" w:rsidP="006A650D">
      <w:pPr>
        <w:spacing w:after="0" w:line="240" w:lineRule="auto"/>
      </w:pPr>
      <w:r>
        <w:separator/>
      </w:r>
    </w:p>
  </w:footnote>
  <w:footnote w:type="continuationSeparator" w:id="0">
    <w:p w14:paraId="3831A57E" w14:textId="77777777" w:rsidR="00680105" w:rsidRDefault="00680105" w:rsidP="006A6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2544BE"/>
    <w:multiLevelType w:val="multilevel"/>
    <w:tmpl w:val="01628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38243E6"/>
    <w:multiLevelType w:val="multilevel"/>
    <w:tmpl w:val="2C62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8580196">
    <w:abstractNumId w:val="8"/>
  </w:num>
  <w:num w:numId="2" w16cid:durableId="1005982773">
    <w:abstractNumId w:val="6"/>
  </w:num>
  <w:num w:numId="3" w16cid:durableId="1651207001">
    <w:abstractNumId w:val="5"/>
  </w:num>
  <w:num w:numId="4" w16cid:durableId="698773609">
    <w:abstractNumId w:val="4"/>
  </w:num>
  <w:num w:numId="5" w16cid:durableId="512383968">
    <w:abstractNumId w:val="7"/>
  </w:num>
  <w:num w:numId="6" w16cid:durableId="13771163">
    <w:abstractNumId w:val="3"/>
  </w:num>
  <w:num w:numId="7" w16cid:durableId="282420333">
    <w:abstractNumId w:val="2"/>
  </w:num>
  <w:num w:numId="8" w16cid:durableId="247276628">
    <w:abstractNumId w:val="1"/>
  </w:num>
  <w:num w:numId="9" w16cid:durableId="401176813">
    <w:abstractNumId w:val="0"/>
  </w:num>
  <w:num w:numId="10" w16cid:durableId="885991273">
    <w:abstractNumId w:val="9"/>
  </w:num>
  <w:num w:numId="11" w16cid:durableId="15606309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09F3"/>
    <w:rsid w:val="0015074B"/>
    <w:rsid w:val="001D09D6"/>
    <w:rsid w:val="001E5EB1"/>
    <w:rsid w:val="0020241F"/>
    <w:rsid w:val="00290B0C"/>
    <w:rsid w:val="0029639D"/>
    <w:rsid w:val="00326F90"/>
    <w:rsid w:val="00360F68"/>
    <w:rsid w:val="003B3012"/>
    <w:rsid w:val="003C41D1"/>
    <w:rsid w:val="003D1BA2"/>
    <w:rsid w:val="003E62A0"/>
    <w:rsid w:val="004474DB"/>
    <w:rsid w:val="004C3FD3"/>
    <w:rsid w:val="00553AF2"/>
    <w:rsid w:val="00575528"/>
    <w:rsid w:val="00600BD2"/>
    <w:rsid w:val="0062410B"/>
    <w:rsid w:val="00680105"/>
    <w:rsid w:val="006A650D"/>
    <w:rsid w:val="006F5E4E"/>
    <w:rsid w:val="00936335"/>
    <w:rsid w:val="009B7C19"/>
    <w:rsid w:val="009D2EAE"/>
    <w:rsid w:val="00A41764"/>
    <w:rsid w:val="00AA1D8D"/>
    <w:rsid w:val="00AA406B"/>
    <w:rsid w:val="00B142E5"/>
    <w:rsid w:val="00B14E94"/>
    <w:rsid w:val="00B47730"/>
    <w:rsid w:val="00BA74DF"/>
    <w:rsid w:val="00BC1DDE"/>
    <w:rsid w:val="00BD1518"/>
    <w:rsid w:val="00BD43EF"/>
    <w:rsid w:val="00CB0664"/>
    <w:rsid w:val="00CB0A48"/>
    <w:rsid w:val="00CB101E"/>
    <w:rsid w:val="00CE64F0"/>
    <w:rsid w:val="00DB2D82"/>
    <w:rsid w:val="00DC1A44"/>
    <w:rsid w:val="00E12810"/>
    <w:rsid w:val="00E2211F"/>
    <w:rsid w:val="00EC49FB"/>
    <w:rsid w:val="00F20D87"/>
    <w:rsid w:val="00F76E8C"/>
    <w:rsid w:val="00FC693F"/>
    <w:rsid w:val="00FD64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307534"/>
  <w14:defaultImageDpi w14:val="300"/>
  <w15:docId w15:val="{DDE729EE-43CF-492D-98D4-A2371D94F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AF2"/>
    <w:rPr>
      <w:lang w:val="en-GB"/>
    </w:rPr>
  </w:style>
  <w:style w:type="paragraph" w:styleId="Heading1">
    <w:name w:val="heading 1"/>
    <w:basedOn w:val="Normal"/>
    <w:next w:val="Normal"/>
    <w:link w:val="Heading1Char"/>
    <w:uiPriority w:val="9"/>
    <w:qFormat/>
    <w:rsid w:val="00553AF2"/>
    <w:pPr>
      <w:keepNext/>
      <w:keepLines/>
      <w:spacing w:before="320" w:after="0" w:line="240" w:lineRule="auto"/>
      <w:jc w:val="center"/>
      <w:outlineLvl w:val="0"/>
    </w:pPr>
    <w:rPr>
      <w:rFonts w:ascii="Times New Roman" w:eastAsiaTheme="majorEastAsia" w:hAnsi="Times New Roman" w:cstheme="majorBidi"/>
      <w:b/>
      <w:color w:val="365F91" w:themeColor="accent1" w:themeShade="BF"/>
      <w:sz w:val="32"/>
      <w:szCs w:val="32"/>
      <w:u w:val="single"/>
    </w:rPr>
  </w:style>
  <w:style w:type="paragraph" w:styleId="Heading2">
    <w:name w:val="heading 2"/>
    <w:basedOn w:val="Normal"/>
    <w:next w:val="Normal"/>
    <w:link w:val="Heading2Char"/>
    <w:uiPriority w:val="9"/>
    <w:unhideWhenUsed/>
    <w:qFormat/>
    <w:rsid w:val="00553AF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53AF2"/>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553AF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53AF2"/>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553AF2"/>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553AF2"/>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553AF2"/>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553AF2"/>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553AF2"/>
    <w:pPr>
      <w:spacing w:after="0" w:line="240" w:lineRule="auto"/>
    </w:pPr>
  </w:style>
  <w:style w:type="character" w:customStyle="1" w:styleId="Heading1Char">
    <w:name w:val="Heading 1 Char"/>
    <w:basedOn w:val="DefaultParagraphFont"/>
    <w:link w:val="Heading1"/>
    <w:uiPriority w:val="9"/>
    <w:rsid w:val="00553AF2"/>
    <w:rPr>
      <w:rFonts w:ascii="Times New Roman" w:eastAsiaTheme="majorEastAsia" w:hAnsi="Times New Roman" w:cstheme="majorBidi"/>
      <w:b/>
      <w:color w:val="365F91" w:themeColor="accent1" w:themeShade="BF"/>
      <w:sz w:val="32"/>
      <w:szCs w:val="32"/>
      <w:u w:val="single"/>
    </w:rPr>
  </w:style>
  <w:style w:type="character" w:customStyle="1" w:styleId="Heading2Char">
    <w:name w:val="Heading 2 Char"/>
    <w:basedOn w:val="DefaultParagraphFont"/>
    <w:link w:val="Heading2"/>
    <w:uiPriority w:val="9"/>
    <w:rsid w:val="00553AF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53AF2"/>
    <w:rPr>
      <w:rFonts w:asciiTheme="majorHAnsi" w:eastAsiaTheme="majorEastAsia" w:hAnsiTheme="majorHAnsi" w:cstheme="majorBidi"/>
      <w:color w:val="1F497D" w:themeColor="text2"/>
      <w:sz w:val="24"/>
      <w:szCs w:val="24"/>
    </w:rPr>
  </w:style>
  <w:style w:type="paragraph" w:styleId="Title">
    <w:name w:val="Title"/>
    <w:basedOn w:val="Normal"/>
    <w:next w:val="Normal"/>
    <w:link w:val="TitleChar"/>
    <w:uiPriority w:val="10"/>
    <w:qFormat/>
    <w:rsid w:val="00553AF2"/>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553AF2"/>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553AF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53AF2"/>
    <w:rPr>
      <w:rFonts w:asciiTheme="majorHAnsi" w:eastAsiaTheme="majorEastAsia" w:hAnsiTheme="majorHAnsi" w:cstheme="majorBidi"/>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553AF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53AF2"/>
    <w:rPr>
      <w:i/>
      <w:iCs/>
      <w:color w:val="404040" w:themeColor="text1" w:themeTint="BF"/>
    </w:rPr>
  </w:style>
  <w:style w:type="character" w:customStyle="1" w:styleId="Heading4Char">
    <w:name w:val="Heading 4 Char"/>
    <w:basedOn w:val="DefaultParagraphFont"/>
    <w:link w:val="Heading4"/>
    <w:uiPriority w:val="9"/>
    <w:semiHidden/>
    <w:rsid w:val="00553AF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53AF2"/>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553AF2"/>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553AF2"/>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553AF2"/>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553AF2"/>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553AF2"/>
    <w:pPr>
      <w:spacing w:line="240" w:lineRule="auto"/>
    </w:pPr>
    <w:rPr>
      <w:b/>
      <w:bCs/>
      <w:smallCaps/>
      <w:color w:val="595959" w:themeColor="text1" w:themeTint="A6"/>
      <w:spacing w:val="6"/>
    </w:rPr>
  </w:style>
  <w:style w:type="character" w:styleId="Strong">
    <w:name w:val="Strong"/>
    <w:basedOn w:val="DefaultParagraphFont"/>
    <w:uiPriority w:val="22"/>
    <w:qFormat/>
    <w:rsid w:val="00553AF2"/>
    <w:rPr>
      <w:b/>
      <w:bCs/>
    </w:rPr>
  </w:style>
  <w:style w:type="character" w:styleId="Emphasis">
    <w:name w:val="Emphasis"/>
    <w:basedOn w:val="DefaultParagraphFont"/>
    <w:uiPriority w:val="20"/>
    <w:qFormat/>
    <w:rsid w:val="00553AF2"/>
    <w:rPr>
      <w:i/>
      <w:iCs/>
    </w:rPr>
  </w:style>
  <w:style w:type="paragraph" w:styleId="IntenseQuote">
    <w:name w:val="Intense Quote"/>
    <w:basedOn w:val="Normal"/>
    <w:next w:val="Normal"/>
    <w:link w:val="IntenseQuoteChar"/>
    <w:uiPriority w:val="30"/>
    <w:qFormat/>
    <w:rsid w:val="00553AF2"/>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553AF2"/>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553AF2"/>
    <w:rPr>
      <w:i/>
      <w:iCs/>
      <w:color w:val="404040" w:themeColor="text1" w:themeTint="BF"/>
    </w:rPr>
  </w:style>
  <w:style w:type="character" w:styleId="IntenseEmphasis">
    <w:name w:val="Intense Emphasis"/>
    <w:basedOn w:val="DefaultParagraphFont"/>
    <w:uiPriority w:val="21"/>
    <w:qFormat/>
    <w:rsid w:val="00553AF2"/>
    <w:rPr>
      <w:b/>
      <w:bCs/>
      <w:i/>
      <w:iCs/>
    </w:rPr>
  </w:style>
  <w:style w:type="character" w:styleId="SubtleReference">
    <w:name w:val="Subtle Reference"/>
    <w:basedOn w:val="DefaultParagraphFont"/>
    <w:uiPriority w:val="31"/>
    <w:qFormat/>
    <w:rsid w:val="00553AF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53AF2"/>
    <w:rPr>
      <w:b/>
      <w:bCs/>
      <w:smallCaps/>
      <w:spacing w:val="5"/>
      <w:u w:val="single"/>
    </w:rPr>
  </w:style>
  <w:style w:type="character" w:styleId="BookTitle">
    <w:name w:val="Book Title"/>
    <w:basedOn w:val="DefaultParagraphFont"/>
    <w:uiPriority w:val="33"/>
    <w:qFormat/>
    <w:rsid w:val="00553AF2"/>
    <w:rPr>
      <w:b/>
      <w:bCs/>
      <w:smallCaps/>
    </w:rPr>
  </w:style>
  <w:style w:type="paragraph" w:styleId="TOCHeading">
    <w:name w:val="TOC Heading"/>
    <w:basedOn w:val="Heading1"/>
    <w:next w:val="Normal"/>
    <w:uiPriority w:val="39"/>
    <w:unhideWhenUsed/>
    <w:qFormat/>
    <w:rsid w:val="00553AF2"/>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76E8C"/>
    <w:rPr>
      <w:color w:val="0000FF" w:themeColor="hyperlink"/>
      <w:u w:val="single"/>
    </w:rPr>
  </w:style>
  <w:style w:type="character" w:styleId="UnresolvedMention">
    <w:name w:val="Unresolved Mention"/>
    <w:basedOn w:val="DefaultParagraphFont"/>
    <w:uiPriority w:val="99"/>
    <w:semiHidden/>
    <w:unhideWhenUsed/>
    <w:rsid w:val="00F76E8C"/>
    <w:rPr>
      <w:color w:val="605E5C"/>
      <w:shd w:val="clear" w:color="auto" w:fill="E1DFDD"/>
    </w:rPr>
  </w:style>
  <w:style w:type="character" w:styleId="FollowedHyperlink">
    <w:name w:val="FollowedHyperlink"/>
    <w:basedOn w:val="DefaultParagraphFont"/>
    <w:uiPriority w:val="99"/>
    <w:semiHidden/>
    <w:unhideWhenUsed/>
    <w:rsid w:val="00F76E8C"/>
    <w:rPr>
      <w:color w:val="800080" w:themeColor="followedHyperlink"/>
      <w:u w:val="single"/>
    </w:rPr>
  </w:style>
  <w:style w:type="paragraph" w:styleId="TOC1">
    <w:name w:val="toc 1"/>
    <w:basedOn w:val="Normal"/>
    <w:next w:val="Normal"/>
    <w:autoRedefine/>
    <w:uiPriority w:val="39"/>
    <w:unhideWhenUsed/>
    <w:rsid w:val="00553AF2"/>
    <w:pPr>
      <w:spacing w:after="100"/>
    </w:pPr>
  </w:style>
  <w:style w:type="paragraph" w:styleId="NormalWeb">
    <w:name w:val="Normal (Web)"/>
    <w:basedOn w:val="Normal"/>
    <w:uiPriority w:val="99"/>
    <w:semiHidden/>
    <w:unhideWhenUsed/>
    <w:rsid w:val="0062410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frontiersin.org/journals/psychiatry/articles/10.3389/fpsyt.2021.710703/full" TargetMode="External"/><Relationship Id="rId26" Type="http://schemas.openxmlformats.org/officeDocument/2006/relationships/hyperlink" Target="https://doi.org/10.1155/2023/4674120" TargetMode="External"/><Relationship Id="rId39" Type="http://schemas.openxmlformats.org/officeDocument/2006/relationships/hyperlink" Target="https://doi.org/10.2147/CIA.S255454" TargetMode="External"/><Relationship Id="rId21" Type="http://schemas.openxmlformats.org/officeDocument/2006/relationships/hyperlink" Target="https://doi.org/10.1371/journal.pone.0326207" TargetMode="External"/><Relationship Id="rId34" Type="http://schemas.openxmlformats.org/officeDocument/2006/relationships/hyperlink" Target="https://bmjopen.bmj.com/content/bmjopen/14/7/e082083.full.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lzint.org/resource/numbers-of-people-with-dementia-worldwide/" TargetMode="External"/><Relationship Id="rId20" Type="http://schemas.openxmlformats.org/officeDocument/2006/relationships/hyperlink" Target="https://link.springer.com/article/10.1186/s12912-025-04117-2" TargetMode="External"/><Relationship Id="rId29" Type="http://schemas.openxmlformats.org/officeDocument/2006/relationships/hyperlink" Target="https://www.nuffieldtrust.org.uk/sites/default/files/2024-11/Nuffield%20Trust%20-%20Dementia%20and%20social%20care_WEB_0.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neuroexeltis.es/wp-content/uploads/2025/04/Livingston_2024_LANCET_Prevention_Dementia.pdf" TargetMode="External"/><Relationship Id="rId32" Type="http://schemas.openxmlformats.org/officeDocument/2006/relationships/hyperlink" Target="https://www.sciencedirect.com/science/article/abs/pii/S0020748919302391" TargetMode="External"/><Relationship Id="rId37" Type="http://schemas.openxmlformats.org/officeDocument/2006/relationships/hyperlink" Target="https://iris.who.int/server/api/core/bitstreams/3f430490-2e37-4ee8-ae7b-15f10a033fd1/content"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Prasanna-Appiya-Premvignesh/publication/397322623_Risk_Factors_Early_Detection_and_Management_of_Dementia_in_the_Geriatric_Population_A_Comprehensive_Narrative_Review/links/690cc08ec900be105cbfccf7/Risk-Factors-Early-Detection-and-Management-of-Dementia-in-the-Geriatric-Population-A-Comprehensive-Narrative-Review.pdf" TargetMode="External"/><Relationship Id="rId23" Type="http://schemas.openxmlformats.org/officeDocument/2006/relationships/hyperlink" Target="https://spcare.bmj.com/content/bmjspcare/14/e1/e38.full.pdf" TargetMode="External"/><Relationship Id="rId28" Type="http://schemas.openxmlformats.org/officeDocument/2006/relationships/hyperlink" Target="https://www.england.nhs.uk/wp-content/uploads/2025/01/NHS-England-planning-guidance-for-2025-and-2026-easy-read-.pdf" TargetMode="External"/><Relationship Id="rId36" Type="http://schemas.openxmlformats.org/officeDocument/2006/relationships/hyperlink" Target="https://doi.org/10.1002/alz.12985" TargetMode="External"/><Relationship Id="rId10" Type="http://schemas.openxmlformats.org/officeDocument/2006/relationships/image" Target="media/image2.png"/><Relationship Id="rId19" Type="http://schemas.openxmlformats.org/officeDocument/2006/relationships/hyperlink" Target="https://doi.org/10.1371/journal.pone.0212686" TargetMode="External"/><Relationship Id="rId31" Type="http://schemas.openxmlformats.org/officeDocument/2006/relationships/hyperlink" Target="https://doi.org/10.1093/ageing/afag03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roquest.com/openview/c35fc3e265fce2b2ced6561788dd3538/1" TargetMode="External"/><Relationship Id="rId22" Type="http://schemas.openxmlformats.org/officeDocument/2006/relationships/hyperlink" Target="https://www.thelancet.com/action/showPdf?pii=S2666-7568%2826%2900025-5" TargetMode="External"/><Relationship Id="rId27" Type="http://schemas.openxmlformats.org/officeDocument/2006/relationships/hyperlink" Target="https://www.nice.org.uk/guidance/ng97/resources/dementia-assessment-management-and-support-for-people-living-with-dementia-and-their-carers-pdf-1837760199109" TargetMode="External"/><Relationship Id="rId30" Type="http://schemas.openxmlformats.org/officeDocument/2006/relationships/hyperlink" Target="https://www.meddocsonline.org/ebooks/an-overview-on-dementia/an-overview-on-dementia.pdf" TargetMode="External"/><Relationship Id="rId35" Type="http://schemas.openxmlformats.org/officeDocument/2006/relationships/hyperlink" Target="https://www.cambridge.org/core/services/aop-cambridge-core/content/view/5DA2F41763001A6A953A40B05350D52D/S0007125020001361a.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alzheimers.org.uk/about-dementia/types-dementia/what-dementia" TargetMode="External"/><Relationship Id="rId25" Type="http://schemas.openxmlformats.org/officeDocument/2006/relationships/hyperlink" Target="https://www.thelancet.com/action/showPdf?pii=S0140-6736%2820%2930367-6" TargetMode="External"/><Relationship Id="rId33" Type="http://schemas.openxmlformats.org/officeDocument/2006/relationships/hyperlink" Target="https://www.researchgate.net/profile/Ritwik-Saxena/publication/389361927_Machine_Learning-Based_Clinical_Decision_Support_Systems_in_Dementia_Care/links/67e9c723e8041142a1543fc2/Machine-Learning-Based-Clinical-Decision-Support-Systems-in-Dementia-Care.pdf" TargetMode="External"/><Relationship Id="rId38" Type="http://schemas.openxmlformats.org/officeDocument/2006/relationships/hyperlink" Target="https://iris.who.int/server/api/core/bitstreams/8fc586d7-b864-42eb-9274-95462496b328/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18</Pages>
  <Words>5110</Words>
  <Characters>29132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generated by python-docx</dc:description>
  <cp:lastModifiedBy>Osagyefo Amoh</cp:lastModifiedBy>
  <cp:revision>8</cp:revision>
  <dcterms:created xsi:type="dcterms:W3CDTF">2026-06-07T17:43:00Z</dcterms:created>
  <dcterms:modified xsi:type="dcterms:W3CDTF">2026-06-27T00:19:00Z</dcterms:modified>
  <cp:category/>
</cp:coreProperties>
</file>