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sdt>
      <w:sdtPr>
        <w:id w:val="-975448201"/>
        <w:docPartObj>
          <w:docPartGallery w:val="Cover Pages"/>
          <w:docPartUnique/>
        </w:docPartObj>
      </w:sdtPr>
      <w:sdtEndPr>
        <w:rPr>
          <w:rStyle w:val="Hyperlink"/>
          <w:noProof/>
          <w:color w:val="0563C1" w:themeColor="hyperlink"/>
          <w:u w:val="single"/>
        </w:rPr>
      </w:sdtEndPr>
      <w:sdtContent>
        <w:p w:rsidR="00E507FF" w:rsidP="00D654A3" w:rsidRDefault="00E507FF" w14:paraId="4506F379" w14:textId="13CC5B74">
          <w:r>
            <w:t xml:space="preserve">                                                                                                                                           </w:t>
          </w:r>
          <w:r>
            <w:rPr>
              <w:noProof/>
              <w:lang w:val="en-GB" w:eastAsia="en-GB"/>
            </w:rPr>
            <w:drawing>
              <wp:inline distT="0" distB="0" distL="0" distR="0" wp14:anchorId="2980B812" wp14:editId="207A07A9">
                <wp:extent cx="2179320" cy="1024890"/>
                <wp:effectExtent l="0" t="0" r="0" b="3810"/>
                <wp:docPr id="1073741825" name="officeArt object" descr="Picture 638942447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73741825" name="Picture 638942447" descr="Picture 638942447"/>
                        <pic:cNvPicPr>
                          <a:picLocks noChangeAspect="1"/>
                        </pic:cNvPicPr>
                      </pic:nvPicPr>
                      <pic:blipFill>
                        <a:blip r:embed="rId8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179320" cy="1024890"/>
                        </a:xfrm>
                        <a:prstGeom prst="rect">
                          <a:avLst/>
                        </a:prstGeom>
                        <a:ln w="12700" cap="flat">
                          <a:noFill/>
                          <a:miter lim="400000"/>
                        </a:ln>
                        <a:effectLst/>
                      </pic:spPr>
                    </pic:pic>
                  </a:graphicData>
                </a:graphic>
              </wp:inline>
            </w:drawing>
          </w:r>
        </w:p>
        <w:p w:rsidR="00E507FF" w:rsidP="00D654A3" w:rsidRDefault="00E507FF" w14:paraId="30C96F6D" w14:textId="77777777"/>
        <w:p w:rsidRPr="00BC2154" w:rsidR="00D654A3" w:rsidP="00D654A3" w:rsidRDefault="00D654A3" w14:paraId="2045DDD9" w14:textId="36B74B1D">
          <w:pPr>
            <w:rPr>
              <w:sz w:val="32"/>
              <w:szCs w:val="32"/>
            </w:rPr>
          </w:pPr>
          <w:r w:rsidRPr="00BC2154">
            <w:rPr>
              <w:sz w:val="32"/>
              <w:szCs w:val="32"/>
            </w:rPr>
            <w:t>Student Name: Rafeen Akram</w:t>
          </w:r>
        </w:p>
        <w:p w:rsidRPr="00BC2154" w:rsidR="00D654A3" w:rsidP="00D654A3" w:rsidRDefault="00D654A3" w14:paraId="335CA294" w14:textId="77777777">
          <w:pPr>
            <w:rPr>
              <w:sz w:val="32"/>
              <w:szCs w:val="32"/>
            </w:rPr>
          </w:pPr>
          <w:r w:rsidRPr="00BC2154">
            <w:rPr>
              <w:sz w:val="32"/>
              <w:szCs w:val="32"/>
            </w:rPr>
            <w:t>Student Number: 2407472</w:t>
          </w:r>
        </w:p>
        <w:p w:rsidRPr="00BC2154" w:rsidR="00D654A3" w:rsidP="00D654A3" w:rsidRDefault="00D654A3" w14:paraId="03D5CBF4" w14:textId="77777777">
          <w:pPr>
            <w:rPr>
              <w:sz w:val="32"/>
              <w:szCs w:val="32"/>
            </w:rPr>
          </w:pPr>
          <w:r w:rsidRPr="00BC2154">
            <w:rPr>
              <w:sz w:val="32"/>
              <w:szCs w:val="32"/>
            </w:rPr>
            <w:t>Module: Digital Transformation in Health and Care Professions</w:t>
          </w:r>
        </w:p>
        <w:p w:rsidRPr="00BC2154" w:rsidR="00D654A3" w:rsidP="00D654A3" w:rsidRDefault="00D654A3" w14:paraId="3BFE0E5B" w14:textId="77777777">
          <w:pPr>
            <w:rPr>
              <w:sz w:val="32"/>
              <w:szCs w:val="32"/>
            </w:rPr>
          </w:pPr>
          <w:r w:rsidRPr="00BC2154">
            <w:rPr>
              <w:sz w:val="32"/>
              <w:szCs w:val="32"/>
            </w:rPr>
            <w:t>Module code: BMHP6026</w:t>
          </w:r>
        </w:p>
        <w:p w:rsidRPr="00BC2154" w:rsidR="00D654A3" w:rsidP="00D654A3" w:rsidRDefault="00D654A3" w14:paraId="1C79942D" w14:textId="77777777">
          <w:pPr>
            <w:rPr>
              <w:sz w:val="32"/>
              <w:szCs w:val="32"/>
            </w:rPr>
          </w:pPr>
          <w:r w:rsidRPr="00BC2154">
            <w:rPr>
              <w:sz w:val="32"/>
              <w:szCs w:val="32"/>
            </w:rPr>
            <w:t xml:space="preserve">Lecturer: Tomy </w:t>
          </w:r>
          <w:proofErr w:type="spellStart"/>
          <w:r w:rsidRPr="00BC2154">
            <w:rPr>
              <w:sz w:val="32"/>
              <w:szCs w:val="32"/>
            </w:rPr>
            <w:t>Adattu</w:t>
          </w:r>
          <w:proofErr w:type="spellEnd"/>
          <w:r w:rsidRPr="00BC2154">
            <w:rPr>
              <w:sz w:val="32"/>
              <w:szCs w:val="32"/>
            </w:rPr>
            <w:t xml:space="preserve"> Chacko</w:t>
          </w:r>
        </w:p>
        <w:p w:rsidRPr="00E507FF" w:rsidR="00D654A3" w:rsidP="00D654A3" w:rsidRDefault="00D654A3" w14:paraId="7F363106" w14:textId="77777777">
          <w:pPr>
            <w:pStyle w:val="Title"/>
            <w:rPr>
              <w:b/>
              <w:bCs/>
              <w:sz w:val="32"/>
              <w:szCs w:val="32"/>
            </w:rPr>
          </w:pPr>
          <w:r w:rsidRPr="00E507FF">
            <w:rPr>
              <w:b/>
              <w:bCs/>
              <w:sz w:val="32"/>
              <w:szCs w:val="32"/>
            </w:rPr>
            <w:t>Assignment Title: Component 1: Written Report</w:t>
          </w:r>
        </w:p>
        <w:p w:rsidRPr="00E507FF" w:rsidR="00E5113D" w:rsidRDefault="00E5113D" w14:paraId="41612932" w14:textId="5D03B999">
          <w:pPr>
            <w:rPr>
              <w:b/>
              <w:bCs/>
            </w:rPr>
          </w:pPr>
        </w:p>
        <w:p w:rsidR="00E5113D" w:rsidRDefault="00E5113D" w14:paraId="47763A15" w14:textId="77777777">
          <w:pPr>
            <w:rPr>
              <w:rStyle w:val="Hyperlink"/>
              <w:noProof/>
            </w:rPr>
          </w:pPr>
          <w:r>
            <w:rPr>
              <w:noProof/>
              <w:color w:val="0563C1" w:themeColor="hyperlink"/>
              <w:u w:val="single"/>
            </w:rPr>
            <mc:AlternateContent>
              <mc:Choice Requires="wps">
                <w:drawing>
                  <wp:anchor distT="0" distB="0" distL="114300" distR="114300" simplePos="0" relativeHeight="251658240" behindDoc="1" locked="0" layoutInCell="1" allowOverlap="1" wp14:anchorId="2AD49DB4" wp14:editId="76C4DDC2">
                    <wp:simplePos x="0" y="0"/>
                    <wp:positionH relativeFrom="margin">
                      <wp:posOffset>-457200</wp:posOffset>
                    </wp:positionH>
                    <wp:positionV relativeFrom="paragraph">
                      <wp:posOffset>378461</wp:posOffset>
                    </wp:positionV>
                    <wp:extent cx="5836920" cy="2385060"/>
                    <wp:effectExtent l="0" t="0" r="0" b="0"/>
                    <wp:wrapNone/>
                    <wp:docPr id="196" name="Text Box 19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836920" cy="238506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Pr="00E5113D" w:rsidR="00E5113D" w:rsidP="00D654A3" w:rsidRDefault="00E5113D" w14:paraId="4D33A239" w14:textId="77777777">
                                <w:pPr>
                                  <w:pStyle w:val="Title"/>
                                  <w:rPr>
                                    <w:szCs w:val="44"/>
                                    <w:u w:val="single"/>
                                  </w:rPr>
                                </w:pPr>
                                <w:r w:rsidRPr="00E5113D">
                                  <w:rPr>
                                    <w:rStyle w:val="Strong"/>
                                    <w:bCs w:val="0"/>
                                    <w:szCs w:val="44"/>
                                    <w:u w:val="single"/>
                                  </w:rPr>
                                  <w:t>Virtual Wards: Digital Transformation of Acute Healthcare in the UK</w:t>
                                </w:r>
                              </w:p>
                              <w:p w:rsidRPr="00E5113D" w:rsidR="00E5113D" w:rsidP="00E5113D" w:rsidRDefault="00E5113D" w14:paraId="50E34584" w14:textId="77777777">
                                <w:pPr>
                                  <w:pStyle w:val="Title"/>
                                  <w:jc w:val="center"/>
                                  <w:rPr>
                                    <w:sz w:val="36"/>
                                    <w:u w:val="single"/>
                                  </w:rPr>
                                </w:pPr>
                                <w:r w:rsidRPr="00E5113D">
                                  <w:rPr>
                                    <w:rStyle w:val="Strong"/>
                                    <w:b w:val="0"/>
                                    <w:bCs w:val="0"/>
                                    <w:sz w:val="36"/>
                                    <w:u w:val="single"/>
                                  </w:rPr>
                                  <w:t>A Critical Evaluation of Workforce, Service Delivery, Patient/Service User and Community Impacts</w:t>
                                </w:r>
                              </w:p>
                              <w:p w:rsidR="00E5113D" w:rsidP="00E5113D" w:rsidRDefault="00E5113D" w14:paraId="39EEA681" w14:textId="77777777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hAnsiTheme="majorHAnsi" w:eastAsiaTheme="majorEastAsia" w:cstheme="majorBidi"/>
                                    <w:caps/>
                                    <w:color w:val="5B9BD5" w:themeColor="accent1"/>
                                    <w:sz w:val="72"/>
                                    <w:szCs w:val="72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 w14:anchorId="2AD49DB4">
                    <v:stroke joinstyle="miter"/>
                    <v:path gradientshapeok="t" o:connecttype="rect"/>
                  </v:shapetype>
                  <v:shape id="Text Box 196" style="position:absolute;margin-left:-36pt;margin-top:29.8pt;width:459.6pt;height:187.8pt;z-index:-2516582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spid="_x0000_s1026" fillcolor="white [3212]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">
                    <v:textbox inset="36pt,7.2pt,36pt,7.2pt">
                      <w:txbxContent>
                        <w:p w:rsidRPr="00E5113D" w:rsidR="00E5113D" w:rsidP="00D654A3" w:rsidRDefault="00E5113D" w14:paraId="4D33A239" w14:textId="77777777">
                          <w:pPr>
                            <w:pStyle w:val="Title"/>
                            <w:rPr>
                              <w:szCs w:val="44"/>
                              <w:u w:val="single"/>
                            </w:rPr>
                          </w:pPr>
                          <w:r w:rsidRPr="00E5113D">
                            <w:rPr>
                              <w:rStyle w:val="Strong"/>
                              <w:bCs w:val="0"/>
                              <w:szCs w:val="44"/>
                              <w:u w:val="single"/>
                            </w:rPr>
                            <w:t>Virtual Wards: Digital Transformation of Acute Healthcare in the UK</w:t>
                          </w:r>
                        </w:p>
                        <w:p w:rsidRPr="00E5113D" w:rsidR="00E5113D" w:rsidP="00E5113D" w:rsidRDefault="00E5113D" w14:paraId="50E34584" w14:textId="77777777">
                          <w:pPr>
                            <w:pStyle w:val="Title"/>
                            <w:jc w:val="center"/>
                            <w:rPr>
                              <w:sz w:val="36"/>
                              <w:u w:val="single"/>
                            </w:rPr>
                          </w:pPr>
                          <w:r w:rsidRPr="00E5113D">
                            <w:rPr>
                              <w:rStyle w:val="Strong"/>
                              <w:b w:val="0"/>
                              <w:bCs w:val="0"/>
                              <w:sz w:val="36"/>
                              <w:u w:val="single"/>
                            </w:rPr>
                            <w:t>A Critical Evaluation of Workforce, Service Delivery, Patient/Service User and Community Impacts</w:t>
                          </w:r>
                        </w:p>
                        <w:p w:rsidR="00E5113D" w:rsidP="00E5113D" w:rsidRDefault="00E5113D" w14:paraId="39EEA681" w14:textId="77777777">
                          <w:pPr>
                            <w:pStyle w:val="NoSpacing"/>
                            <w:jc w:val="center"/>
                            <w:rPr>
                              <w:rFonts w:asciiTheme="majorHAnsi" w:hAnsiTheme="majorHAnsi" w:eastAsiaTheme="majorEastAsia" w:cstheme="majorBidi"/>
                              <w:caps/>
                              <w:color w:val="5B9BD5" w:themeColor="accent1"/>
                              <w:sz w:val="72"/>
                              <w:szCs w:val="72"/>
                            </w:rPr>
                          </w:pPr>
                        </w:p>
                      </w:txbxContent>
                    </v:textbox>
                    <w10:wrap anchorx="margin"/>
                  </v:shape>
                </w:pict>
              </mc:Fallback>
            </mc:AlternateContent>
          </w:r>
          <w:r>
            <w:rPr>
              <w:rStyle w:val="Hyperlink"/>
              <w:noProof/>
            </w:rPr>
            <w:br w:type="page"/>
          </w:r>
        </w:p>
      </w:sdtContent>
    </w:sdt>
    <w:sdt>
      <w:sdtPr>
        <w:id w:val="-1942292179"/>
        <w:docPartObj>
          <w:docPartGallery w:val="Table of Contents"/>
          <w:docPartUnique/>
        </w:docPartObj>
        <w:rPr>
          <w:rFonts w:ascii="Calibri" w:hAnsi="Calibri" w:eastAsia="" w:cs="" w:asciiTheme="minorAscii" w:hAnsiTheme="minorAscii" w:eastAsiaTheme="minorEastAsia" w:cstheme="minorBidi"/>
          <w:color w:val="auto"/>
          <w:sz w:val="22"/>
          <w:szCs w:val="22"/>
          <w:u w:val="single"/>
        </w:rPr>
      </w:sdtPr>
      <w:sdtEndPr>
        <w:rPr>
          <w:rFonts w:ascii="Calibri" w:hAnsi="Calibri" w:eastAsia="" w:cs="" w:asciiTheme="minorAscii" w:hAnsiTheme="minorAscii" w:eastAsiaTheme="minorEastAsia" w:cstheme="minorBidi"/>
          <w:b w:val="1"/>
          <w:bCs w:val="1"/>
          <w:noProof/>
          <w:color w:val="auto"/>
          <w:sz w:val="22"/>
          <w:szCs w:val="22"/>
          <w:u w:val="single"/>
        </w:rPr>
      </w:sdtEndPr>
      <w:sdtContent>
        <w:p w:rsidRPr="00804771" w:rsidR="00E5113D" w:rsidRDefault="00E5113D" w14:paraId="1D9F0615" w14:textId="77777777">
          <w:pPr>
            <w:pStyle w:val="TOCHeading"/>
            <w:rPr>
              <w:b/>
              <w:color w:val="000000" w:themeColor="text1"/>
              <w:sz w:val="36"/>
              <w:u w:val="single"/>
            </w:rPr>
          </w:pPr>
          <w:r w:rsidRPr="00804771">
            <w:rPr>
              <w:b/>
              <w:color w:val="000000" w:themeColor="text1"/>
              <w:sz w:val="36"/>
              <w:u w:val="single"/>
            </w:rPr>
            <w:t>Table of Contents</w:t>
          </w:r>
        </w:p>
        <w:p w:rsidR="00533159" w:rsidRDefault="00E5113D" w14:paraId="56E43DE6" w14:textId="4984A76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r w:rsidRPr="00804771">
            <w:rPr>
              <w:u w:val="single"/>
            </w:rPr>
            <w:fldChar w:fldCharType="begin"/>
          </w:r>
          <w:r w:rsidRPr="00804771">
            <w:rPr>
              <w:u w:val="single"/>
            </w:rPr>
            <w:instrText>TOC \o "1-3" \z \u \h</w:instrText>
          </w:r>
          <w:r w:rsidRPr="00804771">
            <w:rPr>
              <w:u w:val="single"/>
            </w:rPr>
            <w:fldChar w:fldCharType="separate"/>
          </w:r>
          <w:hyperlink w:history="1" w:anchor="_Toc242825265">
            <w:r w:rsidRPr="00306AD0" w:rsidR="00533159">
              <w:rPr>
                <w:rStyle w:val="Hyperlink"/>
                <w:rFonts w:eastAsia="Times New Roman"/>
                <w:b/>
                <w:bCs/>
                <w:noProof/>
              </w:rPr>
              <w:t>Introduction</w:t>
            </w:r>
            <w:r w:rsidR="00533159">
              <w:rPr>
                <w:noProof/>
                <w:webHidden/>
              </w:rPr>
              <w:tab/>
            </w:r>
            <w:r w:rsidR="00533159">
              <w:rPr>
                <w:noProof/>
                <w:webHidden/>
              </w:rPr>
              <w:fldChar w:fldCharType="begin"/>
            </w:r>
            <w:r w:rsidR="00533159">
              <w:rPr>
                <w:noProof/>
                <w:webHidden/>
              </w:rPr>
              <w:instrText xml:space="preserve"> PAGEREF _Toc242825265 \h </w:instrText>
            </w:r>
            <w:r w:rsidR="00533159">
              <w:rPr>
                <w:noProof/>
                <w:webHidden/>
              </w:rPr>
            </w:r>
            <w:r w:rsidR="00533159">
              <w:rPr>
                <w:noProof/>
                <w:webHidden/>
              </w:rPr>
              <w:fldChar w:fldCharType="separate"/>
            </w:r>
            <w:r w:rsidR="00533159">
              <w:rPr>
                <w:noProof/>
                <w:webHidden/>
              </w:rPr>
              <w:t>2</w:t>
            </w:r>
            <w:r w:rsidR="00533159"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0D278D0E" w14:textId="6FA42913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66">
            <w:r w:rsidRPr="00306AD0">
              <w:rPr>
                <w:rStyle w:val="Hyperlink"/>
                <w:b/>
                <w:bCs/>
                <w:noProof/>
              </w:rPr>
              <w:t>2. Critical Evaluation: Impact on the Workforce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415B0629" w14:textId="3B90CAC1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67">
            <w:r w:rsidRPr="00306AD0">
              <w:rPr>
                <w:rStyle w:val="Hyperlink"/>
                <w:noProof/>
              </w:rPr>
              <w:t>2.1 Transformation of Professional Practice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5C0835F3" w14:textId="091113FC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68">
            <w:r w:rsidRPr="00306AD0">
              <w:rPr>
                <w:rStyle w:val="Hyperlink"/>
                <w:noProof/>
              </w:rPr>
              <w:t>2.2 Digital Competence and Professional Roles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420A8A10" w14:textId="6119F6BD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69">
            <w:r w:rsidRPr="00306AD0">
              <w:rPr>
                <w:rStyle w:val="Hyperlink"/>
                <w:noProof/>
              </w:rPr>
              <w:t>2.3 Workload and Workforce Capacity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295F5909" w14:textId="0815DCBE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70">
            <w:r w:rsidRPr="00306AD0">
              <w:rPr>
                <w:rStyle w:val="Hyperlink"/>
                <w:noProof/>
              </w:rPr>
              <w:t>2.4 Accountability and Workforce Sustainability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49E78436" w14:textId="38F0189E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71">
            <w:r w:rsidRPr="00306AD0">
              <w:rPr>
                <w:rStyle w:val="Hyperlink"/>
                <w:b/>
                <w:bCs/>
                <w:noProof/>
              </w:rPr>
              <w:t>3. Impact on Service Delivery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51C7F291" w14:textId="40582793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72">
            <w:r w:rsidRPr="00306AD0">
              <w:rPr>
                <w:rStyle w:val="Hyperlink"/>
                <w:noProof/>
              </w:rPr>
              <w:t>3.1 Transformation of the Acute-Care Pathway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7EB1948A" w14:textId="588268AD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73">
            <w:r w:rsidRPr="00306AD0">
              <w:rPr>
                <w:rStyle w:val="Hyperlink"/>
                <w:noProof/>
              </w:rPr>
              <w:t>3.2 Capacity, Admissions and Length of Stay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7D9C799A" w14:textId="175C8125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74">
            <w:r w:rsidRPr="00306AD0">
              <w:rPr>
                <w:rStyle w:val="Hyperlink"/>
                <w:noProof/>
              </w:rPr>
              <w:t>3.3 Integration and Continuity of 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76F1F25E" w14:textId="0B6F2F2E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75">
            <w:r w:rsidRPr="00306AD0">
              <w:rPr>
                <w:rStyle w:val="Hyperlink"/>
                <w:noProof/>
              </w:rPr>
              <w:t>3.4 Efficiency and Sustainability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3AEBEFDE" w14:textId="7B005F43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76">
            <w:r w:rsidRPr="00306AD0">
              <w:rPr>
                <w:rStyle w:val="Hyperlink"/>
                <w:b/>
                <w:bCs/>
                <w:noProof/>
              </w:rPr>
              <w:t>4. Critical Evaluation: Impact on Patients and Service Users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085DEAE6" w14:textId="1641F814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77">
            <w:r w:rsidRPr="00306AD0">
              <w:rPr>
                <w:rStyle w:val="Hyperlink"/>
                <w:noProof/>
              </w:rPr>
              <w:t>4.1 Patient Experience and Quality of 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16092577" w14:textId="78FEDA45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78">
            <w:r w:rsidRPr="00306AD0">
              <w:rPr>
                <w:rStyle w:val="Hyperlink"/>
                <w:noProof/>
              </w:rPr>
              <w:t>4.2 Safety, Outcomes and Escalation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77EF0AA3" w14:textId="38139BF8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79">
            <w:r w:rsidRPr="00306AD0">
              <w:rPr>
                <w:rStyle w:val="Hyperlink"/>
                <w:noProof/>
              </w:rPr>
              <w:t>4.3 Autonomy, Choice and Responsibility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28780933" w14:textId="0ADE77D3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80">
            <w:r w:rsidRPr="00306AD0">
              <w:rPr>
                <w:rStyle w:val="Hyperlink"/>
                <w:noProof/>
              </w:rPr>
              <w:t>4.4 Equity, Digital Exclusion and Privacy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2005B847" w14:textId="1DB89E5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81">
            <w:r w:rsidRPr="00306AD0">
              <w:rPr>
                <w:rStyle w:val="Hyperlink"/>
                <w:b/>
                <w:bCs/>
                <w:noProof/>
              </w:rPr>
              <w:t>5. Critical Evaluation: Impact on the Community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167B51F7" w14:textId="5207B29C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82">
            <w:r w:rsidRPr="00306AD0">
              <w:rPr>
                <w:rStyle w:val="Hyperlink"/>
                <w:noProof/>
              </w:rPr>
              <w:t>5.1 Decentralization and Community Access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14041FDD" w14:textId="3B5A72C6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83">
            <w:r w:rsidRPr="00306AD0">
              <w:rPr>
                <w:rStyle w:val="Hyperlink"/>
                <w:noProof/>
              </w:rPr>
              <w:t>5.2 Families and Informal Carers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7D471E6C" w14:textId="34F0281D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84">
            <w:r w:rsidRPr="00306AD0">
              <w:rPr>
                <w:rStyle w:val="Hyperlink"/>
                <w:noProof/>
              </w:rPr>
              <w:t>5.3 Digital and Social Inequalities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2C671DD5" w14:textId="32BB739C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85">
            <w:r w:rsidRPr="00306AD0">
              <w:rPr>
                <w:rStyle w:val="Hyperlink"/>
                <w:noProof/>
              </w:rPr>
              <w:t>5.4 Community and System Sustainability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0AF02CF4" w14:textId="5D0E1ADD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86">
            <w:r w:rsidRPr="00306AD0">
              <w:rPr>
                <w:rStyle w:val="Hyperlink"/>
                <w:b/>
                <w:bCs/>
                <w:noProof/>
              </w:rPr>
              <w:t>6.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3AF94570" w14:textId="316DEA88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87">
            <w:r w:rsidRPr="00306AD0">
              <w:rPr>
                <w:rStyle w:val="Hyperlink"/>
                <w:noProof/>
              </w:rPr>
              <w:t>6.1 Workforce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07E9A764" w14:textId="70E52C74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88">
            <w:r w:rsidRPr="00306AD0">
              <w:rPr>
                <w:rStyle w:val="Hyperlink"/>
                <w:noProof/>
              </w:rPr>
              <w:t>6.2 Service Delivery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29C768AB" w14:textId="1E9464E4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89">
            <w:r w:rsidRPr="00306AD0">
              <w:rPr>
                <w:rStyle w:val="Hyperlink"/>
                <w:noProof/>
              </w:rPr>
              <w:t>6.3 Patients and Service Users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62072A95" w14:textId="1F69297B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90">
            <w:r w:rsidRPr="00306AD0">
              <w:rPr>
                <w:rStyle w:val="Hyperlink"/>
                <w:noProof/>
              </w:rPr>
              <w:t>6.4 Community and Equity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533159" w:rsidRDefault="00533159" w14:paraId="47F97463" w14:textId="7A07CD42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2"/>
              <w:sz w:val="24"/>
              <w:szCs w:val="24"/>
              <w:lang w:val="en-GB" w:eastAsia="en-GB"/>
              <w14:ligatures w14:val="standardContextual"/>
            </w:rPr>
          </w:pPr>
          <w:hyperlink w:history="1" w:anchor="_Toc242825291">
            <w:r w:rsidRPr="00306AD0">
              <w:rPr>
                <w:rStyle w:val="Hyperlink"/>
                <w:b/>
                <w:bCs/>
                <w:noProof/>
              </w:rPr>
              <w:t>7.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_Toc242825291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Pr="00804771" w:rsidR="00E5113D" w:rsidRDefault="00E5113D" w14:paraId="6F400A2A" w14:textId="47F2E723">
          <w:pPr>
            <w:rPr>
              <w:u w:val="single"/>
            </w:rPr>
          </w:pPr>
          <w:r w:rsidRPr="00804771">
            <w:rPr>
              <w:b/>
              <w:bCs/>
              <w:noProof/>
              <w:u w:val="single"/>
            </w:rPr>
            <w:fldChar w:fldCharType="end"/>
          </w:r>
          <w:r w:rsidRPr="00804771" w:rsidR="00C767F0">
            <w:rPr>
              <w:b/>
              <w:bCs/>
              <w:noProof/>
              <w:u w:val="single"/>
            </w:rPr>
            <w:t>Refe</w:t>
          </w:r>
          <w:r w:rsidRPr="00804771" w:rsidR="00FF44CF">
            <w:rPr>
              <w:b/>
              <w:bCs/>
              <w:noProof/>
              <w:u w:val="single"/>
            </w:rPr>
            <w:t>ren</w:t>
          </w:r>
          <w:r w:rsidRPr="00804771" w:rsidR="006E540B">
            <w:rPr>
              <w:b/>
              <w:bCs/>
              <w:noProof/>
              <w:u w:val="single"/>
            </w:rPr>
            <w:t>ce</w:t>
          </w:r>
          <w:r w:rsidRPr="00804771" w:rsidR="00370547">
            <w:rPr>
              <w:b/>
              <w:bCs/>
              <w:noProof/>
              <w:u w:val="single"/>
            </w:rPr>
            <w:t>…………………………………………………………………………………………………………………………………………</w:t>
          </w:r>
          <w:r w:rsidRPr="00804771" w:rsidR="00D71BE4">
            <w:rPr>
              <w:b/>
              <w:bCs/>
              <w:noProof/>
              <w:u w:val="single"/>
            </w:rPr>
            <w:t>10</w:t>
          </w:r>
        </w:p>
      </w:sdtContent>
    </w:sdt>
    <w:p w:rsidR="0C9457B9" w:rsidP="0C9457B9" w:rsidRDefault="0C9457B9" w14:paraId="518984CA" w14:textId="6A91C321">
      <w:pPr>
        <w:pStyle w:val="Heading1"/>
        <w:rPr>
          <w:rFonts w:eastAsia="Times New Roman"/>
          <w:b/>
          <w:bCs/>
          <w:color w:val="000000" w:themeColor="text1"/>
          <w:sz w:val="36"/>
          <w:szCs w:val="36"/>
        </w:rPr>
      </w:pPr>
    </w:p>
    <w:p w:rsidR="0C9457B9" w:rsidP="0C9457B9" w:rsidRDefault="0C9457B9" w14:paraId="2CF42A68" w14:textId="4F26E317">
      <w:pPr>
        <w:pStyle w:val="Heading1"/>
        <w:rPr>
          <w:rFonts w:eastAsia="Times New Roman"/>
          <w:b/>
          <w:bCs/>
          <w:color w:val="000000" w:themeColor="text1"/>
          <w:sz w:val="36"/>
          <w:szCs w:val="36"/>
        </w:rPr>
      </w:pPr>
    </w:p>
    <w:p w:rsidRPr="00E5113D" w:rsidR="00013E96" w:rsidP="0C9457B9" w:rsidRDefault="00013E96" w14:paraId="06D2E48C" w14:textId="77777777">
      <w:pPr>
        <w:pStyle w:val="Heading1"/>
        <w:rPr>
          <w:rFonts w:eastAsia="Times New Roman"/>
          <w:b/>
          <w:bCs/>
          <w:color w:val="000000" w:themeColor="text1"/>
          <w:sz w:val="36"/>
          <w:szCs w:val="36"/>
        </w:rPr>
      </w:pPr>
      <w:bookmarkStart w:name="_Toc75103097" w:id="0"/>
      <w:bookmarkStart w:name="_Toc242825265" w:id="1"/>
      <w:r w:rsidRPr="0C9457B9">
        <w:rPr>
          <w:rFonts w:eastAsia="Times New Roman"/>
          <w:b/>
          <w:bCs/>
          <w:color w:val="000000" w:themeColor="text1"/>
          <w:sz w:val="36"/>
          <w:szCs w:val="36"/>
        </w:rPr>
        <w:t>Introduction</w:t>
      </w:r>
      <w:bookmarkEnd w:id="0"/>
      <w:bookmarkEnd w:id="1"/>
    </w:p>
    <w:p w:rsidRPr="00192B8A" w:rsidR="00013E96" w:rsidP="0073500C" w:rsidRDefault="00EE6224" w14:paraId="639688ED" w14:textId="2FBD4E6D">
      <w:pPr>
        <w:spacing w:line="360" w:lineRule="auto"/>
        <w:jc w:val="both"/>
        <w:rPr>
          <w:rStyle w:val="cursor-pointer"/>
          <w:rFonts w:ascii="Arial" w:hAnsi="Arial" w:cs="Arial"/>
        </w:rPr>
      </w:pPr>
      <w:r w:rsidRPr="0C9457B9">
        <w:rPr>
          <w:rFonts w:ascii="Arial" w:hAnsi="Arial" w:cs="Arial"/>
        </w:rPr>
        <w:t xml:space="preserve">Growing pressure on UK hospital capacity has encouraged digitally enabled healthcare models that provide acute care beyond traditional hospital settings </w:t>
      </w:r>
      <w:r w:rsidRPr="0C9457B9" w:rsidR="00192B8A">
        <w:rPr>
          <w:rStyle w:val="cursor-pointer"/>
          <w:rFonts w:ascii="Arial" w:hAnsi="Arial" w:cs="Arial"/>
        </w:rPr>
        <w:t>(Jalilian et al., 2024).</w:t>
      </w:r>
      <w:r w:rsidRPr="0C9457B9" w:rsidR="00192B8A">
        <w:rPr>
          <w:rFonts w:ascii="Arial" w:hAnsi="Arial" w:cs="Arial"/>
        </w:rPr>
        <w:t xml:space="preserve"> </w:t>
      </w:r>
      <w:r w:rsidRPr="0C9457B9" w:rsidR="00192B8A">
        <w:rPr>
          <w:rStyle w:val="cursor-pointer"/>
          <w:rFonts w:ascii="Arial" w:hAnsi="Arial" w:cs="Arial"/>
        </w:rPr>
        <w:t>Virtual wards are a system of care that allows for the monitoring of health at home, the use of digital communication and multidisciplinary clinical support (McGowan et al., 2024) at the level of a hospital.</w:t>
      </w:r>
      <w:r w:rsidRPr="0C9457B9" w:rsidR="00192B8A">
        <w:rPr>
          <w:rFonts w:ascii="Arial" w:hAnsi="Arial" w:cs="Arial"/>
        </w:rPr>
        <w:t xml:space="preserve"> </w:t>
      </w:r>
      <w:r w:rsidRPr="0C9457B9" w:rsidR="00192B8A">
        <w:rPr>
          <w:rStyle w:val="cursor-pointer"/>
          <w:rFonts w:ascii="Arial" w:hAnsi="Arial" w:cs="Arial"/>
        </w:rPr>
        <w:t xml:space="preserve">While they can decrease the number of admissions, encourage timely </w:t>
      </w:r>
      <w:r w:rsidRPr="0C9457B9" w:rsidR="1D62CF46">
        <w:rPr>
          <w:rStyle w:val="cursor-pointer"/>
          <w:rFonts w:ascii="Arial" w:hAnsi="Arial" w:cs="Arial"/>
        </w:rPr>
        <w:t>discharge,</w:t>
      </w:r>
      <w:r w:rsidRPr="0C9457B9" w:rsidR="00192B8A">
        <w:rPr>
          <w:rStyle w:val="cursor-pointer"/>
          <w:rFonts w:ascii="Arial" w:hAnsi="Arial" w:cs="Arial"/>
        </w:rPr>
        <w:t xml:space="preserve"> and enhance patient experience, the impact they have overall remains unknown (Chauhan and McAlister, 2022).</w:t>
      </w:r>
      <w:r w:rsidRPr="0C9457B9" w:rsidR="00192B8A">
        <w:rPr>
          <w:rFonts w:ascii="Arial" w:hAnsi="Arial" w:cs="Arial"/>
        </w:rPr>
        <w:t xml:space="preserve"> </w:t>
      </w:r>
      <w:r w:rsidRPr="0C9457B9" w:rsidR="00192B8A">
        <w:rPr>
          <w:rStyle w:val="cursor-pointer"/>
          <w:rFonts w:ascii="Arial" w:hAnsi="Arial" w:cs="Arial"/>
        </w:rPr>
        <w:t>Challenges are related to Workforce needs, Digital competence, Patient safety and increased responsibilities for informal carers.</w:t>
      </w:r>
      <w:r w:rsidRPr="0C9457B9" w:rsidR="00192B8A">
        <w:rPr>
          <w:rFonts w:ascii="Arial" w:hAnsi="Arial" w:cs="Arial"/>
        </w:rPr>
        <w:t xml:space="preserve"> </w:t>
      </w:r>
      <w:r w:rsidRPr="0C9457B9" w:rsidR="00192B8A">
        <w:rPr>
          <w:rStyle w:val="cursor-pointer"/>
          <w:rFonts w:ascii="Arial" w:hAnsi="Arial" w:cs="Arial"/>
        </w:rPr>
        <w:t xml:space="preserve">Therefore, if it is to be successful, it is necessary to have technology that can be accessed, clinical </w:t>
      </w:r>
      <w:r w:rsidRPr="0C9457B9" w:rsidR="08BB8A6C">
        <w:rPr>
          <w:rStyle w:val="cursor-pointer"/>
          <w:rFonts w:ascii="Arial" w:hAnsi="Arial" w:cs="Arial"/>
        </w:rPr>
        <w:t>coordination,</w:t>
      </w:r>
      <w:r w:rsidRPr="0C9457B9" w:rsidR="00192B8A">
        <w:rPr>
          <w:rStyle w:val="cursor-pointer"/>
          <w:rFonts w:ascii="Arial" w:hAnsi="Arial" w:cs="Arial"/>
        </w:rPr>
        <w:t xml:space="preserve"> and integration with current healthcare services.</w:t>
      </w:r>
      <w:r w:rsidRPr="0C9457B9" w:rsidR="00192B8A">
        <w:rPr>
          <w:rFonts w:ascii="Arial" w:hAnsi="Arial" w:cs="Arial"/>
        </w:rPr>
        <w:t xml:space="preserve"> </w:t>
      </w:r>
      <w:r w:rsidRPr="0C9457B9" w:rsidR="00192B8A">
        <w:rPr>
          <w:rStyle w:val="cursor-pointer"/>
          <w:rFonts w:ascii="Arial" w:hAnsi="Arial" w:cs="Arial"/>
        </w:rPr>
        <w:t>This report critically explores how virtual wards affect the workforce, service delivery and patients/communities and considers its potential in relation to supporting safe, equitable and sustainable healthcare transformation in the UK.</w:t>
      </w:r>
    </w:p>
    <w:p w:rsidR="0073500C" w:rsidP="0073500C" w:rsidRDefault="0073500C" w14:paraId="210FE389" w14:textId="77777777">
      <w:pPr>
        <w:spacing w:line="360" w:lineRule="auto"/>
        <w:jc w:val="center"/>
        <w:rPr>
          <w:rStyle w:val="cursor-pointer"/>
          <w:rFonts w:ascii="Arial" w:hAnsi="Arial" w:eastAsia="Times New Roman" w:cs="Arial"/>
        </w:rPr>
      </w:pPr>
      <w:r>
        <w:rPr>
          <w:rFonts w:ascii="Arial" w:hAnsi="Arial" w:eastAsia="Times New Roman" w:cs="Arial"/>
          <w:noProof/>
        </w:rPr>
        <w:drawing>
          <wp:inline distT="0" distB="0" distL="0" distR="0" wp14:anchorId="1B16F35F" wp14:editId="5A833BC8">
            <wp:extent cx="5327489" cy="5257054"/>
            <wp:effectExtent l="0" t="0" r="6985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hatGPT Image Sep 16, 2026, 07_21_26 AM.png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6154"/>
                    <a:stretch/>
                  </pic:blipFill>
                  <pic:spPr bwMode="auto">
                    <a:xfrm>
                      <a:off x="0" y="0"/>
                      <a:ext cx="5331202" cy="526071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0F2C4C" w:rsidP="000F2C4C" w:rsidRDefault="0073500C" w14:paraId="7998C6C6" w14:textId="77777777">
      <w:pPr>
        <w:pStyle w:val="Caption"/>
        <w:jc w:val="center"/>
        <w:rPr>
          <w:color w:val="000000" w:themeColor="text1"/>
        </w:rPr>
      </w:pPr>
      <w:r w:rsidRPr="0073500C">
        <w:rPr>
          <w:color w:val="000000" w:themeColor="text1"/>
        </w:rPr>
        <w:t xml:space="preserve">Figure </w:t>
      </w:r>
      <w:r w:rsidRPr="0073500C">
        <w:rPr>
          <w:color w:val="000000" w:themeColor="text1"/>
        </w:rPr>
        <w:fldChar w:fldCharType="begin"/>
      </w:r>
      <w:r w:rsidRPr="0073500C">
        <w:rPr>
          <w:color w:val="000000" w:themeColor="text1"/>
        </w:rPr>
        <w:instrText xml:space="preserve"> SEQ Figure \* ARABIC </w:instrText>
      </w:r>
      <w:r w:rsidRPr="0073500C">
        <w:rPr>
          <w:color w:val="000000" w:themeColor="text1"/>
        </w:rPr>
        <w:fldChar w:fldCharType="separate"/>
      </w:r>
      <w:r w:rsidRPr="0073500C">
        <w:rPr>
          <w:noProof/>
          <w:color w:val="000000" w:themeColor="text1"/>
        </w:rPr>
        <w:t>1</w:t>
      </w:r>
      <w:r w:rsidRPr="0073500C">
        <w:rPr>
          <w:color w:val="000000" w:themeColor="text1"/>
        </w:rPr>
        <w:fldChar w:fldCharType="end"/>
      </w:r>
      <w:r w:rsidRPr="0073500C">
        <w:rPr>
          <w:color w:val="000000" w:themeColor="text1"/>
        </w:rPr>
        <w:t xml:space="preserve"> Technology-Enabled Virtual Ward Pathway for Acute Care at Home</w:t>
      </w:r>
      <w:r w:rsidR="000F2C4C">
        <w:rPr>
          <w:color w:val="000000" w:themeColor="text1"/>
        </w:rPr>
        <w:t xml:space="preserve">                                               </w:t>
      </w:r>
    </w:p>
    <w:p w:rsidRPr="000F2C4C" w:rsidR="0073500C" w:rsidP="000F2C4C" w:rsidRDefault="000F2C4C" w14:paraId="750E891F" w14:textId="77777777">
      <w:pPr>
        <w:pStyle w:val="Caption"/>
        <w:jc w:val="center"/>
        <w:rPr>
          <w:color w:val="auto"/>
        </w:rPr>
      </w:pPr>
      <w:r w:rsidRPr="000F2C4C">
        <w:rPr>
          <w:color w:val="auto"/>
        </w:rPr>
        <w:t xml:space="preserve">                                                                                                                                                                                              </w:t>
      </w:r>
      <w:r>
        <w:rPr>
          <w:color w:val="auto"/>
        </w:rPr>
        <w:t>(NHS England, 2023</w:t>
      </w:r>
      <w:r w:rsidRPr="000F2C4C">
        <w:rPr>
          <w:color w:val="auto"/>
        </w:rPr>
        <w:t>)</w:t>
      </w:r>
    </w:p>
    <w:p w:rsidRPr="0073500C" w:rsidR="0073500C" w:rsidP="00A07CDB" w:rsidRDefault="0073500C" w14:paraId="49AF5961" w14:textId="7A809262">
      <w:pPr>
        <w:spacing w:line="360" w:lineRule="auto"/>
        <w:jc w:val="both"/>
        <w:rPr>
          <w:rFonts w:ascii="Arial" w:hAnsi="Arial" w:cs="Arial"/>
        </w:rPr>
      </w:pPr>
      <w:r w:rsidRPr="18F71E22" w:rsidR="7B360C97">
        <w:rPr>
          <w:rFonts w:ascii="Arial" w:hAnsi="Arial" w:cs="Arial"/>
        </w:rPr>
        <w:t xml:space="preserve">Figure 1 illustrates the technology-enabled pathway through which patients are assessed, </w:t>
      </w:r>
      <w:r w:rsidRPr="18F71E22" w:rsidR="61774FE7">
        <w:rPr>
          <w:rFonts w:ascii="Arial" w:hAnsi="Arial" w:cs="Arial"/>
        </w:rPr>
        <w:t>monitored,</w:t>
      </w:r>
      <w:r w:rsidRPr="18F71E22" w:rsidR="7B360C97">
        <w:rPr>
          <w:rFonts w:ascii="Arial" w:hAnsi="Arial" w:cs="Arial"/>
        </w:rPr>
        <w:t xml:space="preserve"> and clinically managed within a virtual ward.</w:t>
      </w:r>
    </w:p>
    <w:p w:rsidRPr="00E5113D" w:rsidR="00013E96" w:rsidP="0C9457B9" w:rsidRDefault="00013E96" w14:paraId="6704C676" w14:textId="77777777">
      <w:pPr>
        <w:pStyle w:val="Heading1"/>
        <w:rPr>
          <w:b/>
          <w:bCs/>
          <w:color w:val="000000" w:themeColor="text1"/>
          <w:sz w:val="36"/>
          <w:szCs w:val="36"/>
        </w:rPr>
      </w:pPr>
      <w:bookmarkStart w:name="_Toc394834782" w:id="2"/>
      <w:bookmarkStart w:name="_Toc242825266" w:id="3"/>
      <w:r w:rsidRPr="0C9457B9">
        <w:rPr>
          <w:b/>
          <w:bCs/>
          <w:color w:val="000000" w:themeColor="text1"/>
          <w:sz w:val="36"/>
          <w:szCs w:val="36"/>
        </w:rPr>
        <w:t>2. Critical Evaluation: Impact on the Workforce</w:t>
      </w:r>
      <w:bookmarkEnd w:id="2"/>
      <w:bookmarkEnd w:id="3"/>
    </w:p>
    <w:p w:rsidRPr="0073500C" w:rsidR="00013E96" w:rsidP="0073500C" w:rsidRDefault="00013E96" w14:paraId="3D3E901B" w14:textId="74027A48">
      <w:pPr>
        <w:spacing w:line="360" w:lineRule="auto"/>
        <w:jc w:val="both"/>
        <w:rPr>
          <w:rFonts w:ascii="Arial" w:hAnsi="Arial" w:cs="Arial"/>
        </w:rPr>
      </w:pPr>
      <w:r w:rsidRPr="18F71E22" w:rsidR="5EB82103">
        <w:rPr>
          <w:rStyle w:val="cursor-pointer"/>
          <w:rFonts w:ascii="Arial" w:hAnsi="Arial" w:cs="Arial"/>
        </w:rPr>
        <w:t xml:space="preserve">The impact on professional work, competence, </w:t>
      </w:r>
      <w:r w:rsidRPr="18F71E22" w:rsidR="6AC898A1">
        <w:rPr>
          <w:rStyle w:val="cursor-pointer"/>
          <w:rFonts w:ascii="Arial" w:hAnsi="Arial" w:cs="Arial"/>
        </w:rPr>
        <w:t>workload,</w:t>
      </w:r>
      <w:r w:rsidRPr="18F71E22" w:rsidR="5EB82103">
        <w:rPr>
          <w:rStyle w:val="cursor-pointer"/>
          <w:rFonts w:ascii="Arial" w:hAnsi="Arial" w:cs="Arial"/>
        </w:rPr>
        <w:t xml:space="preserve"> and accountability are important consequences of the change of clinical work, called virtual wards.</w:t>
      </w:r>
      <w:r w:rsidRPr="18F71E22" w:rsidR="5EB82103">
        <w:rPr>
          <w:rFonts w:ascii="Arial" w:hAnsi="Arial" w:cs="Arial"/>
        </w:rPr>
        <w:t xml:space="preserve"> </w:t>
      </w:r>
    </w:p>
    <w:p w:rsidRPr="00E5113D" w:rsidR="00013E96" w:rsidP="0C9457B9" w:rsidRDefault="00013E96" w14:paraId="242B4396" w14:textId="77777777">
      <w:pPr>
        <w:pStyle w:val="Heading2"/>
        <w:rPr>
          <w:sz w:val="32"/>
          <w:szCs w:val="32"/>
        </w:rPr>
      </w:pPr>
      <w:bookmarkStart w:name="_Toc412973330" w:id="4"/>
      <w:bookmarkStart w:name="_Toc242825267" w:id="5"/>
      <w:r w:rsidRPr="0C9457B9">
        <w:rPr>
          <w:sz w:val="32"/>
          <w:szCs w:val="32"/>
        </w:rPr>
        <w:t>2.1 Transformation of Professional Practice</w:t>
      </w:r>
      <w:bookmarkEnd w:id="4"/>
      <w:bookmarkEnd w:id="5"/>
    </w:p>
    <w:p w:rsidRPr="0073500C" w:rsidR="00013E96" w:rsidP="0073500C" w:rsidRDefault="00013E96" w14:paraId="2ACC9AEC" w14:textId="2875FEB4">
      <w:pPr>
        <w:spacing w:line="360" w:lineRule="auto"/>
        <w:jc w:val="both"/>
        <w:rPr>
          <w:rFonts w:ascii="Arial" w:hAnsi="Arial" w:cs="Arial"/>
        </w:rPr>
      </w:pPr>
      <w:r w:rsidRPr="18F71E22" w:rsidR="5EB82103">
        <w:rPr>
          <w:rStyle w:val="cursor-pointer"/>
          <w:rFonts w:ascii="Arial" w:hAnsi="Arial" w:cs="Arial"/>
        </w:rPr>
        <w:t xml:space="preserve">Virtual </w:t>
      </w:r>
      <w:r w:rsidRPr="18F71E22" w:rsidR="52747CE2">
        <w:rPr>
          <w:rStyle w:val="cursor-pointer"/>
          <w:rFonts w:ascii="Arial" w:hAnsi="Arial" w:cs="Arial"/>
        </w:rPr>
        <w:t>words</w:t>
      </w:r>
      <w:r w:rsidRPr="18F71E22" w:rsidR="5EB82103">
        <w:rPr>
          <w:rStyle w:val="cursor-pointer"/>
          <w:rFonts w:ascii="Arial" w:hAnsi="Arial" w:cs="Arial"/>
        </w:rPr>
        <w:t xml:space="preserve"> move acute monitoring and aspects of clinical decision making from hospital beds to patients' </w:t>
      </w:r>
      <w:r w:rsidRPr="18F71E22" w:rsidR="2E3B76AD">
        <w:rPr>
          <w:rStyle w:val="cursor-pointer"/>
          <w:rFonts w:ascii="Arial" w:hAnsi="Arial" w:cs="Arial"/>
        </w:rPr>
        <w:t>homes</w:t>
      </w:r>
      <w:r w:rsidRPr="18F71E22" w:rsidR="001FC0FF">
        <w:rPr>
          <w:rStyle w:val="cursor-pointer"/>
          <w:rFonts w:ascii="Arial" w:hAnsi="Arial" w:cs="Arial"/>
        </w:rPr>
        <w:t xml:space="preserve"> </w:t>
      </w:r>
      <w:r w:rsidRPr="18F71E22" w:rsidR="001FC0FF">
        <w:rPr>
          <w:rFonts w:ascii="Arial" w:hAnsi="Arial" w:cs="Arial"/>
        </w:rPr>
        <w:t>(</w:t>
      </w:r>
      <w:r w:rsidRPr="18F71E22" w:rsidR="001FC0FF">
        <w:rPr>
          <w:rFonts w:ascii="Arial" w:hAnsi="Arial" w:cs="Arial"/>
        </w:rPr>
        <w:t>Kanyimo</w:t>
      </w:r>
      <w:r w:rsidRPr="18F71E22" w:rsidR="001FC0FF">
        <w:rPr>
          <w:rFonts w:ascii="Arial" w:hAnsi="Arial" w:cs="Arial"/>
        </w:rPr>
        <w:t>, 2022)</w:t>
      </w:r>
      <w:r w:rsidRPr="18F71E22" w:rsidR="5EB82103">
        <w:rPr>
          <w:rStyle w:val="cursor-pointer"/>
          <w:rFonts w:ascii="Arial" w:hAnsi="Arial" w:cs="Arial"/>
        </w:rPr>
        <w:t>.</w:t>
      </w:r>
      <w:r w:rsidRPr="18F71E22" w:rsidR="5EB82103">
        <w:rPr>
          <w:rFonts w:ascii="Arial" w:hAnsi="Arial" w:cs="Arial"/>
        </w:rPr>
        <w:t xml:space="preserve"> </w:t>
      </w:r>
      <w:r w:rsidRPr="18F71E22" w:rsidR="5EB82103">
        <w:rPr>
          <w:rStyle w:val="cursor-pointer"/>
          <w:rFonts w:ascii="Arial" w:hAnsi="Arial" w:cs="Arial"/>
        </w:rPr>
        <w:t xml:space="preserve">The </w:t>
      </w:r>
      <w:r w:rsidRPr="18F71E22" w:rsidR="5EB82103">
        <w:rPr>
          <w:rStyle w:val="cursor-pointer"/>
          <w:rFonts w:ascii="Arial" w:hAnsi="Arial" w:cs="Arial"/>
        </w:rPr>
        <w:t>expertise</w:t>
      </w:r>
      <w:r w:rsidRPr="18F71E22" w:rsidR="5EB82103">
        <w:rPr>
          <w:rStyle w:val="cursor-pointer"/>
          <w:rFonts w:ascii="Arial" w:hAnsi="Arial" w:cs="Arial"/>
        </w:rPr>
        <w:t xml:space="preserve"> of professionals requires the use of remote collected observations as well as the clinical history, patient-reported </w:t>
      </w:r>
      <w:r w:rsidRPr="18F71E22" w:rsidR="434E215C">
        <w:rPr>
          <w:rStyle w:val="cursor-pointer"/>
          <w:rFonts w:ascii="Arial" w:hAnsi="Arial" w:cs="Arial"/>
        </w:rPr>
        <w:t>symptoms,</w:t>
      </w:r>
      <w:r w:rsidRPr="18F71E22" w:rsidR="5EB82103">
        <w:rPr>
          <w:rStyle w:val="cursor-pointer"/>
          <w:rFonts w:ascii="Arial" w:hAnsi="Arial" w:cs="Arial"/>
        </w:rPr>
        <w:t xml:space="preserve"> and multidisciplinary judgement</w:t>
      </w:r>
      <w:r w:rsidRPr="18F71E22" w:rsidR="001FC0FF">
        <w:rPr>
          <w:rStyle w:val="cursor-pointer"/>
          <w:rFonts w:ascii="Arial" w:hAnsi="Arial" w:cs="Arial"/>
        </w:rPr>
        <w:t xml:space="preserve"> </w:t>
      </w:r>
      <w:r w:rsidRPr="18F71E22" w:rsidR="001FC0FF">
        <w:rPr>
          <w:rFonts w:ascii="Arial" w:hAnsi="Arial" w:cs="Arial"/>
        </w:rPr>
        <w:t>(</w:t>
      </w:r>
      <w:r w:rsidRPr="18F71E22" w:rsidR="001FC0FF">
        <w:rPr>
          <w:rFonts w:ascii="Arial" w:hAnsi="Arial" w:cs="Arial"/>
        </w:rPr>
        <w:t>Kanyimo</w:t>
      </w:r>
      <w:r w:rsidRPr="18F71E22" w:rsidR="001FC0FF">
        <w:rPr>
          <w:rFonts w:ascii="Arial" w:hAnsi="Arial" w:cs="Arial"/>
        </w:rPr>
        <w:t>, 2022)</w:t>
      </w:r>
      <w:r w:rsidRPr="18F71E22" w:rsidR="001FC0FF">
        <w:rPr>
          <w:rStyle w:val="cursor-pointer"/>
          <w:rFonts w:ascii="Arial" w:hAnsi="Arial" w:cs="Arial"/>
        </w:rPr>
        <w:t>.</w:t>
      </w:r>
      <w:r w:rsidRPr="18F71E22" w:rsidR="5EB82103">
        <w:rPr>
          <w:rFonts w:ascii="Arial" w:hAnsi="Arial" w:cs="Arial"/>
        </w:rPr>
        <w:t xml:space="preserve"> </w:t>
      </w:r>
      <w:r w:rsidRPr="18F71E22" w:rsidR="5EB82103">
        <w:rPr>
          <w:rStyle w:val="cursor-pointer"/>
          <w:rFonts w:ascii="Arial" w:hAnsi="Arial" w:cs="Arial"/>
        </w:rPr>
        <w:t xml:space="preserve">This can </w:t>
      </w:r>
      <w:r w:rsidRPr="18F71E22" w:rsidR="5EB82103">
        <w:rPr>
          <w:rStyle w:val="cursor-pointer"/>
          <w:rFonts w:ascii="Arial" w:hAnsi="Arial" w:cs="Arial"/>
        </w:rPr>
        <w:t>facilitate</w:t>
      </w:r>
      <w:r w:rsidRPr="18F71E22" w:rsidR="5EB82103">
        <w:rPr>
          <w:rStyle w:val="cursor-pointer"/>
          <w:rFonts w:ascii="Arial" w:hAnsi="Arial" w:cs="Arial"/>
        </w:rPr>
        <w:t xml:space="preserve"> earlier detection of deterioration and specific interventions, but information that can only be gained from a physical examination will not be captured in dashboard information</w:t>
      </w:r>
      <w:r w:rsidRPr="18F71E22" w:rsidR="001FC0FF">
        <w:rPr>
          <w:rStyle w:val="cursor-pointer"/>
          <w:rFonts w:ascii="Arial" w:hAnsi="Arial" w:cs="Arial"/>
        </w:rPr>
        <w:t xml:space="preserve"> </w:t>
      </w:r>
      <w:r w:rsidRPr="18F71E22" w:rsidR="001FC0FF">
        <w:rPr>
          <w:rFonts w:ascii="Arial" w:hAnsi="Arial" w:cs="Arial"/>
        </w:rPr>
        <w:t>(NHS England, 2024)</w:t>
      </w:r>
      <w:r w:rsidRPr="18F71E22" w:rsidR="5EB82103">
        <w:rPr>
          <w:rStyle w:val="cursor-pointer"/>
          <w:rFonts w:ascii="Arial" w:hAnsi="Arial" w:cs="Arial"/>
        </w:rPr>
        <w:t>.</w:t>
      </w:r>
      <w:r w:rsidRPr="18F71E22" w:rsidR="5EB82103">
        <w:rPr>
          <w:rFonts w:ascii="Arial" w:hAnsi="Arial" w:cs="Arial"/>
        </w:rPr>
        <w:t xml:space="preserve"> </w:t>
      </w:r>
      <w:r w:rsidRPr="18F71E22" w:rsidR="5EB82103">
        <w:rPr>
          <w:rStyle w:val="cursor-pointer"/>
          <w:rFonts w:ascii="Arial" w:hAnsi="Arial" w:cs="Arial"/>
        </w:rPr>
        <w:t xml:space="preserve">Digital monitoring should be used in addition to, rather than as a replacement </w:t>
      </w:r>
      <w:r w:rsidRPr="18F71E22" w:rsidR="45210AD8">
        <w:rPr>
          <w:rStyle w:val="cursor-pointer"/>
          <w:rFonts w:ascii="Arial" w:hAnsi="Arial" w:cs="Arial"/>
        </w:rPr>
        <w:t>for</w:t>
      </w:r>
      <w:r w:rsidRPr="18F71E22" w:rsidR="5EB82103">
        <w:rPr>
          <w:rStyle w:val="cursor-pointer"/>
          <w:rFonts w:ascii="Arial" w:hAnsi="Arial" w:cs="Arial"/>
        </w:rPr>
        <w:t xml:space="preserve"> professional judgement.</w:t>
      </w:r>
    </w:p>
    <w:p w:rsidRPr="00E5113D" w:rsidR="00013E96" w:rsidP="0C9457B9" w:rsidRDefault="00013E96" w14:paraId="066029E0" w14:textId="77777777">
      <w:pPr>
        <w:pStyle w:val="Heading2"/>
        <w:rPr>
          <w:sz w:val="32"/>
          <w:szCs w:val="32"/>
        </w:rPr>
      </w:pPr>
      <w:bookmarkStart w:name="_Toc170716103" w:id="6"/>
      <w:bookmarkStart w:name="_Toc242825268" w:id="7"/>
      <w:r w:rsidRPr="0C9457B9">
        <w:rPr>
          <w:sz w:val="32"/>
          <w:szCs w:val="32"/>
        </w:rPr>
        <w:t>2.2 Digital Competence and Professional Roles</w:t>
      </w:r>
      <w:bookmarkEnd w:id="6"/>
      <w:bookmarkEnd w:id="7"/>
    </w:p>
    <w:p w:rsidRPr="0073500C" w:rsidR="00013E96" w:rsidP="0073500C" w:rsidRDefault="00013E96" w14:paraId="32333D8F" w14:textId="0629CAA6">
      <w:pPr>
        <w:spacing w:line="360" w:lineRule="auto"/>
        <w:jc w:val="both"/>
        <w:rPr>
          <w:rFonts w:ascii="Arial" w:hAnsi="Arial" w:cs="Arial"/>
        </w:rPr>
      </w:pPr>
      <w:r w:rsidRPr="18F71E22" w:rsidR="5EB82103">
        <w:rPr>
          <w:rStyle w:val="cursor-pointer"/>
          <w:rFonts w:ascii="Arial" w:hAnsi="Arial" w:cs="Arial"/>
        </w:rPr>
        <w:t xml:space="preserve">This shift results in clinicians making judgements about the interpretation of remotely collected data, </w:t>
      </w:r>
      <w:r w:rsidRPr="18F71E22" w:rsidR="5EB82103">
        <w:rPr>
          <w:rStyle w:val="cursor-pointer"/>
          <w:rFonts w:ascii="Arial" w:hAnsi="Arial" w:cs="Arial"/>
        </w:rPr>
        <w:t>identifying</w:t>
      </w:r>
      <w:r w:rsidRPr="18F71E22" w:rsidR="5EB82103">
        <w:rPr>
          <w:rStyle w:val="cursor-pointer"/>
          <w:rFonts w:ascii="Arial" w:hAnsi="Arial" w:cs="Arial"/>
        </w:rPr>
        <w:t xml:space="preserve"> and communicating unreliable or missing data, communicating the risk without being physically present, and knowing when virtual management is clinically unsuitable</w:t>
      </w:r>
      <w:r w:rsidRPr="18F71E22" w:rsidR="001FC0FF">
        <w:rPr>
          <w:rStyle w:val="cursor-pointer"/>
          <w:rFonts w:ascii="Arial" w:hAnsi="Arial" w:cs="Arial"/>
        </w:rPr>
        <w:t xml:space="preserve"> </w:t>
      </w:r>
      <w:r w:rsidRPr="18F71E22" w:rsidR="001FC0FF">
        <w:rPr>
          <w:rFonts w:ascii="Arial" w:hAnsi="Arial" w:cs="Arial"/>
        </w:rPr>
        <w:t>(</w:t>
      </w:r>
      <w:r w:rsidRPr="18F71E22" w:rsidR="001FC0FF">
        <w:rPr>
          <w:rFonts w:ascii="Arial" w:hAnsi="Arial" w:cs="Arial"/>
        </w:rPr>
        <w:t>Kanyimo</w:t>
      </w:r>
      <w:r w:rsidRPr="18F71E22" w:rsidR="001FC0FF">
        <w:rPr>
          <w:rFonts w:ascii="Arial" w:hAnsi="Arial" w:cs="Arial"/>
        </w:rPr>
        <w:t>, 2022)</w:t>
      </w:r>
      <w:r w:rsidRPr="18F71E22" w:rsidR="5EB82103">
        <w:rPr>
          <w:rStyle w:val="cursor-pointer"/>
          <w:rFonts w:ascii="Arial" w:hAnsi="Arial" w:cs="Arial"/>
        </w:rPr>
        <w:t>.</w:t>
      </w:r>
      <w:r w:rsidRPr="18F71E22" w:rsidR="5EB82103">
        <w:rPr>
          <w:rFonts w:ascii="Arial" w:hAnsi="Arial" w:cs="Arial"/>
        </w:rPr>
        <w:t xml:space="preserve"> </w:t>
      </w:r>
      <w:r w:rsidRPr="18F71E22" w:rsidR="5EB82103">
        <w:rPr>
          <w:rStyle w:val="cursor-pointer"/>
          <w:rFonts w:ascii="Arial" w:hAnsi="Arial" w:cs="Arial"/>
        </w:rPr>
        <w:t>Digital competence is then integrated into clinical competence</w:t>
      </w:r>
      <w:r w:rsidRPr="18F71E22" w:rsidR="001FC0FF">
        <w:rPr>
          <w:rStyle w:val="cursor-pointer"/>
          <w:rFonts w:ascii="Arial" w:hAnsi="Arial" w:cs="Arial"/>
        </w:rPr>
        <w:t xml:space="preserve"> </w:t>
      </w:r>
      <w:r w:rsidRPr="18F71E22" w:rsidR="001FC0FF">
        <w:rPr>
          <w:rFonts w:ascii="Arial" w:hAnsi="Arial" w:cs="Arial"/>
        </w:rPr>
        <w:t xml:space="preserve">(Lee, </w:t>
      </w:r>
      <w:r w:rsidRPr="18F71E22" w:rsidR="45B682A8">
        <w:rPr>
          <w:rFonts w:ascii="Arial" w:hAnsi="Arial" w:cs="Arial"/>
        </w:rPr>
        <w:t>Caton,</w:t>
      </w:r>
      <w:r w:rsidRPr="18F71E22" w:rsidR="001FC0FF">
        <w:rPr>
          <w:rFonts w:ascii="Arial" w:hAnsi="Arial" w:cs="Arial"/>
        </w:rPr>
        <w:t xml:space="preserve"> and Knight, 2023)</w:t>
      </w:r>
      <w:r w:rsidRPr="18F71E22" w:rsidR="5EB82103">
        <w:rPr>
          <w:rStyle w:val="cursor-pointer"/>
          <w:rFonts w:ascii="Arial" w:hAnsi="Arial" w:cs="Arial"/>
        </w:rPr>
        <w:t>.</w:t>
      </w:r>
      <w:r w:rsidRPr="18F71E22" w:rsidR="5EB82103">
        <w:rPr>
          <w:rFonts w:ascii="Arial" w:hAnsi="Arial" w:cs="Arial"/>
        </w:rPr>
        <w:t xml:space="preserve"> </w:t>
      </w:r>
      <w:r w:rsidRPr="18F71E22" w:rsidR="5EB82103">
        <w:rPr>
          <w:rStyle w:val="cursor-pointer"/>
          <w:rFonts w:ascii="Arial" w:hAnsi="Arial" w:cs="Arial"/>
        </w:rPr>
        <w:t>The training, however, may lead to some deviations in interpretation and decision on escalation</w:t>
      </w:r>
      <w:r w:rsidRPr="18F71E22" w:rsidR="001FC0FF">
        <w:rPr>
          <w:rStyle w:val="cursor-pointer"/>
          <w:rFonts w:ascii="Arial" w:hAnsi="Arial" w:cs="Arial"/>
        </w:rPr>
        <w:t xml:space="preserve"> </w:t>
      </w:r>
      <w:r w:rsidRPr="18F71E22" w:rsidR="001FC0FF">
        <w:rPr>
          <w:rFonts w:ascii="Arial" w:hAnsi="Arial" w:cs="Arial"/>
        </w:rPr>
        <w:t xml:space="preserve">(Lee, </w:t>
      </w:r>
      <w:r w:rsidRPr="18F71E22" w:rsidR="15318820">
        <w:rPr>
          <w:rFonts w:ascii="Arial" w:hAnsi="Arial" w:cs="Arial"/>
        </w:rPr>
        <w:t>Caton,</w:t>
      </w:r>
      <w:r w:rsidRPr="18F71E22" w:rsidR="001FC0FF">
        <w:rPr>
          <w:rFonts w:ascii="Arial" w:hAnsi="Arial" w:cs="Arial"/>
        </w:rPr>
        <w:t xml:space="preserve"> and Knight, 2023)</w:t>
      </w:r>
      <w:r w:rsidRPr="18F71E22" w:rsidR="5EB82103">
        <w:rPr>
          <w:rStyle w:val="cursor-pointer"/>
          <w:rFonts w:ascii="Arial" w:hAnsi="Arial" w:cs="Arial"/>
        </w:rPr>
        <w:t>.</w:t>
      </w:r>
      <w:r w:rsidRPr="18F71E22" w:rsidR="5EB82103">
        <w:rPr>
          <w:rFonts w:ascii="Arial" w:hAnsi="Arial" w:cs="Arial"/>
        </w:rPr>
        <w:t xml:space="preserve"> </w:t>
      </w:r>
      <w:r w:rsidRPr="18F71E22" w:rsidR="5EB82103">
        <w:rPr>
          <w:rStyle w:val="cursor-pointer"/>
          <w:rFonts w:ascii="Arial" w:hAnsi="Arial" w:cs="Arial"/>
        </w:rPr>
        <w:t xml:space="preserve">Investment in technology that does not </w:t>
      </w:r>
      <w:r w:rsidRPr="18F71E22" w:rsidR="07D13B58">
        <w:rPr>
          <w:rStyle w:val="cursor-pointer"/>
          <w:rFonts w:ascii="Arial" w:hAnsi="Arial" w:cs="Arial"/>
        </w:rPr>
        <w:t>match</w:t>
      </w:r>
      <w:r w:rsidRPr="18F71E22" w:rsidR="5EB82103">
        <w:rPr>
          <w:rStyle w:val="cursor-pointer"/>
          <w:rFonts w:ascii="Arial" w:hAnsi="Arial" w:cs="Arial"/>
        </w:rPr>
        <w:t xml:space="preserve"> the necessary workforce development may therefore lead to new clinical risks instead of clinical practice improvement.</w:t>
      </w:r>
    </w:p>
    <w:p w:rsidRPr="00E5113D" w:rsidR="00013E96" w:rsidP="0C9457B9" w:rsidRDefault="00013E96" w14:paraId="72CD5FDA" w14:textId="77777777">
      <w:pPr>
        <w:pStyle w:val="Heading2"/>
        <w:rPr>
          <w:sz w:val="32"/>
          <w:szCs w:val="32"/>
        </w:rPr>
      </w:pPr>
      <w:bookmarkStart w:name="_Toc285859277" w:id="8"/>
      <w:bookmarkStart w:name="_Toc242825269" w:id="9"/>
      <w:r w:rsidRPr="0C9457B9">
        <w:rPr>
          <w:sz w:val="32"/>
          <w:szCs w:val="32"/>
        </w:rPr>
        <w:t>2.3 Workload and Workforce Capacity</w:t>
      </w:r>
      <w:bookmarkEnd w:id="8"/>
      <w:bookmarkEnd w:id="9"/>
    </w:p>
    <w:p w:rsidRPr="0073500C" w:rsidR="00013E96" w:rsidP="0073500C" w:rsidRDefault="00013E96" w14:paraId="4BE32448" w14:textId="412E0A88">
      <w:pPr>
        <w:spacing w:line="360" w:lineRule="auto"/>
        <w:jc w:val="both"/>
        <w:rPr>
          <w:rFonts w:ascii="Arial" w:hAnsi="Arial" w:cs="Arial"/>
        </w:rPr>
      </w:pPr>
      <w:r w:rsidRPr="18F71E22" w:rsidR="5EB82103">
        <w:rPr>
          <w:rStyle w:val="cursor-pointer"/>
          <w:rFonts w:ascii="Arial" w:hAnsi="Arial" w:cs="Arial"/>
        </w:rPr>
        <w:t xml:space="preserve">The assumption that virtual </w:t>
      </w:r>
      <w:r w:rsidRPr="18F71E22" w:rsidR="52747CE2">
        <w:rPr>
          <w:rStyle w:val="cursor-pointer"/>
          <w:rFonts w:ascii="Arial" w:hAnsi="Arial" w:cs="Arial"/>
        </w:rPr>
        <w:t>words</w:t>
      </w:r>
      <w:r w:rsidRPr="18F71E22" w:rsidR="5EB82103">
        <w:rPr>
          <w:rStyle w:val="cursor-pointer"/>
          <w:rFonts w:ascii="Arial" w:hAnsi="Arial" w:cs="Arial"/>
        </w:rPr>
        <w:t xml:space="preserve"> 'free up workforce</w:t>
      </w:r>
      <w:r w:rsidRPr="18F71E22" w:rsidR="5EB82103">
        <w:rPr>
          <w:rStyle w:val="cursor-pointer"/>
          <w:rFonts w:ascii="Arial" w:hAnsi="Arial" w:cs="Arial"/>
        </w:rPr>
        <w:t>' capacity</w:t>
      </w:r>
      <w:r w:rsidRPr="18F71E22" w:rsidR="5EB82103">
        <w:rPr>
          <w:rStyle w:val="cursor-pointer"/>
          <w:rFonts w:ascii="Arial" w:hAnsi="Arial" w:cs="Arial"/>
        </w:rPr>
        <w:t xml:space="preserve"> </w:t>
      </w:r>
      <w:r w:rsidRPr="18F71E22" w:rsidR="49826BF5">
        <w:rPr>
          <w:rStyle w:val="cursor-pointer"/>
          <w:rFonts w:ascii="Arial" w:hAnsi="Arial" w:cs="Arial"/>
        </w:rPr>
        <w:t>needs</w:t>
      </w:r>
      <w:r w:rsidRPr="18F71E22" w:rsidR="5EB82103">
        <w:rPr>
          <w:rStyle w:val="cursor-pointer"/>
          <w:rFonts w:ascii="Arial" w:hAnsi="Arial" w:cs="Arial"/>
        </w:rPr>
        <w:t xml:space="preserve"> to be questioned.</w:t>
      </w:r>
      <w:r w:rsidRPr="18F71E22" w:rsidR="5EB82103">
        <w:rPr>
          <w:rFonts w:ascii="Arial" w:hAnsi="Arial" w:cs="Arial"/>
        </w:rPr>
        <w:t xml:space="preserve"> </w:t>
      </w:r>
      <w:r w:rsidRPr="18F71E22" w:rsidR="5EB82103">
        <w:rPr>
          <w:rStyle w:val="cursor-pointer"/>
          <w:rFonts w:ascii="Arial" w:hAnsi="Arial" w:cs="Arial"/>
        </w:rPr>
        <w:t>While some interactions can be avoided, remote monitoring creates work with dashboard monitoring and management of alerts, virtual care, patient documentation, and onboarding and coordinating with community care providers</w:t>
      </w:r>
      <w:r w:rsidRPr="18F71E22" w:rsidR="001FC0FF">
        <w:rPr>
          <w:rStyle w:val="cursor-pointer"/>
          <w:rFonts w:ascii="Arial" w:hAnsi="Arial" w:cs="Arial"/>
        </w:rPr>
        <w:t xml:space="preserve"> </w:t>
      </w:r>
      <w:r w:rsidRPr="18F71E22" w:rsidR="001FC0FF">
        <w:rPr>
          <w:rFonts w:ascii="Arial" w:hAnsi="Arial" w:cs="Arial"/>
        </w:rPr>
        <w:t>(Lindsay, Cunnington and Dixon-Woods, 2025)</w:t>
      </w:r>
      <w:r w:rsidRPr="18F71E22" w:rsidR="5EB82103">
        <w:rPr>
          <w:rStyle w:val="cursor-pointer"/>
          <w:rFonts w:ascii="Arial" w:hAnsi="Arial" w:cs="Arial"/>
        </w:rPr>
        <w:t>.</w:t>
      </w:r>
      <w:r w:rsidRPr="18F71E22" w:rsidR="5EB82103">
        <w:rPr>
          <w:rFonts w:ascii="Arial" w:hAnsi="Arial" w:cs="Arial"/>
        </w:rPr>
        <w:t xml:space="preserve"> </w:t>
      </w:r>
      <w:r w:rsidRPr="18F71E22" w:rsidR="5EB82103">
        <w:rPr>
          <w:rStyle w:val="cursor-pointer"/>
          <w:rFonts w:ascii="Arial" w:hAnsi="Arial" w:cs="Arial"/>
        </w:rPr>
        <w:t xml:space="preserve">Evidence from UK districts </w:t>
      </w:r>
      <w:r w:rsidRPr="18F71E22" w:rsidR="5EB82103">
        <w:rPr>
          <w:rStyle w:val="cursor-pointer"/>
          <w:rFonts w:ascii="Arial" w:hAnsi="Arial" w:cs="Arial"/>
        </w:rPr>
        <w:t>indicated</w:t>
      </w:r>
      <w:r w:rsidRPr="18F71E22" w:rsidR="5EB82103">
        <w:rPr>
          <w:rStyle w:val="cursor-pointer"/>
          <w:rFonts w:ascii="Arial" w:hAnsi="Arial" w:cs="Arial"/>
        </w:rPr>
        <w:t xml:space="preserve"> that 27.5% of those that were surveyed said that virtual </w:t>
      </w:r>
      <w:r w:rsidRPr="18F71E22" w:rsidR="52747CE2">
        <w:rPr>
          <w:rStyle w:val="cursor-pointer"/>
          <w:rFonts w:ascii="Arial" w:hAnsi="Arial" w:cs="Arial"/>
        </w:rPr>
        <w:t>words</w:t>
      </w:r>
      <w:r w:rsidRPr="18F71E22" w:rsidR="5EB82103">
        <w:rPr>
          <w:rStyle w:val="cursor-pointer"/>
          <w:rFonts w:ascii="Arial" w:hAnsi="Arial" w:cs="Arial"/>
        </w:rPr>
        <w:t xml:space="preserve"> or remote monitoring had brought their workloads up, while just 4.5% said it had decreased</w:t>
      </w:r>
      <w:r w:rsidRPr="18F71E22" w:rsidR="001FC0FF">
        <w:rPr>
          <w:rStyle w:val="cursor-pointer"/>
          <w:rFonts w:ascii="Arial" w:hAnsi="Arial" w:cs="Arial"/>
        </w:rPr>
        <w:t xml:space="preserve"> </w:t>
      </w:r>
      <w:r w:rsidRPr="18F71E22" w:rsidR="001FC0FF">
        <w:rPr>
          <w:rFonts w:ascii="Arial" w:hAnsi="Arial" w:cs="Arial"/>
        </w:rPr>
        <w:t>(Bradley et al., 2026)</w:t>
      </w:r>
      <w:r w:rsidRPr="18F71E22" w:rsidR="5EB82103">
        <w:rPr>
          <w:rStyle w:val="cursor-pointer"/>
          <w:rFonts w:ascii="Arial" w:hAnsi="Arial" w:cs="Arial"/>
        </w:rPr>
        <w:t>.</w:t>
      </w:r>
      <w:r w:rsidRPr="18F71E22" w:rsidR="5EB82103">
        <w:rPr>
          <w:rFonts w:ascii="Arial" w:hAnsi="Arial" w:cs="Arial"/>
        </w:rPr>
        <w:t xml:space="preserve"> </w:t>
      </w:r>
      <w:r w:rsidRPr="18F71E22" w:rsidR="5EB82103">
        <w:rPr>
          <w:rStyle w:val="cursor-pointer"/>
          <w:rFonts w:ascii="Arial" w:hAnsi="Arial" w:cs="Arial"/>
        </w:rPr>
        <w:t xml:space="preserve">This means that workload may be shifted to another professional group instead of being taken away, and too many alerts could pose </w:t>
      </w:r>
      <w:r w:rsidRPr="18F71E22" w:rsidR="5EB82103">
        <w:rPr>
          <w:rStyle w:val="cursor-pointer"/>
          <w:rFonts w:ascii="Arial" w:hAnsi="Arial" w:cs="Arial"/>
        </w:rPr>
        <w:t>additional</w:t>
      </w:r>
      <w:r w:rsidRPr="18F71E22" w:rsidR="5EB82103">
        <w:rPr>
          <w:rStyle w:val="cursor-pointer"/>
          <w:rFonts w:ascii="Arial" w:hAnsi="Arial" w:cs="Arial"/>
        </w:rPr>
        <w:t xml:space="preserve"> cognitive load</w:t>
      </w:r>
      <w:r w:rsidRPr="18F71E22" w:rsidR="001FC0FF">
        <w:rPr>
          <w:rStyle w:val="cursor-pointer"/>
          <w:rFonts w:ascii="Arial" w:hAnsi="Arial" w:cs="Arial"/>
        </w:rPr>
        <w:t xml:space="preserve"> </w:t>
      </w:r>
      <w:r w:rsidRPr="18F71E22" w:rsidR="001FC0FF">
        <w:rPr>
          <w:rFonts w:ascii="Arial" w:hAnsi="Arial" w:cs="Arial"/>
        </w:rPr>
        <w:t>(Serrano et al., 2023)</w:t>
      </w:r>
      <w:r w:rsidRPr="18F71E22" w:rsidR="5EB82103">
        <w:rPr>
          <w:rStyle w:val="cursor-pointer"/>
          <w:rFonts w:ascii="Arial" w:hAnsi="Arial" w:cs="Arial"/>
        </w:rPr>
        <w:t>.</w:t>
      </w:r>
    </w:p>
    <w:p w:rsidRPr="00E5113D" w:rsidR="00013E96" w:rsidP="0C9457B9" w:rsidRDefault="00013E96" w14:paraId="63F3C22F" w14:textId="77777777">
      <w:pPr>
        <w:pStyle w:val="Heading2"/>
        <w:rPr>
          <w:sz w:val="32"/>
          <w:szCs w:val="32"/>
        </w:rPr>
      </w:pPr>
      <w:bookmarkStart w:name="_Toc1821164846" w:id="10"/>
      <w:bookmarkStart w:name="_Toc242825270" w:id="11"/>
      <w:r w:rsidRPr="0C9457B9">
        <w:rPr>
          <w:sz w:val="32"/>
          <w:szCs w:val="32"/>
        </w:rPr>
        <w:t>2.4 Accountability and Workforce Sustainability</w:t>
      </w:r>
      <w:bookmarkEnd w:id="10"/>
      <w:bookmarkEnd w:id="11"/>
    </w:p>
    <w:p w:rsidRPr="0073500C" w:rsidR="00013E96" w:rsidP="0073500C" w:rsidRDefault="00013E96" w14:paraId="196D71B9" w14:textId="7C7A3475">
      <w:pPr>
        <w:spacing w:line="360" w:lineRule="auto"/>
        <w:jc w:val="both"/>
        <w:rPr>
          <w:rFonts w:ascii="Arial" w:hAnsi="Arial" w:cs="Arial"/>
        </w:rPr>
      </w:pPr>
      <w:r w:rsidRPr="18F71E22" w:rsidR="5EB82103">
        <w:rPr>
          <w:rStyle w:val="cursor-pointer"/>
          <w:rFonts w:ascii="Arial" w:hAnsi="Arial" w:cs="Arial"/>
        </w:rPr>
        <w:t xml:space="preserve">Acute care is still clinically </w:t>
      </w:r>
      <w:r w:rsidRPr="18F71E22" w:rsidR="660F6A03">
        <w:rPr>
          <w:rStyle w:val="cursor-pointer"/>
          <w:rFonts w:ascii="Arial" w:hAnsi="Arial" w:cs="Arial"/>
        </w:rPr>
        <w:t>challenging</w:t>
      </w:r>
      <w:r w:rsidRPr="18F71E22" w:rsidR="5EB82103">
        <w:rPr>
          <w:rStyle w:val="cursor-pointer"/>
          <w:rFonts w:ascii="Arial" w:hAnsi="Arial" w:cs="Arial"/>
        </w:rPr>
        <w:t xml:space="preserve"> when provided remotely.</w:t>
      </w:r>
      <w:r w:rsidRPr="18F71E22" w:rsidR="5EB82103">
        <w:rPr>
          <w:rFonts w:ascii="Arial" w:hAnsi="Arial" w:cs="Arial"/>
        </w:rPr>
        <w:t xml:space="preserve"> </w:t>
      </w:r>
      <w:r w:rsidRPr="18F71E22" w:rsidR="70CA32F8">
        <w:rPr>
          <w:rFonts w:ascii="Arial" w:hAnsi="Arial" w:cs="Arial"/>
        </w:rPr>
        <w:t xml:space="preserve">Clear responsibility is </w:t>
      </w:r>
      <w:r w:rsidRPr="18F71E22" w:rsidR="70CA32F8">
        <w:rPr>
          <w:rFonts w:ascii="Arial" w:hAnsi="Arial" w:cs="Arial"/>
        </w:rPr>
        <w:t>required</w:t>
      </w:r>
      <w:r w:rsidRPr="18F71E22" w:rsidR="70CA32F8">
        <w:rPr>
          <w:rFonts w:ascii="Arial" w:hAnsi="Arial" w:cs="Arial"/>
        </w:rPr>
        <w:t xml:space="preserve"> for reviewing observations, responding to deterioration, managing </w:t>
      </w:r>
      <w:r w:rsidRPr="18F71E22" w:rsidR="104E17A5">
        <w:rPr>
          <w:rFonts w:ascii="Arial" w:hAnsi="Arial" w:cs="Arial"/>
        </w:rPr>
        <w:t>handovers,</w:t>
      </w:r>
      <w:r w:rsidRPr="18F71E22" w:rsidR="70CA32F8">
        <w:rPr>
          <w:rFonts w:ascii="Arial" w:hAnsi="Arial" w:cs="Arial"/>
        </w:rPr>
        <w:t xml:space="preserve"> and providing out-of-hours escalation </w:t>
      </w:r>
      <w:r w:rsidRPr="18F71E22" w:rsidR="7C8F1341">
        <w:rPr>
          <w:rFonts w:ascii="Arial" w:hAnsi="Arial" w:cs="Arial"/>
        </w:rPr>
        <w:t>(NHS England, 2024)</w:t>
      </w:r>
      <w:r w:rsidRPr="18F71E22" w:rsidR="5EB82103">
        <w:rPr>
          <w:rStyle w:val="cursor-pointer"/>
          <w:rFonts w:ascii="Arial" w:hAnsi="Arial" w:cs="Arial"/>
        </w:rPr>
        <w:t>.</w:t>
      </w:r>
      <w:r w:rsidRPr="18F71E22" w:rsidR="5EB82103">
        <w:rPr>
          <w:rFonts w:ascii="Arial" w:hAnsi="Arial" w:cs="Arial"/>
        </w:rPr>
        <w:t xml:space="preserve"> </w:t>
      </w:r>
      <w:r w:rsidRPr="18F71E22" w:rsidR="5EB82103">
        <w:rPr>
          <w:rStyle w:val="cursor-pointer"/>
          <w:rFonts w:ascii="Arial" w:hAnsi="Arial" w:cs="Arial"/>
        </w:rPr>
        <w:t>Algorithmic thresholds can detect irregular data but cannot take responsibility for the response time and/or the response itself</w:t>
      </w:r>
      <w:r w:rsidRPr="18F71E22" w:rsidR="7C8F1341">
        <w:rPr>
          <w:rStyle w:val="cursor-pointer"/>
          <w:rFonts w:ascii="Arial" w:hAnsi="Arial" w:cs="Arial"/>
        </w:rPr>
        <w:t xml:space="preserve"> </w:t>
      </w:r>
      <w:r w:rsidRPr="18F71E22" w:rsidR="7C8F1341">
        <w:rPr>
          <w:rFonts w:ascii="Arial" w:hAnsi="Arial" w:cs="Arial"/>
        </w:rPr>
        <w:t>(Blythe et al., 2022)</w:t>
      </w:r>
      <w:r w:rsidRPr="18F71E22" w:rsidR="5EB82103">
        <w:rPr>
          <w:rStyle w:val="cursor-pointer"/>
          <w:rFonts w:ascii="Arial" w:hAnsi="Arial" w:cs="Arial"/>
        </w:rPr>
        <w:t>.</w:t>
      </w:r>
      <w:r w:rsidRPr="18F71E22" w:rsidR="5EB82103">
        <w:rPr>
          <w:rFonts w:ascii="Arial" w:hAnsi="Arial" w:cs="Arial"/>
        </w:rPr>
        <w:t xml:space="preserve"> </w:t>
      </w:r>
      <w:r w:rsidRPr="18F71E22" w:rsidR="5EB82103">
        <w:rPr>
          <w:rStyle w:val="cursor-pointer"/>
          <w:rFonts w:ascii="Arial" w:hAnsi="Arial" w:cs="Arial"/>
        </w:rPr>
        <w:t>Virtual wards are thus only a successful change in working if they are supported by capable staff, adequate monitoring time, collaborative working between a variety of professions and a clear accountability structure.</w:t>
      </w:r>
      <w:r w:rsidRPr="18F71E22" w:rsidR="5EB82103">
        <w:rPr>
          <w:rFonts w:ascii="Arial" w:hAnsi="Arial" w:cs="Arial"/>
        </w:rPr>
        <w:t xml:space="preserve"> </w:t>
      </w:r>
      <w:r w:rsidRPr="18F71E22" w:rsidR="52747CE2">
        <w:rPr>
          <w:rStyle w:val="cursor-pointer"/>
          <w:rFonts w:ascii="Arial" w:hAnsi="Arial" w:cs="Arial"/>
        </w:rPr>
        <w:t>Otherwise,</w:t>
      </w:r>
      <w:r w:rsidRPr="18F71E22" w:rsidR="5EB82103">
        <w:rPr>
          <w:rStyle w:val="cursor-pointer"/>
          <w:rFonts w:ascii="Arial" w:hAnsi="Arial" w:cs="Arial"/>
        </w:rPr>
        <w:t xml:space="preserve"> </w:t>
      </w:r>
      <w:r w:rsidRPr="18F71E22" w:rsidR="728142E8">
        <w:rPr>
          <w:rStyle w:val="cursor-pointer"/>
          <w:rFonts w:ascii="Arial" w:hAnsi="Arial" w:cs="Arial"/>
        </w:rPr>
        <w:t>digitalization</w:t>
      </w:r>
      <w:r w:rsidRPr="18F71E22" w:rsidR="5EB82103">
        <w:rPr>
          <w:rStyle w:val="cursor-pointer"/>
          <w:rFonts w:ascii="Arial" w:hAnsi="Arial" w:cs="Arial"/>
        </w:rPr>
        <w:t xml:space="preserve"> could be seen </w:t>
      </w:r>
      <w:r w:rsidRPr="18F71E22" w:rsidR="728142E8">
        <w:rPr>
          <w:rStyle w:val="cursor-pointer"/>
          <w:rFonts w:ascii="Arial" w:hAnsi="Arial" w:cs="Arial"/>
        </w:rPr>
        <w:t>to</w:t>
      </w:r>
      <w:r w:rsidRPr="18F71E22" w:rsidR="5EB82103">
        <w:rPr>
          <w:rStyle w:val="cursor-pointer"/>
          <w:rFonts w:ascii="Arial" w:hAnsi="Arial" w:cs="Arial"/>
        </w:rPr>
        <w:t xml:space="preserve"> shift workload and clinical responsibility without tackling the workforce issue.</w:t>
      </w:r>
    </w:p>
    <w:p w:rsidRPr="00E5113D" w:rsidR="00451CFD" w:rsidP="0C9457B9" w:rsidRDefault="00451CFD" w14:paraId="16B08839" w14:textId="33673134">
      <w:pPr>
        <w:pStyle w:val="Heading1"/>
        <w:rPr>
          <w:b/>
          <w:bCs/>
          <w:color w:val="000000" w:themeColor="text1"/>
          <w:sz w:val="36"/>
          <w:szCs w:val="36"/>
        </w:rPr>
      </w:pPr>
      <w:bookmarkStart w:name="_Toc631866434" w:id="12"/>
      <w:bookmarkStart w:name="_Toc242825271" w:id="13"/>
      <w:r w:rsidRPr="0C9457B9">
        <w:rPr>
          <w:b/>
          <w:bCs/>
          <w:color w:val="000000" w:themeColor="text1"/>
          <w:sz w:val="36"/>
          <w:szCs w:val="36"/>
        </w:rPr>
        <w:t>3. Impact on Service Delivery</w:t>
      </w:r>
      <w:bookmarkEnd w:id="12"/>
      <w:bookmarkEnd w:id="13"/>
    </w:p>
    <w:p w:rsidRPr="00192B8A" w:rsidR="00192B8A" w:rsidP="00192B8A" w:rsidRDefault="00192B8A" w14:paraId="0D66A729" w14:textId="77777777">
      <w:pPr>
        <w:pStyle w:val="NormalWeb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C9457B9">
        <w:rPr>
          <w:rFonts w:ascii="Arial" w:hAnsi="Arial" w:cs="Arial"/>
          <w:sz w:val="22"/>
          <w:szCs w:val="22"/>
        </w:rPr>
        <w:t>Virtual wards shift acute care to patients’ homes, but their value depends on proven benefits beyond relocation.</w:t>
      </w:r>
    </w:p>
    <w:p w:rsidRPr="0073500C" w:rsidR="00451CFD" w:rsidP="0C9457B9" w:rsidRDefault="00451CFD" w14:paraId="36278911" w14:textId="77777777">
      <w:pPr>
        <w:pStyle w:val="Heading2"/>
        <w:rPr>
          <w:sz w:val="32"/>
          <w:szCs w:val="32"/>
        </w:rPr>
      </w:pPr>
      <w:bookmarkStart w:name="_Toc1935452360" w:id="14"/>
      <w:bookmarkStart w:name="_Toc242825272" w:id="15"/>
      <w:r w:rsidRPr="0C9457B9">
        <w:rPr>
          <w:sz w:val="32"/>
          <w:szCs w:val="32"/>
        </w:rPr>
        <w:t>3.1 Transformation of the Acute-Care Pathway</w:t>
      </w:r>
      <w:bookmarkEnd w:id="14"/>
      <w:bookmarkEnd w:id="15"/>
    </w:p>
    <w:p w:rsidRPr="0073500C" w:rsidR="00451CFD" w:rsidP="0073500C" w:rsidRDefault="00451CFD" w14:paraId="25C21B5B" w14:textId="36BBC2C1">
      <w:pPr>
        <w:spacing w:line="360" w:lineRule="auto"/>
        <w:jc w:val="both"/>
        <w:rPr>
          <w:rFonts w:ascii="Arial" w:hAnsi="Arial" w:cs="Arial"/>
        </w:rPr>
      </w:pPr>
      <w:r w:rsidRPr="18F71E22" w:rsidR="57264026">
        <w:rPr>
          <w:rStyle w:val="cursor-pointer"/>
          <w:rFonts w:ascii="Arial" w:hAnsi="Arial" w:cs="Arial"/>
        </w:rPr>
        <w:t>Virtual wards enable admission avoidance and earlier supported discharge for selected patients - to provide acute monitoring and treatment without an inpatient bed being in use</w:t>
      </w:r>
      <w:r w:rsidRPr="18F71E22" w:rsidR="7C8F1341">
        <w:rPr>
          <w:rStyle w:val="cursor-pointer"/>
          <w:rFonts w:ascii="Arial" w:hAnsi="Arial" w:cs="Arial"/>
        </w:rPr>
        <w:t xml:space="preserve"> </w:t>
      </w:r>
      <w:r w:rsidRPr="18F71E22" w:rsidR="7C8F1341">
        <w:rPr>
          <w:rFonts w:ascii="Arial" w:hAnsi="Arial" w:cs="Arial"/>
        </w:rPr>
        <w:t>(NHS England, 2024)</w:t>
      </w:r>
      <w:r w:rsidRPr="18F71E22" w:rsidR="57264026">
        <w:rPr>
          <w:rStyle w:val="cursor-pointer"/>
          <w:rFonts w:ascii="Arial" w:hAnsi="Arial" w:cs="Arial"/>
        </w:rPr>
        <w:t>.</w:t>
      </w:r>
      <w:r w:rsidRPr="18F71E22" w:rsidR="57264026">
        <w:rPr>
          <w:rFonts w:ascii="Arial" w:hAnsi="Arial" w:cs="Arial"/>
        </w:rPr>
        <w:t xml:space="preserve"> </w:t>
      </w:r>
      <w:r w:rsidRPr="18F71E22" w:rsidR="57264026">
        <w:rPr>
          <w:rStyle w:val="cursor-pointer"/>
          <w:rFonts w:ascii="Arial" w:hAnsi="Arial" w:cs="Arial"/>
        </w:rPr>
        <w:t xml:space="preserve">This can lead to greater pathway </w:t>
      </w:r>
      <w:r w:rsidRPr="18F71E22" w:rsidR="34CD249A">
        <w:rPr>
          <w:rStyle w:val="cursor-pointer"/>
          <w:rFonts w:ascii="Arial" w:hAnsi="Arial" w:cs="Arial"/>
        </w:rPr>
        <w:t>flexibility;</w:t>
      </w:r>
      <w:r w:rsidRPr="18F71E22" w:rsidR="57264026">
        <w:rPr>
          <w:rStyle w:val="cursor-pointer"/>
          <w:rFonts w:ascii="Arial" w:hAnsi="Arial" w:cs="Arial"/>
        </w:rPr>
        <w:t xml:space="preserve"> however, there is no proof that there was a substitution </w:t>
      </w:r>
      <w:r w:rsidRPr="18F71E22" w:rsidR="57264026">
        <w:rPr>
          <w:rStyle w:val="cursor-pointer"/>
          <w:rFonts w:ascii="Arial" w:hAnsi="Arial" w:cs="Arial"/>
        </w:rPr>
        <w:t>of</w:t>
      </w:r>
      <w:r w:rsidRPr="18F71E22" w:rsidR="57264026">
        <w:rPr>
          <w:rStyle w:val="cursor-pointer"/>
          <w:rFonts w:ascii="Arial" w:hAnsi="Arial" w:cs="Arial"/>
        </w:rPr>
        <w:t xml:space="preserve"> hospital admissions as some may not have needed to be admitted</w:t>
      </w:r>
      <w:r w:rsidRPr="18F71E22" w:rsidR="7C8F1341">
        <w:rPr>
          <w:rStyle w:val="cursor-pointer"/>
          <w:rFonts w:ascii="Arial" w:hAnsi="Arial" w:cs="Arial"/>
        </w:rPr>
        <w:t xml:space="preserve"> </w:t>
      </w:r>
      <w:r w:rsidRPr="18F71E22" w:rsidR="7C8F1341">
        <w:rPr>
          <w:rFonts w:ascii="Arial" w:hAnsi="Arial" w:cs="Arial"/>
        </w:rPr>
        <w:t>(Eusebio and Leary, 2025)</w:t>
      </w:r>
      <w:r w:rsidRPr="18F71E22" w:rsidR="57264026">
        <w:rPr>
          <w:rStyle w:val="cursor-pointer"/>
          <w:rFonts w:ascii="Arial" w:hAnsi="Arial" w:cs="Arial"/>
        </w:rPr>
        <w:t>.</w:t>
      </w:r>
      <w:r w:rsidRPr="18F71E22" w:rsidR="57264026">
        <w:rPr>
          <w:rFonts w:ascii="Arial" w:hAnsi="Arial" w:cs="Arial"/>
        </w:rPr>
        <w:t xml:space="preserve"> </w:t>
      </w:r>
      <w:r w:rsidRPr="18F71E22" w:rsidR="57264026">
        <w:rPr>
          <w:rStyle w:val="cursor-pointer"/>
          <w:rFonts w:ascii="Arial" w:hAnsi="Arial" w:cs="Arial"/>
        </w:rPr>
        <w:t xml:space="preserve">But meaningful change will only come when there is proof that the necessary inpatient activity is not </w:t>
      </w:r>
      <w:r w:rsidRPr="18F71E22" w:rsidR="57264026">
        <w:rPr>
          <w:rStyle w:val="cursor-pointer"/>
          <w:rFonts w:ascii="Arial" w:hAnsi="Arial" w:cs="Arial"/>
        </w:rPr>
        <w:t>required</w:t>
      </w:r>
      <w:r w:rsidRPr="18F71E22" w:rsidR="57264026">
        <w:rPr>
          <w:rStyle w:val="cursor-pointer"/>
          <w:rFonts w:ascii="Arial" w:hAnsi="Arial" w:cs="Arial"/>
        </w:rPr>
        <w:t xml:space="preserve"> and thus is replaced by virtual care, and that this does not detract from safety.</w:t>
      </w:r>
    </w:p>
    <w:p w:rsidRPr="00E5113D" w:rsidR="00451CFD" w:rsidP="0C9457B9" w:rsidRDefault="00451CFD" w14:paraId="22A04528" w14:textId="77777777">
      <w:pPr>
        <w:pStyle w:val="Heading2"/>
        <w:rPr>
          <w:sz w:val="32"/>
          <w:szCs w:val="32"/>
        </w:rPr>
      </w:pPr>
      <w:bookmarkStart w:name="_Toc1951105356" w:id="16"/>
      <w:bookmarkStart w:name="_Toc242825273" w:id="17"/>
      <w:r w:rsidRPr="0C9457B9">
        <w:rPr>
          <w:sz w:val="32"/>
          <w:szCs w:val="32"/>
        </w:rPr>
        <w:t>3.2 Capacity, Admissions and Length of Stay</w:t>
      </w:r>
      <w:bookmarkEnd w:id="16"/>
      <w:bookmarkEnd w:id="17"/>
    </w:p>
    <w:p w:rsidRPr="0073500C" w:rsidR="00451CFD" w:rsidP="0073500C" w:rsidRDefault="00451CFD" w14:paraId="7989D3DD" w14:textId="375166C1">
      <w:pPr>
        <w:spacing w:line="360" w:lineRule="auto"/>
        <w:jc w:val="both"/>
        <w:rPr>
          <w:rFonts w:ascii="Arial" w:hAnsi="Arial" w:cs="Arial"/>
        </w:rPr>
      </w:pPr>
      <w:r w:rsidRPr="18F71E22" w:rsidR="57264026">
        <w:rPr>
          <w:rStyle w:val="cursor-pointer"/>
          <w:rFonts w:ascii="Arial" w:hAnsi="Arial" w:cs="Arial"/>
        </w:rPr>
        <w:t xml:space="preserve">Plausible service benefits are provided through reduced admissions, shorter </w:t>
      </w:r>
      <w:r w:rsidRPr="18F71E22" w:rsidR="7E0AC351">
        <w:rPr>
          <w:rStyle w:val="cursor-pointer"/>
          <w:rFonts w:ascii="Arial" w:hAnsi="Arial" w:cs="Arial"/>
        </w:rPr>
        <w:t>stay,</w:t>
      </w:r>
      <w:r w:rsidRPr="18F71E22" w:rsidR="57264026">
        <w:rPr>
          <w:rStyle w:val="cursor-pointer"/>
          <w:rFonts w:ascii="Arial" w:hAnsi="Arial" w:cs="Arial"/>
        </w:rPr>
        <w:t xml:space="preserve"> and released bed days, but these must be given careful consideration</w:t>
      </w:r>
      <w:r w:rsidRPr="18F71E22" w:rsidR="7C8F1341">
        <w:rPr>
          <w:rStyle w:val="cursor-pointer"/>
          <w:rFonts w:ascii="Arial" w:hAnsi="Arial" w:cs="Arial"/>
        </w:rPr>
        <w:t xml:space="preserve"> </w:t>
      </w:r>
      <w:r w:rsidRPr="18F71E22" w:rsidR="7C8F1341">
        <w:rPr>
          <w:rFonts w:ascii="Arial" w:hAnsi="Arial" w:cs="Arial"/>
        </w:rPr>
        <w:t>(Shi et al., 2024)</w:t>
      </w:r>
      <w:r w:rsidRPr="18F71E22" w:rsidR="57264026">
        <w:rPr>
          <w:rStyle w:val="cursor-pointer"/>
          <w:rFonts w:ascii="Arial" w:hAnsi="Arial" w:cs="Arial"/>
        </w:rPr>
        <w:t>.</w:t>
      </w:r>
      <w:r w:rsidRPr="18F71E22" w:rsidR="57264026">
        <w:rPr>
          <w:rFonts w:ascii="Arial" w:hAnsi="Arial" w:cs="Arial"/>
        </w:rPr>
        <w:t xml:space="preserve"> </w:t>
      </w:r>
      <w:r w:rsidRPr="18F71E22" w:rsidR="57264026">
        <w:rPr>
          <w:rStyle w:val="cursor-pointer"/>
          <w:rFonts w:ascii="Arial" w:hAnsi="Arial" w:cs="Arial"/>
        </w:rPr>
        <w:t>Utilisation</w:t>
      </w:r>
      <w:r w:rsidRPr="18F71E22" w:rsidR="57264026">
        <w:rPr>
          <w:rStyle w:val="cursor-pointer"/>
          <w:rFonts w:ascii="Arial" w:hAnsi="Arial" w:cs="Arial"/>
        </w:rPr>
        <w:t xml:space="preserve"> may be related to patient selection and local capacity and pathway design, apart from the use of digital monitoring.</w:t>
      </w:r>
      <w:r w:rsidRPr="18F71E22" w:rsidR="57264026">
        <w:rPr>
          <w:rFonts w:ascii="Arial" w:hAnsi="Arial" w:cs="Arial"/>
        </w:rPr>
        <w:t xml:space="preserve"> </w:t>
      </w:r>
      <w:r w:rsidRPr="18F71E22" w:rsidR="57264026">
        <w:rPr>
          <w:rStyle w:val="cursor-pointer"/>
          <w:rFonts w:ascii="Arial" w:hAnsi="Arial" w:cs="Arial"/>
        </w:rPr>
        <w:t xml:space="preserve">Also, a </w:t>
      </w:r>
      <w:r w:rsidRPr="18F71E22" w:rsidR="72162686">
        <w:rPr>
          <w:rStyle w:val="cursor-pointer"/>
          <w:rFonts w:ascii="Arial" w:hAnsi="Arial" w:cs="Arial"/>
        </w:rPr>
        <w:t>reduction in</w:t>
      </w:r>
      <w:r w:rsidRPr="18F71E22" w:rsidR="57264026">
        <w:rPr>
          <w:rStyle w:val="cursor-pointer"/>
          <w:rFonts w:ascii="Arial" w:hAnsi="Arial" w:cs="Arial"/>
        </w:rPr>
        <w:t xml:space="preserve"> in inpatient bed-days </w:t>
      </w:r>
      <w:r w:rsidRPr="18F71E22" w:rsidR="57264026">
        <w:rPr>
          <w:rStyle w:val="cursor-pointer"/>
          <w:rFonts w:ascii="Arial" w:hAnsi="Arial" w:cs="Arial"/>
        </w:rPr>
        <w:t>isn't</w:t>
      </w:r>
      <w:r w:rsidRPr="18F71E22" w:rsidR="57264026">
        <w:rPr>
          <w:rStyle w:val="cursor-pointer"/>
          <w:rFonts w:ascii="Arial" w:hAnsi="Arial" w:cs="Arial"/>
        </w:rPr>
        <w:t xml:space="preserve"> necessarily an indicator of efficiency if </w:t>
      </w:r>
      <w:r w:rsidRPr="18F71E22" w:rsidR="57264026">
        <w:rPr>
          <w:rStyle w:val="cursor-pointer"/>
          <w:rFonts w:ascii="Arial" w:hAnsi="Arial" w:cs="Arial"/>
        </w:rPr>
        <w:t>that's</w:t>
      </w:r>
      <w:r w:rsidRPr="18F71E22" w:rsidR="57264026">
        <w:rPr>
          <w:rStyle w:val="cursor-pointer"/>
          <w:rFonts w:ascii="Arial" w:hAnsi="Arial" w:cs="Arial"/>
        </w:rPr>
        <w:t xml:space="preserve"> followed by an increase in either emergency escalation or readmission</w:t>
      </w:r>
      <w:r w:rsidRPr="18F71E22" w:rsidR="7C8F1341">
        <w:rPr>
          <w:rStyle w:val="cursor-pointer"/>
          <w:rFonts w:ascii="Arial" w:hAnsi="Arial" w:cs="Arial"/>
        </w:rPr>
        <w:t xml:space="preserve"> </w:t>
      </w:r>
      <w:r w:rsidRPr="18F71E22" w:rsidR="7C8F1341">
        <w:rPr>
          <w:rFonts w:ascii="Arial" w:hAnsi="Arial" w:cs="Arial"/>
        </w:rPr>
        <w:t>(Jalilian et al., 2024)</w:t>
      </w:r>
      <w:r w:rsidRPr="18F71E22" w:rsidR="57264026">
        <w:rPr>
          <w:rStyle w:val="cursor-pointer"/>
          <w:rFonts w:ascii="Arial" w:hAnsi="Arial" w:cs="Arial"/>
        </w:rPr>
        <w:t>.</w:t>
      </w:r>
      <w:r w:rsidRPr="18F71E22" w:rsidR="57264026">
        <w:rPr>
          <w:rFonts w:ascii="Arial" w:hAnsi="Arial" w:cs="Arial"/>
        </w:rPr>
        <w:t xml:space="preserve"> </w:t>
      </w:r>
      <w:r w:rsidRPr="18F71E22" w:rsidR="57264026">
        <w:rPr>
          <w:rStyle w:val="cursor-pointer"/>
          <w:rFonts w:ascii="Arial" w:hAnsi="Arial" w:cs="Arial"/>
        </w:rPr>
        <w:t xml:space="preserve">Avoiding </w:t>
      </w:r>
      <w:r w:rsidRPr="18F71E22" w:rsidR="52747CE2">
        <w:rPr>
          <w:rStyle w:val="cursor-pointer"/>
          <w:rFonts w:ascii="Arial" w:hAnsi="Arial" w:cs="Arial"/>
        </w:rPr>
        <w:t>admission</w:t>
      </w:r>
      <w:r w:rsidRPr="18F71E22" w:rsidR="57264026">
        <w:rPr>
          <w:rStyle w:val="cursor-pointer"/>
          <w:rFonts w:ascii="Arial" w:hAnsi="Arial" w:cs="Arial"/>
        </w:rPr>
        <w:t xml:space="preserve">, length of stay, escalation and readmission should all be </w:t>
      </w:r>
      <w:r w:rsidRPr="18F71E22" w:rsidR="52747CE2">
        <w:rPr>
          <w:rStyle w:val="cursor-pointer"/>
          <w:rFonts w:ascii="Arial" w:hAnsi="Arial" w:cs="Arial"/>
        </w:rPr>
        <w:t>considered</w:t>
      </w:r>
      <w:r w:rsidRPr="18F71E22" w:rsidR="57264026">
        <w:rPr>
          <w:rStyle w:val="cursor-pointer"/>
          <w:rFonts w:ascii="Arial" w:hAnsi="Arial" w:cs="Arial"/>
        </w:rPr>
        <w:t xml:space="preserve"> in the evaluation and not the proportion of beds occupied by virtual beds.</w:t>
      </w:r>
    </w:p>
    <w:p w:rsidRPr="00E5113D" w:rsidR="00451CFD" w:rsidP="0C9457B9" w:rsidRDefault="00451CFD" w14:paraId="3791B84D" w14:textId="77777777">
      <w:pPr>
        <w:pStyle w:val="Heading2"/>
        <w:rPr>
          <w:sz w:val="32"/>
          <w:szCs w:val="32"/>
        </w:rPr>
      </w:pPr>
      <w:bookmarkStart w:name="_Toc990263607" w:id="18"/>
      <w:bookmarkStart w:name="_Toc242825274" w:id="19"/>
      <w:r w:rsidRPr="0C9457B9">
        <w:rPr>
          <w:sz w:val="32"/>
          <w:szCs w:val="32"/>
        </w:rPr>
        <w:t>3.3 Integration and Continuity of Care</w:t>
      </w:r>
      <w:bookmarkEnd w:id="18"/>
      <w:bookmarkEnd w:id="19"/>
    </w:p>
    <w:p w:rsidRPr="0073500C" w:rsidR="00451CFD" w:rsidP="0073500C" w:rsidRDefault="00451CFD" w14:paraId="6C5834EA" w14:textId="5010B3BD">
      <w:pPr>
        <w:spacing w:line="360" w:lineRule="auto"/>
        <w:jc w:val="both"/>
        <w:rPr>
          <w:rFonts w:ascii="Arial" w:hAnsi="Arial" w:cs="Arial"/>
        </w:rPr>
      </w:pPr>
      <w:r w:rsidRPr="18F71E22" w:rsidR="57264026">
        <w:rPr>
          <w:rStyle w:val="cursor-pointer"/>
          <w:rFonts w:ascii="Arial" w:hAnsi="Arial" w:cs="Arial"/>
        </w:rPr>
        <w:t xml:space="preserve">Virtual wards rely on the interdependency of the following areas: The acute teams, Primary care, community services, </w:t>
      </w:r>
      <w:r w:rsidRPr="18F71E22" w:rsidR="57264026">
        <w:rPr>
          <w:rStyle w:val="cursor-pointer"/>
          <w:rFonts w:ascii="Arial" w:hAnsi="Arial" w:cs="Arial"/>
        </w:rPr>
        <w:t>diagnostics</w:t>
      </w:r>
      <w:r w:rsidRPr="18F71E22" w:rsidR="57264026">
        <w:rPr>
          <w:rStyle w:val="cursor-pointer"/>
          <w:rFonts w:ascii="Arial" w:hAnsi="Arial" w:cs="Arial"/>
        </w:rPr>
        <w:t xml:space="preserve"> and social care</w:t>
      </w:r>
      <w:r w:rsidRPr="18F71E22" w:rsidR="7C8F1341">
        <w:rPr>
          <w:rStyle w:val="cursor-pointer"/>
          <w:rFonts w:ascii="Arial" w:hAnsi="Arial" w:cs="Arial"/>
        </w:rPr>
        <w:t xml:space="preserve"> </w:t>
      </w:r>
      <w:r w:rsidRPr="18F71E22" w:rsidR="7C8F1341">
        <w:rPr>
          <w:rFonts w:ascii="Arial" w:hAnsi="Arial" w:cs="Arial"/>
        </w:rPr>
        <w:t>(NHS England, 2024)</w:t>
      </w:r>
      <w:r w:rsidRPr="18F71E22" w:rsidR="57264026">
        <w:rPr>
          <w:rStyle w:val="cursor-pointer"/>
          <w:rFonts w:ascii="Arial" w:hAnsi="Arial" w:cs="Arial"/>
        </w:rPr>
        <w:t>.</w:t>
      </w:r>
      <w:r w:rsidRPr="18F71E22" w:rsidR="57264026">
        <w:rPr>
          <w:rFonts w:ascii="Arial" w:hAnsi="Arial" w:cs="Arial"/>
        </w:rPr>
        <w:t xml:space="preserve"> </w:t>
      </w:r>
      <w:r w:rsidRPr="18F71E22" w:rsidR="57264026">
        <w:rPr>
          <w:rStyle w:val="cursor-pointer"/>
          <w:rFonts w:ascii="Arial" w:hAnsi="Arial" w:cs="Arial"/>
        </w:rPr>
        <w:t xml:space="preserve">Having the same digital information </w:t>
      </w:r>
      <w:r w:rsidRPr="18F71E22" w:rsidR="57264026">
        <w:rPr>
          <w:rStyle w:val="cursor-pointer"/>
          <w:rFonts w:ascii="Arial" w:hAnsi="Arial" w:cs="Arial"/>
        </w:rPr>
        <w:t>doesn't</w:t>
      </w:r>
      <w:r w:rsidRPr="18F71E22" w:rsidR="57264026">
        <w:rPr>
          <w:rStyle w:val="cursor-pointer"/>
          <w:rFonts w:ascii="Arial" w:hAnsi="Arial" w:cs="Arial"/>
        </w:rPr>
        <w:t xml:space="preserve"> necessarily help to solve the problem of disjointed responsibilities</w:t>
      </w:r>
      <w:r w:rsidRPr="18F71E22" w:rsidR="7C8F1341">
        <w:rPr>
          <w:rStyle w:val="cursor-pointer"/>
          <w:rFonts w:ascii="Arial" w:hAnsi="Arial" w:cs="Arial"/>
        </w:rPr>
        <w:t xml:space="preserve"> </w:t>
      </w:r>
      <w:r w:rsidRPr="18F71E22" w:rsidR="7C8F1341">
        <w:rPr>
          <w:rFonts w:ascii="Arial" w:hAnsi="Arial" w:cs="Arial"/>
        </w:rPr>
        <w:t>(Litchfield et al., 2025)</w:t>
      </w:r>
      <w:r w:rsidRPr="18F71E22" w:rsidR="57264026">
        <w:rPr>
          <w:rStyle w:val="cursor-pointer"/>
          <w:rFonts w:ascii="Arial" w:hAnsi="Arial" w:cs="Arial"/>
        </w:rPr>
        <w:t>.</w:t>
      </w:r>
      <w:r w:rsidRPr="18F71E22" w:rsidR="57264026">
        <w:rPr>
          <w:rFonts w:ascii="Arial" w:hAnsi="Arial" w:cs="Arial"/>
        </w:rPr>
        <w:t xml:space="preserve"> </w:t>
      </w:r>
      <w:r w:rsidRPr="18F71E22" w:rsidR="57264026">
        <w:rPr>
          <w:rStyle w:val="cursor-pointer"/>
          <w:rFonts w:ascii="Arial" w:hAnsi="Arial" w:cs="Arial"/>
        </w:rPr>
        <w:t xml:space="preserve">Some records may not be </w:t>
      </w:r>
      <w:r w:rsidRPr="18F71E22" w:rsidR="52747CE2">
        <w:rPr>
          <w:rStyle w:val="cursor-pointer"/>
          <w:rFonts w:ascii="Arial" w:hAnsi="Arial" w:cs="Arial"/>
        </w:rPr>
        <w:t>compatible,</w:t>
      </w:r>
      <w:r w:rsidRPr="18F71E22" w:rsidR="57264026">
        <w:rPr>
          <w:rStyle w:val="cursor-pointer"/>
          <w:rFonts w:ascii="Arial" w:hAnsi="Arial" w:cs="Arial"/>
        </w:rPr>
        <w:t xml:space="preserve"> and some handovers or escalation are not clear or happening on time, which can lead to new discontinuities across settings</w:t>
      </w:r>
      <w:r w:rsidRPr="18F71E22" w:rsidR="7C8F1341">
        <w:rPr>
          <w:rStyle w:val="cursor-pointer"/>
          <w:rFonts w:ascii="Arial" w:hAnsi="Arial" w:cs="Arial"/>
        </w:rPr>
        <w:t xml:space="preserve"> </w:t>
      </w:r>
      <w:r w:rsidRPr="18F71E22" w:rsidR="7C8F1341">
        <w:rPr>
          <w:rFonts w:ascii="Arial" w:hAnsi="Arial" w:cs="Arial"/>
        </w:rPr>
        <w:t>(Li et al., 2022)</w:t>
      </w:r>
      <w:r w:rsidRPr="18F71E22" w:rsidR="57264026">
        <w:rPr>
          <w:rStyle w:val="cursor-pointer"/>
          <w:rFonts w:ascii="Arial" w:hAnsi="Arial" w:cs="Arial"/>
        </w:rPr>
        <w:t>.</w:t>
      </w:r>
      <w:r w:rsidRPr="18F71E22" w:rsidR="57264026">
        <w:rPr>
          <w:rFonts w:ascii="Arial" w:hAnsi="Arial" w:cs="Arial"/>
        </w:rPr>
        <w:t xml:space="preserve"> </w:t>
      </w:r>
      <w:r w:rsidRPr="18F71E22" w:rsidR="57264026">
        <w:rPr>
          <w:rStyle w:val="cursor-pointer"/>
          <w:rFonts w:ascii="Arial" w:hAnsi="Arial" w:cs="Arial"/>
        </w:rPr>
        <w:t xml:space="preserve">Speaking of digital transformation, interoperable workflows and escalation paths are crucial to it rather than </w:t>
      </w:r>
      <w:r w:rsidRPr="18F71E22" w:rsidR="1657551C">
        <w:rPr>
          <w:rStyle w:val="cursor-pointer"/>
          <w:rFonts w:ascii="Arial" w:hAnsi="Arial" w:cs="Arial"/>
        </w:rPr>
        <w:t>remote</w:t>
      </w:r>
      <w:r w:rsidRPr="18F71E22" w:rsidR="57264026">
        <w:rPr>
          <w:rStyle w:val="cursor-pointer"/>
          <w:rFonts w:ascii="Arial" w:hAnsi="Arial" w:cs="Arial"/>
        </w:rPr>
        <w:t>-monitoring technology alone.</w:t>
      </w:r>
    </w:p>
    <w:p w:rsidRPr="0073500C" w:rsidR="00451CFD" w:rsidP="0C9457B9" w:rsidRDefault="00451CFD" w14:paraId="0EF2F823" w14:textId="77777777">
      <w:pPr>
        <w:pStyle w:val="Heading2"/>
        <w:rPr>
          <w:sz w:val="32"/>
          <w:szCs w:val="32"/>
        </w:rPr>
      </w:pPr>
      <w:bookmarkStart w:name="_Toc1732326004" w:id="20"/>
      <w:bookmarkStart w:name="_Toc242825275" w:id="21"/>
      <w:r w:rsidRPr="0C9457B9">
        <w:rPr>
          <w:sz w:val="32"/>
          <w:szCs w:val="32"/>
        </w:rPr>
        <w:t>3.4 Efficiency and Sustainability</w:t>
      </w:r>
      <w:bookmarkEnd w:id="20"/>
      <w:bookmarkEnd w:id="21"/>
    </w:p>
    <w:p w:rsidRPr="00192B8A" w:rsidR="00192B8A" w:rsidP="0073500C" w:rsidRDefault="00192B8A" w14:paraId="1A260566" w14:textId="3F153921">
      <w:pPr>
        <w:spacing w:line="360" w:lineRule="auto"/>
        <w:jc w:val="both"/>
        <w:rPr>
          <w:rFonts w:ascii="Arial" w:hAnsi="Arial" w:cs="Arial"/>
        </w:rPr>
      </w:pPr>
      <w:r w:rsidRPr="18F71E22" w:rsidR="3455B6F8">
        <w:rPr>
          <w:rStyle w:val="cursor-pointer"/>
          <w:rFonts w:ascii="Arial" w:hAnsi="Arial" w:cs="Arial"/>
        </w:rPr>
        <w:t xml:space="preserve">Virtual wards could help to save the NHS money in the hospital, as well as on hospital beds and admissions </w:t>
      </w:r>
      <w:r w:rsidRPr="18F71E22" w:rsidR="3455B6F8">
        <w:rPr>
          <w:rFonts w:ascii="Arial" w:hAnsi="Arial" w:cs="Arial"/>
        </w:rPr>
        <w:t>(Rasoul et al., 2024)</w:t>
      </w:r>
      <w:r w:rsidRPr="18F71E22" w:rsidR="3455B6F8">
        <w:rPr>
          <w:rStyle w:val="cursor-pointer"/>
          <w:rFonts w:ascii="Arial" w:hAnsi="Arial" w:cs="Arial"/>
        </w:rPr>
        <w:t>.</w:t>
      </w:r>
      <w:r w:rsidRPr="18F71E22" w:rsidR="3455B6F8">
        <w:rPr>
          <w:rFonts w:ascii="Arial" w:hAnsi="Arial" w:cs="Arial"/>
        </w:rPr>
        <w:t xml:space="preserve"> </w:t>
      </w:r>
      <w:r w:rsidRPr="18F71E22" w:rsidR="3455B6F8">
        <w:rPr>
          <w:rStyle w:val="cursor-pointer"/>
          <w:rFonts w:ascii="Arial" w:hAnsi="Arial" w:cs="Arial"/>
        </w:rPr>
        <w:t xml:space="preserve">Certain benefits may be offset by costs of digital infrastructure, equipment maintenance, staff </w:t>
      </w:r>
      <w:r w:rsidRPr="18F71E22" w:rsidR="7C9B676D">
        <w:rPr>
          <w:rStyle w:val="cursor-pointer"/>
          <w:rFonts w:ascii="Arial" w:hAnsi="Arial" w:cs="Arial"/>
        </w:rPr>
        <w:t>training,</w:t>
      </w:r>
      <w:r w:rsidRPr="18F71E22" w:rsidR="3455B6F8">
        <w:rPr>
          <w:rStyle w:val="cursor-pointer"/>
          <w:rFonts w:ascii="Arial" w:hAnsi="Arial" w:cs="Arial"/>
        </w:rPr>
        <w:t xml:space="preserve"> and ongoing monitoring, however.</w:t>
      </w:r>
      <w:r w:rsidRPr="18F71E22" w:rsidR="3455B6F8">
        <w:rPr>
          <w:rFonts w:ascii="Arial" w:hAnsi="Arial" w:cs="Arial"/>
        </w:rPr>
        <w:t xml:space="preserve"> </w:t>
      </w:r>
    </w:p>
    <w:p w:rsidRPr="00192B8A" w:rsidR="00192B8A" w:rsidP="0073500C" w:rsidRDefault="00192B8A" w14:paraId="3FA9D3C0" w14:textId="57884479">
      <w:pPr>
        <w:spacing w:line="360" w:lineRule="auto"/>
        <w:jc w:val="both"/>
        <w:rPr>
          <w:rFonts w:ascii="Arial" w:hAnsi="Arial" w:cs="Arial"/>
        </w:rPr>
      </w:pPr>
      <w:r w:rsidRPr="18F71E22" w:rsidR="3455B6F8">
        <w:rPr>
          <w:rStyle w:val="cursor-pointer"/>
          <w:rFonts w:ascii="Arial" w:hAnsi="Arial" w:cs="Arial"/>
          <w:b w:val="1"/>
          <w:bCs w:val="1"/>
        </w:rPr>
        <w:t>Critical Evaluation:</w:t>
      </w:r>
      <w:r w:rsidRPr="18F71E22" w:rsidR="3455B6F8">
        <w:rPr>
          <w:rStyle w:val="cursor-pointer"/>
          <w:rFonts w:ascii="Arial" w:hAnsi="Arial" w:cs="Arial"/>
        </w:rPr>
        <w:t xml:space="preserve"> Virtual wards could lead to shifting cost and responsibility of the ward to community services, informal </w:t>
      </w:r>
      <w:r w:rsidRPr="18F71E22" w:rsidR="3B41B98F">
        <w:rPr>
          <w:rStyle w:val="cursor-pointer"/>
          <w:rFonts w:ascii="Arial" w:hAnsi="Arial" w:cs="Arial"/>
        </w:rPr>
        <w:t>carers,</w:t>
      </w:r>
      <w:r w:rsidRPr="18F71E22" w:rsidR="3455B6F8">
        <w:rPr>
          <w:rStyle w:val="cursor-pointer"/>
          <w:rFonts w:ascii="Arial" w:hAnsi="Arial" w:cs="Arial"/>
        </w:rPr>
        <w:t xml:space="preserve"> and not saving money </w:t>
      </w:r>
      <w:r w:rsidRPr="18F71E22" w:rsidR="3455B6F8">
        <w:rPr>
          <w:rFonts w:ascii="Arial" w:hAnsi="Arial" w:cs="Arial"/>
        </w:rPr>
        <w:t>(Gregory, Lip and Sankaranarayanan, 2025)</w:t>
      </w:r>
      <w:r w:rsidRPr="18F71E22" w:rsidR="3455B6F8">
        <w:rPr>
          <w:rStyle w:val="cursor-pointer"/>
          <w:rFonts w:ascii="Arial" w:hAnsi="Arial" w:cs="Arial"/>
        </w:rPr>
        <w:t>.</w:t>
      </w:r>
      <w:r w:rsidRPr="18F71E22" w:rsidR="3455B6F8">
        <w:rPr>
          <w:rFonts w:ascii="Arial" w:hAnsi="Arial" w:cs="Arial"/>
        </w:rPr>
        <w:t xml:space="preserve"> </w:t>
      </w:r>
      <w:r w:rsidRPr="18F71E22" w:rsidR="3455B6F8">
        <w:rPr>
          <w:rStyle w:val="cursor-pointer"/>
          <w:rFonts w:ascii="Arial" w:hAnsi="Arial" w:cs="Arial"/>
        </w:rPr>
        <w:t xml:space="preserve">Technical issues, slow clinical </w:t>
      </w:r>
      <w:r w:rsidRPr="18F71E22" w:rsidR="091EB5CC">
        <w:rPr>
          <w:rStyle w:val="cursor-pointer"/>
          <w:rFonts w:ascii="Arial" w:hAnsi="Arial" w:cs="Arial"/>
        </w:rPr>
        <w:t>feedback,</w:t>
      </w:r>
      <w:r w:rsidRPr="18F71E22" w:rsidR="3455B6F8">
        <w:rPr>
          <w:rStyle w:val="cursor-pointer"/>
          <w:rFonts w:ascii="Arial" w:hAnsi="Arial" w:cs="Arial"/>
        </w:rPr>
        <w:t xml:space="preserve"> and the need for more workers can result in even more inefficiency and safety risks for patients.</w:t>
      </w:r>
      <w:r w:rsidRPr="18F71E22" w:rsidR="3455B6F8">
        <w:rPr>
          <w:rFonts w:ascii="Arial" w:hAnsi="Arial" w:cs="Arial"/>
        </w:rPr>
        <w:t xml:space="preserve"> </w:t>
      </w:r>
      <w:r w:rsidRPr="18F71E22" w:rsidR="3455B6F8">
        <w:rPr>
          <w:rStyle w:val="cursor-pointer"/>
          <w:rFonts w:ascii="Arial" w:hAnsi="Arial" w:cs="Arial"/>
        </w:rPr>
        <w:t xml:space="preserve">So, in evaluating sustainability, the unit costs of the hospital should not be the only measure considered; patient outcomes and community capacity should be </w:t>
      </w:r>
      <w:r w:rsidRPr="18F71E22" w:rsidR="52747CE2">
        <w:rPr>
          <w:rStyle w:val="cursor-pointer"/>
          <w:rFonts w:ascii="Arial" w:hAnsi="Arial" w:cs="Arial"/>
        </w:rPr>
        <w:t>considered</w:t>
      </w:r>
      <w:r w:rsidRPr="18F71E22" w:rsidR="3455B6F8">
        <w:rPr>
          <w:rStyle w:val="cursor-pointer"/>
          <w:rFonts w:ascii="Arial" w:hAnsi="Arial" w:cs="Arial"/>
        </w:rPr>
        <w:t>.</w:t>
      </w:r>
    </w:p>
    <w:p w:rsidRPr="00E5113D" w:rsidR="00451CFD" w:rsidP="0C9457B9" w:rsidRDefault="00451CFD" w14:paraId="712D4157" w14:textId="77777777">
      <w:pPr>
        <w:pStyle w:val="Heading1"/>
        <w:rPr>
          <w:b/>
          <w:bCs/>
          <w:color w:val="000000" w:themeColor="text1"/>
          <w:sz w:val="36"/>
          <w:szCs w:val="36"/>
        </w:rPr>
      </w:pPr>
      <w:bookmarkStart w:name="_Toc108282945" w:id="22"/>
      <w:bookmarkStart w:name="_Toc242825276" w:id="23"/>
      <w:r w:rsidRPr="0C9457B9">
        <w:rPr>
          <w:b/>
          <w:bCs/>
          <w:color w:val="000000" w:themeColor="text1"/>
          <w:sz w:val="36"/>
          <w:szCs w:val="36"/>
        </w:rPr>
        <w:t>4. Critical Evaluation: Impact on Patients and Service Users</w:t>
      </w:r>
      <w:bookmarkEnd w:id="22"/>
      <w:bookmarkEnd w:id="23"/>
    </w:p>
    <w:p w:rsidRPr="000F2C4C" w:rsidR="000F2C4C" w:rsidP="000F2C4C" w:rsidRDefault="000F2C4C" w14:paraId="7030A994" w14:textId="4D5A09A7">
      <w:pPr>
        <w:spacing w:line="360" w:lineRule="auto"/>
        <w:jc w:val="both"/>
        <w:rPr>
          <w:rFonts w:ascii="Arial" w:hAnsi="Arial" w:cs="Arial"/>
        </w:rPr>
      </w:pPr>
      <w:r w:rsidRPr="18F71E22" w:rsidR="0CDD2BBD">
        <w:rPr>
          <w:rStyle w:val="cursor-pointer"/>
          <w:rFonts w:ascii="Arial" w:hAnsi="Arial" w:cs="Arial"/>
        </w:rPr>
        <w:t>Virtual wards help to move hospital care to digitally supported home settings.</w:t>
      </w:r>
      <w:r w:rsidRPr="18F71E22" w:rsidR="0CDD2BBD">
        <w:rPr>
          <w:rFonts w:ascii="Arial" w:hAnsi="Arial" w:cs="Arial"/>
        </w:rPr>
        <w:t xml:space="preserve"> </w:t>
      </w:r>
      <w:r w:rsidRPr="18F71E22" w:rsidR="0CDD2BBD">
        <w:rPr>
          <w:rStyle w:val="cursor-pointer"/>
          <w:rFonts w:ascii="Arial" w:hAnsi="Arial" w:cs="Arial"/>
        </w:rPr>
        <w:t>Their patient-</w:t>
      </w:r>
      <w:r w:rsidRPr="18F71E22" w:rsidR="56BA792D">
        <w:rPr>
          <w:rStyle w:val="cursor-pointer"/>
          <w:rFonts w:ascii="Arial" w:hAnsi="Arial" w:cs="Arial"/>
        </w:rPr>
        <w:t>centered</w:t>
      </w:r>
      <w:r w:rsidRPr="18F71E22" w:rsidR="0CDD2BBD">
        <w:rPr>
          <w:rStyle w:val="cursor-pointer"/>
          <w:rFonts w:ascii="Arial" w:hAnsi="Arial" w:cs="Arial"/>
        </w:rPr>
        <w:t xml:space="preserve"> benefits are reliant upon keeping safety, </w:t>
      </w:r>
      <w:r w:rsidRPr="18F71E22" w:rsidR="1EEA21D7">
        <w:rPr>
          <w:rStyle w:val="cursor-pointer"/>
          <w:rFonts w:ascii="Arial" w:hAnsi="Arial" w:cs="Arial"/>
        </w:rPr>
        <w:t>autonomy,</w:t>
      </w:r>
      <w:r w:rsidRPr="18F71E22" w:rsidR="0CDD2BBD">
        <w:rPr>
          <w:rStyle w:val="cursor-pointer"/>
          <w:rFonts w:ascii="Arial" w:hAnsi="Arial" w:cs="Arial"/>
        </w:rPr>
        <w:t xml:space="preserve"> and </w:t>
      </w:r>
      <w:r w:rsidRPr="18F71E22" w:rsidR="0CDD2BBD">
        <w:rPr>
          <w:rStyle w:val="cursor-pointer"/>
          <w:rFonts w:ascii="Arial" w:hAnsi="Arial" w:cs="Arial"/>
        </w:rPr>
        <w:t>equitable</w:t>
      </w:r>
      <w:r w:rsidRPr="18F71E22" w:rsidR="0CDD2BBD">
        <w:rPr>
          <w:rStyle w:val="cursor-pointer"/>
          <w:rFonts w:ascii="Arial" w:hAnsi="Arial" w:cs="Arial"/>
        </w:rPr>
        <w:t xml:space="preserve"> access.</w:t>
      </w:r>
    </w:p>
    <w:p w:rsidRPr="00E5113D" w:rsidR="00451CFD" w:rsidP="0C9457B9" w:rsidRDefault="00451CFD" w14:paraId="15E68017" w14:textId="77777777">
      <w:pPr>
        <w:pStyle w:val="Heading2"/>
        <w:rPr>
          <w:sz w:val="32"/>
          <w:szCs w:val="32"/>
        </w:rPr>
      </w:pPr>
      <w:bookmarkStart w:name="_Toc216435861" w:id="24"/>
      <w:bookmarkStart w:name="_Toc242825277" w:id="25"/>
      <w:r w:rsidRPr="0C9457B9">
        <w:rPr>
          <w:sz w:val="32"/>
          <w:szCs w:val="32"/>
        </w:rPr>
        <w:t>4.1 Patient Experience and Quality of Care</w:t>
      </w:r>
      <w:bookmarkEnd w:id="24"/>
      <w:bookmarkEnd w:id="25"/>
    </w:p>
    <w:p w:rsidRPr="0073500C" w:rsidR="00C22F4C" w:rsidP="0073500C" w:rsidRDefault="00C22F4C" w14:paraId="46CCA66E" w14:textId="310C0BBD">
      <w:pPr>
        <w:spacing w:line="360" w:lineRule="auto"/>
        <w:jc w:val="both"/>
        <w:rPr>
          <w:rFonts w:ascii="Arial" w:hAnsi="Arial" w:cs="Arial"/>
        </w:rPr>
      </w:pPr>
      <w:r w:rsidRPr="18F71E22" w:rsidR="6025210D">
        <w:rPr>
          <w:rStyle w:val="cursor-pointer"/>
          <w:rFonts w:ascii="Arial" w:hAnsi="Arial" w:cs="Arial"/>
        </w:rPr>
        <w:t xml:space="preserve">Providing acute care at home can </w:t>
      </w:r>
      <w:r w:rsidRPr="18F71E22" w:rsidR="6025210D">
        <w:rPr>
          <w:rStyle w:val="cursor-pointer"/>
          <w:rFonts w:ascii="Arial" w:hAnsi="Arial" w:cs="Arial"/>
        </w:rPr>
        <w:t>maintain</w:t>
      </w:r>
      <w:r w:rsidRPr="18F71E22" w:rsidR="6025210D">
        <w:rPr>
          <w:rStyle w:val="cursor-pointer"/>
          <w:rFonts w:ascii="Arial" w:hAnsi="Arial" w:cs="Arial"/>
        </w:rPr>
        <w:t xml:space="preserve"> activities and </w:t>
      </w:r>
      <w:r w:rsidRPr="18F71E22" w:rsidR="00DFF9E8">
        <w:rPr>
          <w:rStyle w:val="cursor-pointer"/>
          <w:rFonts w:ascii="Arial" w:hAnsi="Arial" w:cs="Arial"/>
        </w:rPr>
        <w:t>minimize</w:t>
      </w:r>
      <w:r w:rsidRPr="18F71E22" w:rsidR="6025210D">
        <w:rPr>
          <w:rStyle w:val="cursor-pointer"/>
          <w:rFonts w:ascii="Arial" w:hAnsi="Arial" w:cs="Arial"/>
        </w:rPr>
        <w:t xml:space="preserve"> disruption of activities that </w:t>
      </w:r>
      <w:r w:rsidRPr="18F71E22" w:rsidR="52747CE2">
        <w:rPr>
          <w:rStyle w:val="cursor-pointer"/>
          <w:rFonts w:ascii="Arial" w:hAnsi="Arial" w:cs="Arial"/>
        </w:rPr>
        <w:t>occur</w:t>
      </w:r>
      <w:r w:rsidRPr="18F71E22" w:rsidR="6025210D">
        <w:rPr>
          <w:rStyle w:val="cursor-pointer"/>
          <w:rFonts w:ascii="Arial" w:hAnsi="Arial" w:cs="Arial"/>
        </w:rPr>
        <w:t xml:space="preserve"> with </w:t>
      </w:r>
      <w:r w:rsidRPr="18F71E22" w:rsidR="3DF1BBD7">
        <w:rPr>
          <w:rStyle w:val="cursor-pointer"/>
          <w:rFonts w:ascii="Arial" w:hAnsi="Arial" w:cs="Arial"/>
        </w:rPr>
        <w:t xml:space="preserve">hospitalization </w:t>
      </w:r>
      <w:r w:rsidRPr="18F71E22" w:rsidR="3DF1BBD7">
        <w:rPr>
          <w:rFonts w:ascii="Arial" w:hAnsi="Arial" w:cs="Arial"/>
        </w:rPr>
        <w:t xml:space="preserve">(Norman, </w:t>
      </w:r>
      <w:r w:rsidRPr="18F71E22" w:rsidR="763090E5">
        <w:rPr>
          <w:rFonts w:ascii="Arial" w:hAnsi="Arial" w:cs="Arial"/>
        </w:rPr>
        <w:t>Bennett,</w:t>
      </w:r>
      <w:r w:rsidRPr="18F71E22" w:rsidR="3DF1BBD7">
        <w:rPr>
          <w:rFonts w:ascii="Arial" w:hAnsi="Arial" w:cs="Arial"/>
        </w:rPr>
        <w:t xml:space="preserve"> and Vardy, 2023)</w:t>
      </w:r>
      <w:r w:rsidRPr="18F71E22" w:rsidR="6025210D">
        <w:rPr>
          <w:rStyle w:val="cursor-pointer"/>
          <w:rFonts w:ascii="Arial" w:hAnsi="Arial" w:cs="Arial"/>
        </w:rPr>
        <w:t>.</w:t>
      </w:r>
      <w:r w:rsidRPr="18F71E22" w:rsidR="6025210D">
        <w:rPr>
          <w:rFonts w:ascii="Arial" w:hAnsi="Arial" w:cs="Arial"/>
        </w:rPr>
        <w:t xml:space="preserve"> </w:t>
      </w:r>
      <w:r w:rsidRPr="18F71E22" w:rsidR="6025210D">
        <w:rPr>
          <w:rStyle w:val="cursor-pointer"/>
          <w:rFonts w:ascii="Arial" w:hAnsi="Arial" w:cs="Arial"/>
        </w:rPr>
        <w:t>But no clinical effectiveness can be proven by positive experience.</w:t>
      </w:r>
      <w:r w:rsidRPr="18F71E22" w:rsidR="6025210D">
        <w:rPr>
          <w:rFonts w:ascii="Arial" w:hAnsi="Arial" w:cs="Arial"/>
        </w:rPr>
        <w:t xml:space="preserve"> </w:t>
      </w:r>
      <w:r w:rsidRPr="18F71E22" w:rsidR="6025210D">
        <w:rPr>
          <w:rStyle w:val="cursor-pointer"/>
          <w:rFonts w:ascii="Arial" w:hAnsi="Arial" w:cs="Arial"/>
        </w:rPr>
        <w:t xml:space="preserve">Selection could play a role in satisfaction as patients who are taken up for virtual wards are </w:t>
      </w:r>
      <w:r w:rsidRPr="18F71E22" w:rsidR="6025210D">
        <w:rPr>
          <w:rStyle w:val="cursor-pointer"/>
          <w:rFonts w:ascii="Arial" w:hAnsi="Arial" w:cs="Arial"/>
        </w:rPr>
        <w:t>deemed</w:t>
      </w:r>
      <w:r w:rsidRPr="18F71E22" w:rsidR="6025210D">
        <w:rPr>
          <w:rStyle w:val="cursor-pointer"/>
          <w:rFonts w:ascii="Arial" w:hAnsi="Arial" w:cs="Arial"/>
        </w:rPr>
        <w:t xml:space="preserve"> to be 'fit for home'</w:t>
      </w:r>
      <w:r w:rsidRPr="18F71E22" w:rsidR="3DF1BBD7">
        <w:rPr>
          <w:rStyle w:val="cursor-pointer"/>
          <w:rFonts w:ascii="Arial" w:hAnsi="Arial" w:cs="Arial"/>
        </w:rPr>
        <w:t xml:space="preserve"> </w:t>
      </w:r>
      <w:r w:rsidRPr="18F71E22" w:rsidR="3DF1BBD7">
        <w:rPr>
          <w:rFonts w:ascii="Arial" w:hAnsi="Arial" w:cs="Arial"/>
        </w:rPr>
        <w:t>(NHS England, 2024)</w:t>
      </w:r>
      <w:r w:rsidRPr="18F71E22" w:rsidR="6025210D">
        <w:rPr>
          <w:rStyle w:val="cursor-pointer"/>
          <w:rFonts w:ascii="Arial" w:hAnsi="Arial" w:cs="Arial"/>
        </w:rPr>
        <w:t>.</w:t>
      </w:r>
      <w:r w:rsidRPr="18F71E22" w:rsidR="6025210D">
        <w:rPr>
          <w:rFonts w:ascii="Arial" w:hAnsi="Arial" w:cs="Arial"/>
        </w:rPr>
        <w:t xml:space="preserve"> </w:t>
      </w:r>
      <w:r w:rsidRPr="18F71E22" w:rsidR="6025210D">
        <w:rPr>
          <w:rStyle w:val="cursor-pointer"/>
          <w:rFonts w:ascii="Arial" w:hAnsi="Arial" w:cs="Arial"/>
        </w:rPr>
        <w:t>Patient benefit is thus dependent on clinical outcomes and not simply on preference.</w:t>
      </w:r>
    </w:p>
    <w:p w:rsidRPr="00E5113D" w:rsidR="00451CFD" w:rsidP="0C9457B9" w:rsidRDefault="00451CFD" w14:paraId="3419AD04" w14:textId="77777777">
      <w:pPr>
        <w:pStyle w:val="Heading2"/>
        <w:rPr>
          <w:sz w:val="32"/>
          <w:szCs w:val="32"/>
        </w:rPr>
      </w:pPr>
      <w:bookmarkStart w:name="_Toc1850178814" w:id="26"/>
      <w:bookmarkStart w:name="_Toc242825278" w:id="27"/>
      <w:r w:rsidRPr="0C9457B9">
        <w:rPr>
          <w:sz w:val="32"/>
          <w:szCs w:val="32"/>
        </w:rPr>
        <w:t>4.2 Safety, Outcomes and Escalation</w:t>
      </w:r>
      <w:bookmarkEnd w:id="26"/>
      <w:bookmarkEnd w:id="27"/>
    </w:p>
    <w:p w:rsidRPr="0073500C" w:rsidR="00C22F4C" w:rsidP="0073500C" w:rsidRDefault="00E507FF" w14:paraId="580F513C" w14:textId="095B02DE">
      <w:pPr>
        <w:spacing w:line="360" w:lineRule="auto"/>
        <w:jc w:val="both"/>
        <w:rPr>
          <w:rFonts w:ascii="Arial" w:hAnsi="Arial" w:cs="Arial"/>
        </w:rPr>
      </w:pPr>
      <w:r w:rsidRPr="18F71E22" w:rsidR="52747CE2">
        <w:rPr>
          <w:rStyle w:val="cursor-pointer"/>
          <w:rFonts w:ascii="Arial" w:hAnsi="Arial" w:cs="Arial"/>
        </w:rPr>
        <w:t>Monitoring</w:t>
      </w:r>
      <w:r w:rsidRPr="18F71E22" w:rsidR="6025210D">
        <w:rPr>
          <w:rStyle w:val="cursor-pointer"/>
          <w:rFonts w:ascii="Arial" w:hAnsi="Arial" w:cs="Arial"/>
        </w:rPr>
        <w:t xml:space="preserve"> the physiological changes can be done </w:t>
      </w:r>
      <w:r w:rsidRPr="18F71E22" w:rsidR="5A8A0754">
        <w:rPr>
          <w:rStyle w:val="cursor-pointer"/>
          <w:rFonts w:ascii="Arial" w:hAnsi="Arial" w:cs="Arial"/>
        </w:rPr>
        <w:t>remotely,</w:t>
      </w:r>
      <w:r w:rsidRPr="18F71E22" w:rsidR="6025210D">
        <w:rPr>
          <w:rStyle w:val="cursor-pointer"/>
          <w:rFonts w:ascii="Arial" w:hAnsi="Arial" w:cs="Arial"/>
        </w:rPr>
        <w:t xml:space="preserve"> which can enlarge the chances of earlier intervention</w:t>
      </w:r>
      <w:r w:rsidRPr="18F71E22" w:rsidR="40176A7C">
        <w:rPr>
          <w:rStyle w:val="cursor-pointer"/>
          <w:rFonts w:ascii="Arial" w:hAnsi="Arial" w:cs="Arial"/>
        </w:rPr>
        <w:t xml:space="preserve"> </w:t>
      </w:r>
      <w:r w:rsidRPr="18F71E22" w:rsidR="40176A7C">
        <w:rPr>
          <w:rFonts w:ascii="Arial" w:hAnsi="Arial" w:cs="Arial"/>
        </w:rPr>
        <w:t>(Westby et al., 2024)</w:t>
      </w:r>
      <w:r w:rsidRPr="18F71E22" w:rsidR="6025210D">
        <w:rPr>
          <w:rStyle w:val="cursor-pointer"/>
          <w:rFonts w:ascii="Arial" w:hAnsi="Arial" w:cs="Arial"/>
        </w:rPr>
        <w:t>.</w:t>
      </w:r>
      <w:r w:rsidRPr="18F71E22" w:rsidR="6025210D">
        <w:rPr>
          <w:rFonts w:ascii="Arial" w:hAnsi="Arial" w:cs="Arial"/>
        </w:rPr>
        <w:t xml:space="preserve"> </w:t>
      </w:r>
      <w:r w:rsidRPr="18F71E22" w:rsidR="6025210D">
        <w:rPr>
          <w:rStyle w:val="cursor-pointer"/>
          <w:rFonts w:ascii="Arial" w:hAnsi="Arial" w:cs="Arial"/>
        </w:rPr>
        <w:t xml:space="preserve">However, observations </w:t>
      </w:r>
      <w:r w:rsidRPr="18F71E22" w:rsidR="6025210D">
        <w:rPr>
          <w:rStyle w:val="cursor-pointer"/>
          <w:rFonts w:ascii="Arial" w:hAnsi="Arial" w:cs="Arial"/>
        </w:rPr>
        <w:t>don't</w:t>
      </w:r>
      <w:r w:rsidRPr="18F71E22" w:rsidR="6025210D">
        <w:rPr>
          <w:rStyle w:val="cursor-pointer"/>
          <w:rFonts w:ascii="Arial" w:hAnsi="Arial" w:cs="Arial"/>
        </w:rPr>
        <w:t xml:space="preserve"> capture the entirety of deterioration, and can be </w:t>
      </w:r>
      <w:r w:rsidRPr="18F71E22" w:rsidR="6025210D">
        <w:rPr>
          <w:rStyle w:val="cursor-pointer"/>
          <w:rFonts w:ascii="Arial" w:hAnsi="Arial" w:cs="Arial"/>
        </w:rPr>
        <w:t>impacted</w:t>
      </w:r>
      <w:r w:rsidRPr="18F71E22" w:rsidR="6025210D">
        <w:rPr>
          <w:rStyle w:val="cursor-pointer"/>
          <w:rFonts w:ascii="Arial" w:hAnsi="Arial" w:cs="Arial"/>
        </w:rPr>
        <w:t xml:space="preserve"> by missing observations, device </w:t>
      </w:r>
      <w:r w:rsidRPr="18F71E22" w:rsidR="6025210D">
        <w:rPr>
          <w:rStyle w:val="cursor-pointer"/>
          <w:rFonts w:ascii="Arial" w:hAnsi="Arial" w:cs="Arial"/>
        </w:rPr>
        <w:t>error</w:t>
      </w:r>
      <w:r w:rsidRPr="18F71E22" w:rsidR="6025210D">
        <w:rPr>
          <w:rStyle w:val="cursor-pointer"/>
          <w:rFonts w:ascii="Arial" w:hAnsi="Arial" w:cs="Arial"/>
        </w:rPr>
        <w:t xml:space="preserve"> or retrospective review</w:t>
      </w:r>
      <w:r w:rsidRPr="18F71E22" w:rsidR="40176A7C">
        <w:rPr>
          <w:rStyle w:val="cursor-pointer"/>
          <w:rFonts w:ascii="Arial" w:hAnsi="Arial" w:cs="Arial"/>
        </w:rPr>
        <w:t xml:space="preserve"> </w:t>
      </w:r>
      <w:r w:rsidRPr="18F71E22" w:rsidR="40176A7C">
        <w:rPr>
          <w:rFonts w:ascii="Arial" w:hAnsi="Arial" w:cs="Arial"/>
        </w:rPr>
        <w:t>(</w:t>
      </w:r>
      <w:r w:rsidRPr="18F71E22" w:rsidR="40176A7C">
        <w:rPr>
          <w:rFonts w:ascii="Arial" w:hAnsi="Arial" w:cs="Arial"/>
        </w:rPr>
        <w:t>Lauteslager</w:t>
      </w:r>
      <w:r w:rsidRPr="18F71E22" w:rsidR="40176A7C">
        <w:rPr>
          <w:rFonts w:ascii="Arial" w:hAnsi="Arial" w:cs="Arial"/>
        </w:rPr>
        <w:t xml:space="preserve"> et al., 2026)</w:t>
      </w:r>
      <w:r w:rsidRPr="18F71E22" w:rsidR="6025210D">
        <w:rPr>
          <w:rStyle w:val="cursor-pointer"/>
          <w:rFonts w:ascii="Arial" w:hAnsi="Arial" w:cs="Arial"/>
        </w:rPr>
        <w:t>.</w:t>
      </w:r>
      <w:r w:rsidRPr="18F71E22" w:rsidR="6025210D">
        <w:rPr>
          <w:rFonts w:ascii="Arial" w:hAnsi="Arial" w:cs="Arial"/>
        </w:rPr>
        <w:t xml:space="preserve"> </w:t>
      </w:r>
      <w:r w:rsidRPr="18F71E22" w:rsidR="6025210D">
        <w:rPr>
          <w:rStyle w:val="cursor-pointer"/>
          <w:rFonts w:ascii="Arial" w:hAnsi="Arial" w:cs="Arial"/>
        </w:rPr>
        <w:t xml:space="preserve">If studies </w:t>
      </w:r>
      <w:r w:rsidRPr="18F71E22" w:rsidR="6025210D">
        <w:rPr>
          <w:rStyle w:val="cursor-pointer"/>
          <w:rFonts w:ascii="Arial" w:hAnsi="Arial" w:cs="Arial"/>
        </w:rPr>
        <w:t>don't</w:t>
      </w:r>
      <w:r w:rsidRPr="18F71E22" w:rsidR="6025210D">
        <w:rPr>
          <w:rStyle w:val="cursor-pointer"/>
          <w:rFonts w:ascii="Arial" w:hAnsi="Arial" w:cs="Arial"/>
        </w:rPr>
        <w:t xml:space="preserve"> have similar controls, caution is </w:t>
      </w:r>
      <w:r w:rsidRPr="18F71E22" w:rsidR="6025210D">
        <w:rPr>
          <w:rStyle w:val="cursor-pointer"/>
          <w:rFonts w:ascii="Arial" w:hAnsi="Arial" w:cs="Arial"/>
        </w:rPr>
        <w:t>warranted</w:t>
      </w:r>
      <w:r w:rsidRPr="18F71E22" w:rsidR="6025210D">
        <w:rPr>
          <w:rStyle w:val="cursor-pointer"/>
          <w:rFonts w:ascii="Arial" w:hAnsi="Arial" w:cs="Arial"/>
        </w:rPr>
        <w:t xml:space="preserve"> in interpreting low readmission or mortality rates</w:t>
      </w:r>
      <w:r w:rsidRPr="18F71E22" w:rsidR="40176A7C">
        <w:rPr>
          <w:rStyle w:val="cursor-pointer"/>
          <w:rFonts w:ascii="Arial" w:hAnsi="Arial" w:cs="Arial"/>
        </w:rPr>
        <w:t xml:space="preserve"> </w:t>
      </w:r>
      <w:r w:rsidRPr="18F71E22" w:rsidR="40176A7C">
        <w:rPr>
          <w:rFonts w:ascii="Arial" w:hAnsi="Arial" w:cs="Arial"/>
        </w:rPr>
        <w:t>(</w:t>
      </w:r>
      <w:r w:rsidRPr="18F71E22" w:rsidR="40176A7C">
        <w:rPr>
          <w:rFonts w:ascii="Arial" w:hAnsi="Arial" w:cs="Arial"/>
        </w:rPr>
        <w:t>Malhis</w:t>
      </w:r>
      <w:r w:rsidRPr="18F71E22" w:rsidR="40176A7C">
        <w:rPr>
          <w:rFonts w:ascii="Arial" w:hAnsi="Arial" w:cs="Arial"/>
        </w:rPr>
        <w:t xml:space="preserve"> et al., 2025)</w:t>
      </w:r>
      <w:r w:rsidRPr="18F71E22" w:rsidR="6025210D">
        <w:rPr>
          <w:rStyle w:val="cursor-pointer"/>
          <w:rFonts w:ascii="Arial" w:hAnsi="Arial" w:cs="Arial"/>
        </w:rPr>
        <w:t>.</w:t>
      </w:r>
      <w:r w:rsidRPr="18F71E22" w:rsidR="6025210D">
        <w:rPr>
          <w:rFonts w:ascii="Arial" w:hAnsi="Arial" w:cs="Arial"/>
        </w:rPr>
        <w:t xml:space="preserve"> </w:t>
      </w:r>
      <w:r w:rsidRPr="18F71E22" w:rsidR="6025210D">
        <w:rPr>
          <w:rStyle w:val="cursor-pointer"/>
          <w:rFonts w:ascii="Arial" w:hAnsi="Arial" w:cs="Arial"/>
        </w:rPr>
        <w:t xml:space="preserve">Results may be affected by </w:t>
      </w:r>
      <w:r w:rsidRPr="18F71E22" w:rsidR="3A23F739">
        <w:rPr>
          <w:rStyle w:val="cursor-pointer"/>
          <w:rFonts w:ascii="Arial" w:hAnsi="Arial" w:cs="Arial"/>
        </w:rPr>
        <w:t>multidisciplinary</w:t>
      </w:r>
      <w:r w:rsidRPr="18F71E22" w:rsidR="6025210D">
        <w:rPr>
          <w:rStyle w:val="cursor-pointer"/>
          <w:rFonts w:ascii="Arial" w:hAnsi="Arial" w:cs="Arial"/>
        </w:rPr>
        <w:t xml:space="preserve"> input and patient selection, and not the technology.</w:t>
      </w:r>
      <w:r w:rsidRPr="18F71E22" w:rsidR="6025210D">
        <w:rPr>
          <w:rFonts w:ascii="Arial" w:hAnsi="Arial" w:cs="Arial"/>
        </w:rPr>
        <w:t xml:space="preserve"> </w:t>
      </w:r>
      <w:r w:rsidRPr="18F71E22" w:rsidR="6025210D">
        <w:rPr>
          <w:rStyle w:val="cursor-pointer"/>
          <w:rFonts w:ascii="Arial" w:hAnsi="Arial" w:cs="Arial"/>
        </w:rPr>
        <w:t xml:space="preserve">When there is </w:t>
      </w:r>
      <w:r w:rsidRPr="18F71E22" w:rsidR="52747CE2">
        <w:rPr>
          <w:rStyle w:val="cursor-pointer"/>
          <w:rFonts w:ascii="Arial" w:hAnsi="Arial" w:cs="Arial"/>
        </w:rPr>
        <w:t>clinical</w:t>
      </w:r>
      <w:r w:rsidRPr="18F71E22" w:rsidR="6025210D">
        <w:rPr>
          <w:rStyle w:val="cursor-pointer"/>
          <w:rFonts w:ascii="Arial" w:hAnsi="Arial" w:cs="Arial"/>
        </w:rPr>
        <w:t xml:space="preserve"> uncertainty, virtual monitoring should be in addition to physical assessment.</w:t>
      </w:r>
    </w:p>
    <w:p w:rsidRPr="00E5113D" w:rsidR="00451CFD" w:rsidP="0C9457B9" w:rsidRDefault="00451CFD" w14:paraId="5EAC6262" w14:textId="77777777">
      <w:pPr>
        <w:pStyle w:val="Heading2"/>
        <w:rPr>
          <w:sz w:val="32"/>
          <w:szCs w:val="32"/>
        </w:rPr>
      </w:pPr>
      <w:bookmarkStart w:name="_Toc1987894143" w:id="28"/>
      <w:bookmarkStart w:name="_Toc242825279" w:id="29"/>
      <w:r w:rsidRPr="0C9457B9">
        <w:rPr>
          <w:sz w:val="32"/>
          <w:szCs w:val="32"/>
        </w:rPr>
        <w:t>4.3 Autonomy, Choice and Responsibility</w:t>
      </w:r>
      <w:bookmarkEnd w:id="28"/>
      <w:bookmarkEnd w:id="29"/>
    </w:p>
    <w:p w:rsidRPr="0073500C" w:rsidR="00C22F4C" w:rsidP="0073500C" w:rsidRDefault="00C22F4C" w14:paraId="16471F8C" w14:textId="16E625E9">
      <w:pPr>
        <w:spacing w:line="360" w:lineRule="auto"/>
        <w:jc w:val="both"/>
        <w:rPr>
          <w:rStyle w:val="cursor-pointer"/>
          <w:rFonts w:ascii="Arial" w:hAnsi="Arial" w:eastAsia="Times New Roman" w:cs="Arial"/>
        </w:rPr>
      </w:pPr>
      <w:r w:rsidRPr="18F71E22" w:rsidR="6025210D">
        <w:rPr>
          <w:rStyle w:val="cursor-pointer"/>
          <w:rFonts w:ascii="Arial" w:hAnsi="Arial" w:cs="Arial"/>
        </w:rPr>
        <w:t>Home monitoring can help ensure more control over routines, and can engage patients in care</w:t>
      </w:r>
      <w:r w:rsidRPr="18F71E22" w:rsidR="40176A7C">
        <w:rPr>
          <w:rStyle w:val="cursor-pointer"/>
          <w:rFonts w:ascii="Arial" w:hAnsi="Arial" w:cs="Arial"/>
        </w:rPr>
        <w:t xml:space="preserve"> </w:t>
      </w:r>
      <w:r w:rsidRPr="18F71E22" w:rsidR="40176A7C">
        <w:rPr>
          <w:rFonts w:ascii="Arial" w:hAnsi="Arial" w:cs="Arial"/>
        </w:rPr>
        <w:t>(Ekstedt et al., 2023)</w:t>
      </w:r>
      <w:r w:rsidRPr="18F71E22" w:rsidR="6025210D">
        <w:rPr>
          <w:rStyle w:val="cursor-pointer"/>
          <w:rFonts w:ascii="Arial" w:hAnsi="Arial" w:cs="Arial"/>
        </w:rPr>
        <w:t>.</w:t>
      </w:r>
      <w:r w:rsidRPr="18F71E22" w:rsidR="6025210D">
        <w:rPr>
          <w:rFonts w:ascii="Arial" w:hAnsi="Arial" w:cs="Arial"/>
        </w:rPr>
        <w:t xml:space="preserve"> </w:t>
      </w:r>
      <w:r w:rsidRPr="18F71E22" w:rsidR="6025210D">
        <w:rPr>
          <w:rStyle w:val="cursor-pointer"/>
          <w:rFonts w:ascii="Arial" w:hAnsi="Arial" w:cs="Arial"/>
        </w:rPr>
        <w:t xml:space="preserve">However, empowerment can turn into </w:t>
      </w:r>
      <w:r w:rsidRPr="18F71E22" w:rsidR="7003EC7A">
        <w:rPr>
          <w:rStyle w:val="cursor-pointer"/>
          <w:rFonts w:ascii="Arial" w:hAnsi="Arial" w:cs="Arial"/>
        </w:rPr>
        <w:t>responsibilities</w:t>
      </w:r>
      <w:r w:rsidRPr="18F71E22" w:rsidR="6025210D">
        <w:rPr>
          <w:rStyle w:val="cursor-pointer"/>
          <w:rFonts w:ascii="Arial" w:hAnsi="Arial" w:cs="Arial"/>
        </w:rPr>
        <w:t xml:space="preserve"> if the patient </w:t>
      </w:r>
      <w:r w:rsidRPr="18F71E22" w:rsidR="1577091D">
        <w:rPr>
          <w:rStyle w:val="cursor-pointer"/>
          <w:rFonts w:ascii="Arial" w:hAnsi="Arial" w:cs="Arial"/>
        </w:rPr>
        <w:t>must</w:t>
      </w:r>
      <w:r w:rsidRPr="18F71E22" w:rsidR="6025210D">
        <w:rPr>
          <w:rStyle w:val="cursor-pointer"/>
          <w:rFonts w:ascii="Arial" w:hAnsi="Arial" w:cs="Arial"/>
        </w:rPr>
        <w:t xml:space="preserve"> use the devices, take observations, </w:t>
      </w:r>
      <w:r w:rsidRPr="18F71E22" w:rsidR="6025210D">
        <w:rPr>
          <w:rStyle w:val="cursor-pointer"/>
          <w:rFonts w:ascii="Arial" w:hAnsi="Arial" w:cs="Arial"/>
        </w:rPr>
        <w:t>identify</w:t>
      </w:r>
      <w:r w:rsidRPr="18F71E22" w:rsidR="6025210D">
        <w:rPr>
          <w:rStyle w:val="cursor-pointer"/>
          <w:rFonts w:ascii="Arial" w:hAnsi="Arial" w:cs="Arial"/>
        </w:rPr>
        <w:t xml:space="preserve"> </w:t>
      </w:r>
      <w:r w:rsidRPr="18F71E22" w:rsidR="7BDC27E8">
        <w:rPr>
          <w:rStyle w:val="cursor-pointer"/>
          <w:rFonts w:ascii="Arial" w:hAnsi="Arial" w:cs="Arial"/>
        </w:rPr>
        <w:t>problems,</w:t>
      </w:r>
      <w:r w:rsidRPr="18F71E22" w:rsidR="6025210D">
        <w:rPr>
          <w:rStyle w:val="cursor-pointer"/>
          <w:rFonts w:ascii="Arial" w:hAnsi="Arial" w:cs="Arial"/>
        </w:rPr>
        <w:t xml:space="preserve"> and take the first step to contact.</w:t>
      </w:r>
      <w:r w:rsidRPr="18F71E22" w:rsidR="6025210D">
        <w:rPr>
          <w:rFonts w:ascii="Arial" w:hAnsi="Arial" w:cs="Arial"/>
        </w:rPr>
        <w:t xml:space="preserve"> </w:t>
      </w:r>
      <w:r w:rsidRPr="18F71E22" w:rsidR="6025210D">
        <w:rPr>
          <w:rStyle w:val="cursor-pointer"/>
          <w:rFonts w:ascii="Arial" w:hAnsi="Arial" w:cs="Arial"/>
        </w:rPr>
        <w:t>This shifts some of the responsibility for surveillance from the professionals to patients.</w:t>
      </w:r>
      <w:r w:rsidRPr="18F71E22" w:rsidR="6025210D">
        <w:rPr>
          <w:rFonts w:ascii="Arial" w:hAnsi="Arial" w:cs="Arial"/>
        </w:rPr>
        <w:t xml:space="preserve"> </w:t>
      </w:r>
      <w:r w:rsidRPr="18F71E22" w:rsidR="6025210D">
        <w:rPr>
          <w:rStyle w:val="cursor-pointer"/>
          <w:rFonts w:ascii="Arial" w:hAnsi="Arial" w:cs="Arial"/>
        </w:rPr>
        <w:t>Any choice is worthwhile only if there is no disadvantage to turning down digital care if obtaining suitable care.</w:t>
      </w:r>
    </w:p>
    <w:p w:rsidRPr="0073500C" w:rsidR="00451CFD" w:rsidP="0C9457B9" w:rsidRDefault="00451CFD" w14:paraId="4191FE73" w14:textId="77777777">
      <w:pPr>
        <w:pStyle w:val="Heading2"/>
        <w:rPr>
          <w:sz w:val="32"/>
          <w:szCs w:val="32"/>
        </w:rPr>
      </w:pPr>
      <w:bookmarkStart w:name="_Toc1711401114" w:id="30"/>
      <w:bookmarkStart w:name="_Toc242825280" w:id="31"/>
      <w:r w:rsidRPr="0C9457B9">
        <w:rPr>
          <w:sz w:val="32"/>
          <w:szCs w:val="32"/>
        </w:rPr>
        <w:t>4.4 Equity, Digital Exclusion and Privacy</w:t>
      </w:r>
      <w:bookmarkEnd w:id="30"/>
      <w:bookmarkEnd w:id="31"/>
    </w:p>
    <w:p w:rsidRPr="00192B8A" w:rsidR="00C22F4C" w:rsidP="00192B8A" w:rsidRDefault="00192B8A" w14:paraId="18DB4B49" w14:textId="02F90C09">
      <w:pPr>
        <w:spacing w:line="360" w:lineRule="auto"/>
        <w:jc w:val="both"/>
        <w:rPr>
          <w:rStyle w:val="cursor-pointer"/>
          <w:rFonts w:ascii="Arial" w:hAnsi="Arial" w:eastAsia="Times New Roman" w:cs="Arial"/>
        </w:rPr>
      </w:pPr>
      <w:r w:rsidRPr="18F71E22" w:rsidR="78B4D7E6">
        <w:rPr>
          <w:rStyle w:val="cursor-pointer"/>
          <w:rFonts w:ascii="Arial" w:hAnsi="Arial" w:cs="Arial"/>
        </w:rPr>
        <w:t>The availability</w:t>
      </w:r>
      <w:r w:rsidRPr="18F71E22" w:rsidR="3455B6F8">
        <w:rPr>
          <w:rStyle w:val="cursor-pointer"/>
          <w:rFonts w:ascii="Arial" w:hAnsi="Arial" w:cs="Arial"/>
        </w:rPr>
        <w:t xml:space="preserve"> of devices is not enough to enable access to virtual </w:t>
      </w:r>
      <w:r w:rsidRPr="18F71E22" w:rsidR="52747CE2">
        <w:rPr>
          <w:rStyle w:val="cursor-pointer"/>
          <w:rFonts w:ascii="Arial" w:hAnsi="Arial" w:cs="Arial"/>
        </w:rPr>
        <w:t>words</w:t>
      </w:r>
      <w:r w:rsidRPr="18F71E22" w:rsidR="3455B6F8">
        <w:rPr>
          <w:rStyle w:val="cursor-pointer"/>
          <w:rFonts w:ascii="Arial" w:hAnsi="Arial" w:cs="Arial"/>
        </w:rPr>
        <w:t>.</w:t>
      </w:r>
      <w:r w:rsidRPr="18F71E22" w:rsidR="3455B6F8">
        <w:rPr>
          <w:rFonts w:ascii="Arial" w:hAnsi="Arial" w:cs="Arial"/>
        </w:rPr>
        <w:t xml:space="preserve"> </w:t>
      </w:r>
      <w:r w:rsidRPr="18F71E22" w:rsidR="3455B6F8">
        <w:rPr>
          <w:rStyle w:val="cursor-pointer"/>
          <w:rFonts w:ascii="Arial" w:hAnsi="Arial" w:cs="Arial"/>
        </w:rPr>
        <w:t xml:space="preserve">Safe participation is affected by digital literacy, physical skills, language, Internet </w:t>
      </w:r>
      <w:r w:rsidRPr="18F71E22" w:rsidR="32F62933">
        <w:rPr>
          <w:rStyle w:val="cursor-pointer"/>
          <w:rFonts w:ascii="Arial" w:hAnsi="Arial" w:cs="Arial"/>
        </w:rPr>
        <w:t>access,</w:t>
      </w:r>
      <w:r w:rsidRPr="18F71E22" w:rsidR="3455B6F8">
        <w:rPr>
          <w:rStyle w:val="cursor-pointer"/>
          <w:rFonts w:ascii="Arial" w:hAnsi="Arial" w:cs="Arial"/>
        </w:rPr>
        <w:t xml:space="preserve"> and socioeconomic factors.</w:t>
      </w:r>
      <w:r w:rsidRPr="18F71E22" w:rsidR="3455B6F8">
        <w:rPr>
          <w:rFonts w:ascii="Arial" w:hAnsi="Arial" w:cs="Arial"/>
        </w:rPr>
        <w:t xml:space="preserve"> </w:t>
      </w:r>
      <w:r w:rsidRPr="18F71E22" w:rsidR="3455B6F8">
        <w:rPr>
          <w:rStyle w:val="cursor-pointer"/>
          <w:rFonts w:ascii="Arial" w:hAnsi="Arial" w:cs="Arial"/>
        </w:rPr>
        <w:t xml:space="preserve">Digital healthcare could thus </w:t>
      </w:r>
      <w:r w:rsidRPr="18F71E22" w:rsidR="3455B6F8">
        <w:rPr>
          <w:rStyle w:val="cursor-pointer"/>
          <w:rFonts w:ascii="Arial" w:hAnsi="Arial" w:cs="Arial"/>
        </w:rPr>
        <w:t>exacerbate</w:t>
      </w:r>
      <w:r w:rsidRPr="18F71E22" w:rsidR="3455B6F8">
        <w:rPr>
          <w:rStyle w:val="cursor-pointer"/>
          <w:rFonts w:ascii="Arial" w:hAnsi="Arial" w:cs="Arial"/>
        </w:rPr>
        <w:t xml:space="preserve"> inequalities, as it excludes vulnerable patients.</w:t>
      </w:r>
      <w:r w:rsidRPr="18F71E22" w:rsidR="3455B6F8">
        <w:rPr>
          <w:rFonts w:ascii="Arial" w:hAnsi="Arial" w:cs="Arial"/>
        </w:rPr>
        <w:t xml:space="preserve"> </w:t>
      </w:r>
      <w:r w:rsidRPr="18F71E22" w:rsidR="3455B6F8">
        <w:rPr>
          <w:rStyle w:val="cursor-pointer"/>
          <w:rFonts w:ascii="Arial" w:hAnsi="Arial" w:cs="Arial"/>
        </w:rPr>
        <w:t>Moreover, the sharing of sensitive health data also poses privacy and data governance issues (He, 2022).</w:t>
      </w:r>
      <w:r w:rsidRPr="18F71E22" w:rsidR="3455B6F8">
        <w:rPr>
          <w:rFonts w:ascii="Arial" w:hAnsi="Arial" w:cs="Arial"/>
        </w:rPr>
        <w:t xml:space="preserve"> </w:t>
      </w:r>
      <w:r w:rsidRPr="18F71E22" w:rsidR="3455B6F8">
        <w:rPr>
          <w:rStyle w:val="cursor-pointer"/>
          <w:rFonts w:ascii="Arial" w:hAnsi="Arial" w:cs="Arial"/>
        </w:rPr>
        <w:t xml:space="preserve">Thus, virtual wards should ensure patients are safe, have an informed choice, and have </w:t>
      </w:r>
      <w:r w:rsidRPr="18F71E22" w:rsidR="3455B6F8">
        <w:rPr>
          <w:rStyle w:val="cursor-pointer"/>
          <w:rFonts w:ascii="Arial" w:hAnsi="Arial" w:cs="Arial"/>
        </w:rPr>
        <w:t>equitable</w:t>
      </w:r>
      <w:r w:rsidRPr="18F71E22" w:rsidR="3455B6F8">
        <w:rPr>
          <w:rStyle w:val="cursor-pointer"/>
          <w:rFonts w:ascii="Arial" w:hAnsi="Arial" w:cs="Arial"/>
        </w:rPr>
        <w:t xml:space="preserve"> </w:t>
      </w:r>
      <w:r w:rsidRPr="18F71E22" w:rsidR="760C50EA">
        <w:rPr>
          <w:rStyle w:val="cursor-pointer"/>
          <w:rFonts w:ascii="Arial" w:hAnsi="Arial" w:cs="Arial"/>
        </w:rPr>
        <w:t>access,</w:t>
      </w:r>
      <w:r w:rsidRPr="18F71E22" w:rsidR="3455B6F8">
        <w:rPr>
          <w:rStyle w:val="cursor-pointer"/>
          <w:rFonts w:ascii="Arial" w:hAnsi="Arial" w:cs="Arial"/>
        </w:rPr>
        <w:t xml:space="preserve"> or else they are shifting responsibility for care to those least able to manage it.</w:t>
      </w:r>
    </w:p>
    <w:p w:rsidRPr="00E5113D" w:rsidR="00C22F4C" w:rsidP="0C9457B9" w:rsidRDefault="00C22F4C" w14:paraId="2FE3EA44" w14:textId="77777777">
      <w:pPr>
        <w:pStyle w:val="Heading1"/>
        <w:rPr>
          <w:b/>
          <w:bCs/>
          <w:color w:val="000000" w:themeColor="text1"/>
          <w:sz w:val="36"/>
          <w:szCs w:val="36"/>
        </w:rPr>
      </w:pPr>
      <w:bookmarkStart w:name="_Toc1771790941" w:id="32"/>
      <w:bookmarkStart w:name="_Toc242825281" w:id="33"/>
      <w:r w:rsidRPr="0C9457B9">
        <w:rPr>
          <w:b/>
          <w:bCs/>
          <w:color w:val="000000" w:themeColor="text1"/>
          <w:sz w:val="36"/>
          <w:szCs w:val="36"/>
        </w:rPr>
        <w:t>5. Critical Evaluation: Impact on the Community</w:t>
      </w:r>
      <w:bookmarkEnd w:id="32"/>
      <w:bookmarkEnd w:id="33"/>
    </w:p>
    <w:p w:rsidRPr="00192B8A" w:rsidR="00192B8A" w:rsidP="00192B8A" w:rsidRDefault="00192B8A" w14:paraId="559EF5C3" w14:textId="737528D7">
      <w:pPr>
        <w:pStyle w:val="NormalWeb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18F71E22" w:rsidR="3455B6F8">
        <w:rPr>
          <w:rFonts w:ascii="Arial" w:hAnsi="Arial" w:cs="Arial"/>
          <w:sz w:val="22"/>
          <w:szCs w:val="22"/>
        </w:rPr>
        <w:t xml:space="preserve">Virtual </w:t>
      </w:r>
      <w:r w:rsidRPr="18F71E22" w:rsidR="52747CE2">
        <w:rPr>
          <w:rFonts w:ascii="Arial" w:hAnsi="Arial" w:cs="Arial"/>
          <w:sz w:val="22"/>
          <w:szCs w:val="22"/>
        </w:rPr>
        <w:t>words</w:t>
      </w:r>
      <w:r w:rsidRPr="18F71E22" w:rsidR="3455B6F8">
        <w:rPr>
          <w:rFonts w:ascii="Arial" w:hAnsi="Arial" w:cs="Arial"/>
          <w:sz w:val="22"/>
          <w:szCs w:val="22"/>
        </w:rPr>
        <w:t xml:space="preserve"> extend acute care into communities, but their benefits depend on improved access without increasing costs, </w:t>
      </w:r>
      <w:r w:rsidRPr="18F71E22" w:rsidR="44C9543F">
        <w:rPr>
          <w:rFonts w:ascii="Arial" w:hAnsi="Arial" w:cs="Arial"/>
          <w:sz w:val="22"/>
          <w:szCs w:val="22"/>
        </w:rPr>
        <w:t>workloads,</w:t>
      </w:r>
      <w:r w:rsidRPr="18F71E22" w:rsidR="3455B6F8">
        <w:rPr>
          <w:rFonts w:ascii="Arial" w:hAnsi="Arial" w:cs="Arial"/>
          <w:sz w:val="22"/>
          <w:szCs w:val="22"/>
        </w:rPr>
        <w:t xml:space="preserve"> or risks.</w:t>
      </w:r>
    </w:p>
    <w:p w:rsidRPr="00E5113D" w:rsidR="00C22F4C" w:rsidP="0C9457B9" w:rsidRDefault="00C22F4C" w14:paraId="4E47297C" w14:textId="252EA956">
      <w:pPr>
        <w:pStyle w:val="Heading2"/>
        <w:rPr>
          <w:sz w:val="32"/>
          <w:szCs w:val="32"/>
        </w:rPr>
      </w:pPr>
      <w:bookmarkStart w:name="_Toc1502753944" w:id="34"/>
      <w:bookmarkStart w:name="_Toc242825282" w:id="35"/>
      <w:r w:rsidRPr="0C9457B9">
        <w:rPr>
          <w:sz w:val="32"/>
          <w:szCs w:val="32"/>
        </w:rPr>
        <w:t xml:space="preserve">5.1 </w:t>
      </w:r>
      <w:r w:rsidRPr="0C9457B9" w:rsidR="00E507FF">
        <w:rPr>
          <w:sz w:val="32"/>
          <w:szCs w:val="32"/>
        </w:rPr>
        <w:t>Decentralization</w:t>
      </w:r>
      <w:r w:rsidRPr="0C9457B9">
        <w:rPr>
          <w:sz w:val="32"/>
          <w:szCs w:val="32"/>
        </w:rPr>
        <w:t xml:space="preserve"> and Community Access</w:t>
      </w:r>
      <w:bookmarkEnd w:id="34"/>
      <w:bookmarkEnd w:id="35"/>
    </w:p>
    <w:p w:rsidRPr="0073500C" w:rsidR="00211DCA" w:rsidP="0073500C" w:rsidRDefault="00211DCA" w14:paraId="1B0F4640" w14:textId="4CCA82D7">
      <w:pPr>
        <w:spacing w:line="360" w:lineRule="auto"/>
        <w:jc w:val="both"/>
        <w:rPr>
          <w:rFonts w:ascii="Arial" w:hAnsi="Arial" w:cs="Arial"/>
        </w:rPr>
      </w:pPr>
      <w:r w:rsidRPr="0073500C">
        <w:rPr>
          <w:rStyle w:val="cursor-pointer"/>
          <w:rFonts w:ascii="Arial" w:hAnsi="Arial" w:cs="Arial"/>
        </w:rPr>
        <w:t xml:space="preserve">Acute care services can be provided at </w:t>
      </w:r>
      <w:r w:rsidRPr="0073500C" w:rsidR="00E507FF">
        <w:rPr>
          <w:rStyle w:val="cursor-pointer"/>
          <w:rFonts w:ascii="Arial" w:hAnsi="Arial" w:cs="Arial"/>
        </w:rPr>
        <w:t>home,</w:t>
      </w:r>
      <w:r w:rsidRPr="0073500C">
        <w:rPr>
          <w:rStyle w:val="cursor-pointer"/>
          <w:rFonts w:ascii="Arial" w:hAnsi="Arial" w:cs="Arial"/>
        </w:rPr>
        <w:t xml:space="preserve"> which may </w:t>
      </w:r>
      <w:r w:rsidRPr="0073500C" w:rsidR="00E507FF">
        <w:rPr>
          <w:rStyle w:val="cursor-pointer"/>
          <w:rFonts w:ascii="Arial" w:hAnsi="Arial" w:cs="Arial"/>
        </w:rPr>
        <w:t>minimize</w:t>
      </w:r>
      <w:r w:rsidRPr="0073500C">
        <w:rPr>
          <w:rStyle w:val="cursor-pointer"/>
          <w:rFonts w:ascii="Arial" w:hAnsi="Arial" w:cs="Arial"/>
        </w:rPr>
        <w:t xml:space="preserve"> travel and reliance on hospital facilities.</w:t>
      </w:r>
      <w:r w:rsidRPr="0073500C">
        <w:rPr>
          <w:rFonts w:ascii="Arial" w:hAnsi="Arial" w:cs="Arial"/>
        </w:rPr>
        <w:t xml:space="preserve"> </w:t>
      </w:r>
      <w:r w:rsidRPr="0073500C">
        <w:rPr>
          <w:rStyle w:val="cursor-pointer"/>
          <w:rFonts w:ascii="Arial" w:hAnsi="Arial" w:cs="Arial"/>
        </w:rPr>
        <w:t>But, if things are close together, it does not guarantee equality</w:t>
      </w:r>
      <w:r w:rsidRPr="0073500C" w:rsidR="007E0631">
        <w:rPr>
          <w:rStyle w:val="cursor-pointer"/>
          <w:rFonts w:ascii="Arial" w:hAnsi="Arial" w:cs="Arial"/>
        </w:rPr>
        <w:t xml:space="preserve"> </w:t>
      </w:r>
      <w:r w:rsidRPr="0073500C" w:rsidR="007E0631">
        <w:rPr>
          <w:rFonts w:ascii="Arial" w:hAnsi="Arial" w:cs="Arial"/>
        </w:rPr>
        <w:t xml:space="preserve">(Renée, Denes and </w:t>
      </w:r>
      <w:proofErr w:type="spellStart"/>
      <w:r w:rsidRPr="0073500C" w:rsidR="007E0631">
        <w:rPr>
          <w:rFonts w:ascii="Arial" w:hAnsi="Arial" w:cs="Arial"/>
        </w:rPr>
        <w:t>Jayatunga</w:t>
      </w:r>
      <w:proofErr w:type="spellEnd"/>
      <w:r w:rsidRPr="0073500C" w:rsidR="007E0631">
        <w:rPr>
          <w:rFonts w:ascii="Arial" w:hAnsi="Arial" w:cs="Arial"/>
        </w:rPr>
        <w:t>, 2025)</w:t>
      </w:r>
      <w:r w:rsidRPr="0073500C">
        <w:rPr>
          <w:rStyle w:val="cursor-pointer"/>
          <w:rFonts w:ascii="Arial" w:hAnsi="Arial" w:cs="Arial"/>
        </w:rPr>
        <w:t>.</w:t>
      </w:r>
      <w:r w:rsidRPr="0073500C">
        <w:rPr>
          <w:rFonts w:ascii="Arial" w:hAnsi="Arial" w:cs="Arial"/>
        </w:rPr>
        <w:t xml:space="preserve"> </w:t>
      </w:r>
      <w:r w:rsidRPr="0073500C">
        <w:rPr>
          <w:rStyle w:val="cursor-pointer"/>
          <w:rFonts w:ascii="Arial" w:hAnsi="Arial" w:cs="Arial"/>
        </w:rPr>
        <w:t>Suitability of housing, connectivity, equipment and local services are all factors that are important for participation</w:t>
      </w:r>
      <w:r w:rsidRPr="0073500C" w:rsidR="007E0631">
        <w:rPr>
          <w:rStyle w:val="cursor-pointer"/>
          <w:rFonts w:ascii="Arial" w:hAnsi="Arial" w:cs="Arial"/>
        </w:rPr>
        <w:t xml:space="preserve"> </w:t>
      </w:r>
      <w:r w:rsidRPr="0073500C" w:rsidR="007E0631">
        <w:rPr>
          <w:rFonts w:ascii="Arial" w:hAnsi="Arial" w:cs="Arial"/>
        </w:rPr>
        <w:t>(Holmes et al., 2025)</w:t>
      </w:r>
      <w:r w:rsidRPr="0073500C">
        <w:rPr>
          <w:rStyle w:val="cursor-pointer"/>
          <w:rFonts w:ascii="Arial" w:hAnsi="Arial" w:cs="Arial"/>
        </w:rPr>
        <w:t>.</w:t>
      </w:r>
      <w:r w:rsidRPr="0073500C">
        <w:rPr>
          <w:rFonts w:ascii="Arial" w:hAnsi="Arial" w:cs="Arial"/>
        </w:rPr>
        <w:t xml:space="preserve"> </w:t>
      </w:r>
      <w:r w:rsidRPr="0073500C">
        <w:rPr>
          <w:rStyle w:val="cursor-pointer"/>
          <w:rFonts w:ascii="Arial" w:hAnsi="Arial" w:cs="Arial"/>
        </w:rPr>
        <w:t xml:space="preserve">It is therefore possible that the implementation of virtual </w:t>
      </w:r>
      <w:r w:rsidRPr="0073500C" w:rsidR="00E507FF">
        <w:rPr>
          <w:rStyle w:val="cursor-pointer"/>
          <w:rFonts w:ascii="Arial" w:hAnsi="Arial" w:cs="Arial"/>
        </w:rPr>
        <w:t>words</w:t>
      </w:r>
      <w:r w:rsidRPr="0073500C">
        <w:rPr>
          <w:rStyle w:val="cursor-pointer"/>
          <w:rFonts w:ascii="Arial" w:hAnsi="Arial" w:cs="Arial"/>
        </w:rPr>
        <w:t xml:space="preserve"> could be a way of removing the one barrier and introducing other barriers; </w:t>
      </w:r>
      <w:r w:rsidRPr="0073500C" w:rsidR="00E507FF">
        <w:rPr>
          <w:rStyle w:val="cursor-pointer"/>
          <w:rFonts w:ascii="Arial" w:hAnsi="Arial" w:cs="Arial"/>
        </w:rPr>
        <w:t>decentralization</w:t>
      </w:r>
      <w:r w:rsidRPr="0073500C">
        <w:rPr>
          <w:rStyle w:val="cursor-pointer"/>
          <w:rFonts w:ascii="Arial" w:hAnsi="Arial" w:cs="Arial"/>
        </w:rPr>
        <w:t xml:space="preserve"> should be evaluated based on the ones who can access the pathway safely, not on the number of virtual </w:t>
      </w:r>
      <w:r w:rsidRPr="0073500C" w:rsidR="00E507FF">
        <w:rPr>
          <w:rStyle w:val="cursor-pointer"/>
          <w:rFonts w:ascii="Arial" w:hAnsi="Arial" w:cs="Arial"/>
        </w:rPr>
        <w:t>words</w:t>
      </w:r>
      <w:r w:rsidRPr="0073500C">
        <w:rPr>
          <w:rStyle w:val="cursor-pointer"/>
          <w:rFonts w:ascii="Arial" w:hAnsi="Arial" w:cs="Arial"/>
        </w:rPr>
        <w:t>.</w:t>
      </w:r>
    </w:p>
    <w:p w:rsidRPr="00E5113D" w:rsidR="00C22F4C" w:rsidP="0C9457B9" w:rsidRDefault="00C22F4C" w14:paraId="3406D4AD" w14:textId="77777777">
      <w:pPr>
        <w:pStyle w:val="Heading2"/>
        <w:rPr>
          <w:sz w:val="32"/>
          <w:szCs w:val="32"/>
        </w:rPr>
      </w:pPr>
      <w:bookmarkStart w:name="_Toc117845770" w:id="36"/>
      <w:bookmarkStart w:name="_Toc242825283" w:id="37"/>
      <w:r w:rsidRPr="0C9457B9">
        <w:rPr>
          <w:sz w:val="32"/>
          <w:szCs w:val="32"/>
        </w:rPr>
        <w:t>5.2 Families and Informal Carers</w:t>
      </w:r>
      <w:bookmarkEnd w:id="36"/>
      <w:bookmarkEnd w:id="37"/>
    </w:p>
    <w:p w:rsidRPr="0073500C" w:rsidR="00211DCA" w:rsidP="0073500C" w:rsidRDefault="00211DCA" w14:paraId="0519B902" w14:textId="679779FD">
      <w:pPr>
        <w:spacing w:line="360" w:lineRule="auto"/>
        <w:jc w:val="both"/>
        <w:rPr>
          <w:rFonts w:ascii="Arial" w:hAnsi="Arial" w:cs="Arial"/>
        </w:rPr>
      </w:pPr>
      <w:r w:rsidRPr="18F71E22" w:rsidR="0D700AF4">
        <w:rPr>
          <w:rStyle w:val="cursor-pointer"/>
          <w:rFonts w:ascii="Arial" w:hAnsi="Arial" w:cs="Arial"/>
        </w:rPr>
        <w:t xml:space="preserve">Staying at home can decrease the number of </w:t>
      </w:r>
      <w:r w:rsidRPr="18F71E22" w:rsidR="52747CE2">
        <w:rPr>
          <w:rStyle w:val="cursor-pointer"/>
          <w:rFonts w:ascii="Arial" w:hAnsi="Arial" w:cs="Arial"/>
        </w:rPr>
        <w:t>hospitals</w:t>
      </w:r>
      <w:r w:rsidRPr="18F71E22" w:rsidR="0D700AF4">
        <w:rPr>
          <w:rStyle w:val="cursor-pointer"/>
          <w:rFonts w:ascii="Arial" w:hAnsi="Arial" w:cs="Arial"/>
        </w:rPr>
        <w:t xml:space="preserve"> </w:t>
      </w:r>
      <w:r w:rsidRPr="18F71E22" w:rsidR="52747CE2">
        <w:rPr>
          <w:rStyle w:val="cursor-pointer"/>
          <w:rFonts w:ascii="Arial" w:hAnsi="Arial" w:cs="Arial"/>
        </w:rPr>
        <w:t>visits and</w:t>
      </w:r>
      <w:r w:rsidRPr="18F71E22" w:rsidR="0D700AF4">
        <w:rPr>
          <w:rStyle w:val="cursor-pointer"/>
          <w:rFonts w:ascii="Arial" w:hAnsi="Arial" w:cs="Arial"/>
        </w:rPr>
        <w:t xml:space="preserve"> allow families to be involved; however, this can result in a shift of work</w:t>
      </w:r>
      <w:r w:rsidRPr="18F71E22" w:rsidR="40176A7C">
        <w:rPr>
          <w:rStyle w:val="cursor-pointer"/>
          <w:rFonts w:ascii="Arial" w:hAnsi="Arial" w:cs="Arial"/>
        </w:rPr>
        <w:t xml:space="preserve"> </w:t>
      </w:r>
      <w:r w:rsidRPr="18F71E22" w:rsidR="40176A7C">
        <w:rPr>
          <w:rFonts w:ascii="Arial" w:hAnsi="Arial" w:cs="Arial"/>
        </w:rPr>
        <w:t>(Ward et al., 2026)</w:t>
      </w:r>
      <w:r w:rsidRPr="18F71E22" w:rsidR="0D700AF4">
        <w:rPr>
          <w:rStyle w:val="cursor-pointer"/>
          <w:rFonts w:ascii="Arial" w:hAnsi="Arial" w:cs="Arial"/>
        </w:rPr>
        <w:t>.</w:t>
      </w:r>
      <w:r w:rsidRPr="18F71E22" w:rsidR="0D700AF4">
        <w:rPr>
          <w:rFonts w:ascii="Arial" w:hAnsi="Arial" w:cs="Arial"/>
        </w:rPr>
        <w:t xml:space="preserve"> </w:t>
      </w:r>
      <w:r w:rsidRPr="18F71E22" w:rsidR="0D700AF4">
        <w:rPr>
          <w:rStyle w:val="cursor-pointer"/>
          <w:rFonts w:ascii="Arial" w:hAnsi="Arial" w:cs="Arial"/>
        </w:rPr>
        <w:t xml:space="preserve">Carers can </w:t>
      </w:r>
      <w:r w:rsidRPr="18F71E22" w:rsidR="0D700AF4">
        <w:rPr>
          <w:rStyle w:val="cursor-pointer"/>
          <w:rFonts w:ascii="Arial" w:hAnsi="Arial" w:cs="Arial"/>
        </w:rPr>
        <w:t>facilitate</w:t>
      </w:r>
      <w:r w:rsidRPr="18F71E22" w:rsidR="0D700AF4">
        <w:rPr>
          <w:rStyle w:val="cursor-pointer"/>
          <w:rFonts w:ascii="Arial" w:hAnsi="Arial" w:cs="Arial"/>
        </w:rPr>
        <w:t xml:space="preserve"> monitoring, the use of medication, and technology and recognition of deterioration</w:t>
      </w:r>
      <w:r w:rsidRPr="18F71E22" w:rsidR="40176A7C">
        <w:rPr>
          <w:rStyle w:val="cursor-pointer"/>
          <w:rFonts w:ascii="Arial" w:hAnsi="Arial" w:cs="Arial"/>
        </w:rPr>
        <w:t xml:space="preserve"> </w:t>
      </w:r>
      <w:r w:rsidRPr="18F71E22" w:rsidR="40176A7C">
        <w:rPr>
          <w:rFonts w:ascii="Arial" w:hAnsi="Arial" w:cs="Arial"/>
        </w:rPr>
        <w:t>(Ward et al., 2026)</w:t>
      </w:r>
      <w:r w:rsidRPr="18F71E22" w:rsidR="0D700AF4">
        <w:rPr>
          <w:rStyle w:val="cursor-pointer"/>
          <w:rFonts w:ascii="Arial" w:hAnsi="Arial" w:cs="Arial"/>
        </w:rPr>
        <w:t>.</w:t>
      </w:r>
      <w:r w:rsidRPr="18F71E22" w:rsidR="0D700AF4">
        <w:rPr>
          <w:rFonts w:ascii="Arial" w:hAnsi="Arial" w:cs="Arial"/>
        </w:rPr>
        <w:t xml:space="preserve"> </w:t>
      </w:r>
      <w:r w:rsidRPr="18F71E22" w:rsidR="0D700AF4">
        <w:rPr>
          <w:rStyle w:val="cursor-pointer"/>
          <w:rFonts w:ascii="Arial" w:hAnsi="Arial" w:cs="Arial"/>
        </w:rPr>
        <w:t xml:space="preserve">Thus, there is </w:t>
      </w:r>
      <w:r w:rsidRPr="18F71E22" w:rsidR="52747CE2">
        <w:rPr>
          <w:rStyle w:val="cursor-pointer"/>
          <w:rFonts w:ascii="Arial" w:hAnsi="Arial" w:cs="Arial"/>
        </w:rPr>
        <w:t>potential</w:t>
      </w:r>
      <w:r w:rsidRPr="18F71E22" w:rsidR="0D700AF4">
        <w:rPr>
          <w:rStyle w:val="cursor-pointer"/>
          <w:rFonts w:ascii="Arial" w:hAnsi="Arial" w:cs="Arial"/>
        </w:rPr>
        <w:t xml:space="preserve"> to create unpaid </w:t>
      </w:r>
      <w:r w:rsidRPr="18F71E22" w:rsidR="3FCDBABB">
        <w:rPr>
          <w:rStyle w:val="cursor-pointer"/>
          <w:rFonts w:ascii="Arial" w:hAnsi="Arial" w:cs="Arial"/>
        </w:rPr>
        <w:t>labor</w:t>
      </w:r>
      <w:r w:rsidRPr="18F71E22" w:rsidR="0D700AF4">
        <w:rPr>
          <w:rStyle w:val="cursor-pointer"/>
          <w:rFonts w:ascii="Arial" w:hAnsi="Arial" w:cs="Arial"/>
        </w:rPr>
        <w:t xml:space="preserve"> and burden in households as </w:t>
      </w:r>
      <w:r w:rsidRPr="18F71E22" w:rsidR="0D700AF4">
        <w:rPr>
          <w:rStyle w:val="cursor-pointer"/>
          <w:rFonts w:ascii="Arial" w:hAnsi="Arial" w:cs="Arial"/>
        </w:rPr>
        <w:t>an apparent</w:t>
      </w:r>
      <w:r w:rsidRPr="18F71E22" w:rsidR="0D700AF4">
        <w:rPr>
          <w:rStyle w:val="cursor-pointer"/>
          <w:rFonts w:ascii="Arial" w:hAnsi="Arial" w:cs="Arial"/>
        </w:rPr>
        <w:t xml:space="preserve"> saving for the NHS.</w:t>
      </w:r>
      <w:r w:rsidRPr="18F71E22" w:rsidR="0D700AF4">
        <w:rPr>
          <w:rFonts w:ascii="Arial" w:hAnsi="Arial" w:cs="Arial"/>
        </w:rPr>
        <w:t xml:space="preserve"> </w:t>
      </w:r>
      <w:r w:rsidRPr="18F71E22" w:rsidR="0D700AF4">
        <w:rPr>
          <w:rStyle w:val="cursor-pointer"/>
          <w:rFonts w:ascii="Arial" w:hAnsi="Arial" w:cs="Arial"/>
        </w:rPr>
        <w:t>Relying on avoided bed-days for evaluations without quantifying the time of the carers may be misleading on efficiency since resources are not accounted for outside formal healthcare.</w:t>
      </w:r>
    </w:p>
    <w:p w:rsidRPr="00E5113D" w:rsidR="00C22F4C" w:rsidP="0C9457B9" w:rsidRDefault="00C22F4C" w14:paraId="46DB3221" w14:textId="77777777">
      <w:pPr>
        <w:pStyle w:val="Heading2"/>
        <w:rPr>
          <w:sz w:val="32"/>
          <w:szCs w:val="32"/>
        </w:rPr>
      </w:pPr>
      <w:bookmarkStart w:name="_Toc1395149951" w:id="38"/>
      <w:bookmarkStart w:name="_Toc242825284" w:id="39"/>
      <w:r w:rsidRPr="0C9457B9">
        <w:rPr>
          <w:sz w:val="32"/>
          <w:szCs w:val="32"/>
        </w:rPr>
        <w:t>5.3 Digital and Social Inequalities</w:t>
      </w:r>
      <w:bookmarkEnd w:id="38"/>
      <w:bookmarkEnd w:id="39"/>
    </w:p>
    <w:p w:rsidRPr="0073500C" w:rsidR="00192B8A" w:rsidP="0073500C" w:rsidRDefault="00211DCA" w14:paraId="621F02DD" w14:textId="77777777">
      <w:pPr>
        <w:spacing w:line="360" w:lineRule="auto"/>
        <w:jc w:val="both"/>
        <w:rPr>
          <w:rFonts w:ascii="Arial" w:hAnsi="Arial" w:cs="Arial"/>
        </w:rPr>
      </w:pPr>
      <w:r w:rsidRPr="0073500C">
        <w:rPr>
          <w:rStyle w:val="cursor-pointer"/>
          <w:rFonts w:ascii="Arial" w:hAnsi="Arial" w:cs="Arial"/>
        </w:rPr>
        <w:t>Structural inequality has an impact on community</w:t>
      </w:r>
      <w:r w:rsidRPr="0073500C" w:rsidR="007E0631">
        <w:rPr>
          <w:rStyle w:val="cursor-pointer"/>
          <w:rFonts w:ascii="Arial" w:hAnsi="Arial" w:cs="Arial"/>
        </w:rPr>
        <w:t xml:space="preserve"> </w:t>
      </w:r>
      <w:r w:rsidRPr="0073500C" w:rsidR="007E0631">
        <w:rPr>
          <w:rFonts w:ascii="Arial" w:hAnsi="Arial" w:cs="Arial"/>
        </w:rPr>
        <w:t>(</w:t>
      </w:r>
      <w:proofErr w:type="spellStart"/>
      <w:r w:rsidRPr="0073500C" w:rsidR="007E0631">
        <w:rPr>
          <w:rFonts w:ascii="Arial" w:hAnsi="Arial" w:cs="Arial"/>
        </w:rPr>
        <w:t>Cucurachi</w:t>
      </w:r>
      <w:proofErr w:type="spellEnd"/>
      <w:r w:rsidRPr="0073500C" w:rsidR="007E0631">
        <w:rPr>
          <w:rFonts w:ascii="Arial" w:hAnsi="Arial" w:cs="Arial"/>
        </w:rPr>
        <w:t xml:space="preserve"> et al., 2025)</w:t>
      </w:r>
      <w:r w:rsidRPr="0073500C">
        <w:rPr>
          <w:rStyle w:val="cursor-pointer"/>
          <w:rFonts w:ascii="Arial" w:hAnsi="Arial" w:cs="Arial"/>
        </w:rPr>
        <w:t>.</w:t>
      </w:r>
      <w:r w:rsidRPr="0073500C">
        <w:rPr>
          <w:rFonts w:ascii="Arial" w:hAnsi="Arial" w:cs="Arial"/>
        </w:rPr>
        <w:t xml:space="preserve"> </w:t>
      </w:r>
      <w:r w:rsidRPr="0073500C">
        <w:rPr>
          <w:rStyle w:val="cursor-pointer"/>
          <w:rFonts w:ascii="Arial" w:hAnsi="Arial" w:cs="Arial"/>
        </w:rPr>
        <w:t>Limited safe participation can be due to deprivation, poor connectivity, inappropriate housing, disability, language barriers, and social isolation and limited informal support</w:t>
      </w:r>
      <w:r w:rsidRPr="0073500C" w:rsidR="007E0631">
        <w:rPr>
          <w:rStyle w:val="cursor-pointer"/>
          <w:rFonts w:ascii="Arial" w:hAnsi="Arial" w:cs="Arial"/>
        </w:rPr>
        <w:t xml:space="preserve"> </w:t>
      </w:r>
      <w:r w:rsidRPr="0073500C" w:rsidR="007E0631">
        <w:rPr>
          <w:rFonts w:ascii="Arial" w:hAnsi="Arial" w:cs="Arial"/>
        </w:rPr>
        <w:t>(Farre et al., 2023)</w:t>
      </w:r>
      <w:r w:rsidRPr="0073500C">
        <w:rPr>
          <w:rStyle w:val="cursor-pointer"/>
          <w:rFonts w:ascii="Arial" w:hAnsi="Arial" w:cs="Arial"/>
        </w:rPr>
        <w:t>.</w:t>
      </w:r>
      <w:r w:rsidRPr="0073500C">
        <w:rPr>
          <w:rFonts w:ascii="Arial" w:hAnsi="Arial" w:cs="Arial"/>
        </w:rPr>
        <w:t xml:space="preserve"> </w:t>
      </w:r>
      <w:r w:rsidRPr="0073500C">
        <w:rPr>
          <w:rStyle w:val="cursor-pointer"/>
          <w:rFonts w:ascii="Arial" w:hAnsi="Arial" w:cs="Arial"/>
        </w:rPr>
        <w:t>This has a negative side effect: Lacking the ability to access health services at a hospital may also mean that populations at risk of having challenges accessing health services may also have fewer resources to manage acute health services digitally at home.</w:t>
      </w:r>
      <w:r w:rsidRPr="0073500C">
        <w:rPr>
          <w:rFonts w:ascii="Arial" w:hAnsi="Arial" w:cs="Arial"/>
        </w:rPr>
        <w:t xml:space="preserve"> </w:t>
      </w:r>
      <w:r w:rsidRPr="0073500C">
        <w:rPr>
          <w:rStyle w:val="cursor-pointer"/>
          <w:rFonts w:ascii="Arial" w:hAnsi="Arial" w:cs="Arial"/>
        </w:rPr>
        <w:t>Thus, equitable outcomes among population groups cannot be taken for granted if outcomes are not considered equal.</w:t>
      </w:r>
    </w:p>
    <w:p w:rsidRPr="00E5113D" w:rsidR="00C22F4C" w:rsidP="0C9457B9" w:rsidRDefault="00C22F4C" w14:paraId="5ABDC12F" w14:textId="77777777">
      <w:pPr>
        <w:pStyle w:val="Heading2"/>
        <w:rPr>
          <w:sz w:val="32"/>
          <w:szCs w:val="32"/>
        </w:rPr>
      </w:pPr>
      <w:bookmarkStart w:name="_Toc1213287385" w:id="40"/>
      <w:bookmarkStart w:name="_Toc242825285" w:id="41"/>
      <w:r w:rsidRPr="0C9457B9">
        <w:rPr>
          <w:sz w:val="32"/>
          <w:szCs w:val="32"/>
        </w:rPr>
        <w:t>5.4 Community and System Sustainability</w:t>
      </w:r>
      <w:bookmarkEnd w:id="40"/>
      <w:bookmarkEnd w:id="41"/>
    </w:p>
    <w:p w:rsidRPr="00192B8A" w:rsidR="00192B8A" w:rsidP="0073500C" w:rsidRDefault="00192B8A" w14:paraId="3CA90D4E" w14:textId="38D18153">
      <w:pPr>
        <w:spacing w:line="360" w:lineRule="auto"/>
        <w:jc w:val="both"/>
        <w:rPr>
          <w:rFonts w:ascii="Arial" w:hAnsi="Arial" w:cs="Arial"/>
        </w:rPr>
      </w:pPr>
      <w:r w:rsidRPr="18F71E22" w:rsidR="3455B6F8">
        <w:rPr>
          <w:rStyle w:val="cursor-pointer"/>
          <w:rFonts w:ascii="Arial" w:hAnsi="Arial" w:cs="Arial"/>
        </w:rPr>
        <w:t xml:space="preserve">While virtual wards can take pressure </w:t>
      </w:r>
      <w:r w:rsidRPr="18F71E22" w:rsidR="52747CE2">
        <w:rPr>
          <w:rStyle w:val="cursor-pointer"/>
          <w:rFonts w:ascii="Arial" w:hAnsi="Arial" w:cs="Arial"/>
        </w:rPr>
        <w:t>off</w:t>
      </w:r>
      <w:r w:rsidRPr="18F71E22" w:rsidR="3455B6F8">
        <w:rPr>
          <w:rStyle w:val="cursor-pointer"/>
          <w:rFonts w:ascii="Arial" w:hAnsi="Arial" w:cs="Arial"/>
        </w:rPr>
        <w:t xml:space="preserve"> hospitals, they can also help to redistribute workloads, costs, and responsibilities to community services and families.</w:t>
      </w:r>
      <w:r w:rsidRPr="18F71E22" w:rsidR="3455B6F8">
        <w:rPr>
          <w:rFonts w:ascii="Arial" w:hAnsi="Arial" w:cs="Arial"/>
        </w:rPr>
        <w:t xml:space="preserve"> </w:t>
      </w:r>
      <w:r w:rsidRPr="18F71E22" w:rsidR="3455B6F8">
        <w:rPr>
          <w:rStyle w:val="cursor-pointer"/>
          <w:rFonts w:ascii="Arial" w:hAnsi="Arial" w:cs="Arial"/>
        </w:rPr>
        <w:t xml:space="preserve">However, effectiveness should be judged using measures of access (equal), burden (on carers), size of </w:t>
      </w:r>
      <w:r w:rsidRPr="18F71E22" w:rsidR="0801105A">
        <w:rPr>
          <w:rStyle w:val="cursor-pointer"/>
          <w:rFonts w:ascii="Arial" w:hAnsi="Arial" w:cs="Arial"/>
        </w:rPr>
        <w:t>workforce,</w:t>
      </w:r>
      <w:r w:rsidRPr="18F71E22" w:rsidR="3455B6F8">
        <w:rPr>
          <w:rStyle w:val="cursor-pointer"/>
          <w:rFonts w:ascii="Arial" w:hAnsi="Arial" w:cs="Arial"/>
        </w:rPr>
        <w:t xml:space="preserve"> and outcomes (on patients) rather than bed usage (Norman, </w:t>
      </w:r>
      <w:r w:rsidRPr="18F71E22" w:rsidR="3455B6F8">
        <w:rPr>
          <w:rStyle w:val="cursor-pointer"/>
          <w:rFonts w:ascii="Arial" w:hAnsi="Arial" w:cs="Arial"/>
        </w:rPr>
        <w:t>Bennett</w:t>
      </w:r>
      <w:r w:rsidRPr="18F71E22" w:rsidR="3455B6F8">
        <w:rPr>
          <w:rStyle w:val="cursor-pointer"/>
          <w:rFonts w:ascii="Arial" w:hAnsi="Arial" w:cs="Arial"/>
        </w:rPr>
        <w:t xml:space="preserve"> and Vardy, 2023).</w:t>
      </w:r>
      <w:r w:rsidRPr="18F71E22" w:rsidR="3455B6F8">
        <w:rPr>
          <w:rFonts w:ascii="Arial" w:hAnsi="Arial" w:cs="Arial"/>
        </w:rPr>
        <w:t xml:space="preserve"> </w:t>
      </w:r>
      <w:r w:rsidRPr="18F71E22" w:rsidR="3455B6F8">
        <w:rPr>
          <w:rStyle w:val="cursor-pointer"/>
          <w:rFonts w:ascii="Arial" w:hAnsi="Arial" w:cs="Arial"/>
        </w:rPr>
        <w:t xml:space="preserve">Enabling sustainability in the long term is a matter of having the right community resources and making real system wide benefits to patients and carers without </w:t>
      </w:r>
      <w:r w:rsidRPr="18F71E22" w:rsidR="4480E735">
        <w:rPr>
          <w:rStyle w:val="cursor-pointer"/>
          <w:rFonts w:ascii="Arial" w:hAnsi="Arial" w:cs="Arial"/>
        </w:rPr>
        <w:t>passing</w:t>
      </w:r>
      <w:r w:rsidRPr="18F71E22" w:rsidR="3455B6F8">
        <w:rPr>
          <w:rStyle w:val="cursor-pointer"/>
          <w:rFonts w:ascii="Arial" w:hAnsi="Arial" w:cs="Arial"/>
        </w:rPr>
        <w:t xml:space="preserve"> risks or cost.</w:t>
      </w:r>
    </w:p>
    <w:p w:rsidRPr="00E5113D" w:rsidR="00C22F4C" w:rsidP="0C9457B9" w:rsidRDefault="00C22F4C" w14:paraId="3C702C06" w14:textId="77777777">
      <w:pPr>
        <w:pStyle w:val="Heading1"/>
        <w:rPr>
          <w:b/>
          <w:bCs/>
          <w:color w:val="000000" w:themeColor="text1"/>
          <w:sz w:val="36"/>
          <w:szCs w:val="36"/>
        </w:rPr>
      </w:pPr>
      <w:bookmarkStart w:name="_Toc252166169" w:id="42"/>
      <w:bookmarkStart w:name="_Toc242825286" w:id="43"/>
      <w:r w:rsidRPr="0C9457B9">
        <w:rPr>
          <w:b/>
          <w:bCs/>
          <w:color w:val="000000" w:themeColor="text1"/>
          <w:sz w:val="36"/>
          <w:szCs w:val="36"/>
        </w:rPr>
        <w:t>6. Recommendations</w:t>
      </w:r>
      <w:bookmarkEnd w:id="42"/>
      <w:bookmarkEnd w:id="43"/>
    </w:p>
    <w:p w:rsidRPr="0073500C" w:rsidR="00211DCA" w:rsidP="0073500C" w:rsidRDefault="00211DCA" w14:paraId="3655AEFB" w14:textId="77777777">
      <w:pPr>
        <w:spacing w:line="360" w:lineRule="auto"/>
        <w:jc w:val="both"/>
        <w:rPr>
          <w:rFonts w:ascii="Arial" w:hAnsi="Arial" w:cs="Arial"/>
        </w:rPr>
      </w:pPr>
      <w:r w:rsidRPr="0073500C">
        <w:rPr>
          <w:rStyle w:val="cursor-pointer"/>
          <w:rFonts w:ascii="Arial" w:hAnsi="Arial" w:cs="Arial"/>
        </w:rPr>
        <w:t>The next recommendations apply to the issues of implementing the four areas that were evaluated.</w:t>
      </w:r>
      <w:r w:rsidRPr="0073500C">
        <w:rPr>
          <w:rFonts w:ascii="Arial" w:hAnsi="Arial" w:cs="Arial"/>
        </w:rPr>
        <w:t xml:space="preserve"> </w:t>
      </w:r>
    </w:p>
    <w:p w:rsidRPr="00E5113D" w:rsidR="00C22F4C" w:rsidP="0C9457B9" w:rsidRDefault="00C22F4C" w14:paraId="1026B3FF" w14:textId="77777777">
      <w:pPr>
        <w:pStyle w:val="Heading2"/>
        <w:rPr>
          <w:sz w:val="32"/>
          <w:szCs w:val="32"/>
        </w:rPr>
      </w:pPr>
      <w:bookmarkStart w:name="_Toc193256925" w:id="44"/>
      <w:bookmarkStart w:name="_Toc242825287" w:id="45"/>
      <w:r w:rsidRPr="0C9457B9">
        <w:rPr>
          <w:sz w:val="32"/>
          <w:szCs w:val="32"/>
        </w:rPr>
        <w:t>6.1 Workforce</w:t>
      </w:r>
      <w:bookmarkEnd w:id="44"/>
      <w:bookmarkEnd w:id="45"/>
    </w:p>
    <w:p w:rsidRPr="0073500C" w:rsidR="00211DCA" w:rsidP="0073500C" w:rsidRDefault="00211DCA" w14:paraId="37D3E4D3" w14:textId="77777777">
      <w:pPr>
        <w:spacing w:line="360" w:lineRule="auto"/>
        <w:jc w:val="both"/>
        <w:rPr>
          <w:rFonts w:ascii="Arial" w:hAnsi="Arial" w:cs="Arial"/>
        </w:rPr>
      </w:pPr>
      <w:r w:rsidRPr="0073500C">
        <w:rPr>
          <w:rStyle w:val="cursor-pointer"/>
          <w:rFonts w:ascii="Arial" w:hAnsi="Arial" w:cs="Arial"/>
        </w:rPr>
        <w:t>NHS providers should mandate competency-based training with emphasis on remote assessment and interpretation of data and allocate time for monitoring and make it clear that there is a responsibility for notification of deterioration</w:t>
      </w:r>
      <w:r w:rsidRPr="0073500C" w:rsidR="0073500C">
        <w:rPr>
          <w:rStyle w:val="cursor-pointer"/>
          <w:rFonts w:ascii="Arial" w:hAnsi="Arial" w:cs="Arial"/>
        </w:rPr>
        <w:t xml:space="preserve"> </w:t>
      </w:r>
      <w:r w:rsidRPr="0073500C" w:rsidR="0073500C">
        <w:rPr>
          <w:rFonts w:ascii="Arial" w:hAnsi="Arial" w:cs="Arial"/>
        </w:rPr>
        <w:t>(Ward et al., 2026)</w:t>
      </w:r>
      <w:r w:rsidRPr="0073500C">
        <w:rPr>
          <w:rStyle w:val="cursor-pointer"/>
          <w:rFonts w:ascii="Arial" w:hAnsi="Arial" w:cs="Arial"/>
        </w:rPr>
        <w:t>.</w:t>
      </w:r>
      <w:r w:rsidRPr="0073500C">
        <w:rPr>
          <w:rFonts w:ascii="Arial" w:hAnsi="Arial" w:cs="Arial"/>
        </w:rPr>
        <w:t xml:space="preserve"> </w:t>
      </w:r>
      <w:r w:rsidRPr="0073500C">
        <w:rPr>
          <w:rStyle w:val="cursor-pointer"/>
          <w:rFonts w:ascii="Arial" w:hAnsi="Arial" w:cs="Arial"/>
        </w:rPr>
        <w:t>Plan for reallocated digital workload, don't take it for granted that it equates to staff reduction.</w:t>
      </w:r>
    </w:p>
    <w:p w:rsidRPr="00E5113D" w:rsidR="00C22F4C" w:rsidP="0C9457B9" w:rsidRDefault="00C22F4C" w14:paraId="56FE4C6A" w14:textId="77777777">
      <w:pPr>
        <w:pStyle w:val="Heading2"/>
        <w:rPr>
          <w:sz w:val="32"/>
          <w:szCs w:val="32"/>
        </w:rPr>
      </w:pPr>
      <w:bookmarkStart w:name="_Toc192024471" w:id="46"/>
      <w:bookmarkStart w:name="_Toc242825288" w:id="47"/>
      <w:r w:rsidRPr="0C9457B9">
        <w:rPr>
          <w:sz w:val="32"/>
          <w:szCs w:val="32"/>
        </w:rPr>
        <w:t>6.2 Service Delivery</w:t>
      </w:r>
      <w:bookmarkEnd w:id="46"/>
      <w:bookmarkEnd w:id="47"/>
    </w:p>
    <w:p w:rsidRPr="0073500C" w:rsidR="00211DCA" w:rsidP="0073500C" w:rsidRDefault="00211DCA" w14:paraId="74C66F92" w14:textId="50805213">
      <w:pPr>
        <w:spacing w:line="360" w:lineRule="auto"/>
        <w:jc w:val="both"/>
        <w:rPr>
          <w:rFonts w:ascii="Arial" w:hAnsi="Arial" w:cs="Arial"/>
        </w:rPr>
      </w:pPr>
      <w:r w:rsidRPr="0073500C">
        <w:rPr>
          <w:rStyle w:val="cursor-pointer"/>
          <w:rFonts w:ascii="Arial" w:hAnsi="Arial" w:cs="Arial"/>
        </w:rPr>
        <w:t xml:space="preserve">Acute, primary and community services must have interoperable records for virtual wards to use; and </w:t>
      </w:r>
      <w:r w:rsidRPr="0073500C" w:rsidR="00E507FF">
        <w:rPr>
          <w:rStyle w:val="cursor-pointer"/>
          <w:rFonts w:ascii="Arial" w:hAnsi="Arial" w:cs="Arial"/>
        </w:rPr>
        <w:t>standardized</w:t>
      </w:r>
      <w:r w:rsidRPr="0073500C">
        <w:rPr>
          <w:rStyle w:val="cursor-pointer"/>
          <w:rFonts w:ascii="Arial" w:hAnsi="Arial" w:cs="Arial"/>
        </w:rPr>
        <w:t xml:space="preserve"> eligibility criteria and defined escalation pathways must be used across all services.</w:t>
      </w:r>
      <w:r w:rsidRPr="0073500C">
        <w:rPr>
          <w:rFonts w:ascii="Arial" w:hAnsi="Arial" w:cs="Arial"/>
        </w:rPr>
        <w:t xml:space="preserve"> </w:t>
      </w:r>
      <w:r w:rsidRPr="0073500C">
        <w:rPr>
          <w:rStyle w:val="cursor-pointer"/>
          <w:rFonts w:ascii="Arial" w:hAnsi="Arial" w:cs="Arial"/>
        </w:rPr>
        <w:t xml:space="preserve">Avoiding admissions, readmissions and length of stay and reducing net resource use should be </w:t>
      </w:r>
      <w:r w:rsidRPr="0073500C" w:rsidR="00E507FF">
        <w:rPr>
          <w:rStyle w:val="cursor-pointer"/>
          <w:rFonts w:ascii="Arial" w:hAnsi="Arial" w:cs="Arial"/>
        </w:rPr>
        <w:t>prioritized</w:t>
      </w:r>
      <w:r w:rsidRPr="0073500C">
        <w:rPr>
          <w:rStyle w:val="cursor-pointer"/>
          <w:rFonts w:ascii="Arial" w:hAnsi="Arial" w:cs="Arial"/>
        </w:rPr>
        <w:t xml:space="preserve"> in performance over occupancy of virtual beds</w:t>
      </w:r>
      <w:r w:rsidRPr="0073500C" w:rsidR="0073500C">
        <w:rPr>
          <w:rStyle w:val="cursor-pointer"/>
          <w:rFonts w:ascii="Arial" w:hAnsi="Arial" w:cs="Arial"/>
        </w:rPr>
        <w:t xml:space="preserve"> </w:t>
      </w:r>
      <w:r w:rsidRPr="00E5113D" w:rsidR="0073500C">
        <w:rPr>
          <w:rStyle w:val="Strong"/>
          <w:rFonts w:ascii="Arial" w:hAnsi="Arial" w:cs="Arial"/>
          <w:b w:val="0"/>
        </w:rPr>
        <w:t>(NHS England, 2024)</w:t>
      </w:r>
      <w:r w:rsidRPr="00E5113D">
        <w:rPr>
          <w:rStyle w:val="cursor-pointer"/>
          <w:rFonts w:ascii="Arial" w:hAnsi="Arial" w:cs="Arial"/>
          <w:b/>
        </w:rPr>
        <w:t>.</w:t>
      </w:r>
    </w:p>
    <w:p w:rsidRPr="00E5113D" w:rsidR="00C22F4C" w:rsidP="0C9457B9" w:rsidRDefault="00C22F4C" w14:paraId="7BB337E9" w14:textId="77777777">
      <w:pPr>
        <w:pStyle w:val="Heading2"/>
        <w:rPr>
          <w:sz w:val="32"/>
          <w:szCs w:val="32"/>
        </w:rPr>
      </w:pPr>
      <w:bookmarkStart w:name="_Toc543208105" w:id="48"/>
      <w:bookmarkStart w:name="_Toc242825289" w:id="49"/>
      <w:r w:rsidRPr="0C9457B9">
        <w:rPr>
          <w:sz w:val="32"/>
          <w:szCs w:val="32"/>
        </w:rPr>
        <w:t>6.3 Patients and Service Users</w:t>
      </w:r>
      <w:bookmarkEnd w:id="48"/>
      <w:bookmarkEnd w:id="49"/>
    </w:p>
    <w:p w:rsidRPr="0073500C" w:rsidR="00211DCA" w:rsidP="0073500C" w:rsidRDefault="00211DCA" w14:paraId="2574D9DC" w14:textId="74D48FA3">
      <w:pPr>
        <w:spacing w:line="360" w:lineRule="auto"/>
        <w:jc w:val="both"/>
        <w:rPr>
          <w:rFonts w:ascii="Arial" w:hAnsi="Arial" w:cs="Arial"/>
        </w:rPr>
      </w:pPr>
      <w:r w:rsidRPr="0073500C">
        <w:rPr>
          <w:rStyle w:val="cursor-pointer"/>
          <w:rFonts w:ascii="Arial" w:hAnsi="Arial" w:cs="Arial"/>
        </w:rPr>
        <w:t xml:space="preserve">Enrolment should be based on individual </w:t>
      </w:r>
      <w:r w:rsidRPr="0073500C" w:rsidR="00E507FF">
        <w:rPr>
          <w:rStyle w:val="cursor-pointer"/>
          <w:rFonts w:ascii="Arial" w:hAnsi="Arial" w:cs="Arial"/>
        </w:rPr>
        <w:t>suitability,</w:t>
      </w:r>
      <w:r w:rsidRPr="0073500C">
        <w:rPr>
          <w:rStyle w:val="cursor-pointer"/>
          <w:rFonts w:ascii="Arial" w:hAnsi="Arial" w:cs="Arial"/>
        </w:rPr>
        <w:t xml:space="preserve"> which </w:t>
      </w:r>
      <w:proofErr w:type="gramStart"/>
      <w:r w:rsidRPr="0073500C">
        <w:rPr>
          <w:rStyle w:val="cursor-pointer"/>
          <w:rFonts w:ascii="Arial" w:hAnsi="Arial" w:cs="Arial"/>
        </w:rPr>
        <w:t>takes into account</w:t>
      </w:r>
      <w:proofErr w:type="gramEnd"/>
      <w:r w:rsidRPr="0073500C">
        <w:rPr>
          <w:rStyle w:val="cursor-pointer"/>
          <w:rFonts w:ascii="Arial" w:hAnsi="Arial" w:cs="Arial"/>
        </w:rPr>
        <w:t xml:space="preserve"> the clinical complexity and ability to participate safely.</w:t>
      </w:r>
      <w:r w:rsidRPr="0073500C">
        <w:rPr>
          <w:rFonts w:ascii="Arial" w:hAnsi="Arial" w:cs="Arial"/>
        </w:rPr>
        <w:t xml:space="preserve"> </w:t>
      </w:r>
      <w:r w:rsidRPr="0073500C">
        <w:rPr>
          <w:rStyle w:val="cursor-pointer"/>
          <w:rFonts w:ascii="Arial" w:hAnsi="Arial" w:cs="Arial"/>
        </w:rPr>
        <w:t>Information about choice, technical assistance and alternatives (non-digital) and speedy face-to-face escalation should be kept available.</w:t>
      </w:r>
    </w:p>
    <w:p w:rsidRPr="00E5113D" w:rsidR="00C22F4C" w:rsidP="0C9457B9" w:rsidRDefault="00C22F4C" w14:paraId="0ED69C46" w14:textId="77777777">
      <w:pPr>
        <w:pStyle w:val="Heading2"/>
        <w:rPr>
          <w:sz w:val="32"/>
          <w:szCs w:val="32"/>
        </w:rPr>
      </w:pPr>
      <w:bookmarkStart w:name="_Toc1639477929" w:id="50"/>
      <w:bookmarkStart w:name="_Toc242825290" w:id="51"/>
      <w:r w:rsidRPr="0C9457B9">
        <w:rPr>
          <w:sz w:val="32"/>
          <w:szCs w:val="32"/>
        </w:rPr>
        <w:t>6.4 Community and Equity</w:t>
      </w:r>
      <w:bookmarkEnd w:id="50"/>
      <w:bookmarkEnd w:id="51"/>
    </w:p>
    <w:p w:rsidRPr="0073500C" w:rsidR="00211DCA" w:rsidP="0073500C" w:rsidRDefault="00211DCA" w14:paraId="5A35EA9E" w14:textId="605A6C98">
      <w:pPr>
        <w:spacing w:line="360" w:lineRule="auto"/>
        <w:jc w:val="both"/>
        <w:rPr>
          <w:rFonts w:ascii="Arial" w:hAnsi="Arial" w:cs="Arial"/>
        </w:rPr>
      </w:pPr>
      <w:r w:rsidRPr="0073500C">
        <w:rPr>
          <w:rStyle w:val="cursor-pointer"/>
          <w:rFonts w:ascii="Arial" w:hAnsi="Arial" w:cs="Arial"/>
        </w:rPr>
        <w:t>Broader expansion should consider aspects of digital exclusion, housing, connectivity, capacity to provide community services and burden of informal carers.</w:t>
      </w:r>
      <w:r w:rsidRPr="0073500C">
        <w:rPr>
          <w:rFonts w:ascii="Arial" w:hAnsi="Arial" w:cs="Arial"/>
        </w:rPr>
        <w:t xml:space="preserve"> </w:t>
      </w:r>
      <w:r w:rsidRPr="0073500C">
        <w:rPr>
          <w:rStyle w:val="cursor-pointer"/>
          <w:rFonts w:ascii="Arial" w:hAnsi="Arial" w:cs="Arial"/>
        </w:rPr>
        <w:t xml:space="preserve">Benefits of a systems scale rather than savings from moving work, risk, or cost from hospital to household and community should be used for </w:t>
      </w:r>
      <w:r w:rsidRPr="0073500C" w:rsidR="00E507FF">
        <w:rPr>
          <w:rStyle w:val="cursor-pointer"/>
          <w:rFonts w:ascii="Arial" w:hAnsi="Arial" w:cs="Arial"/>
        </w:rPr>
        <w:t>scaling. Scale</w:t>
      </w:r>
      <w:r w:rsidRPr="0073500C">
        <w:rPr>
          <w:rStyle w:val="cursor-pointer"/>
          <w:rFonts w:ascii="Arial" w:hAnsi="Arial" w:cs="Arial"/>
        </w:rPr>
        <w:t xml:space="preserve"> should be based on equal, affordable system benefits not cost, risk, or work avoidance.</w:t>
      </w:r>
    </w:p>
    <w:p w:rsidRPr="00E5113D" w:rsidR="00211DCA" w:rsidP="0C9457B9" w:rsidRDefault="00211DCA" w14:paraId="61768A49" w14:textId="77777777">
      <w:pPr>
        <w:pStyle w:val="Heading1"/>
        <w:rPr>
          <w:b/>
          <w:bCs/>
          <w:color w:val="000000" w:themeColor="text1"/>
          <w:sz w:val="36"/>
          <w:szCs w:val="36"/>
        </w:rPr>
      </w:pPr>
      <w:bookmarkStart w:name="_Toc1816764169" w:id="52"/>
      <w:bookmarkStart w:name="_Toc242825291" w:id="53"/>
      <w:r w:rsidRPr="0C9457B9">
        <w:rPr>
          <w:b/>
          <w:bCs/>
          <w:color w:val="000000" w:themeColor="text1"/>
          <w:sz w:val="36"/>
          <w:szCs w:val="36"/>
        </w:rPr>
        <w:t>7. Conclusion</w:t>
      </w:r>
      <w:bookmarkEnd w:id="52"/>
      <w:bookmarkEnd w:id="53"/>
    </w:p>
    <w:p w:rsidRPr="00192B8A" w:rsidR="00211DCA" w:rsidP="0073500C" w:rsidRDefault="00192B8A" w14:paraId="1BA3F906" w14:textId="3ACE7B1D">
      <w:pPr>
        <w:spacing w:line="360" w:lineRule="auto"/>
        <w:jc w:val="both"/>
        <w:rPr>
          <w:rFonts w:ascii="Arial" w:hAnsi="Arial" w:cs="Arial"/>
        </w:rPr>
      </w:pPr>
      <w:r w:rsidRPr="18F71E22" w:rsidR="3455B6F8">
        <w:rPr>
          <w:rStyle w:val="cursor-pointer"/>
          <w:rFonts w:ascii="Arial" w:hAnsi="Arial" w:cs="Arial"/>
        </w:rPr>
        <w:t xml:space="preserve">The Virtual ward is an innovative development within the UK healthcare landscape that </w:t>
      </w:r>
      <w:r w:rsidRPr="18F71E22" w:rsidR="4B2C4118">
        <w:rPr>
          <w:rStyle w:val="cursor-pointer"/>
          <w:rFonts w:ascii="Arial" w:hAnsi="Arial" w:cs="Arial"/>
        </w:rPr>
        <w:t>helps</w:t>
      </w:r>
      <w:r w:rsidRPr="18F71E22" w:rsidR="3455B6F8">
        <w:rPr>
          <w:rStyle w:val="cursor-pointer"/>
          <w:rFonts w:ascii="Arial" w:hAnsi="Arial" w:cs="Arial"/>
        </w:rPr>
        <w:t xml:space="preserve"> to </w:t>
      </w:r>
      <w:r w:rsidRPr="18F71E22" w:rsidR="3455B6F8">
        <w:rPr>
          <w:rStyle w:val="cursor-pointer"/>
          <w:rFonts w:ascii="Arial" w:hAnsi="Arial" w:cs="Arial"/>
        </w:rPr>
        <w:t>facilitate</w:t>
      </w:r>
      <w:r w:rsidRPr="18F71E22" w:rsidR="3455B6F8">
        <w:rPr>
          <w:rStyle w:val="cursor-pointer"/>
          <w:rFonts w:ascii="Arial" w:hAnsi="Arial" w:cs="Arial"/>
        </w:rPr>
        <w:t xml:space="preserve"> acute care in the home via the technology of virtual wards.</w:t>
      </w:r>
      <w:r w:rsidRPr="18F71E22" w:rsidR="3455B6F8">
        <w:rPr>
          <w:rFonts w:ascii="Arial" w:hAnsi="Arial" w:cs="Arial"/>
        </w:rPr>
        <w:t xml:space="preserve"> </w:t>
      </w:r>
      <w:r w:rsidRPr="18F71E22" w:rsidR="3455B6F8">
        <w:rPr>
          <w:rStyle w:val="cursor-pointer"/>
          <w:rFonts w:ascii="Arial" w:hAnsi="Arial" w:cs="Arial"/>
        </w:rPr>
        <w:t xml:space="preserve">While they offer the potential for increased patient convenience and alleviating hospital pressure, there are issues to </w:t>
      </w:r>
      <w:r w:rsidRPr="18F71E22" w:rsidR="2148097A">
        <w:rPr>
          <w:rStyle w:val="cursor-pointer"/>
          <w:rFonts w:ascii="Arial" w:hAnsi="Arial" w:cs="Arial"/>
        </w:rPr>
        <w:t>consider</w:t>
      </w:r>
      <w:r w:rsidRPr="18F71E22" w:rsidR="3455B6F8">
        <w:rPr>
          <w:rStyle w:val="cursor-pointer"/>
          <w:rFonts w:ascii="Arial" w:hAnsi="Arial" w:cs="Arial"/>
        </w:rPr>
        <w:t xml:space="preserve"> the staffing </w:t>
      </w:r>
      <w:r w:rsidRPr="18F71E22" w:rsidR="3455B6F8">
        <w:rPr>
          <w:rStyle w:val="cursor-pointer"/>
          <w:rFonts w:ascii="Arial" w:hAnsi="Arial" w:cs="Arial"/>
        </w:rPr>
        <w:t>required</w:t>
      </w:r>
      <w:r w:rsidRPr="18F71E22" w:rsidR="3455B6F8">
        <w:rPr>
          <w:rStyle w:val="cursor-pointer"/>
          <w:rFonts w:ascii="Arial" w:hAnsi="Arial" w:cs="Arial"/>
        </w:rPr>
        <w:t>, patient safety and digital exclusion, as well as financial sustainability.</w:t>
      </w:r>
      <w:r w:rsidRPr="18F71E22" w:rsidR="3455B6F8">
        <w:rPr>
          <w:rFonts w:ascii="Arial" w:hAnsi="Arial" w:cs="Arial"/>
        </w:rPr>
        <w:t xml:space="preserve"> </w:t>
      </w:r>
      <w:r w:rsidRPr="18F71E22" w:rsidR="3455B6F8">
        <w:rPr>
          <w:rStyle w:val="cursor-pointer"/>
          <w:rFonts w:ascii="Arial" w:hAnsi="Arial" w:cs="Arial"/>
        </w:rPr>
        <w:t>A skilled professional, dependable technology and accountability with equal access to care are all necessary for them to be effective.</w:t>
      </w:r>
      <w:r w:rsidRPr="18F71E22" w:rsidR="3455B6F8">
        <w:rPr>
          <w:rFonts w:ascii="Arial" w:hAnsi="Arial" w:cs="Arial"/>
        </w:rPr>
        <w:t xml:space="preserve"> </w:t>
      </w:r>
      <w:r w:rsidRPr="18F71E22" w:rsidR="52747CE2">
        <w:rPr>
          <w:rStyle w:val="cursor-pointer"/>
          <w:rFonts w:ascii="Arial" w:hAnsi="Arial" w:cs="Arial"/>
        </w:rPr>
        <w:t>But</w:t>
      </w:r>
      <w:r w:rsidRPr="18F71E22" w:rsidR="3455B6F8">
        <w:rPr>
          <w:rStyle w:val="cursor-pointer"/>
          <w:rFonts w:ascii="Arial" w:hAnsi="Arial" w:cs="Arial"/>
        </w:rPr>
        <w:t xml:space="preserve"> it is important to assess virtual </w:t>
      </w:r>
      <w:r w:rsidRPr="18F71E22" w:rsidR="3455B6F8">
        <w:rPr>
          <w:rStyle w:val="cursor-pointer"/>
          <w:rFonts w:ascii="Arial" w:hAnsi="Arial" w:cs="Arial"/>
        </w:rPr>
        <w:t>wards</w:t>
      </w:r>
      <w:r w:rsidRPr="18F71E22" w:rsidR="3455B6F8">
        <w:rPr>
          <w:rStyle w:val="cursor-pointer"/>
          <w:rFonts w:ascii="Arial" w:hAnsi="Arial" w:cs="Arial"/>
        </w:rPr>
        <w:t xml:space="preserve"> in terms of patient outcomes, service </w:t>
      </w:r>
      <w:r w:rsidRPr="18F71E22" w:rsidR="3455B6F8">
        <w:rPr>
          <w:rStyle w:val="cursor-pointer"/>
          <w:rFonts w:ascii="Arial" w:hAnsi="Arial" w:cs="Arial"/>
        </w:rPr>
        <w:t>effectiveness</w:t>
      </w:r>
      <w:r w:rsidRPr="18F71E22" w:rsidR="3455B6F8">
        <w:rPr>
          <w:rStyle w:val="cursor-pointer"/>
          <w:rFonts w:ascii="Arial" w:hAnsi="Arial" w:cs="Arial"/>
        </w:rPr>
        <w:t xml:space="preserve"> and the impact of the service on the community, not just on hospital cost savings.</w:t>
      </w:r>
      <w:r w:rsidRPr="18F71E22" w:rsidR="3455B6F8">
        <w:rPr>
          <w:rFonts w:ascii="Arial" w:hAnsi="Arial" w:cs="Arial"/>
        </w:rPr>
        <w:t xml:space="preserve"> </w:t>
      </w:r>
      <w:r w:rsidRPr="18F71E22" w:rsidR="3455B6F8">
        <w:rPr>
          <w:rStyle w:val="cursor-pointer"/>
          <w:rFonts w:ascii="Arial" w:hAnsi="Arial" w:cs="Arial"/>
        </w:rPr>
        <w:t>Sustainable implementation will depend on a balance of technology benefits, safety of the technology and access to and equity for health care.</w:t>
      </w:r>
    </w:p>
    <w:p w:rsidRPr="0073500C" w:rsidR="00C22F4C" w:rsidP="0073500C" w:rsidRDefault="00C22F4C" w14:paraId="7C95213C" w14:textId="77777777">
      <w:pPr>
        <w:spacing w:line="360" w:lineRule="auto"/>
        <w:jc w:val="both"/>
        <w:rPr>
          <w:rFonts w:ascii="Arial" w:hAnsi="Arial" w:cs="Arial"/>
        </w:rPr>
      </w:pPr>
    </w:p>
    <w:p w:rsidRPr="007759A3" w:rsidR="00013E96" w:rsidP="007759A3" w:rsidRDefault="0073500C" w14:paraId="0028F4A2" w14:textId="3D973871">
      <w:pPr>
        <w:spacing w:line="360" w:lineRule="auto"/>
        <w:jc w:val="both"/>
        <w:rPr>
          <w:rFonts w:ascii="Arial" w:hAnsi="Arial" w:cs="Arial"/>
        </w:rPr>
      </w:pPr>
      <w:r w:rsidRPr="18F71E22">
        <w:rPr>
          <w:rFonts w:ascii="Arial" w:hAnsi="Arial" w:cs="Arial"/>
        </w:rPr>
        <w:br w:type="page"/>
      </w:r>
      <w:r w:rsidRPr="18F71E22" w:rsidR="7B360C97">
        <w:rPr>
          <w:b w:val="1"/>
          <w:bCs w:val="1"/>
          <w:color w:val="000000" w:themeColor="text1" w:themeTint="FF" w:themeShade="FF"/>
          <w:sz w:val="36"/>
          <w:szCs w:val="36"/>
        </w:rPr>
        <w:t xml:space="preserve">Reference </w:t>
      </w:r>
    </w:p>
    <w:p w:rsidRPr="0073500C" w:rsidR="0073500C" w:rsidP="00E5113D" w:rsidRDefault="0073500C" w14:paraId="3E3DABD1" w14:textId="04AB0EBF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18F71E22" w:rsidR="7B360C97">
        <w:rPr>
          <w:rFonts w:ascii="Arial" w:hAnsi="Arial" w:cs="Arial"/>
        </w:rPr>
        <w:t>Blythe, R., Parsons, R., White, N.M., Cook, D. and McPhail, S. (2022)</w:t>
      </w:r>
      <w:r w:rsidRPr="18F71E22" w:rsidR="120100BA">
        <w:rPr>
          <w:rFonts w:ascii="Arial" w:hAnsi="Arial" w:cs="Arial"/>
        </w:rPr>
        <w:t>. A scoping</w:t>
      </w:r>
      <w:r w:rsidRPr="18F71E22" w:rsidR="7B360C97">
        <w:rPr>
          <w:rFonts w:ascii="Arial" w:hAnsi="Arial" w:cs="Arial"/>
        </w:rPr>
        <w:t xml:space="preserve"> review of real-time automated clinical deterioration alerts and evidence of impacts on </w:t>
      </w:r>
      <w:r w:rsidRPr="18F71E22" w:rsidR="468BCEE1">
        <w:rPr>
          <w:rFonts w:ascii="Arial" w:hAnsi="Arial" w:cs="Arial"/>
        </w:rPr>
        <w:t>hospitalized</w:t>
      </w:r>
      <w:r w:rsidRPr="18F71E22" w:rsidR="7B360C97">
        <w:rPr>
          <w:rFonts w:ascii="Arial" w:hAnsi="Arial" w:cs="Arial"/>
        </w:rPr>
        <w:t xml:space="preserve"> patient outcomes. </w:t>
      </w:r>
      <w:r w:rsidRPr="18F71E22" w:rsidR="7B360C97">
        <w:rPr>
          <w:rFonts w:ascii="Arial" w:hAnsi="Arial" w:cs="Arial"/>
          <w:i w:val="1"/>
          <w:iCs w:val="1"/>
        </w:rPr>
        <w:t>BMJ Quality &amp; Safety</w:t>
      </w:r>
      <w:r w:rsidRPr="18F71E22" w:rsidR="7B360C97">
        <w:rPr>
          <w:rFonts w:ascii="Arial" w:hAnsi="Arial" w:cs="Arial"/>
        </w:rPr>
        <w:t>, [online] 31(10). doi:10.1136/bmjqs-2021-014527.</w:t>
      </w:r>
    </w:p>
    <w:p w:rsidRPr="0073500C" w:rsidR="0073500C" w:rsidP="00E5113D" w:rsidRDefault="0073500C" w14:paraId="5EF536E9" w14:textId="7CA55D7C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0073500C">
        <w:rPr>
          <w:rFonts w:ascii="Arial" w:hAnsi="Arial" w:cs="Arial"/>
        </w:rPr>
        <w:t xml:space="preserve">Bradley, F., Howells, K., Gasteiger, N., Sanders, C., Blakeman, T. and Dowding, D. (2026). Factors affecting implementation of hospital inpatient-level care at home: A qualitative study of virtual </w:t>
      </w:r>
      <w:r w:rsidRPr="0073500C" w:rsidR="00A0185B">
        <w:rPr>
          <w:rFonts w:ascii="Arial" w:hAnsi="Arial" w:cs="Arial"/>
        </w:rPr>
        <w:t>words</w:t>
      </w:r>
      <w:r w:rsidRPr="0073500C">
        <w:rPr>
          <w:rFonts w:ascii="Arial" w:hAnsi="Arial" w:cs="Arial"/>
        </w:rPr>
        <w:t xml:space="preserve"> in </w:t>
      </w:r>
      <w:r w:rsidRPr="0073500C" w:rsidR="00A0185B">
        <w:rPr>
          <w:rFonts w:ascii="Arial" w:hAnsi="Arial" w:cs="Arial"/>
        </w:rPr>
        <w:t>Northwest</w:t>
      </w:r>
      <w:r w:rsidRPr="0073500C">
        <w:rPr>
          <w:rFonts w:ascii="Arial" w:hAnsi="Arial" w:cs="Arial"/>
        </w:rPr>
        <w:t xml:space="preserve"> England. </w:t>
      </w:r>
      <w:r w:rsidRPr="0073500C">
        <w:rPr>
          <w:rFonts w:ascii="Arial" w:hAnsi="Arial" w:cs="Arial"/>
          <w:i/>
          <w:iCs/>
        </w:rPr>
        <w:t>BMJ Open</w:t>
      </w:r>
      <w:r w:rsidRPr="0073500C">
        <w:rPr>
          <w:rFonts w:ascii="Arial" w:hAnsi="Arial" w:cs="Arial"/>
        </w:rPr>
        <w:t>, [online] 16(4), p.e111868. doi:10.1136/bmjopen-2025-111868.</w:t>
      </w:r>
    </w:p>
    <w:p w:rsidRPr="0073500C" w:rsidR="0073500C" w:rsidP="00E5113D" w:rsidRDefault="0073500C" w14:paraId="00486389" w14:textId="459176A0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0073500C">
        <w:rPr>
          <w:rFonts w:ascii="Arial" w:hAnsi="Arial" w:cs="Arial"/>
        </w:rPr>
        <w:t xml:space="preserve">Chauhan, U. and McAlister, F.A. (2022). Comparison of mortality and hospital readmissions among patients receiving virtual ward transitional care vs usual </w:t>
      </w:r>
      <w:r w:rsidRPr="0073500C" w:rsidR="00A0185B">
        <w:rPr>
          <w:rFonts w:ascii="Arial" w:hAnsi="Arial" w:cs="Arial"/>
        </w:rPr>
        <w:t>post discharge</w:t>
      </w:r>
      <w:r w:rsidRPr="0073500C">
        <w:rPr>
          <w:rFonts w:ascii="Arial" w:hAnsi="Arial" w:cs="Arial"/>
        </w:rPr>
        <w:t xml:space="preserve"> care. </w:t>
      </w:r>
      <w:r w:rsidRPr="0073500C">
        <w:rPr>
          <w:rFonts w:ascii="Arial" w:hAnsi="Arial" w:cs="Arial"/>
          <w:i/>
          <w:iCs/>
        </w:rPr>
        <w:t>JAMA Network Open</w:t>
      </w:r>
      <w:r w:rsidRPr="0073500C">
        <w:rPr>
          <w:rFonts w:ascii="Arial" w:hAnsi="Arial" w:cs="Arial"/>
        </w:rPr>
        <w:t>, 5(6), p.e2219113. doi:10.1001/jamanetworkopen.2022.19113.</w:t>
      </w:r>
    </w:p>
    <w:p w:rsidRPr="0073500C" w:rsidR="0073500C" w:rsidP="00E5113D" w:rsidRDefault="0073500C" w14:paraId="741F3EE8" w14:textId="5E82FE88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18F71E22" w:rsidR="7B360C97">
        <w:rPr>
          <w:rFonts w:ascii="Arial" w:hAnsi="Arial" w:cs="Arial"/>
        </w:rPr>
        <w:t>Cucurachi</w:t>
      </w:r>
      <w:r w:rsidRPr="18F71E22" w:rsidR="7B360C97">
        <w:rPr>
          <w:rFonts w:ascii="Arial" w:hAnsi="Arial" w:cs="Arial"/>
        </w:rPr>
        <w:t xml:space="preserve">, S., Lydon, S., Moens, L.L., Manser, T. and O’Connor, P. (2025). Barriers and facilitators to the use of virtual </w:t>
      </w:r>
      <w:r w:rsidRPr="18F71E22" w:rsidR="468BCEE1">
        <w:rPr>
          <w:rFonts w:ascii="Arial" w:hAnsi="Arial" w:cs="Arial"/>
        </w:rPr>
        <w:t>words</w:t>
      </w:r>
      <w:r w:rsidRPr="18F71E22" w:rsidR="7B360C97">
        <w:rPr>
          <w:rFonts w:ascii="Arial" w:hAnsi="Arial" w:cs="Arial"/>
        </w:rPr>
        <w:t xml:space="preserve">: A systematic review of </w:t>
      </w:r>
      <w:r w:rsidRPr="18F71E22" w:rsidR="6D347E2E">
        <w:rPr>
          <w:rFonts w:ascii="Arial" w:hAnsi="Arial" w:cs="Arial"/>
        </w:rPr>
        <w:t>qualitative</w:t>
      </w:r>
      <w:r w:rsidRPr="18F71E22" w:rsidR="7B360C97">
        <w:rPr>
          <w:rFonts w:ascii="Arial" w:hAnsi="Arial" w:cs="Arial"/>
        </w:rPr>
        <w:t xml:space="preserve"> evidence. </w:t>
      </w:r>
      <w:r w:rsidRPr="18F71E22" w:rsidR="7B360C97">
        <w:rPr>
          <w:rFonts w:ascii="Arial" w:hAnsi="Arial" w:cs="Arial"/>
          <w:i w:val="1"/>
          <w:iCs w:val="1"/>
        </w:rPr>
        <w:t xml:space="preserve">International Journal </w:t>
      </w:r>
      <w:r w:rsidRPr="18F71E22" w:rsidR="468BCEE1">
        <w:rPr>
          <w:rFonts w:ascii="Arial" w:hAnsi="Arial" w:cs="Arial"/>
          <w:i w:val="1"/>
          <w:iCs w:val="1"/>
        </w:rPr>
        <w:t>for</w:t>
      </w:r>
      <w:r w:rsidRPr="18F71E22" w:rsidR="7B360C97">
        <w:rPr>
          <w:rFonts w:ascii="Arial" w:hAnsi="Arial" w:cs="Arial"/>
          <w:i w:val="1"/>
          <w:iCs w:val="1"/>
        </w:rPr>
        <w:t xml:space="preserve"> Quality </w:t>
      </w:r>
      <w:r w:rsidRPr="18F71E22" w:rsidR="444AB538">
        <w:rPr>
          <w:rFonts w:ascii="Arial" w:hAnsi="Arial" w:cs="Arial"/>
          <w:i w:val="1"/>
          <w:iCs w:val="1"/>
        </w:rPr>
        <w:t>in</w:t>
      </w:r>
      <w:r w:rsidRPr="18F71E22" w:rsidR="7B360C97">
        <w:rPr>
          <w:rFonts w:ascii="Arial" w:hAnsi="Arial" w:cs="Arial"/>
          <w:i w:val="1"/>
          <w:iCs w:val="1"/>
        </w:rPr>
        <w:t xml:space="preserve"> Health Care</w:t>
      </w:r>
      <w:r w:rsidRPr="18F71E22" w:rsidR="7B360C97">
        <w:rPr>
          <w:rFonts w:ascii="Arial" w:hAnsi="Arial" w:cs="Arial"/>
        </w:rPr>
        <w:t>, [online] 37(3). doi:10.1093/</w:t>
      </w:r>
      <w:r w:rsidRPr="18F71E22" w:rsidR="7B360C97">
        <w:rPr>
          <w:rFonts w:ascii="Arial" w:hAnsi="Arial" w:cs="Arial"/>
        </w:rPr>
        <w:t>intqhc</w:t>
      </w:r>
      <w:r w:rsidRPr="18F71E22" w:rsidR="7B360C97">
        <w:rPr>
          <w:rFonts w:ascii="Arial" w:hAnsi="Arial" w:cs="Arial"/>
        </w:rPr>
        <w:t>/mzaf065.</w:t>
      </w:r>
    </w:p>
    <w:p w:rsidRPr="0073500C" w:rsidR="0073500C" w:rsidP="00E5113D" w:rsidRDefault="0073500C" w14:paraId="6DBD36B4" w14:textId="77777777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0073500C">
        <w:rPr>
          <w:rFonts w:ascii="Arial" w:hAnsi="Arial" w:cs="Arial"/>
        </w:rPr>
        <w:t xml:space="preserve">Ekstedt, M., Nordheim, E.S., Hellström, A., Strandberg, S. and Hagerman, H. (2023). Patient safety and sense of security when telemonitoring chronic conditions at home: The views of patients and healthcare professionals - A qualitative study. </w:t>
      </w:r>
      <w:r w:rsidRPr="0073500C">
        <w:rPr>
          <w:rFonts w:ascii="Arial" w:hAnsi="Arial" w:cs="Arial"/>
          <w:i/>
          <w:iCs/>
        </w:rPr>
        <w:t>BMC Health Services Research</w:t>
      </w:r>
      <w:r w:rsidRPr="0073500C">
        <w:rPr>
          <w:rFonts w:ascii="Arial" w:hAnsi="Arial" w:cs="Arial"/>
        </w:rPr>
        <w:t>, 23(1). doi:10.1186/s12913-023-09428-1.</w:t>
      </w:r>
    </w:p>
    <w:p w:rsidRPr="0073500C" w:rsidR="0073500C" w:rsidP="00E5113D" w:rsidRDefault="0073500C" w14:paraId="0EE87953" w14:textId="77777777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0073500C">
        <w:rPr>
          <w:rFonts w:ascii="Arial" w:hAnsi="Arial" w:cs="Arial"/>
        </w:rPr>
        <w:t>Eusebio, C. and Leary, A. (2025). Admission avoidance in UK healthcare: What works and what doesn’t? A hermeneutic review. [online] doi:10.1101/2025.03.06.25323302.</w:t>
      </w:r>
    </w:p>
    <w:p w:rsidRPr="0073500C" w:rsidR="0073500C" w:rsidP="00E5113D" w:rsidRDefault="0073500C" w14:paraId="07832838" w14:textId="59EF1A67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18F71E22" w:rsidR="7B360C97">
        <w:rPr>
          <w:rFonts w:ascii="Arial" w:hAnsi="Arial" w:cs="Arial"/>
        </w:rPr>
        <w:t>Farre, A., Fang, M., Hannah, B., Makita, M., McFadden, A., Menezes, D., Rodriguez, A., Sixsmith, J. and M</w:t>
      </w:r>
      <w:r w:rsidRPr="18F71E22" w:rsidR="7ACDE080">
        <w:rPr>
          <w:rFonts w:ascii="Arial" w:hAnsi="Arial" w:cs="Arial"/>
        </w:rPr>
        <w:t>. Gray</w:t>
      </w:r>
      <w:r w:rsidRPr="18F71E22" w:rsidR="7B360C97">
        <w:rPr>
          <w:rFonts w:ascii="Arial" w:hAnsi="Arial" w:cs="Arial"/>
        </w:rPr>
        <w:t xml:space="preserve">, N. (2023). Exploring the use of digital technology to deliver healthcare services with explicit consideration of health inequalities in UK settings: A scoping review. </w:t>
      </w:r>
      <w:r w:rsidRPr="18F71E22" w:rsidR="7B360C97">
        <w:rPr>
          <w:rFonts w:ascii="Arial" w:hAnsi="Arial" w:cs="Arial"/>
          <w:i w:val="1"/>
          <w:iCs w:val="1"/>
        </w:rPr>
        <w:t>DIGITAL HEALTH</w:t>
      </w:r>
      <w:r w:rsidRPr="18F71E22" w:rsidR="7B360C97">
        <w:rPr>
          <w:rFonts w:ascii="Arial" w:hAnsi="Arial" w:cs="Arial"/>
        </w:rPr>
        <w:t>, 9. doi:10.1177/20552076231185442.</w:t>
      </w:r>
    </w:p>
    <w:p w:rsidRPr="0073500C" w:rsidR="0073500C" w:rsidP="00E5113D" w:rsidRDefault="0073500C" w14:paraId="4DAA8F43" w14:textId="4D371968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18F71E22" w:rsidR="7B360C97">
        <w:rPr>
          <w:rFonts w:ascii="Arial" w:hAnsi="Arial" w:cs="Arial"/>
        </w:rPr>
        <w:t xml:space="preserve">Gregory, Y., Lip, </w:t>
      </w:r>
      <w:r w:rsidRPr="18F71E22" w:rsidR="7B360C97">
        <w:rPr>
          <w:rFonts w:ascii="Arial" w:hAnsi="Arial" w:cs="Arial"/>
        </w:rPr>
        <w:t>R.</w:t>
      </w:r>
      <w:r w:rsidRPr="18F71E22" w:rsidR="51EC7012">
        <w:rPr>
          <w:rFonts w:ascii="Arial" w:hAnsi="Arial" w:cs="Arial"/>
        </w:rPr>
        <w:t>, and</w:t>
      </w:r>
      <w:r w:rsidRPr="18F71E22" w:rsidR="7B360C97">
        <w:rPr>
          <w:rFonts w:ascii="Arial" w:hAnsi="Arial" w:cs="Arial"/>
        </w:rPr>
        <w:t xml:space="preserve"> Sankaranarayanan (2025). </w:t>
      </w:r>
      <w:r w:rsidRPr="18F71E22" w:rsidR="7B360C97">
        <w:rPr>
          <w:rFonts w:ascii="Arial" w:hAnsi="Arial" w:cs="Arial"/>
          <w:i w:val="1"/>
          <w:iCs w:val="1"/>
        </w:rPr>
        <w:t xml:space="preserve">Heart failure virtual wards in the NHS: A study on feasibility, clinical </w:t>
      </w:r>
      <w:r w:rsidRPr="18F71E22" w:rsidR="7B360C97">
        <w:rPr>
          <w:rFonts w:ascii="Arial" w:hAnsi="Arial" w:cs="Arial"/>
          <w:i w:val="1"/>
          <w:iCs w:val="1"/>
        </w:rPr>
        <w:t>outcomes</w:t>
      </w:r>
      <w:r w:rsidRPr="18F71E22" w:rsidR="7B360C97">
        <w:rPr>
          <w:rFonts w:ascii="Arial" w:hAnsi="Arial" w:cs="Arial"/>
          <w:i w:val="1"/>
          <w:iCs w:val="1"/>
        </w:rPr>
        <w:t xml:space="preserve"> and economic viability</w:t>
      </w:r>
      <w:r w:rsidRPr="18F71E22" w:rsidR="7B360C97">
        <w:rPr>
          <w:rFonts w:ascii="Arial" w:hAnsi="Arial" w:cs="Arial"/>
        </w:rPr>
        <w:t>. [online] Available at: https://livrepository.liverpool.ac.uk/3198576/1/200432893_July2025.pdf [Accessed 16 Sept. 2026].</w:t>
      </w:r>
    </w:p>
    <w:p w:rsidRPr="0073500C" w:rsidR="0073500C" w:rsidP="00E5113D" w:rsidRDefault="0073500C" w14:paraId="2346C98B" w14:textId="48933F28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0073500C">
        <w:rPr>
          <w:rFonts w:ascii="Arial" w:hAnsi="Arial" w:cs="Arial"/>
        </w:rPr>
        <w:t xml:space="preserve">He, Z. (2022). When data protection norms meet digital health technology: China’s regulatory approaches to health data protection. </w:t>
      </w:r>
      <w:r w:rsidRPr="0073500C">
        <w:rPr>
          <w:rFonts w:ascii="Arial" w:hAnsi="Arial" w:cs="Arial"/>
          <w:i/>
          <w:iCs/>
        </w:rPr>
        <w:t>Computer Law &amp; Security Review</w:t>
      </w:r>
      <w:r w:rsidRPr="0073500C">
        <w:rPr>
          <w:rFonts w:ascii="Arial" w:hAnsi="Arial" w:cs="Arial"/>
        </w:rPr>
        <w:t xml:space="preserve">, 47, p.105758. </w:t>
      </w:r>
      <w:proofErr w:type="spellStart"/>
      <w:r w:rsidRPr="0073500C" w:rsidR="00B87787">
        <w:rPr>
          <w:rFonts w:ascii="Arial" w:hAnsi="Arial" w:cs="Arial"/>
        </w:rPr>
        <w:t>doi</w:t>
      </w:r>
      <w:proofErr w:type="spellEnd"/>
      <w:r w:rsidRPr="0073500C" w:rsidR="00B87787">
        <w:rPr>
          <w:rFonts w:ascii="Arial" w:hAnsi="Arial" w:cs="Arial"/>
        </w:rPr>
        <w:t>: 10.1016/j.clsr</w:t>
      </w:r>
      <w:r w:rsidRPr="0073500C">
        <w:rPr>
          <w:rFonts w:ascii="Arial" w:hAnsi="Arial" w:cs="Arial"/>
        </w:rPr>
        <w:t>.2022.105758.</w:t>
      </w:r>
    </w:p>
    <w:p w:rsidRPr="0073500C" w:rsidR="0073500C" w:rsidP="00E5113D" w:rsidRDefault="0073500C" w14:paraId="6DAEA8EB" w14:textId="24A30429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18F71E22" w:rsidR="7B360C97">
        <w:rPr>
          <w:rFonts w:ascii="Arial" w:hAnsi="Arial" w:cs="Arial"/>
        </w:rPr>
        <w:t xml:space="preserve">Holmes, H., </w:t>
      </w:r>
      <w:r w:rsidRPr="18F71E22" w:rsidR="7B360C97">
        <w:rPr>
          <w:rFonts w:ascii="Arial" w:hAnsi="Arial" w:cs="Arial"/>
        </w:rPr>
        <w:t>Karampour</w:t>
      </w:r>
      <w:r w:rsidRPr="18F71E22" w:rsidR="7B360C97">
        <w:rPr>
          <w:rFonts w:ascii="Arial" w:hAnsi="Arial" w:cs="Arial"/>
        </w:rPr>
        <w:t xml:space="preserve">, K., Richardson, </w:t>
      </w:r>
      <w:r w:rsidRPr="18F71E22" w:rsidR="7B360C97">
        <w:rPr>
          <w:rFonts w:ascii="Arial" w:hAnsi="Arial" w:cs="Arial"/>
        </w:rPr>
        <w:t>R.</w:t>
      </w:r>
      <w:r w:rsidRPr="18F71E22" w:rsidR="7B360C97">
        <w:rPr>
          <w:rFonts w:ascii="Arial" w:hAnsi="Arial" w:cs="Arial"/>
        </w:rPr>
        <w:t xml:space="preserve"> and Burgess, G. (2025). Housing, poverty, and digital exclusion: The multiple ways in which digital inequalities and housing inequalities intersect. </w:t>
      </w:r>
      <w:r w:rsidRPr="18F71E22" w:rsidR="7B360C97">
        <w:rPr>
          <w:rFonts w:ascii="Arial" w:hAnsi="Arial" w:cs="Arial"/>
          <w:i w:val="1"/>
          <w:iCs w:val="1"/>
        </w:rPr>
        <w:t>Housing Studies</w:t>
      </w:r>
      <w:r w:rsidRPr="18F71E22" w:rsidR="7B360C97">
        <w:rPr>
          <w:rFonts w:ascii="Arial" w:hAnsi="Arial" w:cs="Arial"/>
        </w:rPr>
        <w:t>, 41(8), pp</w:t>
      </w:r>
      <w:r w:rsidRPr="18F71E22" w:rsidR="3059FF6C">
        <w:rPr>
          <w:rFonts w:ascii="Arial" w:hAnsi="Arial" w:cs="Arial"/>
        </w:rPr>
        <w:t>. 1732</w:t>
      </w:r>
      <w:r w:rsidRPr="18F71E22" w:rsidR="7B360C97">
        <w:rPr>
          <w:rFonts w:ascii="Arial" w:hAnsi="Arial" w:cs="Arial"/>
        </w:rPr>
        <w:t>–1752. doi:10.1080/02673037.2025.2577727.</w:t>
      </w:r>
    </w:p>
    <w:p w:rsidRPr="0073500C" w:rsidR="0073500C" w:rsidP="00E5113D" w:rsidRDefault="0073500C" w14:paraId="60932DE3" w14:textId="74F9F2B1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0073500C">
        <w:rPr>
          <w:rFonts w:ascii="Arial" w:hAnsi="Arial" w:cs="Arial"/>
        </w:rPr>
        <w:t xml:space="preserve">Jalilian, A., </w:t>
      </w:r>
      <w:proofErr w:type="spellStart"/>
      <w:r w:rsidRPr="0073500C">
        <w:rPr>
          <w:rFonts w:ascii="Arial" w:hAnsi="Arial" w:cs="Arial"/>
        </w:rPr>
        <w:t>Sedda</w:t>
      </w:r>
      <w:proofErr w:type="spellEnd"/>
      <w:r w:rsidRPr="0073500C">
        <w:rPr>
          <w:rFonts w:ascii="Arial" w:hAnsi="Arial" w:cs="Arial"/>
        </w:rPr>
        <w:t xml:space="preserve">, L., Unsworth, A. and Farrier, M. (2024). Length of stay and economic sustainability of virtual ward care in a medium-sized hospital </w:t>
      </w:r>
      <w:r w:rsidRPr="0073500C" w:rsidR="00B87787">
        <w:rPr>
          <w:rFonts w:ascii="Arial" w:hAnsi="Arial" w:cs="Arial"/>
        </w:rPr>
        <w:t>in</w:t>
      </w:r>
      <w:r w:rsidRPr="0073500C">
        <w:rPr>
          <w:rFonts w:ascii="Arial" w:hAnsi="Arial" w:cs="Arial"/>
        </w:rPr>
        <w:t xml:space="preserve"> the UK: A retrospective longitudinal study. </w:t>
      </w:r>
      <w:r w:rsidRPr="0073500C">
        <w:rPr>
          <w:rFonts w:ascii="Arial" w:hAnsi="Arial" w:cs="Arial"/>
          <w:i/>
          <w:iCs/>
        </w:rPr>
        <w:t>BMJ Open</w:t>
      </w:r>
      <w:r w:rsidRPr="0073500C">
        <w:rPr>
          <w:rFonts w:ascii="Arial" w:hAnsi="Arial" w:cs="Arial"/>
        </w:rPr>
        <w:t xml:space="preserve">, 14(1), </w:t>
      </w:r>
      <w:r w:rsidRPr="0073500C" w:rsidR="00B87787">
        <w:rPr>
          <w:rFonts w:ascii="Arial" w:hAnsi="Arial" w:cs="Arial"/>
        </w:rPr>
        <w:t>pp. e</w:t>
      </w:r>
      <w:r w:rsidRPr="0073500C">
        <w:rPr>
          <w:rFonts w:ascii="Arial" w:hAnsi="Arial" w:cs="Arial"/>
        </w:rPr>
        <w:t>081378-e081378. doi:10.1136/bmjopen-2023-081378.</w:t>
      </w:r>
    </w:p>
    <w:p w:rsidRPr="0073500C" w:rsidR="0073500C" w:rsidP="00E5113D" w:rsidRDefault="0073500C" w14:paraId="09545AAC" w14:textId="71A88E76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18F71E22" w:rsidR="7B360C97">
        <w:rPr>
          <w:rFonts w:ascii="Arial" w:hAnsi="Arial" w:cs="Arial"/>
        </w:rPr>
        <w:t>Kanyimo</w:t>
      </w:r>
      <w:r w:rsidRPr="18F71E22" w:rsidR="7B360C97">
        <w:rPr>
          <w:rFonts w:ascii="Arial" w:hAnsi="Arial" w:cs="Arial"/>
        </w:rPr>
        <w:t xml:space="preserve">, E. (2022). Using virtual </w:t>
      </w:r>
      <w:r w:rsidRPr="18F71E22" w:rsidR="444AB538">
        <w:rPr>
          <w:rFonts w:ascii="Arial" w:hAnsi="Arial" w:cs="Arial"/>
        </w:rPr>
        <w:t>words</w:t>
      </w:r>
      <w:r w:rsidRPr="18F71E22" w:rsidR="7B360C97">
        <w:rPr>
          <w:rFonts w:ascii="Arial" w:hAnsi="Arial" w:cs="Arial"/>
        </w:rPr>
        <w:t xml:space="preserve"> and long-term conditions management </w:t>
      </w:r>
      <w:r w:rsidRPr="18F71E22" w:rsidR="2BC8C729">
        <w:rPr>
          <w:rFonts w:ascii="Arial" w:hAnsi="Arial" w:cs="Arial"/>
        </w:rPr>
        <w:t>networks</w:t>
      </w:r>
      <w:r w:rsidRPr="18F71E22" w:rsidR="7B360C97">
        <w:rPr>
          <w:rFonts w:ascii="Arial" w:hAnsi="Arial" w:cs="Arial"/>
        </w:rPr>
        <w:t xml:space="preserve"> to improve practice and performance. </w:t>
      </w:r>
      <w:r w:rsidRPr="18F71E22" w:rsidR="7B360C97">
        <w:rPr>
          <w:rFonts w:ascii="Arial" w:hAnsi="Arial" w:cs="Arial"/>
          <w:i w:val="1"/>
          <w:iCs w:val="1"/>
        </w:rPr>
        <w:t>BMJ Open Quality</w:t>
      </w:r>
      <w:r w:rsidRPr="18F71E22" w:rsidR="7B360C97">
        <w:rPr>
          <w:rFonts w:ascii="Arial" w:hAnsi="Arial" w:cs="Arial"/>
        </w:rPr>
        <w:t>, 11(4), p.e001952. doi:10.1136/bmjoq-2022-001952.</w:t>
      </w:r>
    </w:p>
    <w:p w:rsidRPr="0073500C" w:rsidR="0073500C" w:rsidP="00E5113D" w:rsidRDefault="0073500C" w14:paraId="04273FF8" w14:textId="4741B3B6">
      <w:pPr>
        <w:spacing w:line="360" w:lineRule="auto"/>
        <w:ind w:left="720" w:hanging="720"/>
        <w:jc w:val="both"/>
        <w:rPr>
          <w:rFonts w:ascii="Arial" w:hAnsi="Arial" w:cs="Arial"/>
        </w:rPr>
      </w:pPr>
      <w:proofErr w:type="spellStart"/>
      <w:r w:rsidRPr="0073500C">
        <w:rPr>
          <w:rFonts w:ascii="Arial" w:hAnsi="Arial" w:cs="Arial"/>
        </w:rPr>
        <w:t>Lauteslager</w:t>
      </w:r>
      <w:proofErr w:type="spellEnd"/>
      <w:r w:rsidRPr="0073500C">
        <w:rPr>
          <w:rFonts w:ascii="Arial" w:hAnsi="Arial" w:cs="Arial"/>
        </w:rPr>
        <w:t xml:space="preserve">, T., Oganesyan, M., Liu, Y.G., </w:t>
      </w:r>
      <w:proofErr w:type="spellStart"/>
      <w:r w:rsidRPr="0073500C">
        <w:rPr>
          <w:rFonts w:ascii="Arial" w:hAnsi="Arial" w:cs="Arial"/>
        </w:rPr>
        <w:t>Cann</w:t>
      </w:r>
      <w:proofErr w:type="spellEnd"/>
      <w:r w:rsidRPr="0073500C">
        <w:rPr>
          <w:rFonts w:ascii="Arial" w:hAnsi="Arial" w:cs="Arial"/>
        </w:rPr>
        <w:t xml:space="preserve">, J., Savarese, J., </w:t>
      </w:r>
      <w:proofErr w:type="spellStart"/>
      <w:r w:rsidRPr="0073500C">
        <w:rPr>
          <w:rFonts w:ascii="Arial" w:hAnsi="Arial" w:cs="Arial"/>
        </w:rPr>
        <w:t>Leschziner</w:t>
      </w:r>
      <w:proofErr w:type="spellEnd"/>
      <w:r w:rsidRPr="0073500C">
        <w:rPr>
          <w:rFonts w:ascii="Arial" w:hAnsi="Arial" w:cs="Arial"/>
        </w:rPr>
        <w:t xml:space="preserve">, G.D. and Kerbel, R. (2026). Real-world evaluation of a remote patient monitoring service for early detection of clinical deterioration in skilled nursing facilities. </w:t>
      </w:r>
      <w:r w:rsidRPr="0073500C">
        <w:rPr>
          <w:rFonts w:ascii="Arial" w:hAnsi="Arial" w:cs="Arial"/>
          <w:i/>
          <w:iCs/>
        </w:rPr>
        <w:t>Journal of the American Medical Directors Association</w:t>
      </w:r>
      <w:r w:rsidRPr="0073500C">
        <w:rPr>
          <w:rFonts w:ascii="Arial" w:hAnsi="Arial" w:cs="Arial"/>
        </w:rPr>
        <w:t xml:space="preserve">, 27(5), p.106141. </w:t>
      </w:r>
      <w:proofErr w:type="spellStart"/>
      <w:r w:rsidRPr="0073500C" w:rsidR="00976B56">
        <w:rPr>
          <w:rFonts w:ascii="Arial" w:hAnsi="Arial" w:cs="Arial"/>
        </w:rPr>
        <w:t>doi</w:t>
      </w:r>
      <w:proofErr w:type="spellEnd"/>
      <w:r w:rsidRPr="0073500C" w:rsidR="00976B56">
        <w:rPr>
          <w:rFonts w:ascii="Arial" w:hAnsi="Arial" w:cs="Arial"/>
        </w:rPr>
        <w:t>: 10.1016/j.jamda</w:t>
      </w:r>
      <w:r w:rsidRPr="0073500C">
        <w:rPr>
          <w:rFonts w:ascii="Arial" w:hAnsi="Arial" w:cs="Arial"/>
        </w:rPr>
        <w:t>.2026.106141.</w:t>
      </w:r>
    </w:p>
    <w:p w:rsidRPr="0073500C" w:rsidR="0073500C" w:rsidP="00E5113D" w:rsidRDefault="0073500C" w14:paraId="70CDCB82" w14:textId="77777777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0073500C">
        <w:rPr>
          <w:rFonts w:ascii="Arial" w:hAnsi="Arial" w:cs="Arial"/>
        </w:rPr>
        <w:t xml:space="preserve">Lee, G., Caton, E. and Knight, A. (2023). Evaluating digital competencies for allied health professionals in the United Kingdom. </w:t>
      </w:r>
      <w:r w:rsidRPr="0073500C">
        <w:rPr>
          <w:rFonts w:ascii="Arial" w:hAnsi="Arial" w:cs="Arial"/>
          <w:i/>
          <w:iCs/>
        </w:rPr>
        <w:t>DIGITAL HEALTH</w:t>
      </w:r>
      <w:r w:rsidRPr="0073500C">
        <w:rPr>
          <w:rFonts w:ascii="Arial" w:hAnsi="Arial" w:cs="Arial"/>
        </w:rPr>
        <w:t>, [online] 9, pp.205520762311766–205520762311766. doi:10.1177/20552076231176658.</w:t>
      </w:r>
    </w:p>
    <w:p w:rsidRPr="0073500C" w:rsidR="0073500C" w:rsidP="00E5113D" w:rsidRDefault="0073500C" w14:paraId="22051FD5" w14:textId="77777777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0073500C">
        <w:rPr>
          <w:rFonts w:ascii="Arial" w:hAnsi="Arial" w:cs="Arial"/>
        </w:rPr>
        <w:t xml:space="preserve">Li, E., Clarke, J., </w:t>
      </w:r>
      <w:proofErr w:type="spellStart"/>
      <w:r w:rsidRPr="0073500C">
        <w:rPr>
          <w:rFonts w:ascii="Arial" w:hAnsi="Arial" w:cs="Arial"/>
        </w:rPr>
        <w:t>Ashrafian</w:t>
      </w:r>
      <w:proofErr w:type="spellEnd"/>
      <w:r w:rsidRPr="0073500C">
        <w:rPr>
          <w:rFonts w:ascii="Arial" w:hAnsi="Arial" w:cs="Arial"/>
        </w:rPr>
        <w:t xml:space="preserve">, H., Darzi, A. and Neves, A.L. (2022). The impact of electronic health record interoperability on safety and quality of care in high-income countries: Systematic review. </w:t>
      </w:r>
      <w:r w:rsidRPr="0073500C">
        <w:rPr>
          <w:rFonts w:ascii="Arial" w:hAnsi="Arial" w:cs="Arial"/>
          <w:i/>
          <w:iCs/>
        </w:rPr>
        <w:t>Journal of Medical Internet Research</w:t>
      </w:r>
      <w:r w:rsidRPr="0073500C">
        <w:rPr>
          <w:rFonts w:ascii="Arial" w:hAnsi="Arial" w:cs="Arial"/>
        </w:rPr>
        <w:t>, [online] 24(9), p.e38144. doi:10.2196/38144.</w:t>
      </w:r>
    </w:p>
    <w:p w:rsidRPr="0073500C" w:rsidR="0073500C" w:rsidP="00E5113D" w:rsidRDefault="0073500C" w14:paraId="39A2ED8B" w14:textId="77777777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0073500C">
        <w:rPr>
          <w:rFonts w:ascii="Arial" w:hAnsi="Arial" w:cs="Arial"/>
        </w:rPr>
        <w:t xml:space="preserve">Lindsay, R.K., Cunnington, P. and Dixon-Woods, M. (2025). Why is implementing remote monitoring in virtual wards (hospital at home) for people living with frailty so hard? Qualitative interview study. </w:t>
      </w:r>
      <w:r w:rsidRPr="0073500C">
        <w:rPr>
          <w:rFonts w:ascii="Arial" w:hAnsi="Arial" w:cs="Arial"/>
          <w:i/>
          <w:iCs/>
        </w:rPr>
        <w:t>Age and Ageing</w:t>
      </w:r>
      <w:r w:rsidRPr="0073500C">
        <w:rPr>
          <w:rFonts w:ascii="Arial" w:hAnsi="Arial" w:cs="Arial"/>
        </w:rPr>
        <w:t>, [online] 54(1). doi:10.1093/ageing/afaf003.</w:t>
      </w:r>
    </w:p>
    <w:p w:rsidRPr="0073500C" w:rsidR="0073500C" w:rsidP="00E5113D" w:rsidRDefault="0073500C" w14:paraId="3A7FCC0E" w14:textId="29CB30AA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0073500C">
        <w:rPr>
          <w:rFonts w:ascii="Arial" w:hAnsi="Arial" w:cs="Arial"/>
        </w:rPr>
        <w:t xml:space="preserve">Litchfield, I., Lewis, R., Gayathri Delanerolle, </w:t>
      </w:r>
      <w:proofErr w:type="spellStart"/>
      <w:r w:rsidRPr="0073500C">
        <w:rPr>
          <w:rFonts w:ascii="Arial" w:hAnsi="Arial" w:cs="Arial"/>
        </w:rPr>
        <w:t>Melyda</w:t>
      </w:r>
      <w:proofErr w:type="spellEnd"/>
      <w:r w:rsidRPr="0073500C">
        <w:rPr>
          <w:rFonts w:ascii="Arial" w:hAnsi="Arial" w:cs="Arial"/>
        </w:rPr>
        <w:t xml:space="preserve"> and Harper, L. (2025). Factors influencing the implementation of a multi-</w:t>
      </w:r>
      <w:r w:rsidRPr="0073500C" w:rsidR="00976B56">
        <w:rPr>
          <w:rFonts w:ascii="Arial" w:hAnsi="Arial" w:cs="Arial"/>
        </w:rPr>
        <w:t>specialty</w:t>
      </w:r>
      <w:r w:rsidRPr="0073500C">
        <w:rPr>
          <w:rFonts w:ascii="Arial" w:hAnsi="Arial" w:cs="Arial"/>
        </w:rPr>
        <w:t xml:space="preserve"> virtual ward </w:t>
      </w:r>
      <w:r w:rsidRPr="0073500C" w:rsidR="00976B56">
        <w:rPr>
          <w:rFonts w:ascii="Arial" w:hAnsi="Arial" w:cs="Arial"/>
        </w:rPr>
        <w:t>programmed</w:t>
      </w:r>
      <w:r w:rsidRPr="0073500C">
        <w:rPr>
          <w:rFonts w:ascii="Arial" w:hAnsi="Arial" w:cs="Arial"/>
        </w:rPr>
        <w:t xml:space="preserve"> in the UK: A qualitative study of staff experiences and perspectives (preprint). </w:t>
      </w:r>
      <w:r w:rsidRPr="0073500C">
        <w:rPr>
          <w:rFonts w:ascii="Arial" w:hAnsi="Arial" w:cs="Arial"/>
          <w:i/>
          <w:iCs/>
        </w:rPr>
        <w:t>Journal of Medical Internet Research</w:t>
      </w:r>
      <w:r w:rsidRPr="0073500C">
        <w:rPr>
          <w:rFonts w:ascii="Arial" w:hAnsi="Arial" w:cs="Arial"/>
        </w:rPr>
        <w:t xml:space="preserve">, [online] 27, </w:t>
      </w:r>
      <w:r w:rsidRPr="0073500C" w:rsidR="00976B56">
        <w:rPr>
          <w:rFonts w:ascii="Arial" w:hAnsi="Arial" w:cs="Arial"/>
        </w:rPr>
        <w:t>pp. e</w:t>
      </w:r>
      <w:r w:rsidRPr="0073500C">
        <w:rPr>
          <w:rFonts w:ascii="Arial" w:hAnsi="Arial" w:cs="Arial"/>
        </w:rPr>
        <w:t>75406-e75406. doi:10.2196/75406.</w:t>
      </w:r>
    </w:p>
    <w:p w:rsidRPr="0073500C" w:rsidR="0073500C" w:rsidP="00E5113D" w:rsidRDefault="0073500C" w14:paraId="53C417C4" w14:textId="77777777">
      <w:pPr>
        <w:spacing w:line="360" w:lineRule="auto"/>
        <w:ind w:left="720" w:hanging="720"/>
        <w:jc w:val="both"/>
        <w:rPr>
          <w:rFonts w:ascii="Arial" w:hAnsi="Arial" w:cs="Arial"/>
        </w:rPr>
      </w:pPr>
      <w:proofErr w:type="spellStart"/>
      <w:r w:rsidRPr="0073500C">
        <w:rPr>
          <w:rFonts w:ascii="Arial" w:hAnsi="Arial" w:cs="Arial"/>
        </w:rPr>
        <w:t>Malhis</w:t>
      </w:r>
      <w:proofErr w:type="spellEnd"/>
      <w:r w:rsidRPr="0073500C">
        <w:rPr>
          <w:rFonts w:ascii="Arial" w:hAnsi="Arial" w:cs="Arial"/>
        </w:rPr>
        <w:t xml:space="preserve">, R.A., Bond, S.E., Sadeq, A.A., </w:t>
      </w:r>
      <w:proofErr w:type="spellStart"/>
      <w:r w:rsidRPr="0073500C">
        <w:rPr>
          <w:rFonts w:ascii="Arial" w:hAnsi="Arial" w:cs="Arial"/>
        </w:rPr>
        <w:t>Shatnawi</w:t>
      </w:r>
      <w:proofErr w:type="spellEnd"/>
      <w:r w:rsidRPr="0073500C">
        <w:rPr>
          <w:rFonts w:ascii="Arial" w:hAnsi="Arial" w:cs="Arial"/>
        </w:rPr>
        <w:t xml:space="preserve">, R., Conway, B.R., Hasan, S.S. and </w:t>
      </w:r>
      <w:proofErr w:type="spellStart"/>
      <w:r w:rsidRPr="0073500C">
        <w:rPr>
          <w:rFonts w:ascii="Arial" w:hAnsi="Arial" w:cs="Arial"/>
        </w:rPr>
        <w:t>Aldeyab</w:t>
      </w:r>
      <w:proofErr w:type="spellEnd"/>
      <w:r w:rsidRPr="0073500C">
        <w:rPr>
          <w:rFonts w:ascii="Arial" w:hAnsi="Arial" w:cs="Arial"/>
        </w:rPr>
        <w:t>, M.A. (2025). Virtual healthcare compared to hospital care for acute and post</w:t>
      </w:r>
      <w:r w:rsidRPr="0073500C">
        <w:rPr>
          <w:rFonts w:ascii="Cambria Math" w:hAnsi="Cambria Math" w:cs="Cambria Math"/>
        </w:rPr>
        <w:t>‐</w:t>
      </w:r>
      <w:r w:rsidRPr="0073500C">
        <w:rPr>
          <w:rFonts w:ascii="Arial" w:hAnsi="Arial" w:cs="Arial"/>
        </w:rPr>
        <w:t>acute illness in adults: A systematic review and meta</w:t>
      </w:r>
      <w:r w:rsidRPr="0073500C">
        <w:rPr>
          <w:rFonts w:ascii="Cambria Math" w:hAnsi="Cambria Math" w:cs="Cambria Math"/>
        </w:rPr>
        <w:t>‐</w:t>
      </w:r>
      <w:r w:rsidRPr="0073500C">
        <w:rPr>
          <w:rFonts w:ascii="Arial" w:hAnsi="Arial" w:cs="Arial"/>
        </w:rPr>
        <w:t xml:space="preserve">analysis of randomized controlled trials. </w:t>
      </w:r>
      <w:r w:rsidRPr="0073500C">
        <w:rPr>
          <w:rFonts w:ascii="Arial" w:hAnsi="Arial" w:cs="Arial"/>
          <w:i/>
          <w:iCs/>
        </w:rPr>
        <w:t>British Journal of Clinical Pharmacology</w:t>
      </w:r>
      <w:r w:rsidRPr="0073500C">
        <w:rPr>
          <w:rFonts w:ascii="Arial" w:hAnsi="Arial" w:cs="Arial"/>
        </w:rPr>
        <w:t>, 92(2), pp.374–395. doi:10.1002/bcp.70348.</w:t>
      </w:r>
    </w:p>
    <w:p w:rsidR="0073500C" w:rsidP="00E5113D" w:rsidRDefault="0073500C" w14:paraId="24D09C83" w14:textId="4758646C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0073500C">
        <w:rPr>
          <w:rFonts w:ascii="Arial" w:hAnsi="Arial" w:cs="Arial"/>
        </w:rPr>
        <w:t xml:space="preserve">McGowan, L.J., Graham, F., </w:t>
      </w:r>
      <w:proofErr w:type="spellStart"/>
      <w:r w:rsidRPr="0073500C">
        <w:rPr>
          <w:rFonts w:ascii="Arial" w:hAnsi="Arial" w:cs="Arial"/>
        </w:rPr>
        <w:t>Lecouturier</w:t>
      </w:r>
      <w:proofErr w:type="spellEnd"/>
      <w:r w:rsidRPr="0073500C">
        <w:rPr>
          <w:rFonts w:ascii="Arial" w:hAnsi="Arial" w:cs="Arial"/>
        </w:rPr>
        <w:t xml:space="preserve">, J., Goffe, L., Echevarria, C., Kelly, M.P. and Sniehotta, F.F. (2024). The views and experiences of Integrated Care System Commissioners about the adoption and implementation of virtual </w:t>
      </w:r>
      <w:r w:rsidRPr="0073500C" w:rsidR="00756A1B">
        <w:rPr>
          <w:rFonts w:ascii="Arial" w:hAnsi="Arial" w:cs="Arial"/>
        </w:rPr>
        <w:t>words</w:t>
      </w:r>
      <w:r w:rsidRPr="0073500C">
        <w:rPr>
          <w:rFonts w:ascii="Arial" w:hAnsi="Arial" w:cs="Arial"/>
        </w:rPr>
        <w:t xml:space="preserve"> in England: Qualitative exploration study. </w:t>
      </w:r>
      <w:r w:rsidRPr="0073500C">
        <w:rPr>
          <w:rFonts w:ascii="Arial" w:hAnsi="Arial" w:cs="Arial"/>
          <w:i/>
          <w:iCs/>
        </w:rPr>
        <w:t>Journal of Medical Internet Research</w:t>
      </w:r>
      <w:r w:rsidRPr="0073500C">
        <w:rPr>
          <w:rFonts w:ascii="Arial" w:hAnsi="Arial" w:cs="Arial"/>
        </w:rPr>
        <w:t>, [online] 26, p.e56494. doi:10.2196/56494.</w:t>
      </w:r>
    </w:p>
    <w:p w:rsidRPr="00284E04" w:rsidR="00284E04" w:rsidP="18F71E22" w:rsidRDefault="00284E04" w14:paraId="72110D0D" w14:textId="46291AF4">
      <w:pPr>
        <w:spacing w:line="360" w:lineRule="auto"/>
        <w:ind w:left="720" w:hanging="720"/>
        <w:jc w:val="both"/>
        <w:rPr>
          <w:rFonts w:ascii="Arial" w:hAnsi="Arial" w:cs="Arial"/>
          <w:b w:val="1"/>
          <w:bCs w:val="1"/>
        </w:rPr>
      </w:pPr>
      <w:r w:rsidRPr="18F71E22" w:rsidR="7157DB5A">
        <w:rPr>
          <w:rStyle w:val="Strong"/>
          <w:rFonts w:ascii="Arial" w:hAnsi="Arial" w:cs="Arial"/>
          <w:b w:val="0"/>
          <w:bCs w:val="0"/>
        </w:rPr>
        <w:t xml:space="preserve">NHS England – London (2023) </w:t>
      </w:r>
      <w:r w:rsidRPr="18F71E22" w:rsidR="7157DB5A">
        <w:rPr>
          <w:rStyle w:val="Emphasis"/>
          <w:rFonts w:ascii="Arial" w:hAnsi="Arial" w:cs="Arial"/>
        </w:rPr>
        <w:t xml:space="preserve">More London patients </w:t>
      </w:r>
      <w:r w:rsidRPr="18F71E22" w:rsidR="403FF9F5">
        <w:rPr>
          <w:rStyle w:val="Emphasis"/>
          <w:rFonts w:ascii="Arial" w:hAnsi="Arial" w:cs="Arial"/>
        </w:rPr>
        <w:t>benefiting</w:t>
      </w:r>
      <w:r w:rsidRPr="18F71E22" w:rsidR="7157DB5A">
        <w:rPr>
          <w:rStyle w:val="Emphasis"/>
          <w:rFonts w:ascii="Arial" w:hAnsi="Arial" w:cs="Arial"/>
        </w:rPr>
        <w:t xml:space="preserve"> from hospital-level care at home</w:t>
      </w:r>
      <w:r w:rsidRPr="18F71E22" w:rsidR="7157DB5A">
        <w:rPr>
          <w:rStyle w:val="Strong"/>
          <w:rFonts w:ascii="Arial" w:hAnsi="Arial" w:cs="Arial"/>
          <w:b w:val="0"/>
          <w:bCs w:val="0"/>
        </w:rPr>
        <w:t>. 12 October. Available at:</w:t>
      </w:r>
      <w:r w:rsidRPr="18F71E22" w:rsidR="7157DB5A">
        <w:rPr>
          <w:rFonts w:ascii="Arial" w:hAnsi="Arial" w:cs="Arial"/>
          <w:b w:val="1"/>
          <w:bCs w:val="1"/>
        </w:rPr>
        <w:t xml:space="preserve"> </w:t>
      </w:r>
      <w:hyperlink r:id="Rcc1fdfbc88ba4e56">
        <w:r w:rsidRPr="18F71E22" w:rsidR="7157DB5A">
          <w:rPr>
            <w:rStyle w:val="Hyperlink"/>
            <w:rFonts w:ascii="Arial" w:hAnsi="Arial" w:cs="Arial"/>
          </w:rPr>
          <w:t>NHS England London – Virtual Wards</w:t>
        </w:r>
      </w:hyperlink>
      <w:r w:rsidRPr="18F71E22" w:rsidR="7157DB5A">
        <w:rPr>
          <w:rFonts w:ascii="Arial" w:hAnsi="Arial" w:cs="Arial"/>
          <w:b w:val="1"/>
          <w:bCs w:val="1"/>
        </w:rPr>
        <w:t xml:space="preserve"> </w:t>
      </w:r>
    </w:p>
    <w:p w:rsidRPr="0073500C" w:rsidR="0073500C" w:rsidP="00E5113D" w:rsidRDefault="0073500C" w14:paraId="132EA629" w14:textId="42476F67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0073500C">
        <w:rPr>
          <w:rFonts w:ascii="Arial" w:hAnsi="Arial" w:cs="Arial"/>
        </w:rPr>
        <w:t xml:space="preserve">Norman, G., Bennett, P. and Vardy, E.R.L.C. (2023). Virtual </w:t>
      </w:r>
      <w:r w:rsidRPr="0073500C" w:rsidR="00D77C82">
        <w:rPr>
          <w:rFonts w:ascii="Arial" w:hAnsi="Arial" w:cs="Arial"/>
        </w:rPr>
        <w:t>words</w:t>
      </w:r>
      <w:r w:rsidRPr="0073500C">
        <w:rPr>
          <w:rFonts w:ascii="Arial" w:hAnsi="Arial" w:cs="Arial"/>
        </w:rPr>
        <w:t xml:space="preserve">: A rapid evidence synthesis and implications for the care of older people. </w:t>
      </w:r>
      <w:r w:rsidRPr="0073500C">
        <w:rPr>
          <w:rFonts w:ascii="Arial" w:hAnsi="Arial" w:cs="Arial"/>
          <w:i/>
          <w:iCs/>
        </w:rPr>
        <w:t>Age and Ageing</w:t>
      </w:r>
      <w:r w:rsidRPr="0073500C">
        <w:rPr>
          <w:rFonts w:ascii="Arial" w:hAnsi="Arial" w:cs="Arial"/>
        </w:rPr>
        <w:t>, 52(1). doi:10.1093/ageing/afac319.</w:t>
      </w:r>
    </w:p>
    <w:p w:rsidRPr="0073500C" w:rsidR="0073500C" w:rsidP="00E5113D" w:rsidRDefault="0073500C" w14:paraId="7FA91EE0" w14:textId="77777777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0073500C">
        <w:rPr>
          <w:rFonts w:ascii="Arial" w:hAnsi="Arial" w:cs="Arial"/>
        </w:rPr>
        <w:t xml:space="preserve">Rasoul, D., Chattopadhyay, I., Mayer, T., West, J., Stollar, H., Black, C., </w:t>
      </w:r>
      <w:proofErr w:type="spellStart"/>
      <w:r w:rsidRPr="0073500C">
        <w:rPr>
          <w:rFonts w:ascii="Arial" w:hAnsi="Arial" w:cs="Arial"/>
        </w:rPr>
        <w:t>Oguguo</w:t>
      </w:r>
      <w:proofErr w:type="spellEnd"/>
      <w:r w:rsidRPr="0073500C">
        <w:rPr>
          <w:rFonts w:ascii="Arial" w:hAnsi="Arial" w:cs="Arial"/>
        </w:rPr>
        <w:t xml:space="preserve">, C., Kaur, R., MacDonald, R., Pocock, J., </w:t>
      </w:r>
      <w:proofErr w:type="spellStart"/>
      <w:r w:rsidRPr="0073500C">
        <w:rPr>
          <w:rFonts w:ascii="Arial" w:hAnsi="Arial" w:cs="Arial"/>
        </w:rPr>
        <w:t>Uzdzinska</w:t>
      </w:r>
      <w:proofErr w:type="spellEnd"/>
      <w:r w:rsidRPr="0073500C">
        <w:rPr>
          <w:rFonts w:ascii="Arial" w:hAnsi="Arial" w:cs="Arial"/>
        </w:rPr>
        <w:t xml:space="preserve">, B., Umpleby, B., Hex, N., Lip, G.Y.H. and Sankaranarayanan, R. (2024). Economic evaluation of the Liverpool heart failure virtual ward model. </w:t>
      </w:r>
      <w:r w:rsidRPr="0073500C">
        <w:rPr>
          <w:rFonts w:ascii="Arial" w:hAnsi="Arial" w:cs="Arial"/>
          <w:i/>
          <w:iCs/>
        </w:rPr>
        <w:t>European Heart Journal - Quality of Care and Clinical Outcomes</w:t>
      </w:r>
      <w:r w:rsidRPr="0073500C">
        <w:rPr>
          <w:rFonts w:ascii="Arial" w:hAnsi="Arial" w:cs="Arial"/>
        </w:rPr>
        <w:t>. [online] doi:10.1093/</w:t>
      </w:r>
      <w:proofErr w:type="spellStart"/>
      <w:r w:rsidRPr="0073500C">
        <w:rPr>
          <w:rFonts w:ascii="Arial" w:hAnsi="Arial" w:cs="Arial"/>
        </w:rPr>
        <w:t>ehjqcco</w:t>
      </w:r>
      <w:proofErr w:type="spellEnd"/>
      <w:r w:rsidRPr="0073500C">
        <w:rPr>
          <w:rFonts w:ascii="Arial" w:hAnsi="Arial" w:cs="Arial"/>
        </w:rPr>
        <w:t>/qcae095.</w:t>
      </w:r>
    </w:p>
    <w:p w:rsidRPr="0073500C" w:rsidR="0073500C" w:rsidP="00E5113D" w:rsidRDefault="0073500C" w14:paraId="1612691E" w14:textId="5806320A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18F71E22" w:rsidR="7B360C97">
        <w:rPr>
          <w:rFonts w:ascii="Arial" w:hAnsi="Arial" w:cs="Arial"/>
        </w:rPr>
        <w:t>Renée, P.G., Denes, S.</w:t>
      </w:r>
      <w:r w:rsidRPr="18F71E22" w:rsidR="32DD0F8A">
        <w:rPr>
          <w:rFonts w:ascii="Arial" w:hAnsi="Arial" w:cs="Arial"/>
        </w:rPr>
        <w:t>, and</w:t>
      </w:r>
      <w:r w:rsidRPr="18F71E22" w:rsidR="7B360C97">
        <w:rPr>
          <w:rFonts w:ascii="Arial" w:hAnsi="Arial" w:cs="Arial"/>
        </w:rPr>
        <w:t xml:space="preserve"> </w:t>
      </w:r>
      <w:r w:rsidRPr="18F71E22" w:rsidR="7B360C97">
        <w:rPr>
          <w:rFonts w:ascii="Arial" w:hAnsi="Arial" w:cs="Arial"/>
        </w:rPr>
        <w:t>Jayatunga</w:t>
      </w:r>
      <w:r w:rsidRPr="18F71E22" w:rsidR="7B360C97">
        <w:rPr>
          <w:rFonts w:ascii="Arial" w:hAnsi="Arial" w:cs="Arial"/>
        </w:rPr>
        <w:t xml:space="preserve">, W. (2025). The equity of virtual ward models of care across sociodemographic groups in the United Kingdom – a systematic review. </w:t>
      </w:r>
      <w:r w:rsidRPr="18F71E22" w:rsidR="7B360C97">
        <w:rPr>
          <w:rFonts w:ascii="Arial" w:hAnsi="Arial" w:cs="Arial"/>
          <w:i w:val="1"/>
          <w:iCs w:val="1"/>
        </w:rPr>
        <w:t>Journal of Integrated Care</w:t>
      </w:r>
      <w:r w:rsidRPr="18F71E22" w:rsidR="7B360C97">
        <w:rPr>
          <w:rFonts w:ascii="Arial" w:hAnsi="Arial" w:cs="Arial"/>
        </w:rPr>
        <w:t>, [online] 34(1), pp.58–74. doi:10.1108/JICA-03-2025-0018.</w:t>
      </w:r>
    </w:p>
    <w:p w:rsidRPr="0073500C" w:rsidR="0073500C" w:rsidP="00E5113D" w:rsidRDefault="0073500C" w14:paraId="5B57738C" w14:textId="77777777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0073500C">
        <w:rPr>
          <w:rFonts w:ascii="Arial" w:hAnsi="Arial" w:cs="Arial"/>
        </w:rPr>
        <w:t xml:space="preserve">Serrano, L.P., Maita, K.C., Ávila, F.R., Guzman, R.A.T., Garcia, J.P., </w:t>
      </w:r>
      <w:proofErr w:type="spellStart"/>
      <w:r w:rsidRPr="0073500C">
        <w:rPr>
          <w:rFonts w:ascii="Arial" w:hAnsi="Arial" w:cs="Arial"/>
        </w:rPr>
        <w:t>Eldaly</w:t>
      </w:r>
      <w:proofErr w:type="spellEnd"/>
      <w:r w:rsidRPr="0073500C">
        <w:rPr>
          <w:rFonts w:ascii="Arial" w:hAnsi="Arial" w:cs="Arial"/>
        </w:rPr>
        <w:t xml:space="preserve">, A.S., Haider, C.R., Felton, C.L., Paulson, M.R., Maniaci, M.J. and Forte, A.J. (2023). Benefits and challenges of remote patient monitoring as perceived by health care practitioners: A systematic review. </w:t>
      </w:r>
      <w:r w:rsidRPr="0073500C">
        <w:rPr>
          <w:rFonts w:ascii="Arial" w:hAnsi="Arial" w:cs="Arial"/>
          <w:i/>
          <w:iCs/>
        </w:rPr>
        <w:t>The Permanente Journal</w:t>
      </w:r>
      <w:r w:rsidRPr="0073500C">
        <w:rPr>
          <w:rFonts w:ascii="Arial" w:hAnsi="Arial" w:cs="Arial"/>
        </w:rPr>
        <w:t>, [online] 27(4), pp.1–12. doi:10.7812/</w:t>
      </w:r>
      <w:proofErr w:type="spellStart"/>
      <w:r w:rsidRPr="0073500C">
        <w:rPr>
          <w:rFonts w:ascii="Arial" w:hAnsi="Arial" w:cs="Arial"/>
        </w:rPr>
        <w:t>tpp</w:t>
      </w:r>
      <w:proofErr w:type="spellEnd"/>
      <w:r w:rsidRPr="0073500C">
        <w:rPr>
          <w:rFonts w:ascii="Arial" w:hAnsi="Arial" w:cs="Arial"/>
        </w:rPr>
        <w:t>/23.022.</w:t>
      </w:r>
    </w:p>
    <w:p w:rsidRPr="0073500C" w:rsidR="0073500C" w:rsidP="00E5113D" w:rsidRDefault="0073500C" w14:paraId="44F89EEC" w14:textId="08B32FBE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0073500C">
        <w:rPr>
          <w:rFonts w:ascii="Arial" w:hAnsi="Arial" w:cs="Arial"/>
        </w:rPr>
        <w:t xml:space="preserve">Shi, C., </w:t>
      </w:r>
      <w:proofErr w:type="spellStart"/>
      <w:r w:rsidRPr="0073500C">
        <w:rPr>
          <w:rFonts w:ascii="Arial" w:hAnsi="Arial" w:cs="Arial"/>
        </w:rPr>
        <w:t>Dumville</w:t>
      </w:r>
      <w:proofErr w:type="spellEnd"/>
      <w:r w:rsidRPr="0073500C">
        <w:rPr>
          <w:rFonts w:ascii="Arial" w:hAnsi="Arial" w:cs="Arial"/>
        </w:rPr>
        <w:t xml:space="preserve">, J., Rubinstein, F., Norman, G., Ullah, A., Bashir, S., Bower, P. and Vardy, E.R.L.C. (2024). Inpatient-level care at home delivered by virtual wards and </w:t>
      </w:r>
      <w:r w:rsidRPr="0073500C" w:rsidR="00D77C82">
        <w:rPr>
          <w:rFonts w:ascii="Arial" w:hAnsi="Arial" w:cs="Arial"/>
        </w:rPr>
        <w:t>hospitals</w:t>
      </w:r>
      <w:r w:rsidRPr="0073500C">
        <w:rPr>
          <w:rFonts w:ascii="Arial" w:hAnsi="Arial" w:cs="Arial"/>
        </w:rPr>
        <w:t xml:space="preserve"> at home: A systematic review and meta-analysis of complex interventions and their components. </w:t>
      </w:r>
      <w:r w:rsidRPr="0073500C">
        <w:rPr>
          <w:rFonts w:ascii="Arial" w:hAnsi="Arial" w:cs="Arial"/>
          <w:i/>
          <w:iCs/>
        </w:rPr>
        <w:t>BMC Medicine</w:t>
      </w:r>
      <w:r w:rsidRPr="0073500C">
        <w:rPr>
          <w:rFonts w:ascii="Arial" w:hAnsi="Arial" w:cs="Arial"/>
        </w:rPr>
        <w:t>, [online] 22(1). doi:10.1186/s12916-024-03312-3.</w:t>
      </w:r>
    </w:p>
    <w:p w:rsidRPr="0073500C" w:rsidR="0073500C" w:rsidP="00E5113D" w:rsidRDefault="0073500C" w14:paraId="10F58E24" w14:textId="3A537DB7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18F71E22" w:rsidR="7B360C97">
        <w:rPr>
          <w:rFonts w:ascii="Arial" w:hAnsi="Arial" w:cs="Arial"/>
        </w:rPr>
        <w:t xml:space="preserve">Ward, K., Jackson, T., </w:t>
      </w:r>
      <w:r w:rsidRPr="18F71E22" w:rsidR="7B360C97">
        <w:rPr>
          <w:rFonts w:ascii="Arial" w:hAnsi="Arial" w:cs="Arial"/>
        </w:rPr>
        <w:t>Bartyn</w:t>
      </w:r>
      <w:r w:rsidRPr="18F71E22" w:rsidR="7B360C97">
        <w:rPr>
          <w:rFonts w:ascii="Arial" w:hAnsi="Arial" w:cs="Arial"/>
        </w:rPr>
        <w:t xml:space="preserve">, J., Saad, S., </w:t>
      </w:r>
      <w:r w:rsidRPr="18F71E22" w:rsidR="7B360C97">
        <w:rPr>
          <w:rFonts w:ascii="Arial" w:hAnsi="Arial" w:cs="Arial"/>
        </w:rPr>
        <w:t>Amanatidis</w:t>
      </w:r>
      <w:r w:rsidRPr="18F71E22" w:rsidR="7B360C97">
        <w:rPr>
          <w:rFonts w:ascii="Arial" w:hAnsi="Arial" w:cs="Arial"/>
        </w:rPr>
        <w:t xml:space="preserve">, S., Hutchings, </w:t>
      </w:r>
      <w:r w:rsidRPr="18F71E22" w:rsidR="7B360C97">
        <w:rPr>
          <w:rFonts w:ascii="Arial" w:hAnsi="Arial" w:cs="Arial"/>
        </w:rPr>
        <w:t>O.</w:t>
      </w:r>
      <w:r w:rsidRPr="18F71E22" w:rsidR="7B360C97">
        <w:rPr>
          <w:rFonts w:ascii="Arial" w:hAnsi="Arial" w:cs="Arial"/>
        </w:rPr>
        <w:t xml:space="preserve"> and Lau, A.Y.S. (2026). Virtual caregiving and the evolving role of carers and patients: Virtual hospital interview analysis. </w:t>
      </w:r>
      <w:r w:rsidRPr="18F71E22" w:rsidR="7B360C97">
        <w:rPr>
          <w:rFonts w:ascii="Arial" w:hAnsi="Arial" w:cs="Arial"/>
          <w:i w:val="1"/>
          <w:iCs w:val="1"/>
        </w:rPr>
        <w:t>Patient Experience Journal</w:t>
      </w:r>
      <w:r w:rsidRPr="18F71E22" w:rsidR="7B360C97">
        <w:rPr>
          <w:rFonts w:ascii="Arial" w:hAnsi="Arial" w:cs="Arial"/>
        </w:rPr>
        <w:t>, [online] 13(1), pp</w:t>
      </w:r>
      <w:r w:rsidRPr="18F71E22" w:rsidR="488A9FCC">
        <w:rPr>
          <w:rFonts w:ascii="Arial" w:hAnsi="Arial" w:cs="Arial"/>
        </w:rPr>
        <w:t>. 249</w:t>
      </w:r>
      <w:r w:rsidRPr="18F71E22" w:rsidR="7B360C97">
        <w:rPr>
          <w:rFonts w:ascii="Arial" w:hAnsi="Arial" w:cs="Arial"/>
        </w:rPr>
        <w:t>–264. doi:10.35680/2372-0247.2083.</w:t>
      </w:r>
    </w:p>
    <w:p w:rsidRPr="0073500C" w:rsidR="0073500C" w:rsidP="00E5113D" w:rsidRDefault="0073500C" w14:paraId="375ABCB7" w14:textId="43567650">
      <w:pPr>
        <w:spacing w:line="360" w:lineRule="auto"/>
        <w:ind w:left="720" w:hanging="720"/>
        <w:jc w:val="both"/>
        <w:rPr>
          <w:rFonts w:ascii="Arial" w:hAnsi="Arial" w:cs="Arial"/>
        </w:rPr>
      </w:pPr>
      <w:r w:rsidRPr="0073500C">
        <w:rPr>
          <w:rFonts w:ascii="Arial" w:hAnsi="Arial" w:cs="Arial"/>
        </w:rPr>
        <w:t xml:space="preserve">Westby, M., Ijaz, S., Jelena Savović, McLeod, H., Dawson, S., Welsh, T., Hein Le Roux, Walsh, N. and Bradley, N. (2024). Virtual </w:t>
      </w:r>
      <w:r w:rsidRPr="0073500C" w:rsidR="00D77C82">
        <w:rPr>
          <w:rFonts w:ascii="Arial" w:hAnsi="Arial" w:cs="Arial"/>
        </w:rPr>
        <w:t>words</w:t>
      </w:r>
      <w:r w:rsidRPr="0073500C">
        <w:rPr>
          <w:rFonts w:ascii="Arial" w:hAnsi="Arial" w:cs="Arial"/>
        </w:rPr>
        <w:t xml:space="preserve"> for people with frailty: What works, for whom, how and why—A rapid realist review. </w:t>
      </w:r>
      <w:r w:rsidRPr="0073500C">
        <w:rPr>
          <w:rFonts w:ascii="Arial" w:hAnsi="Arial" w:cs="Arial"/>
          <w:i/>
          <w:iCs/>
        </w:rPr>
        <w:t>Age and Ageing</w:t>
      </w:r>
      <w:r w:rsidRPr="0073500C">
        <w:rPr>
          <w:rFonts w:ascii="Arial" w:hAnsi="Arial" w:cs="Arial"/>
        </w:rPr>
        <w:t>, 53(3). doi:10.1093/ageing/afae039.</w:t>
      </w:r>
    </w:p>
    <w:p w:rsidRPr="0073500C" w:rsidR="0073500C" w:rsidP="00E5113D" w:rsidRDefault="0073500C" w14:paraId="2F0696D1" w14:textId="77777777">
      <w:pPr>
        <w:spacing w:line="360" w:lineRule="auto"/>
        <w:ind w:left="720" w:hanging="720"/>
        <w:jc w:val="both"/>
        <w:rPr>
          <w:rFonts w:ascii="Arial" w:hAnsi="Arial" w:cs="Arial"/>
        </w:rPr>
      </w:pPr>
    </w:p>
    <w:sectPr w:rsidRPr="0073500C" w:rsidR="0073500C" w:rsidSect="00E5113D">
      <w:footerReference w:type="default" r:id="rId11"/>
      <w:pgSz w:w="12240" w:h="15840" w:orient="portrait"/>
      <w:pgMar w:top="1440" w:right="1440" w:bottom="1440" w:left="1440" w:header="720" w:footer="720" w:gutter="0"/>
      <w:pgBorders w:offsetFrom="page">
        <w:top w:val="single" w:color="auto" w:sz="4" w:space="24"/>
        <w:left w:val="single" w:color="auto" w:sz="4" w:space="24"/>
        <w:bottom w:val="single" w:color="auto" w:sz="4" w:space="24"/>
        <w:right w:val="single" w:color="auto" w:sz="4" w:space="24"/>
      </w:pgBorders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461C77" w:rsidP="00E5113D" w:rsidRDefault="00461C77" w14:paraId="1369A3E6" w14:textId="77777777">
      <w:pPr>
        <w:spacing w:after="0" w:line="240" w:lineRule="auto"/>
      </w:pPr>
      <w:r>
        <w:separator/>
      </w:r>
    </w:p>
  </w:endnote>
  <w:endnote w:type="continuationSeparator" w:id="0">
    <w:p w:rsidR="00461C77" w:rsidP="00E5113D" w:rsidRDefault="00461C77" w14:paraId="55C62876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44571669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E5113D" w:rsidRDefault="00E5113D" w14:paraId="22C4ECED" w14:textId="7777777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E6224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E5113D" w:rsidRDefault="00E5113D" w14:paraId="77C1F704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461C77" w:rsidP="00E5113D" w:rsidRDefault="00461C77" w14:paraId="278635C1" w14:textId="77777777">
      <w:pPr>
        <w:spacing w:after="0" w:line="240" w:lineRule="auto"/>
      </w:pPr>
      <w:r>
        <w:separator/>
      </w:r>
    </w:p>
  </w:footnote>
  <w:footnote w:type="continuationSeparator" w:id="0">
    <w:p w:rsidR="00461C77" w:rsidP="00E5113D" w:rsidRDefault="00461C77" w14:paraId="54F8A1EE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13E96"/>
    <w:rsid w:val="000013CE"/>
    <w:rsid w:val="00013E96"/>
    <w:rsid w:val="00082F13"/>
    <w:rsid w:val="000A61F1"/>
    <w:rsid w:val="000F2C4C"/>
    <w:rsid w:val="00163E11"/>
    <w:rsid w:val="00192B8A"/>
    <w:rsid w:val="001C6D39"/>
    <w:rsid w:val="001FC0FF"/>
    <w:rsid w:val="00211DCA"/>
    <w:rsid w:val="002739BE"/>
    <w:rsid w:val="00284E04"/>
    <w:rsid w:val="00303699"/>
    <w:rsid w:val="003041DD"/>
    <w:rsid w:val="00312082"/>
    <w:rsid w:val="00370547"/>
    <w:rsid w:val="0040746F"/>
    <w:rsid w:val="00451CFD"/>
    <w:rsid w:val="00461C77"/>
    <w:rsid w:val="004C30C6"/>
    <w:rsid w:val="005040AD"/>
    <w:rsid w:val="00533159"/>
    <w:rsid w:val="006253A1"/>
    <w:rsid w:val="006E540B"/>
    <w:rsid w:val="006F132A"/>
    <w:rsid w:val="0073500C"/>
    <w:rsid w:val="00756A1B"/>
    <w:rsid w:val="00773257"/>
    <w:rsid w:val="007759A3"/>
    <w:rsid w:val="007E0631"/>
    <w:rsid w:val="007E76EF"/>
    <w:rsid w:val="00804771"/>
    <w:rsid w:val="008C7CEF"/>
    <w:rsid w:val="008D5880"/>
    <w:rsid w:val="0095623D"/>
    <w:rsid w:val="00976B56"/>
    <w:rsid w:val="00A0185B"/>
    <w:rsid w:val="00A07CDB"/>
    <w:rsid w:val="00AE75EE"/>
    <w:rsid w:val="00B87787"/>
    <w:rsid w:val="00B90E32"/>
    <w:rsid w:val="00BB59EC"/>
    <w:rsid w:val="00C22F4C"/>
    <w:rsid w:val="00C767F0"/>
    <w:rsid w:val="00D339A3"/>
    <w:rsid w:val="00D42C97"/>
    <w:rsid w:val="00D654A3"/>
    <w:rsid w:val="00D71BE4"/>
    <w:rsid w:val="00D77C82"/>
    <w:rsid w:val="00DE0318"/>
    <w:rsid w:val="00DFF9E8"/>
    <w:rsid w:val="00E507FF"/>
    <w:rsid w:val="00E5113D"/>
    <w:rsid w:val="00EE6224"/>
    <w:rsid w:val="00EF380B"/>
    <w:rsid w:val="00FF44CF"/>
    <w:rsid w:val="07D13B58"/>
    <w:rsid w:val="0801105A"/>
    <w:rsid w:val="08BB8A6C"/>
    <w:rsid w:val="091EB5CC"/>
    <w:rsid w:val="0C9457B9"/>
    <w:rsid w:val="0CDD2BBD"/>
    <w:rsid w:val="0D700AF4"/>
    <w:rsid w:val="0FBA7F23"/>
    <w:rsid w:val="104E17A5"/>
    <w:rsid w:val="120100BA"/>
    <w:rsid w:val="15318820"/>
    <w:rsid w:val="1577091D"/>
    <w:rsid w:val="1657551C"/>
    <w:rsid w:val="186C9CF7"/>
    <w:rsid w:val="18F71E22"/>
    <w:rsid w:val="19473729"/>
    <w:rsid w:val="1D62CF46"/>
    <w:rsid w:val="1DDB1658"/>
    <w:rsid w:val="1EEA21D7"/>
    <w:rsid w:val="2148097A"/>
    <w:rsid w:val="214FD4F5"/>
    <w:rsid w:val="2BC8C729"/>
    <w:rsid w:val="2BFB7CD4"/>
    <w:rsid w:val="2D43BA97"/>
    <w:rsid w:val="2E3B76AD"/>
    <w:rsid w:val="3059FF6C"/>
    <w:rsid w:val="30646D3A"/>
    <w:rsid w:val="31A202EF"/>
    <w:rsid w:val="326F5A67"/>
    <w:rsid w:val="32DD0F8A"/>
    <w:rsid w:val="32F62933"/>
    <w:rsid w:val="3455B6F8"/>
    <w:rsid w:val="34CD249A"/>
    <w:rsid w:val="359FDE8D"/>
    <w:rsid w:val="3A23F739"/>
    <w:rsid w:val="3B41B98F"/>
    <w:rsid w:val="3DF1BBD7"/>
    <w:rsid w:val="3FCDBABB"/>
    <w:rsid w:val="40176A7C"/>
    <w:rsid w:val="403FF9F5"/>
    <w:rsid w:val="4229962C"/>
    <w:rsid w:val="434E215C"/>
    <w:rsid w:val="444AB538"/>
    <w:rsid w:val="4480E735"/>
    <w:rsid w:val="44C9543F"/>
    <w:rsid w:val="45210AD8"/>
    <w:rsid w:val="45B682A8"/>
    <w:rsid w:val="468BCEE1"/>
    <w:rsid w:val="488A9FCC"/>
    <w:rsid w:val="49826BF5"/>
    <w:rsid w:val="4B2C4118"/>
    <w:rsid w:val="51EC7012"/>
    <w:rsid w:val="52747CE2"/>
    <w:rsid w:val="56BA792D"/>
    <w:rsid w:val="57264026"/>
    <w:rsid w:val="5A8A0754"/>
    <w:rsid w:val="5EB82103"/>
    <w:rsid w:val="6025210D"/>
    <w:rsid w:val="61774FE7"/>
    <w:rsid w:val="63CAF548"/>
    <w:rsid w:val="660F6A03"/>
    <w:rsid w:val="665DFA93"/>
    <w:rsid w:val="669A1159"/>
    <w:rsid w:val="6AC898A1"/>
    <w:rsid w:val="6D347E2E"/>
    <w:rsid w:val="7003EC7A"/>
    <w:rsid w:val="70CA32F8"/>
    <w:rsid w:val="7157DB5A"/>
    <w:rsid w:val="72162686"/>
    <w:rsid w:val="728142E8"/>
    <w:rsid w:val="760C50EA"/>
    <w:rsid w:val="763090E5"/>
    <w:rsid w:val="78B4D7E6"/>
    <w:rsid w:val="7A11569A"/>
    <w:rsid w:val="7ACDE080"/>
    <w:rsid w:val="7B360C97"/>
    <w:rsid w:val="7BDC27E8"/>
    <w:rsid w:val="7C8F1341"/>
    <w:rsid w:val="7C9B676D"/>
    <w:rsid w:val="7E0AC3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F9FAE9"/>
  <w15:chartTrackingRefBased/>
  <w15:docId w15:val="{282E710A-99DC-4379-9F32-A7DC5083BD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5113D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013E96"/>
    <w:pPr>
      <w:spacing w:before="100" w:beforeAutospacing="1" w:after="100" w:afterAutospacing="1" w:line="240" w:lineRule="auto"/>
      <w:outlineLvl w:val="1"/>
    </w:pPr>
    <w:rPr>
      <w:rFonts w:ascii="Times New Roman" w:hAnsi="Times New Roman" w:eastAsia="Times New Roman" w:cs="Times New Roman"/>
      <w:b/>
      <w:bCs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13E96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2Char" w:customStyle="1">
    <w:name w:val="Heading 2 Char"/>
    <w:basedOn w:val="DefaultParagraphFont"/>
    <w:link w:val="Heading2"/>
    <w:uiPriority w:val="9"/>
    <w:rsid w:val="00013E96"/>
    <w:rPr>
      <w:rFonts w:ascii="Times New Roman" w:hAnsi="Times New Roman" w:eastAsia="Times New Roman" w:cs="Times New Roman"/>
      <w:b/>
      <w:bCs/>
      <w:sz w:val="36"/>
      <w:szCs w:val="36"/>
    </w:rPr>
  </w:style>
  <w:style w:type="paragraph" w:styleId="NormalWeb">
    <w:name w:val="Normal (Web)"/>
    <w:basedOn w:val="Normal"/>
    <w:uiPriority w:val="99"/>
    <w:unhideWhenUsed/>
    <w:rsid w:val="00013E96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</w:rPr>
  </w:style>
  <w:style w:type="character" w:styleId="Heading3Char" w:customStyle="1">
    <w:name w:val="Heading 3 Char"/>
    <w:basedOn w:val="DefaultParagraphFont"/>
    <w:link w:val="Heading3"/>
    <w:uiPriority w:val="9"/>
    <w:rsid w:val="00013E96"/>
    <w:rPr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w:type="character" w:styleId="Strong">
    <w:name w:val="Strong"/>
    <w:basedOn w:val="DefaultParagraphFont"/>
    <w:uiPriority w:val="22"/>
    <w:qFormat/>
    <w:rsid w:val="00013E96"/>
    <w:rPr>
      <w:b/>
      <w:bCs/>
    </w:rPr>
  </w:style>
  <w:style w:type="character" w:styleId="cursor-pointer" w:customStyle="1">
    <w:name w:val="cursor-pointer"/>
    <w:basedOn w:val="DefaultParagraphFont"/>
    <w:rsid w:val="00013E96"/>
  </w:style>
  <w:style w:type="paragraph" w:styleId="pdq2pgselectionanchorcontainer" w:customStyle="1">
    <w:name w:val="pdq2pg_selectionanchorcontainer"/>
    <w:basedOn w:val="Normal"/>
    <w:rsid w:val="0073500C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</w:rPr>
  </w:style>
  <w:style w:type="paragraph" w:styleId="Caption">
    <w:name w:val="caption"/>
    <w:basedOn w:val="Normal"/>
    <w:next w:val="Normal"/>
    <w:uiPriority w:val="35"/>
    <w:unhideWhenUsed/>
    <w:qFormat/>
    <w:rsid w:val="0073500C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Heading1Char" w:customStyle="1">
    <w:name w:val="Heading 1 Char"/>
    <w:basedOn w:val="DefaultParagraphFont"/>
    <w:link w:val="Heading1"/>
    <w:uiPriority w:val="9"/>
    <w:rsid w:val="00E5113D"/>
    <w:rPr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w:type="paragraph" w:styleId="NoSpacing">
    <w:name w:val="No Spacing"/>
    <w:link w:val="NoSpacingChar"/>
    <w:uiPriority w:val="1"/>
    <w:qFormat/>
    <w:rsid w:val="00E5113D"/>
    <w:pPr>
      <w:spacing w:after="0" w:line="240" w:lineRule="auto"/>
    </w:pPr>
  </w:style>
  <w:style w:type="paragraph" w:styleId="TOCHeading">
    <w:name w:val="TOC Heading"/>
    <w:basedOn w:val="Heading1"/>
    <w:next w:val="Normal"/>
    <w:uiPriority w:val="39"/>
    <w:unhideWhenUsed/>
    <w:qFormat/>
    <w:rsid w:val="00E5113D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E5113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5113D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E5113D"/>
    <w:rPr>
      <w:color w:val="0563C1" w:themeColor="hyperlink"/>
      <w:u w:val="single"/>
    </w:rPr>
  </w:style>
  <w:style w:type="character" w:styleId="NoSpacingChar" w:customStyle="1">
    <w:name w:val="No Spacing Char"/>
    <w:basedOn w:val="DefaultParagraphFont"/>
    <w:link w:val="NoSpacing"/>
    <w:uiPriority w:val="1"/>
    <w:rsid w:val="00E5113D"/>
  </w:style>
  <w:style w:type="paragraph" w:styleId="Title">
    <w:name w:val="Title"/>
    <w:basedOn w:val="Normal"/>
    <w:next w:val="Normal"/>
    <w:link w:val="TitleChar"/>
    <w:uiPriority w:val="10"/>
    <w:qFormat/>
    <w:rsid w:val="00E5113D"/>
    <w:pPr>
      <w:spacing w:after="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E5113D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E5113D"/>
    <w:pPr>
      <w:tabs>
        <w:tab w:val="center" w:pos="4680"/>
        <w:tab w:val="right" w:pos="9360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E5113D"/>
  </w:style>
  <w:style w:type="paragraph" w:styleId="Footer">
    <w:name w:val="footer"/>
    <w:basedOn w:val="Normal"/>
    <w:link w:val="FooterChar"/>
    <w:uiPriority w:val="99"/>
    <w:unhideWhenUsed/>
    <w:rsid w:val="00E5113D"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5113D"/>
  </w:style>
  <w:style w:type="character" w:styleId="Emphasis">
    <w:name w:val="Emphasis"/>
    <w:basedOn w:val="DefaultParagraphFont"/>
    <w:uiPriority w:val="20"/>
    <w:qFormat/>
    <w:rsid w:val="00284E04"/>
    <w:rPr>
      <w:i/>
      <w:iCs/>
    </w:rPr>
  </w:style>
  <w:style w:type="character" w:styleId="contents" w:customStyle="1">
    <w:name w:val="contents"/>
    <w:basedOn w:val="DefaultParagraphFont"/>
    <w:rsid w:val="00284E04"/>
  </w:style>
  <w:style w:type="character" w:styleId="normaltextrun" w:customStyle="1">
    <w:name w:val="normaltextrun"/>
    <w:basedOn w:val="DefaultParagraphFont"/>
    <w:rsid w:val="00C767F0"/>
  </w:style>
  <w:style w:type="character" w:styleId="eop" w:customStyle="1">
    <w:name w:val="eop"/>
    <w:basedOn w:val="DefaultParagraphFont"/>
    <w:rsid w:val="00C767F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6439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9685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6631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80801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2996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099429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317885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8543008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749824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8665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825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034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784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331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818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896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18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234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768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31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228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111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8768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1014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4950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454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229195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560347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4659467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741789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17978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24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6313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4445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08061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35238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359391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307765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4632692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167377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9216003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3579178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0383381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0443313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5984927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164143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954564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106556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1374982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9804272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7060655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1680740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5606112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6374224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807370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032539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7230145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996846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2758440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9511998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9220963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2908358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6559162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661658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386780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297113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331256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9755349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7685507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2236406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024178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258928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4178765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965693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8879938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1413955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5977068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882797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72861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4930430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20658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4711728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9906757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20999111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43261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829083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611901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7812802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0650839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0195887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87180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93013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1692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39066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67620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967609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158414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218120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6501806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4143229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5943059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6123965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8699749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02778190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94819249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975331237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61838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887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647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32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575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003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321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2063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0680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85930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73892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498296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2604615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4048603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18454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399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429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822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683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430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322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688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793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215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929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043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400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104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167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564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812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799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024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00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864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543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296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4071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483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6488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350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46247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62448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019550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951461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2975243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844429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8982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315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522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9702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1920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50566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79222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83789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29920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722682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0307993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theme" Target="theme/theme1.xml" Id="rId13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fontTable" Target="fontTable.xml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footer" Target="footer1.xml" Id="rId11" /><Relationship Type="http://schemas.openxmlformats.org/officeDocument/2006/relationships/webSettings" Target="webSettings.xml" Id="rId5" /><Relationship Type="http://schemas.openxmlformats.org/officeDocument/2006/relationships/settings" Target="settings.xml" Id="rId4" /><Relationship Type="http://schemas.openxmlformats.org/officeDocument/2006/relationships/image" Target="media/image2.png" Id="rId9" /><Relationship Type="http://schemas.openxmlformats.org/officeDocument/2006/relationships/hyperlink" Target="https://www.england.nhs.uk/london/2023/10/12/more-london-patients-benefitting-from-hospital-level-care-at-home/?utm_source=chatgpt.com" TargetMode="External" Id="Rcc1fdfbc88ba4e56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67EDC2D-1BF2-4E09-85D9-82F6CCCE9673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MRT www.Win2Farsi.com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Moorche</dc:creator>
  <keywords/>
  <dc:description/>
  <lastModifiedBy>Rafeen Akram (2407472)</lastModifiedBy>
  <revision>20</revision>
  <dcterms:created xsi:type="dcterms:W3CDTF">2026-10-14T05:47:00.0000000Z</dcterms:created>
  <dcterms:modified xsi:type="dcterms:W3CDTF">2026-10-14T08:16:55.5327618Z</dcterms:modified>
</coreProperties>
</file>