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9C4A1A" w14:textId="0DA1E4DA" w:rsidR="005A09FF" w:rsidRPr="00E0230C" w:rsidRDefault="5B7DD5A0" w:rsidP="1F967D9D">
      <w:pPr>
        <w:spacing w:after="0" w:line="360" w:lineRule="auto"/>
        <w:jc w:val="center"/>
        <w:rPr>
          <w:rFonts w:ascii="Calibri" w:eastAsia="Calibri" w:hAnsi="Calibri" w:cs="Calibri"/>
          <w:color w:val="000000" w:themeColor="text1"/>
          <w:sz w:val="24"/>
          <w:szCs w:val="24"/>
        </w:rPr>
      </w:pPr>
      <w:bookmarkStart w:id="0" w:name="_GoBack"/>
      <w:bookmarkEnd w:id="0"/>
      <w:r w:rsidRPr="5B7DD5A0">
        <w:rPr>
          <w:rFonts w:ascii="Calibri" w:eastAsia="Calibri" w:hAnsi="Calibri" w:cs="Calibri"/>
          <w:b/>
          <w:bCs/>
          <w:color w:val="000000" w:themeColor="text1"/>
          <w:sz w:val="24"/>
          <w:szCs w:val="24"/>
          <w:u w:val="single"/>
        </w:rPr>
        <w:t>Assessment one: Journal to accompany Portfolio</w:t>
      </w:r>
    </w:p>
    <w:p w14:paraId="2182BE53" w14:textId="743E2885" w:rsidR="5B7DD5A0" w:rsidRDefault="5B7DD5A0" w:rsidP="5B7DD5A0">
      <w:pPr>
        <w:spacing w:after="0" w:line="360" w:lineRule="auto"/>
        <w:jc w:val="center"/>
        <w:rPr>
          <w:rFonts w:ascii="Calibri" w:eastAsia="Calibri" w:hAnsi="Calibri" w:cs="Calibri"/>
          <w:b/>
          <w:bCs/>
          <w:color w:val="000000" w:themeColor="text1"/>
          <w:sz w:val="24"/>
          <w:szCs w:val="24"/>
          <w:u w:val="single"/>
        </w:rPr>
      </w:pPr>
      <w:r w:rsidRPr="5B7DD5A0">
        <w:rPr>
          <w:rFonts w:ascii="Calibri" w:eastAsia="Calibri" w:hAnsi="Calibri" w:cs="Calibri"/>
          <w:b/>
          <w:bCs/>
          <w:color w:val="000000" w:themeColor="text1"/>
          <w:sz w:val="24"/>
          <w:szCs w:val="24"/>
          <w:u w:val="single"/>
        </w:rPr>
        <w:t>By Megan Williams</w:t>
      </w:r>
    </w:p>
    <w:p w14:paraId="57A3B589" w14:textId="5F6B9F02" w:rsidR="5B7DD5A0" w:rsidRDefault="5B7DD5A0" w:rsidP="5B7DD5A0">
      <w:pPr>
        <w:spacing w:after="0" w:line="360" w:lineRule="auto"/>
        <w:jc w:val="center"/>
        <w:rPr>
          <w:rFonts w:ascii="Calibri" w:eastAsia="Calibri" w:hAnsi="Calibri" w:cs="Calibri"/>
          <w:b/>
          <w:bCs/>
          <w:color w:val="000000" w:themeColor="text1"/>
          <w:sz w:val="24"/>
          <w:szCs w:val="24"/>
          <w:u w:val="single"/>
        </w:rPr>
      </w:pPr>
    </w:p>
    <w:p w14:paraId="25DCD504" w14:textId="6B958F7D" w:rsidR="2A0C9048" w:rsidRDefault="2A0C9048" w:rsidP="2A0C9048">
      <w:pPr>
        <w:spacing w:after="0" w:line="360" w:lineRule="auto"/>
        <w:rPr>
          <w:rFonts w:ascii="Calibri" w:eastAsia="Calibri" w:hAnsi="Calibri" w:cs="Calibri"/>
          <w:b/>
          <w:bCs/>
          <w:color w:val="000000" w:themeColor="text1"/>
          <w:sz w:val="24"/>
          <w:szCs w:val="24"/>
          <w:u w:val="single"/>
        </w:rPr>
      </w:pPr>
      <w:r w:rsidRPr="2A0C9048">
        <w:rPr>
          <w:rFonts w:ascii="Calibri" w:eastAsia="Calibri" w:hAnsi="Calibri" w:cs="Calibri"/>
          <w:color w:val="000000" w:themeColor="text1"/>
          <w:sz w:val="24"/>
          <w:szCs w:val="24"/>
          <w:u w:val="single"/>
        </w:rPr>
        <w:t>Task One.</w:t>
      </w:r>
    </w:p>
    <w:p w14:paraId="425B0DE3" w14:textId="17AE3935" w:rsidR="005A09FF" w:rsidRPr="00E0230C" w:rsidRDefault="1F967D9D" w:rsidP="1F967D9D">
      <w:pPr>
        <w:spacing w:after="0" w:line="360" w:lineRule="auto"/>
        <w:jc w:val="both"/>
        <w:rPr>
          <w:rFonts w:ascii="Calibri" w:eastAsia="Calibri" w:hAnsi="Calibri" w:cs="Calibri"/>
          <w:color w:val="000000" w:themeColor="text1"/>
          <w:sz w:val="24"/>
          <w:szCs w:val="24"/>
        </w:rPr>
      </w:pPr>
      <w:r w:rsidRPr="1F967D9D">
        <w:rPr>
          <w:rFonts w:ascii="Calibri" w:eastAsia="Calibri" w:hAnsi="Calibri" w:cs="Calibri"/>
          <w:color w:val="000000" w:themeColor="text1"/>
          <w:sz w:val="24"/>
          <w:szCs w:val="24"/>
        </w:rPr>
        <w:t>In Iceland and other countries, they believe it’s important that kids are playing in the outdoors in their early years. Noradahl and Johannesson (2013) wrote about government papers which claims that the outdoors is beneficial for kids. In the curriculum guidelines, they put an importance on outside learning environments as a place for making kids think positive about the natural world, and as a place where you can do exercise and practice healthy living.</w:t>
      </w:r>
    </w:p>
    <w:p w14:paraId="54293A40" w14:textId="04A39CED" w:rsidR="005A09FF" w:rsidRPr="00E0230C" w:rsidRDefault="1F967D9D" w:rsidP="1F967D9D">
      <w:pPr>
        <w:spacing w:after="0" w:line="360" w:lineRule="auto"/>
        <w:jc w:val="both"/>
        <w:rPr>
          <w:rFonts w:ascii="Calibri" w:eastAsia="Calibri" w:hAnsi="Calibri" w:cs="Calibri"/>
          <w:color w:val="000000" w:themeColor="text1"/>
          <w:sz w:val="24"/>
          <w:szCs w:val="24"/>
        </w:rPr>
      </w:pPr>
      <w:r w:rsidRPr="1F967D9D">
        <w:rPr>
          <w:rFonts w:ascii="Calibri" w:eastAsia="Calibri" w:hAnsi="Calibri" w:cs="Calibri"/>
          <w:color w:val="000000" w:themeColor="text1"/>
          <w:sz w:val="24"/>
          <w:szCs w:val="24"/>
        </w:rPr>
        <w:t xml:space="preserve">This emphasis on the outdoors has happened for a long time in Iceland for kids age one to six as they are encouraged to play outside every day in schools. However, for kids six to sixteen they will only get to play outside with their peers on break/playtime. There doesn’t seem to be a lot of information about what teachers do outside to help young children’s learning but it’s likely that it will depend on what teacher and/or school a child goes to as it could vary. It is suggested that teachers in Iceland are using outside space to their advantage and more often than they used to. To support this, it’s found that in Reykjavik (the capital) that seventy percent of schools say their students participate in outside education. (Oladottir, 2008). </w:t>
      </w:r>
    </w:p>
    <w:p w14:paraId="348951E8" w14:textId="5031009A" w:rsidR="005A09FF" w:rsidRPr="00E0230C" w:rsidRDefault="005A09FF" w:rsidP="1F967D9D">
      <w:pPr>
        <w:spacing w:after="0" w:line="360" w:lineRule="auto"/>
        <w:jc w:val="both"/>
        <w:rPr>
          <w:rFonts w:ascii="Calibri" w:eastAsia="Calibri" w:hAnsi="Calibri" w:cs="Calibri"/>
          <w:color w:val="000000" w:themeColor="text1"/>
          <w:sz w:val="24"/>
          <w:szCs w:val="24"/>
        </w:rPr>
      </w:pPr>
    </w:p>
    <w:p w14:paraId="1B98230B" w14:textId="200A61F6" w:rsidR="005A09FF" w:rsidRPr="00E0230C" w:rsidRDefault="1F967D9D" w:rsidP="1F967D9D">
      <w:pPr>
        <w:spacing w:after="0" w:line="360" w:lineRule="auto"/>
        <w:jc w:val="both"/>
        <w:rPr>
          <w:rFonts w:ascii="Calibri" w:eastAsia="Calibri" w:hAnsi="Calibri" w:cs="Calibri"/>
          <w:color w:val="000000" w:themeColor="text1"/>
          <w:sz w:val="24"/>
          <w:szCs w:val="24"/>
        </w:rPr>
      </w:pPr>
      <w:r w:rsidRPr="1F967D9D">
        <w:rPr>
          <w:rFonts w:ascii="Calibri" w:eastAsia="Calibri" w:hAnsi="Calibri" w:cs="Calibri"/>
          <w:i/>
          <w:iCs/>
          <w:color w:val="000000" w:themeColor="text1"/>
          <w:sz w:val="24"/>
          <w:szCs w:val="24"/>
          <w:u w:val="single"/>
        </w:rPr>
        <w:t>Reference List:</w:t>
      </w:r>
      <w:r w:rsidRPr="1F967D9D">
        <w:rPr>
          <w:rFonts w:ascii="Calibri" w:eastAsia="Calibri" w:hAnsi="Calibri" w:cs="Calibri"/>
          <w:color w:val="000000" w:themeColor="text1"/>
          <w:sz w:val="24"/>
          <w:szCs w:val="24"/>
        </w:rPr>
        <w:t xml:space="preserve"> </w:t>
      </w:r>
    </w:p>
    <w:p w14:paraId="6AA12F7C" w14:textId="66BF9361" w:rsidR="005A09FF" w:rsidRPr="00E0230C" w:rsidRDefault="5B7DD5A0" w:rsidP="5B7DD5A0">
      <w:pPr>
        <w:spacing w:line="360" w:lineRule="auto"/>
        <w:jc w:val="both"/>
        <w:rPr>
          <w:rStyle w:val="EndnoteReference"/>
          <w:rFonts w:ascii="Calibri" w:eastAsia="Calibri" w:hAnsi="Calibri" w:cs="Calibri"/>
          <w:sz w:val="24"/>
          <w:szCs w:val="24"/>
        </w:rPr>
      </w:pPr>
      <w:r w:rsidRPr="5B7DD5A0">
        <w:rPr>
          <w:rFonts w:ascii="Calibri" w:eastAsia="Calibri" w:hAnsi="Calibri" w:cs="Calibri"/>
          <w:sz w:val="24"/>
          <w:szCs w:val="24"/>
        </w:rPr>
        <w:t>Noradahl, K. and Johannesson, I. (2014) ‘Icelandic teachers’ views of using the outdoors’</w:t>
      </w:r>
      <w:r w:rsidRPr="5B7DD5A0">
        <w:rPr>
          <w:rFonts w:ascii="Calibri" w:eastAsia="Calibri" w:hAnsi="Calibri" w:cs="Calibri"/>
          <w:i/>
          <w:iCs/>
          <w:sz w:val="24"/>
          <w:szCs w:val="24"/>
        </w:rPr>
        <w:t xml:space="preserve"> Education 3-13: International Journal of Primary, Elementary and Early Years Education. Vol 44, No. 4, September, P.391-406.</w:t>
      </w:r>
    </w:p>
    <w:p w14:paraId="73EEB594" w14:textId="56DA2B89" w:rsidR="2A0C9048" w:rsidRDefault="2A0C9048" w:rsidP="2A0C9048">
      <w:pPr>
        <w:spacing w:line="360" w:lineRule="auto"/>
        <w:jc w:val="both"/>
        <w:rPr>
          <w:rFonts w:ascii="Calibri" w:eastAsia="Calibri" w:hAnsi="Calibri" w:cs="Calibri"/>
          <w:i/>
          <w:iCs/>
          <w:sz w:val="24"/>
          <w:szCs w:val="24"/>
        </w:rPr>
      </w:pPr>
    </w:p>
    <w:p w14:paraId="10D8C1EF" w14:textId="1977D288" w:rsidR="005A09FF" w:rsidRPr="00E0230C" w:rsidRDefault="2A0C9048" w:rsidP="2A0C9048">
      <w:pPr>
        <w:spacing w:line="360" w:lineRule="auto"/>
        <w:jc w:val="both"/>
        <w:rPr>
          <w:rFonts w:ascii="Calibri" w:eastAsia="Calibri" w:hAnsi="Calibri" w:cs="Calibri"/>
          <w:i/>
          <w:iCs/>
          <w:sz w:val="24"/>
          <w:szCs w:val="24"/>
        </w:rPr>
      </w:pPr>
      <w:r w:rsidRPr="2A0C9048">
        <w:rPr>
          <w:rFonts w:ascii="Calibri" w:eastAsia="Calibri" w:hAnsi="Calibri" w:cs="Calibri"/>
          <w:sz w:val="24"/>
          <w:szCs w:val="24"/>
          <w:u w:val="single"/>
        </w:rPr>
        <w:t>Task Two.</w:t>
      </w:r>
    </w:p>
    <w:p w14:paraId="6F56C3F8" w14:textId="2720B8CC" w:rsidR="005A09FF" w:rsidRPr="00E0230C" w:rsidRDefault="1F967D9D" w:rsidP="1F967D9D">
      <w:pPr>
        <w:spacing w:after="0" w:line="360" w:lineRule="auto"/>
        <w:jc w:val="both"/>
        <w:rPr>
          <w:rFonts w:ascii="Calibri" w:eastAsia="Calibri" w:hAnsi="Calibri" w:cs="Calibri"/>
          <w:color w:val="000000" w:themeColor="text1"/>
          <w:sz w:val="24"/>
          <w:szCs w:val="24"/>
        </w:rPr>
      </w:pPr>
      <w:r w:rsidRPr="1F967D9D">
        <w:rPr>
          <w:rFonts w:ascii="Calibri" w:eastAsia="Calibri" w:hAnsi="Calibri" w:cs="Calibri"/>
          <w:color w:val="000000" w:themeColor="text1"/>
          <w:sz w:val="24"/>
          <w:szCs w:val="24"/>
        </w:rPr>
        <w:t>This essay will be about Forest schools which is defined as ‘an inspirational process that offers children, young people and adult's regular opportunities to achieve and develop confidence and self-esteem though hands on learning experiences in a woodland environment’ by the Forest School Network.</w:t>
      </w:r>
    </w:p>
    <w:p w14:paraId="1D863A47" w14:textId="1A52A63B" w:rsidR="005A09FF" w:rsidRPr="00E0230C" w:rsidRDefault="2AD01F61" w:rsidP="2AD01F61">
      <w:pPr>
        <w:spacing w:after="0" w:line="360" w:lineRule="auto"/>
        <w:jc w:val="both"/>
        <w:rPr>
          <w:rFonts w:ascii="Calibri" w:eastAsia="Calibri" w:hAnsi="Calibri" w:cs="Calibri"/>
          <w:color w:val="000000" w:themeColor="text1"/>
          <w:sz w:val="24"/>
          <w:szCs w:val="24"/>
        </w:rPr>
      </w:pPr>
      <w:r w:rsidRPr="2AD01F61">
        <w:rPr>
          <w:rFonts w:ascii="Calibri" w:eastAsia="Calibri" w:hAnsi="Calibri" w:cs="Calibri"/>
          <w:color w:val="000000" w:themeColor="text1"/>
          <w:sz w:val="24"/>
          <w:szCs w:val="24"/>
        </w:rPr>
        <w:t xml:space="preserve"> Murray and O’Brien (2006) claim that young children in school don’t get to go to the woodlands and other natural environments unlike their parents since many are concerned about children acquiring an injury that could had been prevented by having indoor play instead. Despite this, there is research that suggests that if children won’t go and spend time in the outdoors while they are young, then they are less likely to go </w:t>
      </w:r>
      <w:r w:rsidRPr="2AD01F61">
        <w:rPr>
          <w:rFonts w:ascii="Calibri" w:eastAsia="Calibri" w:hAnsi="Calibri" w:cs="Calibri"/>
          <w:color w:val="000000" w:themeColor="text1"/>
          <w:sz w:val="24"/>
          <w:szCs w:val="24"/>
        </w:rPr>
        <w:lastRenderedPageBreak/>
        <w:t xml:space="preserve">independently when they are grown. This can result in young adults missing out on physical and emotional benefits of access to nature. </w:t>
      </w:r>
    </w:p>
    <w:p w14:paraId="263D8474" w14:textId="4A79A4D0" w:rsidR="005A09FF" w:rsidRPr="00E0230C" w:rsidRDefault="1F967D9D" w:rsidP="1F967D9D">
      <w:pPr>
        <w:spacing w:after="0" w:line="360" w:lineRule="auto"/>
        <w:jc w:val="both"/>
        <w:rPr>
          <w:rFonts w:ascii="Calibri" w:eastAsia="Calibri" w:hAnsi="Calibri" w:cs="Calibri"/>
          <w:color w:val="000000" w:themeColor="text1"/>
          <w:sz w:val="24"/>
          <w:szCs w:val="24"/>
        </w:rPr>
      </w:pPr>
      <w:r w:rsidRPr="1F967D9D">
        <w:rPr>
          <w:rFonts w:ascii="Calibri" w:eastAsia="Calibri" w:hAnsi="Calibri" w:cs="Calibri"/>
          <w:color w:val="000000" w:themeColor="text1"/>
          <w:sz w:val="24"/>
          <w:szCs w:val="24"/>
        </w:rPr>
        <w:t>Ward Thompson, Aspinall and Bell et al. (2004) emphasise on how learning in the outdoors is very different to learning in a classroom environment. This is currently being recognised by the Welsh government as they are currently encouraging teachers to take notes from Forest schools and reflect what they’ve learnt within their own schools to benefit the students of all ages but especially those in the foundation phase.</w:t>
      </w:r>
    </w:p>
    <w:p w14:paraId="374B6B0E" w14:textId="314F7ACA" w:rsidR="005A09FF" w:rsidRPr="00E0230C" w:rsidRDefault="1F967D9D" w:rsidP="1F967D9D">
      <w:pPr>
        <w:spacing w:after="0" w:line="360" w:lineRule="auto"/>
        <w:jc w:val="both"/>
        <w:rPr>
          <w:rFonts w:ascii="Calibri" w:eastAsia="Calibri" w:hAnsi="Calibri" w:cs="Calibri"/>
          <w:color w:val="000000" w:themeColor="text1"/>
          <w:sz w:val="24"/>
          <w:szCs w:val="24"/>
        </w:rPr>
      </w:pPr>
      <w:r w:rsidRPr="1F967D9D">
        <w:rPr>
          <w:rFonts w:ascii="Calibri" w:eastAsia="Calibri" w:hAnsi="Calibri" w:cs="Calibri"/>
          <w:color w:val="000000" w:themeColor="text1"/>
          <w:sz w:val="24"/>
          <w:szCs w:val="24"/>
        </w:rPr>
        <w:t xml:space="preserve"> </w:t>
      </w:r>
    </w:p>
    <w:p w14:paraId="798850D9" w14:textId="22B187CB" w:rsidR="005A09FF" w:rsidRPr="00E0230C" w:rsidRDefault="1F967D9D" w:rsidP="1F967D9D">
      <w:pPr>
        <w:spacing w:after="0" w:line="360" w:lineRule="auto"/>
        <w:jc w:val="both"/>
        <w:rPr>
          <w:rFonts w:ascii="Calibri" w:eastAsia="Calibri" w:hAnsi="Calibri" w:cs="Calibri"/>
          <w:color w:val="000000" w:themeColor="text1"/>
          <w:sz w:val="24"/>
          <w:szCs w:val="24"/>
        </w:rPr>
      </w:pPr>
      <w:r w:rsidRPr="1F967D9D">
        <w:rPr>
          <w:rFonts w:ascii="Calibri" w:eastAsia="Calibri" w:hAnsi="Calibri" w:cs="Calibri"/>
          <w:sz w:val="24"/>
          <w:szCs w:val="24"/>
          <w:u w:val="single"/>
        </w:rPr>
        <w:t>Reference List:</w:t>
      </w:r>
      <w:r w:rsidRPr="1F967D9D">
        <w:rPr>
          <w:rFonts w:ascii="Calibri" w:eastAsia="Calibri" w:hAnsi="Calibri" w:cs="Calibri"/>
          <w:sz w:val="24"/>
          <w:szCs w:val="24"/>
        </w:rPr>
        <w:t xml:space="preserve"> </w:t>
      </w:r>
    </w:p>
    <w:p w14:paraId="1419758E" w14:textId="475164C4" w:rsidR="005A09FF" w:rsidRPr="00E0230C" w:rsidRDefault="1C616927" w:rsidP="2AD01F61">
      <w:pPr>
        <w:spacing w:after="0" w:line="360" w:lineRule="auto"/>
        <w:ind w:left="360"/>
        <w:rPr>
          <w:rFonts w:ascii="Arial" w:eastAsia="Arial" w:hAnsi="Arial" w:cs="Arial"/>
          <w:color w:val="000000" w:themeColor="text1"/>
          <w:sz w:val="23"/>
          <w:szCs w:val="23"/>
        </w:rPr>
      </w:pPr>
      <w:r w:rsidRPr="1C616927">
        <w:rPr>
          <w:rFonts w:ascii="Calibri" w:eastAsia="Calibri" w:hAnsi="Calibri" w:cs="Calibri"/>
          <w:sz w:val="24"/>
          <w:szCs w:val="24"/>
        </w:rPr>
        <w:t xml:space="preserve">Welsh Assembly Government, 2009, Outdoor Learning Handbook. Cardiff: WAG. </w:t>
      </w:r>
    </w:p>
    <w:p w14:paraId="6F6C7C1D" w14:textId="2E737FEB" w:rsidR="1C616927" w:rsidRDefault="1C616927" w:rsidP="1C616927">
      <w:pPr>
        <w:spacing w:after="0" w:line="360" w:lineRule="auto"/>
        <w:ind w:left="360"/>
        <w:rPr>
          <w:rFonts w:ascii="Calibri" w:eastAsia="Calibri" w:hAnsi="Calibri" w:cs="Calibri"/>
          <w:sz w:val="24"/>
          <w:szCs w:val="24"/>
        </w:rPr>
      </w:pPr>
    </w:p>
    <w:p w14:paraId="5EC92AAD" w14:textId="771E7C9D" w:rsidR="005A09FF" w:rsidRPr="00E0230C" w:rsidRDefault="5B7DD5A0" w:rsidP="5B7DD5A0">
      <w:pPr>
        <w:spacing w:after="0" w:line="360" w:lineRule="auto"/>
        <w:ind w:left="360"/>
        <w:jc w:val="both"/>
        <w:rPr>
          <w:rFonts w:ascii="Calibri" w:eastAsia="Calibri" w:hAnsi="Calibri" w:cs="Calibri"/>
          <w:sz w:val="24"/>
          <w:szCs w:val="24"/>
        </w:rPr>
      </w:pPr>
      <w:r w:rsidRPr="5B7DD5A0">
        <w:rPr>
          <w:rFonts w:ascii="Calibri" w:eastAsia="Calibri" w:hAnsi="Calibri" w:cs="Calibri"/>
          <w:sz w:val="24"/>
          <w:szCs w:val="24"/>
        </w:rPr>
        <w:t>Ward Thompson, C., Aspinall, P., Bell, S., Findlay, C., Wherrett, J. and Travlou, P., (2004), ‘</w:t>
      </w:r>
      <w:r w:rsidRPr="5B7DD5A0">
        <w:rPr>
          <w:rFonts w:ascii="Calibri" w:eastAsia="Calibri" w:hAnsi="Calibri" w:cs="Calibri"/>
          <w:i/>
          <w:iCs/>
          <w:sz w:val="24"/>
          <w:szCs w:val="24"/>
        </w:rPr>
        <w:t>Open space and social inclusion: Local woodland use in central Scotland’,</w:t>
      </w:r>
      <w:r w:rsidRPr="5B7DD5A0">
        <w:rPr>
          <w:rFonts w:ascii="Calibri" w:eastAsia="Calibri" w:hAnsi="Calibri" w:cs="Calibri"/>
          <w:sz w:val="24"/>
          <w:szCs w:val="24"/>
        </w:rPr>
        <w:t xml:space="preserve"> Report to the Forestry Commission, Edinburgh.</w:t>
      </w:r>
    </w:p>
    <w:p w14:paraId="78C8A435" w14:textId="750CE77F" w:rsidR="1C616927" w:rsidRDefault="1C616927" w:rsidP="1C616927">
      <w:pPr>
        <w:spacing w:after="0" w:line="360" w:lineRule="auto"/>
        <w:ind w:left="360"/>
        <w:jc w:val="both"/>
        <w:rPr>
          <w:rFonts w:ascii="Calibri" w:eastAsia="Calibri" w:hAnsi="Calibri" w:cs="Calibri"/>
          <w:sz w:val="24"/>
          <w:szCs w:val="24"/>
        </w:rPr>
      </w:pPr>
    </w:p>
    <w:p w14:paraId="4F08FE47" w14:textId="784491FA" w:rsidR="005A09FF" w:rsidRPr="00E0230C" w:rsidRDefault="5B7DD5A0" w:rsidP="5B7DD5A0">
      <w:pPr>
        <w:spacing w:line="360" w:lineRule="auto"/>
        <w:ind w:left="360"/>
        <w:jc w:val="both"/>
        <w:rPr>
          <w:rFonts w:ascii="Arial" w:eastAsia="Arial" w:hAnsi="Arial" w:cs="Arial"/>
          <w:sz w:val="23"/>
          <w:szCs w:val="23"/>
        </w:rPr>
      </w:pPr>
      <w:r w:rsidRPr="5B7DD5A0">
        <w:rPr>
          <w:rFonts w:ascii="Calibri" w:eastAsia="Calibri" w:hAnsi="Calibri" w:cs="Calibri"/>
          <w:sz w:val="24"/>
          <w:szCs w:val="24"/>
        </w:rPr>
        <w:t>O'Brien, E., and Murray, R., (2006),</w:t>
      </w:r>
      <w:r w:rsidRPr="5B7DD5A0">
        <w:rPr>
          <w:rFonts w:ascii="Calibri" w:eastAsia="Calibri" w:hAnsi="Calibri" w:cs="Calibri"/>
          <w:i/>
          <w:iCs/>
          <w:sz w:val="24"/>
          <w:szCs w:val="24"/>
        </w:rPr>
        <w:t xml:space="preserve"> ‘A marvellous opportunity for children to learn: A participatory evaluation of Forest School in England and Wales’</w:t>
      </w:r>
      <w:r w:rsidRPr="5B7DD5A0">
        <w:rPr>
          <w:rFonts w:ascii="Calibri" w:eastAsia="Calibri" w:hAnsi="Calibri" w:cs="Calibri"/>
          <w:sz w:val="24"/>
          <w:szCs w:val="24"/>
        </w:rPr>
        <w:t>, Farnham: Forest Research.</w:t>
      </w:r>
    </w:p>
    <w:p w14:paraId="2EE71BC5" w14:textId="74023BFD" w:rsidR="005A09FF" w:rsidRPr="00E0230C" w:rsidRDefault="005A09FF" w:rsidP="2AD01F61">
      <w:pPr>
        <w:spacing w:line="360" w:lineRule="auto"/>
        <w:ind w:left="360"/>
        <w:rPr>
          <w:rFonts w:ascii="Calibri" w:eastAsia="Calibri" w:hAnsi="Calibri" w:cs="Calibri"/>
          <w:color w:val="FF0000"/>
          <w:sz w:val="24"/>
          <w:szCs w:val="24"/>
        </w:rPr>
      </w:pPr>
    </w:p>
    <w:p w14:paraId="58E23854" w14:textId="0E0D9A8F" w:rsidR="005A09FF" w:rsidRPr="00E0230C" w:rsidRDefault="1F967D9D" w:rsidP="1F967D9D">
      <w:pPr>
        <w:spacing w:line="360" w:lineRule="auto"/>
        <w:jc w:val="both"/>
        <w:rPr>
          <w:rFonts w:ascii="Calibri" w:eastAsia="Calibri" w:hAnsi="Calibri" w:cs="Calibri"/>
          <w:sz w:val="24"/>
          <w:szCs w:val="24"/>
        </w:rPr>
      </w:pPr>
      <w:r w:rsidRPr="1F967D9D">
        <w:rPr>
          <w:rFonts w:ascii="Calibri" w:eastAsia="Calibri" w:hAnsi="Calibri" w:cs="Calibri"/>
          <w:i/>
          <w:iCs/>
          <w:sz w:val="24"/>
          <w:szCs w:val="24"/>
          <w:u w:val="single"/>
        </w:rPr>
        <w:t>Questions.</w:t>
      </w:r>
    </w:p>
    <w:p w14:paraId="6BCEF89F" w14:textId="03E16BEE" w:rsidR="005A09FF" w:rsidRPr="00E0230C" w:rsidRDefault="1F967D9D" w:rsidP="1F967D9D">
      <w:pPr>
        <w:spacing w:line="360" w:lineRule="auto"/>
        <w:ind w:left="360"/>
        <w:jc w:val="both"/>
        <w:rPr>
          <w:rFonts w:ascii="Calibri" w:eastAsia="Calibri" w:hAnsi="Calibri" w:cs="Calibri"/>
          <w:sz w:val="24"/>
          <w:szCs w:val="24"/>
        </w:rPr>
      </w:pPr>
      <w:r w:rsidRPr="1F967D9D">
        <w:rPr>
          <w:rFonts w:ascii="Calibri" w:eastAsia="Calibri" w:hAnsi="Calibri" w:cs="Calibri"/>
          <w:i/>
          <w:iCs/>
          <w:sz w:val="24"/>
          <w:szCs w:val="24"/>
        </w:rPr>
        <w:t xml:space="preserve"> Q. If you fail to acknowledge the source of your information in academic writing, you could be accused of _________? Why is it important that students avoid this?   </w:t>
      </w:r>
    </w:p>
    <w:p w14:paraId="520B4A0F" w14:textId="0B659ABD" w:rsidR="005A09FF" w:rsidRPr="00E0230C" w:rsidRDefault="1F967D9D" w:rsidP="1F967D9D">
      <w:pPr>
        <w:spacing w:line="360" w:lineRule="auto"/>
        <w:ind w:left="360"/>
        <w:jc w:val="both"/>
        <w:rPr>
          <w:rFonts w:ascii="Calibri" w:eastAsia="Calibri" w:hAnsi="Calibri" w:cs="Calibri"/>
          <w:sz w:val="24"/>
          <w:szCs w:val="24"/>
        </w:rPr>
      </w:pPr>
      <w:r w:rsidRPr="1F967D9D">
        <w:rPr>
          <w:rFonts w:ascii="Calibri" w:eastAsia="Calibri" w:hAnsi="Calibri" w:cs="Calibri"/>
          <w:sz w:val="24"/>
          <w:szCs w:val="24"/>
        </w:rPr>
        <w:t>Failing to acknowledge another writers work when using it to support a claim can lead to being accused of plagiarism. This is when a person uses work of another without giving credit as they try to pass it off as their own. It’s very important that students must avoid plagiarising another person's work since they’re writing must be at an academic level. Their work should be original and of a high quality by referencing another person's work to back up their point. If a student fails to avoid plagiarism it could mean that they face exclusion from their school/course.</w:t>
      </w:r>
    </w:p>
    <w:p w14:paraId="7B269002" w14:textId="48C869C3" w:rsidR="005A09FF" w:rsidRPr="00E0230C" w:rsidRDefault="1F967D9D" w:rsidP="1F967D9D">
      <w:pPr>
        <w:spacing w:line="360" w:lineRule="auto"/>
        <w:ind w:left="360"/>
        <w:jc w:val="both"/>
        <w:rPr>
          <w:rFonts w:ascii="Calibri" w:eastAsia="Calibri" w:hAnsi="Calibri" w:cs="Calibri"/>
          <w:sz w:val="24"/>
          <w:szCs w:val="24"/>
        </w:rPr>
      </w:pPr>
      <w:r w:rsidRPr="1F967D9D">
        <w:rPr>
          <w:rFonts w:ascii="Calibri" w:eastAsia="Calibri" w:hAnsi="Calibri" w:cs="Calibri"/>
          <w:i/>
          <w:iCs/>
          <w:sz w:val="24"/>
          <w:szCs w:val="24"/>
        </w:rPr>
        <w:t xml:space="preserve"> </w:t>
      </w:r>
    </w:p>
    <w:p w14:paraId="22EC0373" w14:textId="38B0F6B5" w:rsidR="005A09FF" w:rsidRPr="00E0230C" w:rsidRDefault="1F967D9D" w:rsidP="1F967D9D">
      <w:pPr>
        <w:spacing w:line="360" w:lineRule="auto"/>
        <w:ind w:left="360"/>
        <w:jc w:val="both"/>
        <w:rPr>
          <w:rFonts w:ascii="Calibri" w:eastAsia="Calibri" w:hAnsi="Calibri" w:cs="Calibri"/>
          <w:sz w:val="24"/>
          <w:szCs w:val="24"/>
        </w:rPr>
      </w:pPr>
      <w:r w:rsidRPr="1F967D9D">
        <w:rPr>
          <w:rFonts w:ascii="Calibri" w:eastAsia="Calibri" w:hAnsi="Calibri" w:cs="Calibri"/>
          <w:i/>
          <w:iCs/>
          <w:sz w:val="24"/>
          <w:szCs w:val="24"/>
        </w:rPr>
        <w:t xml:space="preserve"> Q. You only have to reference when you use a direct quotation. Is this True or False? Explain your answer.  </w:t>
      </w:r>
    </w:p>
    <w:p w14:paraId="7BAF1B8E" w14:textId="09B466EA" w:rsidR="005A09FF" w:rsidRPr="00E0230C" w:rsidRDefault="1F967D9D" w:rsidP="1F967D9D">
      <w:pPr>
        <w:spacing w:line="360" w:lineRule="auto"/>
        <w:ind w:left="360"/>
        <w:jc w:val="both"/>
        <w:rPr>
          <w:rFonts w:ascii="Calibri" w:eastAsia="Calibri" w:hAnsi="Calibri" w:cs="Calibri"/>
          <w:sz w:val="24"/>
          <w:szCs w:val="24"/>
        </w:rPr>
      </w:pPr>
      <w:r w:rsidRPr="1F967D9D">
        <w:rPr>
          <w:rFonts w:ascii="Calibri" w:eastAsia="Calibri" w:hAnsi="Calibri" w:cs="Calibri"/>
          <w:i/>
          <w:iCs/>
          <w:sz w:val="24"/>
          <w:szCs w:val="24"/>
        </w:rPr>
        <w:lastRenderedPageBreak/>
        <w:t xml:space="preserve"> </w:t>
      </w:r>
      <w:r w:rsidRPr="1F967D9D">
        <w:rPr>
          <w:rFonts w:ascii="Calibri" w:eastAsia="Calibri" w:hAnsi="Calibri" w:cs="Calibri"/>
          <w:sz w:val="24"/>
          <w:szCs w:val="24"/>
        </w:rPr>
        <w:t>This statement is false. The reason for this is because you must fully reference any piece of work that has been done by another person accurately. This is because it is them who has found and wrote that particular finding. Therefore, if a student for example was writing an essay and using a quote from an author, the student must give credit.</w:t>
      </w:r>
    </w:p>
    <w:p w14:paraId="02990004" w14:textId="579F63FF" w:rsidR="005A09FF" w:rsidRPr="00E0230C" w:rsidRDefault="005A09FF" w:rsidP="1F967D9D">
      <w:pPr>
        <w:spacing w:line="360" w:lineRule="auto"/>
        <w:ind w:left="360"/>
        <w:jc w:val="both"/>
        <w:rPr>
          <w:rFonts w:ascii="Calibri" w:eastAsia="Calibri" w:hAnsi="Calibri" w:cs="Calibri"/>
          <w:sz w:val="24"/>
          <w:szCs w:val="24"/>
        </w:rPr>
      </w:pPr>
    </w:p>
    <w:p w14:paraId="115DC410" w14:textId="48830DF1" w:rsidR="005A09FF" w:rsidRPr="00E0230C" w:rsidRDefault="1F967D9D" w:rsidP="1F967D9D">
      <w:pPr>
        <w:spacing w:line="360" w:lineRule="auto"/>
        <w:ind w:left="360"/>
        <w:jc w:val="both"/>
        <w:rPr>
          <w:rFonts w:ascii="Calibri" w:eastAsia="Calibri" w:hAnsi="Calibri" w:cs="Calibri"/>
          <w:sz w:val="24"/>
          <w:szCs w:val="24"/>
        </w:rPr>
      </w:pPr>
      <w:r w:rsidRPr="1F967D9D">
        <w:rPr>
          <w:rFonts w:ascii="Calibri" w:eastAsia="Calibri" w:hAnsi="Calibri" w:cs="Calibri"/>
          <w:i/>
          <w:iCs/>
          <w:sz w:val="24"/>
          <w:szCs w:val="24"/>
        </w:rPr>
        <w:t xml:space="preserve"> Q. Wikipedia is a good place to search for information for your academic assignments. Explain, with reasons, whether you believe this statement is true or false.  </w:t>
      </w:r>
    </w:p>
    <w:p w14:paraId="08BD9911" w14:textId="0720CC33" w:rsidR="005A09FF" w:rsidRPr="00E0230C" w:rsidRDefault="1F967D9D" w:rsidP="1F967D9D">
      <w:pPr>
        <w:spacing w:line="360" w:lineRule="auto"/>
        <w:ind w:left="360"/>
        <w:jc w:val="both"/>
        <w:rPr>
          <w:rFonts w:ascii="Calibri" w:eastAsia="Calibri" w:hAnsi="Calibri" w:cs="Calibri"/>
          <w:sz w:val="24"/>
          <w:szCs w:val="24"/>
        </w:rPr>
      </w:pPr>
      <w:r w:rsidRPr="1F967D9D">
        <w:rPr>
          <w:rFonts w:ascii="Calibri" w:eastAsia="Calibri" w:hAnsi="Calibri" w:cs="Calibri"/>
          <w:sz w:val="24"/>
          <w:szCs w:val="24"/>
        </w:rPr>
        <w:t xml:space="preserve">I strongly disagree with this statement since it’s not a reliable source for students to use. The reason for why Wikipedia I not a reliable source is because it is a website that contains information written by any random person who goes on the site. This could lead to students taking incorrect information to use for their work and failing as a result since what they found could had been written by somebody with hardly any education on the topic. </w:t>
      </w:r>
    </w:p>
    <w:p w14:paraId="465DDFD5" w14:textId="7473C116" w:rsidR="005A09FF" w:rsidRPr="00E0230C" w:rsidRDefault="1F967D9D" w:rsidP="1F967D9D">
      <w:pPr>
        <w:spacing w:line="360" w:lineRule="auto"/>
        <w:ind w:left="360"/>
        <w:jc w:val="both"/>
        <w:rPr>
          <w:rFonts w:ascii="Calibri" w:eastAsia="Calibri" w:hAnsi="Calibri" w:cs="Calibri"/>
          <w:sz w:val="24"/>
          <w:szCs w:val="24"/>
        </w:rPr>
      </w:pPr>
      <w:r w:rsidRPr="1F967D9D">
        <w:rPr>
          <w:rFonts w:ascii="Calibri" w:eastAsia="Calibri" w:hAnsi="Calibri" w:cs="Calibri"/>
          <w:i/>
          <w:iCs/>
          <w:sz w:val="24"/>
          <w:szCs w:val="24"/>
        </w:rPr>
        <w:t xml:space="preserve"> </w:t>
      </w:r>
    </w:p>
    <w:p w14:paraId="1B1D7A88" w14:textId="75A7631E" w:rsidR="005A09FF" w:rsidRPr="00E0230C" w:rsidRDefault="1F967D9D" w:rsidP="1F967D9D">
      <w:pPr>
        <w:spacing w:line="360" w:lineRule="auto"/>
        <w:ind w:left="360"/>
        <w:jc w:val="both"/>
        <w:rPr>
          <w:rFonts w:ascii="Calibri" w:eastAsia="Calibri" w:hAnsi="Calibri" w:cs="Calibri"/>
          <w:sz w:val="24"/>
          <w:szCs w:val="24"/>
        </w:rPr>
      </w:pPr>
      <w:r w:rsidRPr="1F967D9D">
        <w:rPr>
          <w:rFonts w:ascii="Calibri" w:eastAsia="Calibri" w:hAnsi="Calibri" w:cs="Calibri"/>
          <w:i/>
          <w:iCs/>
          <w:sz w:val="24"/>
          <w:szCs w:val="24"/>
        </w:rPr>
        <w:t xml:space="preserve"> Q. Write a set of instructions which could be included in a referencing guide which explains how to present a very long quotation.  </w:t>
      </w:r>
    </w:p>
    <w:p w14:paraId="27AC9D33" w14:textId="13277AA6" w:rsidR="005A09FF" w:rsidRPr="00E0230C" w:rsidRDefault="1F967D9D" w:rsidP="1F967D9D">
      <w:pPr>
        <w:spacing w:line="360" w:lineRule="auto"/>
        <w:ind w:left="360"/>
        <w:jc w:val="both"/>
        <w:rPr>
          <w:rFonts w:ascii="Calibri" w:eastAsia="Calibri" w:hAnsi="Calibri" w:cs="Calibri"/>
          <w:sz w:val="24"/>
          <w:szCs w:val="24"/>
        </w:rPr>
      </w:pPr>
      <w:r w:rsidRPr="1F967D9D">
        <w:rPr>
          <w:rFonts w:ascii="Calibri" w:eastAsia="Calibri" w:hAnsi="Calibri" w:cs="Calibri"/>
          <w:sz w:val="24"/>
          <w:szCs w:val="24"/>
        </w:rPr>
        <w:t>A long quotation is when it is longer than two sentences which takes up a lot of space on an academic assignment. Therefore, the quote must start on a new line and be indented after writing “(authors name) stated:” to show that you’re using something written by another person. It must also be justified, have singe line spaces and also be without any quotation marks. At the end of the long quotation, you must include the authors name, the year it was written and the page number, all within a bracket.</w:t>
      </w:r>
    </w:p>
    <w:p w14:paraId="1DF0EB6C" w14:textId="28352A77" w:rsidR="005A09FF" w:rsidRPr="00E0230C" w:rsidRDefault="005A09FF" w:rsidP="1F967D9D">
      <w:pPr>
        <w:spacing w:line="360" w:lineRule="auto"/>
        <w:ind w:left="360"/>
        <w:jc w:val="both"/>
        <w:rPr>
          <w:rFonts w:ascii="Calibri" w:eastAsia="Calibri" w:hAnsi="Calibri" w:cs="Calibri"/>
          <w:sz w:val="24"/>
          <w:szCs w:val="24"/>
        </w:rPr>
      </w:pPr>
    </w:p>
    <w:p w14:paraId="2D1694CE" w14:textId="3F88B1F8" w:rsidR="005A09FF" w:rsidRPr="00E0230C" w:rsidRDefault="1F967D9D" w:rsidP="1F967D9D">
      <w:pPr>
        <w:spacing w:line="360" w:lineRule="auto"/>
        <w:ind w:left="360"/>
        <w:jc w:val="both"/>
        <w:rPr>
          <w:rFonts w:ascii="Calibri" w:eastAsia="Calibri" w:hAnsi="Calibri" w:cs="Calibri"/>
          <w:sz w:val="24"/>
          <w:szCs w:val="24"/>
        </w:rPr>
      </w:pPr>
      <w:r w:rsidRPr="1F967D9D">
        <w:rPr>
          <w:rFonts w:ascii="Calibri" w:eastAsia="Calibri" w:hAnsi="Calibri" w:cs="Calibri"/>
          <w:i/>
          <w:iCs/>
          <w:sz w:val="24"/>
          <w:szCs w:val="24"/>
        </w:rPr>
        <w:t> Q. Explain how you can begin to conduct research for an academic assignment. Identify five sources which would be acceptable for academic study.</w:t>
      </w:r>
      <w:r w:rsidRPr="1F967D9D">
        <w:rPr>
          <w:rFonts w:ascii="Calibri" w:eastAsia="Calibri" w:hAnsi="Calibri" w:cs="Calibri"/>
          <w:sz w:val="24"/>
          <w:szCs w:val="24"/>
        </w:rPr>
        <w:t xml:space="preserve">  </w:t>
      </w:r>
    </w:p>
    <w:p w14:paraId="2A251A95" w14:textId="43B9E67D" w:rsidR="005A09FF" w:rsidRPr="00E0230C" w:rsidRDefault="1F967D9D" w:rsidP="1F967D9D">
      <w:pPr>
        <w:spacing w:line="360" w:lineRule="auto"/>
        <w:ind w:left="360"/>
        <w:jc w:val="both"/>
        <w:rPr>
          <w:rFonts w:ascii="Calibri" w:eastAsia="Calibri" w:hAnsi="Calibri" w:cs="Calibri"/>
          <w:sz w:val="24"/>
          <w:szCs w:val="24"/>
        </w:rPr>
      </w:pPr>
      <w:r w:rsidRPr="1F967D9D">
        <w:rPr>
          <w:rFonts w:ascii="Calibri" w:eastAsia="Calibri" w:hAnsi="Calibri" w:cs="Calibri"/>
          <w:sz w:val="24"/>
          <w:szCs w:val="24"/>
        </w:rPr>
        <w:t xml:space="preserve">To conduct an academic assignment, you must find a range of reliable sources that will give correct information to develop your understanding, this means that you must be critical about the sources you choose in order to ensure that your assignment is accurate with its information. Trustworthy sources should include the authors names and initials with the date, title and place of publication at least, it may also include the name of the journal and/or volume. If a source doesn’t include these things it could mean that the information is incorrect, which is why nobody is openly claiming the work as their own. </w:t>
      </w:r>
    </w:p>
    <w:p w14:paraId="40BE25E2" w14:textId="13BAC8DA" w:rsidR="005A09FF" w:rsidRPr="00E0230C" w:rsidRDefault="1F967D9D" w:rsidP="1F967D9D">
      <w:pPr>
        <w:spacing w:line="360" w:lineRule="auto"/>
        <w:ind w:left="360"/>
        <w:jc w:val="both"/>
        <w:rPr>
          <w:rFonts w:ascii="Calibri" w:eastAsia="Calibri" w:hAnsi="Calibri" w:cs="Calibri"/>
          <w:sz w:val="24"/>
          <w:szCs w:val="24"/>
        </w:rPr>
      </w:pPr>
      <w:r w:rsidRPr="1F967D9D">
        <w:rPr>
          <w:rFonts w:ascii="Calibri" w:eastAsia="Calibri" w:hAnsi="Calibri" w:cs="Calibri"/>
          <w:sz w:val="24"/>
          <w:szCs w:val="24"/>
        </w:rPr>
        <w:t>Examples of acceptable sources would start with the course's module bibliography, this will give students numerous books that should be available to them in the library and/or online. Students are also encouraged to use the LRC (library and learning resources) that is offered online which can be easily accessed from home. There is also the options of journals and leading authors which can be found easily through the internet of library search. Leading on from this, students can note down key journals or authors that they have found helpful so that they can refer to them on newer topics. Finally, another acceptable source would be using the internet e.g. google however, google could mislead students to unreliable resources which is why it is advised that google should be the last resort for when writing an academic assignment.</w:t>
      </w:r>
    </w:p>
    <w:p w14:paraId="359E9D42" w14:textId="1C4A8BEC" w:rsidR="005A09FF" w:rsidRPr="00E0230C" w:rsidRDefault="005A09FF" w:rsidP="1F967D9D">
      <w:pPr>
        <w:spacing w:line="360" w:lineRule="auto"/>
        <w:rPr>
          <w:sz w:val="24"/>
          <w:szCs w:val="24"/>
        </w:rPr>
      </w:pPr>
    </w:p>
    <w:p w14:paraId="5AE0468E" w14:textId="50AC748C" w:rsidR="005A09FF" w:rsidRPr="00E0230C" w:rsidRDefault="1F967D9D" w:rsidP="1F967D9D">
      <w:pPr>
        <w:spacing w:line="360" w:lineRule="auto"/>
        <w:jc w:val="both"/>
        <w:rPr>
          <w:sz w:val="24"/>
          <w:szCs w:val="24"/>
        </w:rPr>
      </w:pPr>
      <w:r w:rsidRPr="1F967D9D">
        <w:rPr>
          <w:i/>
          <w:iCs/>
          <w:sz w:val="24"/>
          <w:szCs w:val="24"/>
          <w:u w:val="single"/>
        </w:rPr>
        <w:t>Critical Response to Article.</w:t>
      </w:r>
    </w:p>
    <w:p w14:paraId="133F707A" w14:textId="1882479A" w:rsidR="005A09FF" w:rsidRPr="00E0230C" w:rsidRDefault="1C616927" w:rsidP="1C616927">
      <w:pPr>
        <w:spacing w:line="360" w:lineRule="auto"/>
        <w:jc w:val="both"/>
        <w:rPr>
          <w:sz w:val="24"/>
          <w:szCs w:val="24"/>
        </w:rPr>
      </w:pPr>
      <w:r w:rsidRPr="1C616927">
        <w:rPr>
          <w:sz w:val="24"/>
          <w:szCs w:val="24"/>
        </w:rPr>
        <w:t>This essay will aim to analyse and give a critical response to the “Welsh Journal of Education”, written in 2005 by Emma Smith from the University of York, the title chosen is ‘Schooled to Fail? The Underachievement Debate in Wales’. The journal looks at many contested issues such as the underachievement and gender debate in Wales which are both still relevant today.  For the gender debate, Smith looks at the gap of academic achievement scores between female and male students when receiving GCSE results and why they seem be at different rates from each other and across the UK. Smith also looks at the underachievement debate of Wales specifically in general, focusing on how well its students perform compared to the rest of the UK, (England in particular) which Smith highlights numerous times throughout the article. The aim of the text is to present Welsh schools in a positive light as Smith suggests that Welsh “students are no longer being schooled to fail”.</w:t>
      </w:r>
    </w:p>
    <w:p w14:paraId="1C55D18F" w14:textId="3BB07177" w:rsidR="005A09FF" w:rsidRDefault="5B7DD5A0" w:rsidP="5B7DD5A0">
      <w:pPr>
        <w:spacing w:line="360" w:lineRule="auto"/>
        <w:jc w:val="both"/>
        <w:rPr>
          <w:sz w:val="24"/>
          <w:szCs w:val="24"/>
        </w:rPr>
      </w:pPr>
      <w:r w:rsidRPr="5B7DD5A0">
        <w:rPr>
          <w:sz w:val="24"/>
          <w:szCs w:val="24"/>
        </w:rPr>
        <w:t>Smith’s key argument is that there is a clear rate of underachievement in Welsh students which she insinuates is putting them in a position where they are not benefitting from the system compared to other students attending schools in England. Smith also touches upon how male students are appearing to be underachieving in relation to their female peers but suggests no explanation as to why t</w:t>
      </w:r>
      <w:r>
        <w:t>his is happening. The intentions of the article is to inform the readers of how the education in the UK is affecting Welsh students which can be seen when reading between the lines. According to Price and Maier, this is when the reader must take an “interactive approach” and “put two and two together and come up with answers” since “authors make assumptions” about their audiences' knowledge on the topic which is why readers must read to know about how the system is structured here in the UK ( Price, G., Maier, P.)</w:t>
      </w:r>
    </w:p>
    <w:p w14:paraId="6254A0EA" w14:textId="080E9C01" w:rsidR="005A09FF" w:rsidRDefault="1C616927" w:rsidP="1C616927">
      <w:pPr>
        <w:spacing w:line="360" w:lineRule="auto"/>
        <w:jc w:val="both"/>
        <w:rPr>
          <w:sz w:val="24"/>
          <w:szCs w:val="24"/>
        </w:rPr>
      </w:pPr>
      <w:r w:rsidRPr="1C616927">
        <w:rPr>
          <w:sz w:val="24"/>
          <w:szCs w:val="24"/>
        </w:rPr>
        <w:t>The structure of  the article is very clearly set out with titles/subtitles to explain each section of the journal. The writer has also set it out into certain paragraphs which link together to build on the previous topics mentioned to enables the reader to follow along easier. The paragraphs sizes tend to be mostly made up of quite small paragraphs but also a few long ones that could put somebody off from reading the information thoroughly as they may find it could be quite repetitive or irrelevant since Smith does tend to use outdated sources. On the other hand, Smith uses graphs that link with the statistics she mentions in her work to encourage the reader to read around the topic as she uses evidence to show not only the gap of under-achievement between students but the difference between students in different subjects, e.g. maths.</w:t>
      </w:r>
    </w:p>
    <w:p w14:paraId="6DDE3A6C" w14:textId="5D7989CC" w:rsidR="005A09FF" w:rsidRDefault="5B7DD5A0" w:rsidP="5B7DD5A0">
      <w:pPr>
        <w:spacing w:line="360" w:lineRule="auto"/>
        <w:jc w:val="both"/>
        <w:rPr>
          <w:sz w:val="24"/>
          <w:szCs w:val="24"/>
        </w:rPr>
      </w:pPr>
      <w:r w:rsidRPr="5B7DD5A0">
        <w:rPr>
          <w:sz w:val="24"/>
          <w:szCs w:val="24"/>
        </w:rPr>
        <w:t>The way in which the journal  not written too academically so that only experts would be able to understand the message Smith is portraying. It is written in a formal style of writing with good grammar and punctuation and written objectively. Eyels-Reynolds, Judge, McCreery and Jones state that objective writing is when you “write without bias”, and when the author creates a “reasoned argument based on evidence rather than offering an explanation” which may be about their “own personal beliefs”. This could be why Smith uses a variety of statistics to support her points. However, there are very few hints of subjective language (when the author projects their belief) throughout the article. An example of this is when she writes “The so-called underachievement debate” which can feel as though she’s discarding the idea of the debate being true for students when writing “so-called” which persuades the reader to take her view (Eyels-Reynolds, L-J., Judge, B., McCreery, E., and Jones, P.)</w:t>
      </w:r>
    </w:p>
    <w:p w14:paraId="76ED8651" w14:textId="2A0A6CB4" w:rsidR="005A09FF" w:rsidRDefault="5B7DD5A0" w:rsidP="5B7DD5A0">
      <w:pPr>
        <w:spacing w:line="360" w:lineRule="auto"/>
        <w:jc w:val="both"/>
        <w:rPr>
          <w:rFonts w:ascii="Calibri" w:eastAsia="Calibri" w:hAnsi="Calibri" w:cs="Calibri"/>
          <w:color w:val="000000" w:themeColor="text1"/>
          <w:sz w:val="24"/>
          <w:szCs w:val="24"/>
        </w:rPr>
      </w:pPr>
      <w:r w:rsidRPr="5B7DD5A0">
        <w:rPr>
          <w:sz w:val="24"/>
          <w:szCs w:val="24"/>
        </w:rPr>
        <w:t xml:space="preserve">After reading the article, there seems to be a clear problem within the British education system as it affects the students that it has been designed for. Smith claims Wales is failing its students in comparison to England and states that Wales needs to be compared with an economic equivalent region such as the North East of England because it’s similar in its socio-economic values. Smith provides evidence showing the two regions having similar results for resident population, and </w:t>
      </w:r>
      <w:r w:rsidRPr="5B7DD5A0">
        <w:rPr>
          <w:rFonts w:ascii="Calibri" w:eastAsia="Calibri" w:hAnsi="Calibri" w:cs="Calibri"/>
          <w:color w:val="000000" w:themeColor="text1"/>
          <w:sz w:val="24"/>
          <w:szCs w:val="24"/>
        </w:rPr>
        <w:t xml:space="preserve">theorises that because of this, the they should have similar achievement results. Despite this, </w:t>
      </w:r>
      <w:r w:rsidRPr="5B7DD5A0">
        <w:rPr>
          <w:sz w:val="24"/>
          <w:szCs w:val="24"/>
        </w:rPr>
        <w:t>evidence for</w:t>
      </w:r>
      <w:r w:rsidRPr="5B7DD5A0">
        <w:rPr>
          <w:rFonts w:ascii="Calibri" w:eastAsia="Calibri" w:hAnsi="Calibri" w:cs="Calibri"/>
          <w:color w:val="000000" w:themeColor="text1"/>
          <w:sz w:val="24"/>
          <w:szCs w:val="24"/>
        </w:rPr>
        <w:t xml:space="preserve"> results of GCSE achievements in 2002/2003 for students of fifth teen years of age, shows that the North East had a score of forty-seven, while England and Wales shared the same score of fifty-one. The conclusion of this is that Smith’s previous points in the article are irrelevant as they don’t match her hypothesis. This is a huge problem since Cottrell states that “academic writing has been heavily influence by the notion of being scientific” in terms of having a hypothesis, “quantitative analysis” and “replicated results” which is where Smith’s argument becomes weak as the evidence provided suggests the opposite of what she’s claiming (Cottrell, S., Palgrave Study Skills). </w:t>
      </w:r>
    </w:p>
    <w:p w14:paraId="3D55508B" w14:textId="7F0C04D1" w:rsidR="005A09FF" w:rsidRDefault="5B7DD5A0" w:rsidP="5B7DD5A0">
      <w:pPr>
        <w:spacing w:line="360" w:lineRule="auto"/>
        <w:jc w:val="both"/>
        <w:rPr>
          <w:rFonts w:ascii="Calibri" w:eastAsia="Calibri" w:hAnsi="Calibri" w:cs="Calibri"/>
          <w:color w:val="FF0000"/>
          <w:sz w:val="24"/>
          <w:szCs w:val="24"/>
        </w:rPr>
      </w:pPr>
      <w:r w:rsidRPr="5B7DD5A0">
        <w:rPr>
          <w:rFonts w:ascii="Calibri" w:eastAsia="Calibri" w:hAnsi="Calibri" w:cs="Calibri"/>
          <w:color w:val="000000" w:themeColor="text1"/>
          <w:sz w:val="24"/>
          <w:szCs w:val="24"/>
        </w:rPr>
        <w:t xml:space="preserve">To conclude, the overall review of this article is that the way in which Smith has organised and set it out is presented very well and understandable for most as it doesn’t require the reader to have a pre-existing knowledge on the topic or/and on terminology as they are all mostly basic terms people would generally use. Despite this, when the reader delves deeper into the text and analyses it, it is clear to see how often Smith can go off topic when trying to develop her statement, this is seen quite a lot in the beginning when Smith tends to refer to England rather than Wales. Smith also provides mostly outdated and irrelevant evidence which decreases the accuracy of her claims. The article is appropriate for first year students at university to read to know their standard of writing however, it doesn’t seem to be an appropriate piece for a highly respected academic book that professionals would refer to. There is definitely room for improvement within the article, one suggestion that would be very beneficial would be to find more recent statistics rather than a variety of statistics that aim to develop a background story such as the graphs on gross domestic product and average dwelling price.  </w:t>
      </w:r>
    </w:p>
    <w:p w14:paraId="464AD71B" w14:textId="790843DC" w:rsidR="005A09FF" w:rsidRDefault="005A09FF" w:rsidP="1F967D9D">
      <w:pPr>
        <w:spacing w:line="360" w:lineRule="auto"/>
        <w:rPr>
          <w:rFonts w:ascii="Calibri" w:eastAsia="Calibri" w:hAnsi="Calibri" w:cs="Calibri"/>
          <w:color w:val="7030A0"/>
          <w:sz w:val="24"/>
          <w:szCs w:val="24"/>
        </w:rPr>
      </w:pPr>
    </w:p>
    <w:p w14:paraId="03D183DC" w14:textId="2D1CB46C" w:rsidR="005A09FF" w:rsidRDefault="1C616927" w:rsidP="1C616927">
      <w:pPr>
        <w:spacing w:line="360" w:lineRule="auto"/>
        <w:ind w:left="360"/>
        <w:jc w:val="both"/>
        <w:rPr>
          <w:rFonts w:ascii="Calibri" w:eastAsia="Calibri" w:hAnsi="Calibri" w:cs="Calibri"/>
          <w:color w:val="7030A0"/>
          <w:sz w:val="24"/>
          <w:szCs w:val="24"/>
        </w:rPr>
      </w:pPr>
      <w:r w:rsidRPr="1C616927">
        <w:rPr>
          <w:rFonts w:ascii="Calibri" w:eastAsia="Calibri" w:hAnsi="Calibri" w:cs="Calibri"/>
          <w:sz w:val="28"/>
          <w:szCs w:val="28"/>
          <w:u w:val="single"/>
        </w:rPr>
        <w:t>Reference List:</w:t>
      </w:r>
    </w:p>
    <w:p w14:paraId="21546BB2" w14:textId="5EA43420" w:rsidR="1C616927" w:rsidRDefault="5B7DD5A0" w:rsidP="5B7DD5A0">
      <w:pPr>
        <w:pStyle w:val="ListParagraph"/>
        <w:numPr>
          <w:ilvl w:val="0"/>
          <w:numId w:val="1"/>
        </w:numPr>
        <w:spacing w:line="360" w:lineRule="auto"/>
        <w:jc w:val="both"/>
        <w:rPr>
          <w:sz w:val="24"/>
          <w:szCs w:val="24"/>
        </w:rPr>
      </w:pPr>
      <w:r w:rsidRPr="5B7DD5A0">
        <w:rPr>
          <w:rFonts w:ascii="Calibri" w:eastAsia="Calibri" w:hAnsi="Calibri" w:cs="Calibri"/>
          <w:sz w:val="24"/>
          <w:szCs w:val="24"/>
        </w:rPr>
        <w:t xml:space="preserve">Smith, E., (2005), ‘Schooled to fail? The Underachievement Debate in Wales’, </w:t>
      </w:r>
      <w:r w:rsidRPr="5B7DD5A0">
        <w:rPr>
          <w:rFonts w:ascii="Calibri" w:eastAsia="Calibri" w:hAnsi="Calibri" w:cs="Calibri"/>
          <w:i/>
          <w:iCs/>
          <w:sz w:val="24"/>
          <w:szCs w:val="24"/>
        </w:rPr>
        <w:t>The Welsh Journal of Education</w:t>
      </w:r>
      <w:r w:rsidRPr="5B7DD5A0">
        <w:rPr>
          <w:rFonts w:ascii="Calibri" w:eastAsia="Calibri" w:hAnsi="Calibri" w:cs="Calibri"/>
          <w:sz w:val="24"/>
          <w:szCs w:val="24"/>
        </w:rPr>
        <w:t>, Vol.13, NO.2, PP.84-102.</w:t>
      </w:r>
    </w:p>
    <w:p w14:paraId="220A01EF" w14:textId="55A4993D" w:rsidR="5B7DD5A0" w:rsidRDefault="5B7DD5A0" w:rsidP="5B7DD5A0">
      <w:pPr>
        <w:pStyle w:val="ListParagraph"/>
        <w:numPr>
          <w:ilvl w:val="0"/>
          <w:numId w:val="1"/>
        </w:numPr>
        <w:spacing w:line="360" w:lineRule="auto"/>
        <w:jc w:val="both"/>
        <w:rPr>
          <w:sz w:val="24"/>
          <w:szCs w:val="24"/>
        </w:rPr>
      </w:pPr>
      <w:r w:rsidRPr="5B7DD5A0">
        <w:rPr>
          <w:sz w:val="24"/>
          <w:szCs w:val="24"/>
        </w:rPr>
        <w:t xml:space="preserve">Price, G., Maier, P., (2007),‘Effective Study Skills: Unlock Your Potential’, </w:t>
      </w:r>
      <w:r w:rsidRPr="5B7DD5A0">
        <w:rPr>
          <w:i/>
          <w:iCs/>
          <w:sz w:val="24"/>
          <w:szCs w:val="24"/>
        </w:rPr>
        <w:t>Pearson Longman,</w:t>
      </w:r>
      <w:r w:rsidRPr="5B7DD5A0">
        <w:rPr>
          <w:sz w:val="24"/>
          <w:szCs w:val="24"/>
        </w:rPr>
        <w:t xml:space="preserve"> P. 254.</w:t>
      </w:r>
    </w:p>
    <w:p w14:paraId="3437322B" w14:textId="69F00589" w:rsidR="5B7DD5A0" w:rsidRDefault="5B7DD5A0" w:rsidP="5B7DD5A0">
      <w:pPr>
        <w:pStyle w:val="ListParagraph"/>
        <w:numPr>
          <w:ilvl w:val="0"/>
          <w:numId w:val="1"/>
        </w:numPr>
        <w:spacing w:line="360" w:lineRule="auto"/>
        <w:jc w:val="both"/>
        <w:rPr>
          <w:sz w:val="24"/>
          <w:szCs w:val="24"/>
        </w:rPr>
      </w:pPr>
      <w:r w:rsidRPr="5B7DD5A0">
        <w:rPr>
          <w:sz w:val="24"/>
          <w:szCs w:val="24"/>
        </w:rPr>
        <w:t xml:space="preserve">Eyels-Reynolds, L-J., Judge, B., McCreery, E., and Jones, P., (2013), ‘Critical Thinking Skills for Education Students’, </w:t>
      </w:r>
      <w:r w:rsidRPr="5B7DD5A0">
        <w:rPr>
          <w:i/>
          <w:iCs/>
          <w:sz w:val="24"/>
          <w:szCs w:val="24"/>
        </w:rPr>
        <w:t>Study Skills in Education</w:t>
      </w:r>
      <w:r w:rsidRPr="5B7DD5A0">
        <w:rPr>
          <w:sz w:val="24"/>
          <w:szCs w:val="24"/>
        </w:rPr>
        <w:t>, 2</w:t>
      </w:r>
      <w:r w:rsidRPr="5B7DD5A0">
        <w:rPr>
          <w:sz w:val="24"/>
          <w:szCs w:val="24"/>
          <w:vertAlign w:val="superscript"/>
        </w:rPr>
        <w:t>nd</w:t>
      </w:r>
      <w:r w:rsidRPr="5B7DD5A0">
        <w:rPr>
          <w:sz w:val="24"/>
          <w:szCs w:val="24"/>
        </w:rPr>
        <w:t xml:space="preserve"> Edition, P.16.</w:t>
      </w:r>
    </w:p>
    <w:p w14:paraId="502FB746" w14:textId="4F8B259C" w:rsidR="5B7DD5A0" w:rsidRDefault="5B7DD5A0" w:rsidP="5B7DD5A0">
      <w:pPr>
        <w:pStyle w:val="ListParagraph"/>
        <w:numPr>
          <w:ilvl w:val="0"/>
          <w:numId w:val="1"/>
        </w:numPr>
        <w:spacing w:line="360" w:lineRule="auto"/>
        <w:jc w:val="both"/>
        <w:rPr>
          <w:color w:val="000000" w:themeColor="text1"/>
          <w:sz w:val="24"/>
          <w:szCs w:val="24"/>
        </w:rPr>
      </w:pPr>
      <w:r w:rsidRPr="5B7DD5A0">
        <w:rPr>
          <w:rFonts w:ascii="Calibri" w:eastAsia="Calibri" w:hAnsi="Calibri" w:cs="Calibri"/>
          <w:color w:val="000000" w:themeColor="text1"/>
          <w:sz w:val="24"/>
          <w:szCs w:val="24"/>
        </w:rPr>
        <w:t>Cottrell, S., (2013), ‘The Study Skills Handbook',</w:t>
      </w:r>
      <w:r w:rsidRPr="5B7DD5A0">
        <w:rPr>
          <w:rFonts w:ascii="Calibri" w:eastAsia="Calibri" w:hAnsi="Calibri" w:cs="Calibri"/>
          <w:i/>
          <w:iCs/>
          <w:color w:val="000000" w:themeColor="text1"/>
          <w:sz w:val="24"/>
          <w:szCs w:val="24"/>
        </w:rPr>
        <w:t xml:space="preserve"> Palgrave Study Skills</w:t>
      </w:r>
      <w:r w:rsidRPr="5B7DD5A0">
        <w:rPr>
          <w:rFonts w:ascii="Calibri" w:eastAsia="Calibri" w:hAnsi="Calibri" w:cs="Calibri"/>
          <w:color w:val="000000" w:themeColor="text1"/>
          <w:sz w:val="24"/>
          <w:szCs w:val="24"/>
        </w:rPr>
        <w:t>, 3</w:t>
      </w:r>
      <w:r w:rsidRPr="5B7DD5A0">
        <w:rPr>
          <w:rFonts w:ascii="Calibri" w:eastAsia="Calibri" w:hAnsi="Calibri" w:cs="Calibri"/>
          <w:color w:val="000000" w:themeColor="text1"/>
          <w:sz w:val="24"/>
          <w:szCs w:val="24"/>
          <w:vertAlign w:val="superscript"/>
        </w:rPr>
        <w:t>rd</w:t>
      </w:r>
      <w:r w:rsidRPr="5B7DD5A0">
        <w:rPr>
          <w:rFonts w:ascii="Calibri" w:eastAsia="Calibri" w:hAnsi="Calibri" w:cs="Calibri"/>
          <w:color w:val="000000" w:themeColor="text1"/>
          <w:sz w:val="24"/>
          <w:szCs w:val="24"/>
        </w:rPr>
        <w:t xml:space="preserve"> Edition, p.205. </w:t>
      </w:r>
    </w:p>
    <w:p w14:paraId="67CF4040" w14:textId="35349FC1" w:rsidR="1C616927" w:rsidRDefault="1C616927" w:rsidP="1C616927">
      <w:pPr>
        <w:spacing w:line="360" w:lineRule="auto"/>
        <w:ind w:left="360"/>
        <w:rPr>
          <w:rFonts w:ascii="Calibri" w:eastAsia="Calibri" w:hAnsi="Calibri" w:cs="Calibri"/>
          <w:sz w:val="28"/>
          <w:szCs w:val="28"/>
          <w:u w:val="single"/>
        </w:rPr>
      </w:pPr>
    </w:p>
    <w:p w14:paraId="36315F13" w14:textId="48C8939A" w:rsidR="005A09FF" w:rsidRDefault="005A09FF" w:rsidP="1F967D9D">
      <w:pPr>
        <w:spacing w:line="360" w:lineRule="auto"/>
        <w:jc w:val="both"/>
        <w:rPr>
          <w:rFonts w:ascii="Calibri" w:eastAsia="Calibri" w:hAnsi="Calibri" w:cs="Calibri"/>
          <w:color w:val="7030A0"/>
          <w:sz w:val="24"/>
          <w:szCs w:val="24"/>
        </w:rPr>
      </w:pPr>
    </w:p>
    <w:p w14:paraId="60023E7B" w14:textId="2F9B7EF2" w:rsidR="1F967D9D" w:rsidRDefault="1F967D9D" w:rsidP="1F967D9D">
      <w:pPr>
        <w:spacing w:line="360" w:lineRule="auto"/>
        <w:jc w:val="both"/>
        <w:rPr>
          <w:rFonts w:ascii="Calibri" w:eastAsia="Calibri" w:hAnsi="Calibri" w:cs="Calibri"/>
          <w:color w:val="7030A0"/>
          <w:sz w:val="24"/>
          <w:szCs w:val="24"/>
        </w:rPr>
      </w:pPr>
    </w:p>
    <w:p w14:paraId="0C45C4F0" w14:textId="5E88A44D" w:rsidR="1F967D9D" w:rsidRDefault="1F967D9D" w:rsidP="1F967D9D">
      <w:pPr>
        <w:spacing w:line="360" w:lineRule="auto"/>
        <w:jc w:val="both"/>
        <w:rPr>
          <w:rFonts w:ascii="Calibri" w:eastAsia="Calibri" w:hAnsi="Calibri" w:cs="Calibri"/>
          <w:color w:val="7030A0"/>
          <w:sz w:val="24"/>
          <w:szCs w:val="24"/>
        </w:rPr>
      </w:pPr>
    </w:p>
    <w:p w14:paraId="5D541344" w14:textId="2282AFD2" w:rsidR="1F967D9D" w:rsidRDefault="1F967D9D" w:rsidP="1F967D9D">
      <w:pPr>
        <w:spacing w:line="360" w:lineRule="auto"/>
        <w:jc w:val="both"/>
        <w:rPr>
          <w:rFonts w:ascii="Calibri" w:eastAsia="Calibri" w:hAnsi="Calibri" w:cs="Calibri"/>
          <w:color w:val="7030A0"/>
          <w:sz w:val="24"/>
          <w:szCs w:val="24"/>
        </w:rPr>
      </w:pPr>
    </w:p>
    <w:p w14:paraId="5C81231F" w14:textId="6E640122" w:rsidR="0DC60E95" w:rsidRDefault="0DC60E95" w:rsidP="1C616927">
      <w:pPr>
        <w:spacing w:line="360" w:lineRule="auto"/>
        <w:jc w:val="both"/>
        <w:rPr>
          <w:sz w:val="24"/>
          <w:szCs w:val="24"/>
        </w:rPr>
      </w:pPr>
    </w:p>
    <w:p w14:paraId="48797CB1" w14:textId="627CA7F8" w:rsidR="7F2C19B6" w:rsidRDefault="7F2C19B6" w:rsidP="7F2C19B6">
      <w:pPr>
        <w:pStyle w:val="Default"/>
        <w:spacing w:line="360" w:lineRule="auto"/>
        <w:jc w:val="both"/>
        <w:rPr>
          <w:color w:val="auto"/>
        </w:rPr>
      </w:pPr>
    </w:p>
    <w:p w14:paraId="1BC1365A" w14:textId="1201011B" w:rsidR="7F2C19B6" w:rsidRDefault="7F2C19B6" w:rsidP="7F2C19B6">
      <w:pPr>
        <w:pStyle w:val="Default"/>
        <w:rPr>
          <w:sz w:val="23"/>
          <w:szCs w:val="23"/>
        </w:rPr>
      </w:pPr>
    </w:p>
    <w:p w14:paraId="4B2CEF0B" w14:textId="3CE5F24C" w:rsidR="00E0230C" w:rsidRDefault="00E0230C" w:rsidP="7F2C19B6">
      <w:pPr>
        <w:rPr>
          <w:rFonts w:ascii="Calibri" w:eastAsia="Calibri" w:hAnsi="Calibri" w:cs="Calibri"/>
          <w:i/>
          <w:iCs/>
          <w:sz w:val="24"/>
          <w:szCs w:val="24"/>
        </w:rPr>
      </w:pPr>
    </w:p>
    <w:sectPr w:rsidR="00E0230C" w:rsidSect="002C518C">
      <w:pgSz w:w="11906" w:h="17338"/>
      <w:pgMar w:top="1858" w:right="618" w:bottom="1256" w:left="738"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90724"/>
    <w:multiLevelType w:val="hybridMultilevel"/>
    <w:tmpl w:val="4E103448"/>
    <w:lvl w:ilvl="0" w:tplc="F7D65B6C">
      <w:start w:val="1"/>
      <w:numFmt w:val="bullet"/>
      <w:lvlText w:val=""/>
      <w:lvlJc w:val="left"/>
      <w:pPr>
        <w:ind w:left="720" w:hanging="360"/>
      </w:pPr>
      <w:rPr>
        <w:rFonts w:ascii="Symbol" w:hAnsi="Symbol" w:hint="default"/>
      </w:rPr>
    </w:lvl>
    <w:lvl w:ilvl="1" w:tplc="BE3EE104">
      <w:start w:val="1"/>
      <w:numFmt w:val="bullet"/>
      <w:lvlText w:val="o"/>
      <w:lvlJc w:val="left"/>
      <w:pPr>
        <w:ind w:left="1440" w:hanging="360"/>
      </w:pPr>
      <w:rPr>
        <w:rFonts w:ascii="Courier New" w:hAnsi="Courier New" w:hint="default"/>
      </w:rPr>
    </w:lvl>
    <w:lvl w:ilvl="2" w:tplc="D2A6B842">
      <w:start w:val="1"/>
      <w:numFmt w:val="bullet"/>
      <w:lvlText w:val=""/>
      <w:lvlJc w:val="left"/>
      <w:pPr>
        <w:ind w:left="2160" w:hanging="360"/>
      </w:pPr>
      <w:rPr>
        <w:rFonts w:ascii="Wingdings" w:hAnsi="Wingdings" w:hint="default"/>
      </w:rPr>
    </w:lvl>
    <w:lvl w:ilvl="3" w:tplc="3F528DB0">
      <w:start w:val="1"/>
      <w:numFmt w:val="bullet"/>
      <w:lvlText w:val=""/>
      <w:lvlJc w:val="left"/>
      <w:pPr>
        <w:ind w:left="2880" w:hanging="360"/>
      </w:pPr>
      <w:rPr>
        <w:rFonts w:ascii="Symbol" w:hAnsi="Symbol" w:hint="default"/>
      </w:rPr>
    </w:lvl>
    <w:lvl w:ilvl="4" w:tplc="10F84D24">
      <w:start w:val="1"/>
      <w:numFmt w:val="bullet"/>
      <w:lvlText w:val="o"/>
      <w:lvlJc w:val="left"/>
      <w:pPr>
        <w:ind w:left="3600" w:hanging="360"/>
      </w:pPr>
      <w:rPr>
        <w:rFonts w:ascii="Courier New" w:hAnsi="Courier New" w:hint="default"/>
      </w:rPr>
    </w:lvl>
    <w:lvl w:ilvl="5" w:tplc="ED546F4C">
      <w:start w:val="1"/>
      <w:numFmt w:val="bullet"/>
      <w:lvlText w:val=""/>
      <w:lvlJc w:val="left"/>
      <w:pPr>
        <w:ind w:left="4320" w:hanging="360"/>
      </w:pPr>
      <w:rPr>
        <w:rFonts w:ascii="Wingdings" w:hAnsi="Wingdings" w:hint="default"/>
      </w:rPr>
    </w:lvl>
    <w:lvl w:ilvl="6" w:tplc="2AB4AB44">
      <w:start w:val="1"/>
      <w:numFmt w:val="bullet"/>
      <w:lvlText w:val=""/>
      <w:lvlJc w:val="left"/>
      <w:pPr>
        <w:ind w:left="5040" w:hanging="360"/>
      </w:pPr>
      <w:rPr>
        <w:rFonts w:ascii="Symbol" w:hAnsi="Symbol" w:hint="default"/>
      </w:rPr>
    </w:lvl>
    <w:lvl w:ilvl="7" w:tplc="C26E9696">
      <w:start w:val="1"/>
      <w:numFmt w:val="bullet"/>
      <w:lvlText w:val="o"/>
      <w:lvlJc w:val="left"/>
      <w:pPr>
        <w:ind w:left="5760" w:hanging="360"/>
      </w:pPr>
      <w:rPr>
        <w:rFonts w:ascii="Courier New" w:hAnsi="Courier New" w:hint="default"/>
      </w:rPr>
    </w:lvl>
    <w:lvl w:ilvl="8" w:tplc="A11E68E2">
      <w:start w:val="1"/>
      <w:numFmt w:val="bullet"/>
      <w:lvlText w:val=""/>
      <w:lvlJc w:val="left"/>
      <w:pPr>
        <w:ind w:left="6480" w:hanging="360"/>
      </w:pPr>
      <w:rPr>
        <w:rFonts w:ascii="Wingdings" w:hAnsi="Wingdings" w:hint="default"/>
      </w:rPr>
    </w:lvl>
  </w:abstractNum>
  <w:abstractNum w:abstractNumId="1">
    <w:nsid w:val="15EA65DE"/>
    <w:multiLevelType w:val="hybridMultilevel"/>
    <w:tmpl w:val="A96650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DA32648"/>
    <w:multiLevelType w:val="hybridMultilevel"/>
    <w:tmpl w:val="8146BB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A6B7D47"/>
    <w:multiLevelType w:val="hybridMultilevel"/>
    <w:tmpl w:val="E4BA5F5C"/>
    <w:lvl w:ilvl="0" w:tplc="BE3A56C6">
      <w:start w:val="1"/>
      <w:numFmt w:val="bullet"/>
      <w:lvlText w:val=""/>
      <w:lvlJc w:val="left"/>
      <w:pPr>
        <w:ind w:left="720" w:hanging="360"/>
      </w:pPr>
      <w:rPr>
        <w:rFonts w:ascii="Symbol" w:hAnsi="Symbol" w:hint="default"/>
      </w:rPr>
    </w:lvl>
    <w:lvl w:ilvl="1" w:tplc="7AA2159C">
      <w:start w:val="1"/>
      <w:numFmt w:val="bullet"/>
      <w:lvlText w:val="o"/>
      <w:lvlJc w:val="left"/>
      <w:pPr>
        <w:ind w:left="1440" w:hanging="360"/>
      </w:pPr>
      <w:rPr>
        <w:rFonts w:ascii="Courier New" w:hAnsi="Courier New" w:hint="default"/>
      </w:rPr>
    </w:lvl>
    <w:lvl w:ilvl="2" w:tplc="56E60946">
      <w:start w:val="1"/>
      <w:numFmt w:val="bullet"/>
      <w:lvlText w:val=""/>
      <w:lvlJc w:val="left"/>
      <w:pPr>
        <w:ind w:left="2160" w:hanging="360"/>
      </w:pPr>
      <w:rPr>
        <w:rFonts w:ascii="Wingdings" w:hAnsi="Wingdings" w:hint="default"/>
      </w:rPr>
    </w:lvl>
    <w:lvl w:ilvl="3" w:tplc="FEC2F618">
      <w:start w:val="1"/>
      <w:numFmt w:val="bullet"/>
      <w:lvlText w:val=""/>
      <w:lvlJc w:val="left"/>
      <w:pPr>
        <w:ind w:left="2880" w:hanging="360"/>
      </w:pPr>
      <w:rPr>
        <w:rFonts w:ascii="Symbol" w:hAnsi="Symbol" w:hint="default"/>
      </w:rPr>
    </w:lvl>
    <w:lvl w:ilvl="4" w:tplc="BFCA6440">
      <w:start w:val="1"/>
      <w:numFmt w:val="bullet"/>
      <w:lvlText w:val="o"/>
      <w:lvlJc w:val="left"/>
      <w:pPr>
        <w:ind w:left="3600" w:hanging="360"/>
      </w:pPr>
      <w:rPr>
        <w:rFonts w:ascii="Courier New" w:hAnsi="Courier New" w:hint="default"/>
      </w:rPr>
    </w:lvl>
    <w:lvl w:ilvl="5" w:tplc="7BE2F008">
      <w:start w:val="1"/>
      <w:numFmt w:val="bullet"/>
      <w:lvlText w:val=""/>
      <w:lvlJc w:val="left"/>
      <w:pPr>
        <w:ind w:left="4320" w:hanging="360"/>
      </w:pPr>
      <w:rPr>
        <w:rFonts w:ascii="Wingdings" w:hAnsi="Wingdings" w:hint="default"/>
      </w:rPr>
    </w:lvl>
    <w:lvl w:ilvl="6" w:tplc="2A6E33C4">
      <w:start w:val="1"/>
      <w:numFmt w:val="bullet"/>
      <w:lvlText w:val=""/>
      <w:lvlJc w:val="left"/>
      <w:pPr>
        <w:ind w:left="5040" w:hanging="360"/>
      </w:pPr>
      <w:rPr>
        <w:rFonts w:ascii="Symbol" w:hAnsi="Symbol" w:hint="default"/>
      </w:rPr>
    </w:lvl>
    <w:lvl w:ilvl="7" w:tplc="394CAA5E">
      <w:start w:val="1"/>
      <w:numFmt w:val="bullet"/>
      <w:lvlText w:val="o"/>
      <w:lvlJc w:val="left"/>
      <w:pPr>
        <w:ind w:left="5760" w:hanging="360"/>
      </w:pPr>
      <w:rPr>
        <w:rFonts w:ascii="Courier New" w:hAnsi="Courier New" w:hint="default"/>
      </w:rPr>
    </w:lvl>
    <w:lvl w:ilvl="8" w:tplc="5B86B97A">
      <w:start w:val="1"/>
      <w:numFmt w:val="bullet"/>
      <w:lvlText w:val=""/>
      <w:lvlJc w:val="left"/>
      <w:pPr>
        <w:ind w:left="6480" w:hanging="360"/>
      </w:pPr>
      <w:rPr>
        <w:rFonts w:ascii="Wingdings" w:hAnsi="Wingdings" w:hint="default"/>
      </w:rPr>
    </w:lvl>
  </w:abstractNum>
  <w:abstractNum w:abstractNumId="4">
    <w:nsid w:val="2C81164B"/>
    <w:multiLevelType w:val="hybridMultilevel"/>
    <w:tmpl w:val="E90C1EBA"/>
    <w:lvl w:ilvl="0" w:tplc="42E0DBAC">
      <w:start w:val="1"/>
      <w:numFmt w:val="bullet"/>
      <w:lvlText w:val=""/>
      <w:lvlJc w:val="left"/>
      <w:pPr>
        <w:ind w:left="720" w:hanging="360"/>
      </w:pPr>
      <w:rPr>
        <w:rFonts w:ascii="Symbol" w:hAnsi="Symbol" w:hint="default"/>
      </w:rPr>
    </w:lvl>
    <w:lvl w:ilvl="1" w:tplc="15D85198">
      <w:start w:val="1"/>
      <w:numFmt w:val="bullet"/>
      <w:lvlText w:val="o"/>
      <w:lvlJc w:val="left"/>
      <w:pPr>
        <w:ind w:left="1440" w:hanging="360"/>
      </w:pPr>
      <w:rPr>
        <w:rFonts w:ascii="Courier New" w:hAnsi="Courier New" w:hint="default"/>
      </w:rPr>
    </w:lvl>
    <w:lvl w:ilvl="2" w:tplc="CD8E4246">
      <w:start w:val="1"/>
      <w:numFmt w:val="bullet"/>
      <w:lvlText w:val=""/>
      <w:lvlJc w:val="left"/>
      <w:pPr>
        <w:ind w:left="2160" w:hanging="360"/>
      </w:pPr>
      <w:rPr>
        <w:rFonts w:ascii="Wingdings" w:hAnsi="Wingdings" w:hint="default"/>
      </w:rPr>
    </w:lvl>
    <w:lvl w:ilvl="3" w:tplc="E2D8F44A">
      <w:start w:val="1"/>
      <w:numFmt w:val="bullet"/>
      <w:lvlText w:val=""/>
      <w:lvlJc w:val="left"/>
      <w:pPr>
        <w:ind w:left="2880" w:hanging="360"/>
      </w:pPr>
      <w:rPr>
        <w:rFonts w:ascii="Symbol" w:hAnsi="Symbol" w:hint="default"/>
      </w:rPr>
    </w:lvl>
    <w:lvl w:ilvl="4" w:tplc="3BF8ED6C">
      <w:start w:val="1"/>
      <w:numFmt w:val="bullet"/>
      <w:lvlText w:val="o"/>
      <w:lvlJc w:val="left"/>
      <w:pPr>
        <w:ind w:left="3600" w:hanging="360"/>
      </w:pPr>
      <w:rPr>
        <w:rFonts w:ascii="Courier New" w:hAnsi="Courier New" w:hint="default"/>
      </w:rPr>
    </w:lvl>
    <w:lvl w:ilvl="5" w:tplc="F78C4CA4">
      <w:start w:val="1"/>
      <w:numFmt w:val="bullet"/>
      <w:lvlText w:val=""/>
      <w:lvlJc w:val="left"/>
      <w:pPr>
        <w:ind w:left="4320" w:hanging="360"/>
      </w:pPr>
      <w:rPr>
        <w:rFonts w:ascii="Wingdings" w:hAnsi="Wingdings" w:hint="default"/>
      </w:rPr>
    </w:lvl>
    <w:lvl w:ilvl="6" w:tplc="8BB4D9E2">
      <w:start w:val="1"/>
      <w:numFmt w:val="bullet"/>
      <w:lvlText w:val=""/>
      <w:lvlJc w:val="left"/>
      <w:pPr>
        <w:ind w:left="5040" w:hanging="360"/>
      </w:pPr>
      <w:rPr>
        <w:rFonts w:ascii="Symbol" w:hAnsi="Symbol" w:hint="default"/>
      </w:rPr>
    </w:lvl>
    <w:lvl w:ilvl="7" w:tplc="6CF67D2E">
      <w:start w:val="1"/>
      <w:numFmt w:val="bullet"/>
      <w:lvlText w:val="o"/>
      <w:lvlJc w:val="left"/>
      <w:pPr>
        <w:ind w:left="5760" w:hanging="360"/>
      </w:pPr>
      <w:rPr>
        <w:rFonts w:ascii="Courier New" w:hAnsi="Courier New" w:hint="default"/>
      </w:rPr>
    </w:lvl>
    <w:lvl w:ilvl="8" w:tplc="CAAEF5B8">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09FF"/>
    <w:rsid w:val="005A09FF"/>
    <w:rsid w:val="00700DEA"/>
    <w:rsid w:val="008526BE"/>
    <w:rsid w:val="00E0230C"/>
    <w:rsid w:val="00E90035"/>
    <w:rsid w:val="00F204F2"/>
    <w:rsid w:val="0DC60E95"/>
    <w:rsid w:val="1C616927"/>
    <w:rsid w:val="1F967D9D"/>
    <w:rsid w:val="2A0C9048"/>
    <w:rsid w:val="2AD01F61"/>
    <w:rsid w:val="582A09F5"/>
    <w:rsid w:val="5B7DD5A0"/>
    <w:rsid w:val="7F2C19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BE7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A09FF"/>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pPr>
      <w:ind w:left="720"/>
      <w:contextualSpacing/>
    </w:pPr>
  </w:style>
  <w:style w:type="character" w:styleId="EndnoteReference">
    <w:name w:val="endnote reference"/>
    <w:basedOn w:val="DefaultParagraphFont"/>
    <w:uiPriority w:val="99"/>
    <w:semiHidden/>
    <w:unhideWhenUse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A09FF"/>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pPr>
      <w:ind w:left="720"/>
      <w:contextualSpacing/>
    </w:pPr>
  </w:style>
  <w:style w:type="character" w:styleId="EndnoteReference">
    <w:name w:val="endnote reference"/>
    <w:basedOn w:val="DefaultParagraphFont"/>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2114</Words>
  <Characters>12054</Characters>
  <Application>Microsoft Office Word</Application>
  <DocSecurity>0</DocSecurity>
  <Lines>100</Lines>
  <Paragraphs>28</Paragraphs>
  <ScaleCrop>false</ScaleCrop>
  <Company>University of Wales Trinity Saint David</Company>
  <LinksUpToDate>false</LinksUpToDate>
  <CharactersWithSpaces>14140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Megan Williams</dc:creator>
  <cp:lastModifiedBy>meg wills</cp:lastModifiedBy>
  <cp:revision>2</cp:revision>
  <dcterms:created xsi:type="dcterms:W3CDTF">2018-11-30T17:29:00Z</dcterms:created>
  <dcterms:modified xsi:type="dcterms:W3CDTF">2018-11-30T17:29:00Z</dcterms:modified>
</cp:coreProperties>
</file>