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0F710" w14:textId="77777777" w:rsidR="00C56639" w:rsidRPr="00C56639" w:rsidRDefault="00C56639" w:rsidP="00C56639">
      <w:pPr>
        <w:pStyle w:val="AssignHeader"/>
      </w:pPr>
      <w:r w:rsidRPr="00C56639">
        <w:t>A critical evaluation and the identification of next teaching and learning steps focusing on a case study of an individual learner or a group of learners, based on an observed critical incident.</w:t>
      </w:r>
    </w:p>
    <w:p w14:paraId="3D630D89" w14:textId="77777777" w:rsidR="00C56639" w:rsidRPr="00C56639" w:rsidRDefault="00C56639" w:rsidP="00C56639">
      <w:pPr>
        <w:pStyle w:val="AssignBody"/>
      </w:pPr>
    </w:p>
    <w:p w14:paraId="1C0B09D4" w14:textId="77777777" w:rsidR="00C56639" w:rsidRPr="00C56639" w:rsidRDefault="00C56639" w:rsidP="00C56639">
      <w:pPr>
        <w:pStyle w:val="AssignSubHeader"/>
      </w:pPr>
      <w:r w:rsidRPr="00C56639">
        <w:t xml:space="preserve">Introduction </w:t>
      </w:r>
    </w:p>
    <w:p w14:paraId="6E84C14F" w14:textId="77777777" w:rsidR="00C56639" w:rsidRPr="00C56639" w:rsidRDefault="00C56639" w:rsidP="00C56639">
      <w:pPr>
        <w:pStyle w:val="AssignBody"/>
      </w:pPr>
      <w:r w:rsidRPr="00C56639">
        <w:t xml:space="preserve">The objective of this essay is to investigate theories and research </w:t>
      </w:r>
      <w:proofErr w:type="gramStart"/>
      <w:r w:rsidRPr="00C56639">
        <w:t>in order to</w:t>
      </w:r>
      <w:proofErr w:type="gramEnd"/>
      <w:r w:rsidRPr="00C56639">
        <w:t xml:space="preserve"> identify further steps relating to my observation of a critical incident. Tripp (2011, pg.8) describes a critical incident as “an interpretation of the significance of an event". Consequently, a critical incident can be defined as a perception of an experience in a classroom that alters a person's thoughts or the way they perceive an incident. Given this, they consider it to be critical due to its significance to them. The incident does not need to be a serious event, nor a negative one, to be considered critical. Being able to evaluate and reflect on one's teaching is crucial for professional growth (Tripp, 2011). Teachers who are reflective may evaluate their own experiences, connect them to theory, and implement improvements, which in and of itself is an acknowledgement of the importance of learning (Smyth, 1989). Two of the core principles of the professional standards outlined by the Welsh Government are continuous development and being a professional learner (Welsh Government, 2019).</w:t>
      </w:r>
    </w:p>
    <w:p w14:paraId="75F8F5D9" w14:textId="77777777" w:rsidR="00C56639" w:rsidRPr="00C56639" w:rsidRDefault="00C56639" w:rsidP="00C56639">
      <w:pPr>
        <w:pStyle w:val="AssignBody"/>
      </w:pPr>
      <w:r w:rsidRPr="00C56639">
        <w:t>I will structure the continuing essay in the following way. Next, I will discuss the role of critical reflection in the teaching profession. Subsequently, the critical incident observed contextualised in the class setting, while complying with British Educational Research Association (BERA) guidelines (2018). Leading to a discussion around the critical incident, linking to Donaldson's four purposes. Then, a literature review correlating of relevant literature. Penultimately, a reflection, evaluation and identification of the next steps following the research. Ultimately leading to a conclusion, summarising, and linking together the ideas and approaches taken to the role of the practitioner in Wales.</w:t>
      </w:r>
    </w:p>
    <w:p w14:paraId="6AFC734D" w14:textId="77777777" w:rsidR="00C56639" w:rsidRPr="00C56639" w:rsidRDefault="00C56639" w:rsidP="00C56639">
      <w:pPr>
        <w:pStyle w:val="AssignBody"/>
      </w:pPr>
    </w:p>
    <w:p w14:paraId="71E03958" w14:textId="77777777" w:rsidR="00C56639" w:rsidRPr="00C56639" w:rsidRDefault="00C56639" w:rsidP="00C56639">
      <w:pPr>
        <w:pStyle w:val="AssignSubHeader"/>
      </w:pPr>
      <w:r w:rsidRPr="00C56639">
        <w:t xml:space="preserve">The Role of Critical Reflection </w:t>
      </w:r>
    </w:p>
    <w:p w14:paraId="4204E638" w14:textId="77777777" w:rsidR="00C56639" w:rsidRPr="00C56639" w:rsidRDefault="00C56639" w:rsidP="00C56639">
      <w:pPr>
        <w:pStyle w:val="AssignBody"/>
      </w:pPr>
      <w:r w:rsidRPr="00C56639">
        <w:t xml:space="preserve">The education system in Wales is amid reform, moving towards an updated curriculum fit for the modern world directed by the four purposes centred around the pupil (OECD, 2020). To accompany the new curriculum and ensure its efficacy, the Welsh Government has developed five new professional standards for teaching and learning. The five essential components of a teacher's job are emphasised in these requirements: teaching, leadership, innovation, cooperation, and professional learning. They have created the standards to </w:t>
      </w:r>
      <w:r w:rsidRPr="00C56639">
        <w:lastRenderedPageBreak/>
        <w:t>ensure the teacher's continual development as a 'professional learner'. According to the criteria, teachers must expand their knowledge and demonstrate that they "can illustrate how reflection and openness to challenge and support informs professional learning to gradually advance teaching" (Welsh Government, 2019).</w:t>
      </w:r>
    </w:p>
    <w:p w14:paraId="5100D8EB" w14:textId="298B19EE" w:rsidR="00C56639" w:rsidRPr="00C56639" w:rsidRDefault="00C56639" w:rsidP="00C56639">
      <w:pPr>
        <w:pStyle w:val="AssignBody"/>
      </w:pPr>
      <w:r w:rsidRPr="00C56639">
        <w:t xml:space="preserve">The idea that teaching is a profession has been advocated by educators since the 20th century. Since it is believed that advanced training is the basis of a profession, improving teachers' knowledge and professional development is the best way to professionalise teaching (Ballantine, Spade and Stuber, 2018). According to Manning and Payne (1996), teachers must first be aware of their own teaching </w:t>
      </w:r>
      <w:proofErr w:type="gramStart"/>
      <w:r w:rsidRPr="00C56639">
        <w:t>in order to</w:t>
      </w:r>
      <w:proofErr w:type="gramEnd"/>
      <w:r w:rsidRPr="00C56639">
        <w:t xml:space="preserve"> develop professionally. Reflective practice involves educators analysing and evaluating their decisions and how they may affect </w:t>
      </w:r>
      <w:r w:rsidR="00F60B04" w:rsidRPr="00C56639">
        <w:t>pupils'</w:t>
      </w:r>
      <w:r w:rsidRPr="00C56639">
        <w:t xml:space="preserve"> learning. Therefore, </w:t>
      </w:r>
      <w:proofErr w:type="gramStart"/>
      <w:r w:rsidRPr="00C56639">
        <w:t>in order to</w:t>
      </w:r>
      <w:proofErr w:type="gramEnd"/>
      <w:r w:rsidRPr="00C56639">
        <w:t xml:space="preserve"> get better, one needs to reflect and be critical. Professionals who actively reflect on their views and methodology for teaching should think about their experiences, analyse them to create new ideas, and apply those concepts to new situations (Cambridge International Education Teaching and Learning Team, 2019). Rogers (2002) delves further and states a reflective practitioner can explain each decision within the classroom, concerning not only the impact of this decision but the source of their choice. Practitioners are using the theory they have understood to guide their practice until there is a case where the theory does not apply. When this happens, they can either differentiate their practice, refine it, or create a new theory to research and link to the next experience (Rogers, 2002, pg.849). The new standards' consistent emphasis on teacher development demonstrates that teaching is a profession rather than simply a job.</w:t>
      </w:r>
    </w:p>
    <w:p w14:paraId="288EA2C3" w14:textId="77777777" w:rsidR="00C56639" w:rsidRPr="00C56639" w:rsidRDefault="00C56639" w:rsidP="00C56639">
      <w:pPr>
        <w:pStyle w:val="AssignBody"/>
      </w:pPr>
    </w:p>
    <w:p w14:paraId="0306E231" w14:textId="77777777" w:rsidR="00C56639" w:rsidRPr="00C56639" w:rsidRDefault="00C56639" w:rsidP="00C56639">
      <w:pPr>
        <w:pStyle w:val="AssignSubHeader"/>
      </w:pPr>
      <w:r w:rsidRPr="00C56639">
        <w:t>Observation Context</w:t>
      </w:r>
    </w:p>
    <w:p w14:paraId="3A2032FD" w14:textId="24C57E9D" w:rsidR="00C56639" w:rsidRPr="00C56639" w:rsidRDefault="00C56639" w:rsidP="00C56639">
      <w:pPr>
        <w:pStyle w:val="AssignBody"/>
      </w:pPr>
      <w:r w:rsidRPr="00C56639">
        <w:t xml:space="preserve">The school, its </w:t>
      </w:r>
      <w:r w:rsidR="00F60B04" w:rsidRPr="00C56639">
        <w:t>pupils</w:t>
      </w:r>
      <w:r w:rsidRPr="00C56639">
        <w:t>, and its personnel will all be kept nameless in this essay. This is to ensure compliance with BERA’s (British Educational Research Association) ethical guidelines "Researchers should recognise the entitlement of both institutions and individual participants to privacy and should accord them their rights to confidentiality and anonymity" (BERA, 2018).</w:t>
      </w:r>
    </w:p>
    <w:p w14:paraId="0050EECE" w14:textId="0A5F8C35" w:rsidR="00C56639" w:rsidRPr="00C56639" w:rsidRDefault="00C56639" w:rsidP="00C56639">
      <w:pPr>
        <w:pStyle w:val="AssignBody"/>
      </w:pPr>
      <w:r w:rsidRPr="00C56639">
        <w:t xml:space="preserve">In an English-medium mixed secondary school in the Vale of Glamorgan that serves </w:t>
      </w:r>
      <w:r w:rsidR="00F60B04" w:rsidRPr="00C56639">
        <w:t>pupils</w:t>
      </w:r>
      <w:r w:rsidRPr="00C56639">
        <w:t xml:space="preserve"> between the ages of 11 and 18, I witnessed the critical incident I have chosen to concentrate on. There are 1,528 pupils enrolled, of which 344 attend the Sixth Form (My Local School, 2021). Being in an affluent area, the number of pupils eligible for free school meals (FSM) is 4%, substantially lower than the national average of 16.4% for secondary schools in Wales. Also, a low percentage of pupils live in the top 20% of most deprived areas of Wales, around 4%. The number of pupils identified as having statements of additional learning needs is 1%, comparatively lower than the 2.5% for Wales. Following this, roughly 8% have an additional </w:t>
      </w:r>
      <w:r w:rsidRPr="00C56639">
        <w:lastRenderedPageBreak/>
        <w:t>learning need, considerably lower than the Welsh average of 19.2% (Estyn 2019). The Sixth Form is an integral and appealing part of the school. The volume of pupils achieving three A* or A grades and three grades A* to C is consistently above the averages of other schools akin to this one (Estyn, 2019). With 97.3% of pupils achieving the equivalent of two A Levels grades A - E. (My Local School, 2021).</w:t>
      </w:r>
    </w:p>
    <w:p w14:paraId="3BE6059D" w14:textId="77777777" w:rsidR="00C56639" w:rsidRPr="00C56639" w:rsidRDefault="00C56639" w:rsidP="00C56639">
      <w:pPr>
        <w:pStyle w:val="AssignBody"/>
      </w:pPr>
    </w:p>
    <w:p w14:paraId="02723B65" w14:textId="77777777" w:rsidR="00C56639" w:rsidRPr="00C56639" w:rsidRDefault="00C56639" w:rsidP="00C56639">
      <w:pPr>
        <w:pStyle w:val="AssignSubHeader"/>
      </w:pPr>
      <w:r w:rsidRPr="00C56639">
        <w:t xml:space="preserve">Critical Incident </w:t>
      </w:r>
    </w:p>
    <w:p w14:paraId="735D4E02" w14:textId="22461AD0" w:rsidR="00C56639" w:rsidRPr="00C56639" w:rsidRDefault="00C56639" w:rsidP="00C56639">
      <w:pPr>
        <w:pStyle w:val="AssignBody"/>
      </w:pPr>
      <w:r w:rsidRPr="00C56639">
        <w:t xml:space="preserve">During a year 12 AS-level biology class I observed that pupils did not have a seating plan. The room was not a laboratory, so the tables could be set up as wished. The teacher had purposefully chosen to arrange the tables in groups. The pupils were given an independent exercise that required them to read the material and extract what they considered to be key details on a topic they were continuing from prior lessons. </w:t>
      </w:r>
      <w:proofErr w:type="gramStart"/>
      <w:r w:rsidRPr="00C56639">
        <w:t>Similar to</w:t>
      </w:r>
      <w:proofErr w:type="gramEnd"/>
      <w:r w:rsidRPr="00C56639">
        <w:t xml:space="preserve"> the "think, pair, share" method, the </w:t>
      </w:r>
      <w:r w:rsidR="00F60B04" w:rsidRPr="00C56639">
        <w:t>pupils</w:t>
      </w:r>
      <w:r w:rsidRPr="00C56639">
        <w:t xml:space="preserve"> were instructed to do their work separately at first, then discuss it with peers nearby to determine which material was most important. A pupil sat alone and was invited by a fellow group to join them, they then did as </w:t>
      </w:r>
      <w:proofErr w:type="gramStart"/>
      <w:r w:rsidRPr="00C56639">
        <w:t>instructed</w:t>
      </w:r>
      <w:proofErr w:type="gramEnd"/>
      <w:r w:rsidRPr="00C56639">
        <w:t xml:space="preserve">, completing the task and discussing their findings. While occasionally explicit instruction is given to work in groups, </w:t>
      </w:r>
      <w:r w:rsidR="00F60B04">
        <w:t>pupils</w:t>
      </w:r>
      <w:r w:rsidRPr="00C56639">
        <w:t xml:space="preserve"> stated that, since the lessons are somewhat </w:t>
      </w:r>
      <w:r w:rsidR="00F60B04">
        <w:t>pupil</w:t>
      </w:r>
      <w:r w:rsidRPr="00C56639">
        <w:t xml:space="preserve">-led, they often find that it is necessary to discuss the material with one another to gain a greater understanding. When asked, the teacher further noted that they intentionally set up the room this way </w:t>
      </w:r>
      <w:proofErr w:type="gramStart"/>
      <w:r w:rsidRPr="00C56639">
        <w:t>in order to</w:t>
      </w:r>
      <w:proofErr w:type="gramEnd"/>
      <w:r w:rsidRPr="00C56639">
        <w:t xml:space="preserve"> foster a collaborative environment in which pupils feel at ease making them more comfortable having discussions and communicating when asked. The critical incident I have identified here is the use of seating plans within the classroom and the results of their use, whether it facilitates or hinders the pupils learning regarding their location within the class and whom they are sat by. </w:t>
      </w:r>
    </w:p>
    <w:p w14:paraId="5D868509" w14:textId="77777777" w:rsidR="00C56639" w:rsidRPr="00C56639" w:rsidRDefault="00C56639" w:rsidP="00C56639">
      <w:pPr>
        <w:pStyle w:val="AssignBody"/>
      </w:pPr>
      <w:r w:rsidRPr="00C56639">
        <w:t xml:space="preserve">The Welsh curriculum is currently undergoing an overhaul. With the new curriculum comes four key purposes that schools should design their curriculum around, which were based built upon the work of Professor Donaldson in Successful Futures (Welsh Government, 2019). The critical incident above can link to more than one of these purposes in multiple ways. Firstly “ambitious and capable learners” who can build a body of knowledge. While in classes and interacting with peers and teachers, pupils are building their knowledge and using their “skills to connect and apply that knowledge in different contexts” (Welsh Government, 2022). The previous can be shown through pupils who, “can explain the ideas and concepts they are learning about” (Welsh Government, 2022). This can link to peer collaboration of the pupils who would do so with those around them, which has been determined by the seating plan, or lack of. A further purpose that seating plans can link to is “enterprising, creative contributors” due to the pupils who would be taking part in peer </w:t>
      </w:r>
      <w:r w:rsidRPr="00C56639">
        <w:lastRenderedPageBreak/>
        <w:t xml:space="preserve">collaboration “give of their energy and skills so that other people will benefit” (Welsh Government, 2022). This can be interpreted to include pupils helping their peers through collaboration within a lesson that they may be stronger in than others. </w:t>
      </w:r>
    </w:p>
    <w:p w14:paraId="0CAA80D1" w14:textId="77777777" w:rsidR="00C56639" w:rsidRPr="00C56639" w:rsidRDefault="00C56639" w:rsidP="00C56639">
      <w:pPr>
        <w:pStyle w:val="AssignBody"/>
      </w:pPr>
    </w:p>
    <w:p w14:paraId="041C7D8A" w14:textId="77777777" w:rsidR="00C56639" w:rsidRPr="00C56639" w:rsidRDefault="00C56639" w:rsidP="00C56639">
      <w:pPr>
        <w:pStyle w:val="AssignSubHeader"/>
      </w:pPr>
      <w:r w:rsidRPr="00C56639">
        <w:t>Literature Review</w:t>
      </w:r>
    </w:p>
    <w:p w14:paraId="5408BFAB" w14:textId="107C79F8" w:rsidR="00C56639" w:rsidRPr="00C56639" w:rsidRDefault="00C56639" w:rsidP="00C56639">
      <w:pPr>
        <w:pStyle w:val="AssignBody"/>
      </w:pPr>
      <w:r w:rsidRPr="00C56639">
        <w:t xml:space="preserve">This critical incident identifies the focus on how pupils’ engagement and attainment can be impacted by peer relationships. Additionally, the effect of the </w:t>
      </w:r>
      <w:r w:rsidR="00F60B04" w:rsidRPr="00C56639">
        <w:t>pupil's</w:t>
      </w:r>
      <w:r w:rsidRPr="00C56639">
        <w:t xml:space="preserve"> placement in the classroom. </w:t>
      </w:r>
    </w:p>
    <w:p w14:paraId="6EADE739" w14:textId="77777777" w:rsidR="00C56639" w:rsidRPr="00C56639" w:rsidRDefault="00C56639" w:rsidP="00C56639">
      <w:pPr>
        <w:pStyle w:val="AssignBody"/>
      </w:pPr>
      <w:r w:rsidRPr="00C56639">
        <w:t xml:space="preserve">Peer relationships have been an important concept in the study of the social nature of learning. According to Vygotsky’s sociocultural theory (1978), social contact plays a crucial role in cognitive development, as humans are social beings and learning is a social process. He also proposed the concept of the zone of proximal development, which is when pupils are learning but still require help to complete a task (Vygotsky, 1978). This can be best summarised as "Collaboration with another person, either an adult or a more competent peer, in the zone of proximal development thus leads to development in culturally appropriate ways" (Tudge, 1990). And so, pupils helping other pupils can further one's learning. What we know about peer relationships is largely based on empirical studies that investigate the influence peer relationships can have on pupils’ classroom engagement and attainment. </w:t>
      </w:r>
    </w:p>
    <w:p w14:paraId="208C6953" w14:textId="2B151440" w:rsidR="00C56639" w:rsidRPr="00C56639" w:rsidRDefault="00C56639" w:rsidP="00C56639">
      <w:pPr>
        <w:pStyle w:val="AssignBody"/>
      </w:pPr>
      <w:r w:rsidRPr="00C56639">
        <w:t xml:space="preserve">Sedláček and Šeďova (2020) found that pupil participation was positively linked with higher cognitive engagement, which correlated positively with </w:t>
      </w:r>
      <w:r w:rsidR="00F60B04" w:rsidRPr="00C56639">
        <w:t>pupil</w:t>
      </w:r>
      <w:r w:rsidRPr="00C56639">
        <w:t xml:space="preserve"> achievement. As pupils attempt to understand the problem, they may participate in classroom conversations to share ideas and confirm their thoughts, which may further pupils learning. This can also link to Vygotsky's sociocultural theory. A limitation of this study is that they look at how participation and engagement work in a teacher-centred environment with low levels of </w:t>
      </w:r>
      <w:r w:rsidR="00F60B04" w:rsidRPr="00C56639">
        <w:t>pupil</w:t>
      </w:r>
      <w:r w:rsidRPr="00C56639">
        <w:t xml:space="preserve"> participation within the lesson. The study also has an over-reliance on self-report and observational methodology, therefore may not be fully reliable. Although it is a very recent study with a small pool of participants, 639 in a Czech school aged between 14 and 15. </w:t>
      </w:r>
    </w:p>
    <w:p w14:paraId="45B1531E" w14:textId="77777777" w:rsidR="00C56639" w:rsidRPr="00C56639" w:rsidRDefault="00C56639" w:rsidP="00C56639">
      <w:pPr>
        <w:pStyle w:val="AssignBody"/>
      </w:pPr>
      <w:r w:rsidRPr="00C56639">
        <w:t xml:space="preserve">Kimbrough and Shigeoka (2017) conducted an experiment directly researching peer-to-peer teaching in a laboratory setting with no teacher. They found that the efficacy of peer teaching relies on the ability of the peers. They researched how grouping the pupils by similar ability and mixed ability would impact peer teaching. The study suffers from multiple flaws. Key features of the classroom are missing, such as teacher input, there would seldom be a situation with no teacher input. Also, larger groups, and a longer time, as lessons are not restricted to 20 minutes. Furthermore, the content of the experiment was logical and methodical, which may not apply to all subjects. Therefore, the effect of peer-to-peer </w:t>
      </w:r>
      <w:r w:rsidRPr="00C56639">
        <w:lastRenderedPageBreak/>
        <w:t xml:space="preserve">teaching may not be as great as the study implies. Kimbrough and Shigeoka (2017) thought peer teaching is beneficial for all pupils, but it has a significant impact on the learning of pupils with lower abilities. Comparing the two groups’ researchers found that peer teaching was more beneficial for low-ability pupils when taught by higher-ability pupils than for those with similar abilities by a 50% comparison. Thus, the ability of those sat around the pupil has the potential to impact an individual's engagement and attainment. </w:t>
      </w:r>
    </w:p>
    <w:p w14:paraId="3ECE880E" w14:textId="77777777" w:rsidR="00C56639" w:rsidRPr="00C56639" w:rsidRDefault="00C56639" w:rsidP="00C56639">
      <w:pPr>
        <w:pStyle w:val="AssignBody"/>
      </w:pPr>
      <w:r w:rsidRPr="00C56639">
        <w:t>Unlike Kimbrough and Shigeoka, Gremmen et al. (2018) argue that a low-ability pupil sitting with a high-ability pupil made the lower-ability pupil discouraged and demoralised, while the higher-ability pupil experienced greater motivation, specifically if they were not in the same friendship group. Gremmen et al., (2018) investigated if whom the pupil sits by increases or decreases social engagement and therefore cognitive engagement. They found that friendship groups being in the same classroom had a direct correlation with a pupil’s engagement and achievement, disregarding physical position in the classroom. In contrast, those who are not sitting near their friends had an alternative impact. Peers who sat next to each other and were not in the same friendship group had differing scores, which got further apart over time. Kindermann and Vollet (2014) concurred that in pupils grouped with their friendship groups, their attainments and engagements collectively improved when an individual improved, regardless of proximity. This agrees with previous research that friends can be positive role models and support each other to improve due to social comparison (Lomi et al., 2011). The study has an over-reliance on self-report methodology, using questionnaires to gather evidence. The study does not attempt to consider the impact that early adolescence can have on an individual pupil. Gremmen et al., (2018) conclude that teachers should consider the pupils' friendships when creating a seating plan. The evidence reviewed here seems to suggest a pertinent role for peer interaction on pupil attainment, nevertheless, there are differing opinions on how to best seat the pupils so as not to negatively impact one another.</w:t>
      </w:r>
    </w:p>
    <w:p w14:paraId="144658FB" w14:textId="77777777" w:rsidR="00C56639" w:rsidRPr="00C56639" w:rsidRDefault="00C56639" w:rsidP="00C56639">
      <w:pPr>
        <w:pStyle w:val="AssignBody"/>
      </w:pPr>
      <w:r w:rsidRPr="00C56639">
        <w:t xml:space="preserve">The </w:t>
      </w:r>
      <w:proofErr w:type="gramStart"/>
      <w:r w:rsidRPr="00C56639">
        <w:t>aforementioned critical</w:t>
      </w:r>
      <w:proofErr w:type="gramEnd"/>
      <w:r w:rsidRPr="00C56639">
        <w:t xml:space="preserve"> incident has inspired further research into whether seating arrangements and, subsequently, a pupil’s seat location within the classroom impacts their learning. This has been the subject of research for several years, much of which has looked at the effect of proximity to the teacher on pupil engagement and attainment. Several empirical studies have identified that the closer proximity to the teacher, the higher the academic performance compared to those who are the greatest proximity away. So, the further forward in the seating arrangement a pupil is the higher the likelihood of them achieving better grades, and higher cognitive thinking. </w:t>
      </w:r>
    </w:p>
    <w:p w14:paraId="69D04B21" w14:textId="1645656B" w:rsidR="00C56639" w:rsidRPr="00C56639" w:rsidRDefault="00C56639" w:rsidP="00C56639">
      <w:pPr>
        <w:pStyle w:val="AssignBody"/>
      </w:pPr>
      <w:r w:rsidRPr="00C56639">
        <w:t xml:space="preserve">Blume et al. (2019) </w:t>
      </w:r>
      <w:r w:rsidR="009835AD" w:rsidRPr="00C56639">
        <w:t>led</w:t>
      </w:r>
      <w:r w:rsidRPr="00C56639">
        <w:t xml:space="preserve"> an experiment using a virtual classroom to identify any correlation between the location of the pupil and their ability to understand a taught concept. But this was only a virtual experiment and so there are many limitations to the study. While being </w:t>
      </w:r>
      <w:r w:rsidRPr="00C56639">
        <w:lastRenderedPageBreak/>
        <w:t xml:space="preserve">virtual care was taken to make it realistic, with distracting events and behaviour occurring within the simulation. Each subject was randomly assigned to their seating location. The research found that those sitting closer to the teacher learned significantly better than those at the back from being taught a strategy. In contrast, seat location did not predict who would understand the untaught solution strategy. And so, the result was only specific to one example, and may not be reliable to base other examples on. The research suggests that due to limited seats in </w:t>
      </w:r>
      <w:proofErr w:type="gramStart"/>
      <w:r w:rsidRPr="00C56639">
        <w:t>close proximity</w:t>
      </w:r>
      <w:proofErr w:type="gramEnd"/>
      <w:r w:rsidRPr="00C56639">
        <w:t xml:space="preserve">, the teacher may circulate the room equally or alternate between </w:t>
      </w:r>
      <w:r w:rsidR="00F60B04" w:rsidRPr="00C56639">
        <w:t>pupils'</w:t>
      </w:r>
      <w:r w:rsidRPr="00C56639">
        <w:t xml:space="preserve"> seats regularly. This would enable the beneficial impacts of teacher proximity on academic attainment to be experienced equally by all pupils.</w:t>
      </w:r>
    </w:p>
    <w:p w14:paraId="76DF28CC" w14:textId="6A42C124" w:rsidR="00C56639" w:rsidRPr="00C56639" w:rsidRDefault="00C56639" w:rsidP="00C56639">
      <w:pPr>
        <w:pStyle w:val="AssignBody"/>
      </w:pPr>
      <w:r w:rsidRPr="00C56639">
        <w:t xml:space="preserve">LaCroix and LaCroix (2017) concluded that there was a link between the attainment of pupils and their location. Experiments were </w:t>
      </w:r>
      <w:r w:rsidR="009835AD" w:rsidRPr="00C56639">
        <w:t>performed</w:t>
      </w:r>
      <w:r w:rsidRPr="00C56639">
        <w:t xml:space="preserve"> in both small and large classrooms, but the hypothesis only held for one. Within large classrooms the link between proximity and attainment was identified, nevertheless, in smaller classrooms, this did not work. Perkins and Wieman (2005), conducted research whereby the pupils were randomly assigned seats at the start of the term and then halfway through the term their positioning was switched, i.e., if you started sat at the front you would then be sat at the back. They found that even after the seats had been rearranged the pupils who had originally sat at the front and were not at the back were outperforming those who sat at the front. This could have been because being located at the front does not indicate that the pupils are engaged and participating, as these pupils are individuals, and their personalities will have a significant impact on their motivation and participation. Although, Perkins and Wieman (2005) did not go into the theoretical explanation as to why they gathered their conclusions as they did. </w:t>
      </w:r>
    </w:p>
    <w:p w14:paraId="6A2D04F4" w14:textId="77777777" w:rsidR="00C56639" w:rsidRPr="00C56639" w:rsidRDefault="00C56639" w:rsidP="00C56639">
      <w:pPr>
        <w:pStyle w:val="AssignBody"/>
      </w:pPr>
      <w:r w:rsidRPr="00C56639">
        <w:t xml:space="preserve">In contrast, Kalinowski and Taper (2007) and Meeks et al. (2013) established that there is no correlation between proximity and the attainment of individuals. Meeks et al. based their study on that of Perkins and Wieman (2005), randomly assigning seat locations to pupils at the start of the term but got differing results. Meeks et al. used undergraduate classes, like Perkins and Wieman (2005), and encouraged pupils to take part in peer discussions during their triweekly lectures. Exam scores were used to gauge the pupil’s attainment, this returned that there was no link between pupil attainment and pupil location. The difference in results between the two experiments may be explained by differing room sizes, which LaCroix and LaCroix (2017) suggested. It may also be due to differing sample sizes; Meeks et al. had a sample size one-quarter the size of Perkins and Wieman. A further explanation might be the difference in the knowledge of the field by pupils. Meeks et al. had pupils who had a background relevant to their course, though, Perkins and Wieman taught non-specialists on a beginner course. </w:t>
      </w:r>
    </w:p>
    <w:p w14:paraId="5C2405BE" w14:textId="697E4A15" w:rsidR="00C56639" w:rsidRPr="00C56639" w:rsidRDefault="00C56639" w:rsidP="00C56639">
      <w:pPr>
        <w:pStyle w:val="AssignBody"/>
      </w:pPr>
      <w:r w:rsidRPr="00C56639">
        <w:t xml:space="preserve">Research on </w:t>
      </w:r>
      <w:r w:rsidR="00F60B04" w:rsidRPr="00C56639">
        <w:t>pupil</w:t>
      </w:r>
      <w:r w:rsidRPr="00C56639">
        <w:t xml:space="preserve"> proximity has been mostly restricted to limited comparisons of empirical research based on university </w:t>
      </w:r>
      <w:r w:rsidR="00F60B04" w:rsidRPr="00C56639">
        <w:t>pupils</w:t>
      </w:r>
      <w:r w:rsidRPr="00C56639">
        <w:t xml:space="preserve">. Little is known about the </w:t>
      </w:r>
      <w:r w:rsidR="00F60B04" w:rsidRPr="00C56639">
        <w:t>pupil</w:t>
      </w:r>
      <w:r w:rsidRPr="00C56639">
        <w:t xml:space="preserve"> location and participation </w:t>
      </w:r>
      <w:r w:rsidRPr="00C56639">
        <w:lastRenderedPageBreak/>
        <w:t xml:space="preserve">in secondary schools, and it is not clear what factors would have a direct impact on this. Further inquiries into the availability of possibilities for in-class discussion among individual </w:t>
      </w:r>
      <w:r w:rsidR="00F60B04" w:rsidRPr="00C56639">
        <w:t>pupils</w:t>
      </w:r>
      <w:r w:rsidRPr="00C56639">
        <w:t xml:space="preserve"> are prompted by the findings since it's likely that the more a </w:t>
      </w:r>
      <w:r w:rsidR="00F60B04" w:rsidRPr="00C56639">
        <w:t>pupil</w:t>
      </w:r>
      <w:r w:rsidRPr="00C56639">
        <w:t xml:space="preserve"> engages in in-class discussion, the greater their attainment. It is crucial to understand how and why participation patterns develop in typical classroom instruction, as well as what variables affect which </w:t>
      </w:r>
      <w:r w:rsidR="00F60B04" w:rsidRPr="00C56639">
        <w:t>pupils</w:t>
      </w:r>
      <w:r w:rsidRPr="00C56639">
        <w:t xml:space="preserve"> speak up frequently and substantially while others choose to stay quiet and what is believed to be inactive.</w:t>
      </w:r>
    </w:p>
    <w:p w14:paraId="6CFD2296" w14:textId="77777777" w:rsidR="00C56639" w:rsidRPr="00C56639" w:rsidRDefault="00C56639" w:rsidP="00C56639">
      <w:pPr>
        <w:pStyle w:val="AssignBody"/>
      </w:pPr>
      <w:r w:rsidRPr="00C56639">
        <w:t xml:space="preserve">Despite researchers disagreeing on the impact pupil location has on attainment, the findings of this review support the idea that peers have a substantial impact on pupils within a classroom. Thus, when a teacher is creating a seating plan for their pupils, they are determining whom the pupils will interact with and collaborate with. Which, the above literature concludes will have an impact on academic performance. </w:t>
      </w:r>
    </w:p>
    <w:p w14:paraId="4624C928" w14:textId="77777777" w:rsidR="00C56639" w:rsidRPr="00C56639" w:rsidRDefault="00C56639" w:rsidP="00C56639">
      <w:pPr>
        <w:pStyle w:val="AssignBody"/>
      </w:pPr>
    </w:p>
    <w:p w14:paraId="0C45D655" w14:textId="77777777" w:rsidR="00C56639" w:rsidRPr="00C56639" w:rsidRDefault="00C56639" w:rsidP="00C56639">
      <w:pPr>
        <w:pStyle w:val="AssignSubHeader"/>
      </w:pPr>
      <w:r w:rsidRPr="00C56639">
        <w:t xml:space="preserve">Reflection </w:t>
      </w:r>
    </w:p>
    <w:p w14:paraId="6E3C2356" w14:textId="77777777" w:rsidR="00C56639" w:rsidRPr="00C56639" w:rsidRDefault="00C56639" w:rsidP="00C56639">
      <w:pPr>
        <w:pStyle w:val="AssignBody"/>
      </w:pPr>
      <w:r w:rsidRPr="00C56639">
        <w:t>A reflective practitioner can explain each decision made within the classroom, concerning not only the impact of this decision but the source of their choice. Practitioners are using the theory they have understood to guide their practice until there is a case where the theory does not apply. When this occurs, they can either differentiate their practice, refine it, or create a new theory to research and link to the next experience (Rodgers, 2002, pg.849).</w:t>
      </w:r>
    </w:p>
    <w:p w14:paraId="14249DBF" w14:textId="77777777" w:rsidR="00C56639" w:rsidRPr="00C56639" w:rsidRDefault="00C56639" w:rsidP="00C56639">
      <w:pPr>
        <w:pStyle w:val="AssignBody"/>
      </w:pPr>
      <w:r w:rsidRPr="00C56639">
        <w:t>Regarding reflection, there has been a great deal of study and the development of several theories, many of which are cyclical. However, they all have one shared aim, for both the learner and the teacher to achieve the best outcome from the learning.</w:t>
      </w:r>
    </w:p>
    <w:p w14:paraId="5BC45378" w14:textId="77777777" w:rsidR="00C56639" w:rsidRPr="00C56639" w:rsidRDefault="00C56639" w:rsidP="00C56639">
      <w:pPr>
        <w:pStyle w:val="AssignBody"/>
      </w:pPr>
      <w:r w:rsidRPr="00C56639">
        <w:t xml:space="preserve">The Learning Cycle (Kolb, 1984) is one example. This is a four-stage experimental cycle by which practitioners reflect on an experience, and research to gain a greater understanding of the said experience, and why things happened the way they did. And finally apply this new knowledge and ideas to another experience, therefore generating a new cycle. The model aims to help practitioners deliberate on their everyday experiences to improve. </w:t>
      </w:r>
    </w:p>
    <w:p w14:paraId="15C30D72" w14:textId="77777777" w:rsidR="00C56639" w:rsidRPr="00C56639" w:rsidRDefault="00C56639" w:rsidP="00C56639">
      <w:pPr>
        <w:pStyle w:val="AssignBody"/>
      </w:pPr>
      <w:r w:rsidRPr="00C56639">
        <w:t xml:space="preserve">Gibbs (1998) created another cyclical model. a six-stage approach that shares many of Kolb's fundamental concepts. It includes a description, an assessment, research, and action plans. Nevertheless, Gibbs also incorporated the need for reflection of thoughts and feelings within the model. </w:t>
      </w:r>
    </w:p>
    <w:p w14:paraId="76E782A3" w14:textId="77777777" w:rsidR="00C56639" w:rsidRPr="00C56639" w:rsidRDefault="00C56639" w:rsidP="00C56639">
      <w:pPr>
        <w:pStyle w:val="AssignBody"/>
      </w:pPr>
      <w:r w:rsidRPr="00C56639">
        <w:t>Schön (1983), specifies two types of reflection: Reflection in-action and Reflection on-action. Reflection in-action is immediate reflection during the event, and reflection on-action occurs after the event. This can be useful and insightful in the teaching profession, as it is one that might require improvisation.</w:t>
      </w:r>
    </w:p>
    <w:p w14:paraId="2A8B9835" w14:textId="7E33524D" w:rsidR="00C56639" w:rsidRPr="00C56639" w:rsidRDefault="00C56639" w:rsidP="00C56639">
      <w:pPr>
        <w:pStyle w:val="AssignBody"/>
      </w:pPr>
      <w:r w:rsidRPr="00C56639">
        <w:lastRenderedPageBreak/>
        <w:t xml:space="preserve">As was previously indicated, a lot of research has been </w:t>
      </w:r>
      <w:r w:rsidR="009835AD" w:rsidRPr="00C56639">
        <w:t>performed</w:t>
      </w:r>
      <w:r w:rsidRPr="00C56639">
        <w:t xml:space="preserve"> on the various techniques used by practitioners to reflect on their experiences. Schon`s (1983) reflection on-action will be used, alongside the model of Kolb (1984). The experience in this circumstance is the observation of a critical incident. This essay serves as a reflection observation and abstract conceptualism. I have reflected on the incident and researched the literature </w:t>
      </w:r>
      <w:proofErr w:type="gramStart"/>
      <w:r w:rsidRPr="00C56639">
        <w:t>in regard to</w:t>
      </w:r>
      <w:proofErr w:type="gramEnd"/>
      <w:r w:rsidRPr="00C56639">
        <w:t xml:space="preserve"> the incident, which can now inform my next steps to put into my own practice. </w:t>
      </w:r>
    </w:p>
    <w:p w14:paraId="485AFFCC" w14:textId="77777777" w:rsidR="00C56639" w:rsidRPr="00C56639" w:rsidRDefault="00C56639" w:rsidP="00C56639">
      <w:pPr>
        <w:pStyle w:val="AssignBody"/>
      </w:pPr>
      <w:r w:rsidRPr="00C56639">
        <w:t xml:space="preserve">Teachers </w:t>
      </w:r>
      <w:proofErr w:type="gramStart"/>
      <w:r w:rsidRPr="00C56639">
        <w:t>have the ability to</w:t>
      </w:r>
      <w:proofErr w:type="gramEnd"/>
      <w:r w:rsidRPr="00C56639">
        <w:t xml:space="preserve"> create the environment they wish within their classrooms, and a seating plan is a large part of this. According to the studies reviewed above, the location of the pupil within the classroom and their peers surrounding them can have an influence on the pupils’ interactions, attainment, and accessibility to the lesson. Therefore, my first step is to acknowledge the significance of seating arrangements for the academic and social development of the pupils. While acknowledging that it is impossible to position every pupil in the class at the ideal location, the literature on the above-mentioned empirical results can nevertheless be used to provide some direction. While it may not be a promising idea to modify the seating arrangement frequently, teachers do have the option to do so. It might be useful to keep track of the seating arrangement's effects on the pupils. </w:t>
      </w:r>
    </w:p>
    <w:p w14:paraId="66140714" w14:textId="17EB7AC0" w:rsidR="00C56639" w:rsidRPr="00C56639" w:rsidRDefault="00C56639" w:rsidP="00C56639">
      <w:pPr>
        <w:pStyle w:val="AssignBody"/>
      </w:pPr>
      <w:r w:rsidRPr="00C56639">
        <w:t xml:space="preserve">Sedláček and Šeďova (2020) demonstrated that </w:t>
      </w:r>
      <w:r w:rsidR="00F60B04" w:rsidRPr="00C56639">
        <w:t>pupil</w:t>
      </w:r>
      <w:r w:rsidRPr="00C56639">
        <w:t xml:space="preserve"> engagement in the classroom improves academic performance. It would be crucial to identify what encourages this engagement. This leads to more inquiries and investigations into how to offer opportunities for pupils to interact with their peers in the classroom and take part in class discussions. Additionally, to examine the trends in participation within my own classroom, how and why they are formed, and to understand the factors that influence which pupils will contribute more openly and which will remain quiet. Thus, the best way to get the most collaboration and higher-order thinking from my pupils while making sure they remain comfortable within the classroom environment. For specific classes, having no seating plan may be the best option, as it was for the biology teacher in my critical incident. Pupils may engage with more peer collaboration if sat amongst friends. It has also been found that pupils who sit by their friends can increase their attainment if of a higher ability originally (Gremmen et al., 2018).</w:t>
      </w:r>
    </w:p>
    <w:p w14:paraId="29607F88" w14:textId="77777777" w:rsidR="00C56639" w:rsidRPr="00C56639" w:rsidRDefault="00C56639" w:rsidP="00C56639">
      <w:pPr>
        <w:pStyle w:val="AssignBody"/>
      </w:pPr>
    </w:p>
    <w:p w14:paraId="76094225" w14:textId="77777777" w:rsidR="00C56639" w:rsidRPr="00C56639" w:rsidRDefault="00C56639" w:rsidP="00C56639">
      <w:pPr>
        <w:pStyle w:val="AssignSubHeader"/>
      </w:pPr>
      <w:r w:rsidRPr="00C56639">
        <w:t>Conclusion</w:t>
      </w:r>
    </w:p>
    <w:p w14:paraId="5C3B790E" w14:textId="77777777" w:rsidR="00C56639" w:rsidRPr="00C56639" w:rsidRDefault="00C56639" w:rsidP="00C56639">
      <w:pPr>
        <w:pStyle w:val="AssignBody"/>
      </w:pPr>
      <w:r w:rsidRPr="00C56639">
        <w:t xml:space="preserve">My investigation into the numerous ways a seating plan may have an impact has led me to re-evaluate what I will be doing in my own classroom and the value it holds. Initially, I had assumed that a seating plan is not meaningful in any aspect other than behaviour management. I have discussed how theory may strengthen the social component of the classroom (Vygotsky, 1978). Being a reflective practitioner in Wales requires adopting this </w:t>
      </w:r>
      <w:r w:rsidRPr="00C56639">
        <w:lastRenderedPageBreak/>
        <w:t>practice. Professional learning is one of the five key elements of the new Professional Standards for Teaching and Leadership in Wales.</w:t>
      </w:r>
    </w:p>
    <w:p w14:paraId="709FF26A" w14:textId="77777777" w:rsidR="00C56639" w:rsidRPr="00C56639" w:rsidRDefault="00C56639" w:rsidP="009C787E">
      <w:pPr>
        <w:pStyle w:val="AssignQuote"/>
      </w:pPr>
      <w:r w:rsidRPr="00C56639">
        <w:t>The teacher consistently extends knowledge, skills and understanding and can show how reflection and openness to challenge and support informs professional learning to progressively develop pedagogy. The teacher in a formal leadership role stimulates an appetite for professional learning that is valued, has impact upon pedagogy and supports professional growth across a learning community within and beyond the school.</w:t>
      </w:r>
    </w:p>
    <w:p w14:paraId="4323AEAA" w14:textId="77777777" w:rsidR="00C56639" w:rsidRPr="00C56639" w:rsidRDefault="00C56639" w:rsidP="009C787E">
      <w:pPr>
        <w:pStyle w:val="AssignBody"/>
        <w:jc w:val="right"/>
      </w:pPr>
      <w:r w:rsidRPr="00C56639">
        <w:t xml:space="preserve">(Welsh Government, 2019) </w:t>
      </w:r>
    </w:p>
    <w:p w14:paraId="4AF087CC" w14:textId="77777777" w:rsidR="00C56639" w:rsidRPr="00C56639" w:rsidRDefault="00C56639" w:rsidP="00C56639">
      <w:pPr>
        <w:pStyle w:val="AssignBody"/>
      </w:pPr>
    </w:p>
    <w:p w14:paraId="57D13C2D" w14:textId="0896875D" w:rsidR="003D68FB" w:rsidRPr="00C56639" w:rsidRDefault="00C56639" w:rsidP="00C56639">
      <w:pPr>
        <w:pStyle w:val="AssignSubHeader"/>
      </w:pPr>
      <w:r w:rsidRPr="00C56639">
        <w:t>References</w:t>
      </w:r>
    </w:p>
    <w:sectPr w:rsidR="003D68FB" w:rsidRPr="00C5663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12EC7" w14:textId="77777777" w:rsidR="00C73D61" w:rsidRDefault="00C73D61" w:rsidP="00E611D9">
      <w:pPr>
        <w:spacing w:after="0" w:line="240" w:lineRule="auto"/>
      </w:pPr>
      <w:r>
        <w:separator/>
      </w:r>
    </w:p>
  </w:endnote>
  <w:endnote w:type="continuationSeparator" w:id="0">
    <w:p w14:paraId="66B32EF5" w14:textId="77777777" w:rsidR="00C73D61" w:rsidRDefault="00C73D6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4516C" w14:textId="77777777" w:rsidR="00C73D61" w:rsidRDefault="00C73D61" w:rsidP="00E611D9">
      <w:pPr>
        <w:spacing w:after="0" w:line="240" w:lineRule="auto"/>
      </w:pPr>
      <w:r>
        <w:separator/>
      </w:r>
    </w:p>
  </w:footnote>
  <w:footnote w:type="continuationSeparator" w:id="0">
    <w:p w14:paraId="40071DF9" w14:textId="77777777" w:rsidR="00C73D61" w:rsidRDefault="00C73D6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1A4B7F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A67DC1">
            <w:rPr>
              <w:rFonts w:ascii="Arial" w:hAnsi="Arial" w:cs="Arial"/>
            </w:rPr>
            <w:t>6007</w:t>
          </w:r>
        </w:p>
      </w:tc>
      <w:tc>
        <w:tcPr>
          <w:tcW w:w="4508" w:type="dxa"/>
        </w:tcPr>
        <w:p w14:paraId="51D506A0" w14:textId="4CEA173D"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A67DC1">
            <w:rPr>
              <w:rFonts w:ascii="Arial" w:hAnsi="Arial" w:cs="Arial"/>
            </w:rPr>
            <w:t xml:space="preserve"> 2205341</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0NTI2MTEyMDSzMDdV0lEKTi0uzszPAymwrAUAQXG5tywAAAA="/>
  </w:docVars>
  <w:rsids>
    <w:rsidRoot w:val="00CD1240"/>
    <w:rsid w:val="00105D46"/>
    <w:rsid w:val="001F0740"/>
    <w:rsid w:val="002229F0"/>
    <w:rsid w:val="00237438"/>
    <w:rsid w:val="002F0058"/>
    <w:rsid w:val="003615C1"/>
    <w:rsid w:val="003C494F"/>
    <w:rsid w:val="003D68FB"/>
    <w:rsid w:val="00413EAC"/>
    <w:rsid w:val="00584480"/>
    <w:rsid w:val="006015C6"/>
    <w:rsid w:val="00632137"/>
    <w:rsid w:val="00634C3C"/>
    <w:rsid w:val="006419C3"/>
    <w:rsid w:val="00691A46"/>
    <w:rsid w:val="006B5861"/>
    <w:rsid w:val="00717604"/>
    <w:rsid w:val="00740294"/>
    <w:rsid w:val="007D051D"/>
    <w:rsid w:val="007D3ADB"/>
    <w:rsid w:val="00807024"/>
    <w:rsid w:val="00817F7A"/>
    <w:rsid w:val="00890E79"/>
    <w:rsid w:val="00967E5C"/>
    <w:rsid w:val="009835AD"/>
    <w:rsid w:val="009C787E"/>
    <w:rsid w:val="00A618C7"/>
    <w:rsid w:val="00A67DC1"/>
    <w:rsid w:val="00AE2216"/>
    <w:rsid w:val="00B061DF"/>
    <w:rsid w:val="00B46601"/>
    <w:rsid w:val="00BC651E"/>
    <w:rsid w:val="00BD66B4"/>
    <w:rsid w:val="00BE45ED"/>
    <w:rsid w:val="00C56639"/>
    <w:rsid w:val="00C73D61"/>
    <w:rsid w:val="00CD1240"/>
    <w:rsid w:val="00D1078A"/>
    <w:rsid w:val="00D2277E"/>
    <w:rsid w:val="00D234B5"/>
    <w:rsid w:val="00D952E7"/>
    <w:rsid w:val="00DA58D2"/>
    <w:rsid w:val="00DF7E87"/>
    <w:rsid w:val="00E611D9"/>
    <w:rsid w:val="00F60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669069">
      <w:bodyDiv w:val="1"/>
      <w:marLeft w:val="0"/>
      <w:marRight w:val="0"/>
      <w:marTop w:val="0"/>
      <w:marBottom w:val="0"/>
      <w:divBdr>
        <w:top w:val="none" w:sz="0" w:space="0" w:color="auto"/>
        <w:left w:val="none" w:sz="0" w:space="0" w:color="auto"/>
        <w:bottom w:val="none" w:sz="0" w:space="0" w:color="auto"/>
        <w:right w:val="none" w:sz="0" w:space="0" w:color="auto"/>
      </w:divBdr>
      <w:divsChild>
        <w:div w:id="882401751">
          <w:marLeft w:val="0"/>
          <w:marRight w:val="0"/>
          <w:marTop w:val="0"/>
          <w:marBottom w:val="0"/>
          <w:divBdr>
            <w:top w:val="none" w:sz="0" w:space="0" w:color="auto"/>
            <w:left w:val="none" w:sz="0" w:space="0" w:color="auto"/>
            <w:bottom w:val="none" w:sz="0" w:space="0" w:color="auto"/>
            <w:right w:val="none" w:sz="0" w:space="0" w:color="auto"/>
          </w:divBdr>
          <w:divsChild>
            <w:div w:id="562985040">
              <w:marLeft w:val="0"/>
              <w:marRight w:val="0"/>
              <w:marTop w:val="0"/>
              <w:marBottom w:val="0"/>
              <w:divBdr>
                <w:top w:val="none" w:sz="0" w:space="0" w:color="auto"/>
                <w:left w:val="none" w:sz="0" w:space="0" w:color="auto"/>
                <w:bottom w:val="none" w:sz="0" w:space="0" w:color="auto"/>
                <w:right w:val="none" w:sz="0" w:space="0" w:color="auto"/>
              </w:divBdr>
              <w:divsChild>
                <w:div w:id="208784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518057">
      <w:bodyDiv w:val="1"/>
      <w:marLeft w:val="0"/>
      <w:marRight w:val="0"/>
      <w:marTop w:val="0"/>
      <w:marBottom w:val="0"/>
      <w:divBdr>
        <w:top w:val="none" w:sz="0" w:space="0" w:color="auto"/>
        <w:left w:val="none" w:sz="0" w:space="0" w:color="auto"/>
        <w:bottom w:val="none" w:sz="0" w:space="0" w:color="auto"/>
        <w:right w:val="none" w:sz="0" w:space="0" w:color="auto"/>
      </w:divBdr>
      <w:divsChild>
        <w:div w:id="231894433">
          <w:marLeft w:val="0"/>
          <w:marRight w:val="0"/>
          <w:marTop w:val="0"/>
          <w:marBottom w:val="0"/>
          <w:divBdr>
            <w:top w:val="none" w:sz="0" w:space="0" w:color="auto"/>
            <w:left w:val="none" w:sz="0" w:space="0" w:color="auto"/>
            <w:bottom w:val="none" w:sz="0" w:space="0" w:color="auto"/>
            <w:right w:val="none" w:sz="0" w:space="0" w:color="auto"/>
          </w:divBdr>
          <w:divsChild>
            <w:div w:id="1344936275">
              <w:marLeft w:val="0"/>
              <w:marRight w:val="0"/>
              <w:marTop w:val="0"/>
              <w:marBottom w:val="0"/>
              <w:divBdr>
                <w:top w:val="none" w:sz="0" w:space="0" w:color="auto"/>
                <w:left w:val="none" w:sz="0" w:space="0" w:color="auto"/>
                <w:bottom w:val="none" w:sz="0" w:space="0" w:color="auto"/>
                <w:right w:val="none" w:sz="0" w:space="0" w:color="auto"/>
              </w:divBdr>
              <w:divsChild>
                <w:div w:id="55458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9</Pages>
  <Words>3618</Words>
  <Characters>20625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Annmarie Davies (2205341)</cp:lastModifiedBy>
  <cp:revision>37</cp:revision>
  <dcterms:created xsi:type="dcterms:W3CDTF">2019-09-22T18:23:00Z</dcterms:created>
  <dcterms:modified xsi:type="dcterms:W3CDTF">2022-11-06T21:54:00Z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