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1057B96" w:rsidR="00DA68A9" w:rsidRPr="00841F3F" w:rsidRDefault="6B699EB0" w:rsidP="00841F3F">
      <w:pPr>
        <w:spacing w:line="360" w:lineRule="auto"/>
        <w:rPr>
          <w:rFonts w:ascii="Calibri" w:eastAsia="Calibri" w:hAnsi="Calibri" w:cs="Calibri"/>
          <w:sz w:val="22"/>
          <w:szCs w:val="22"/>
        </w:rPr>
      </w:pPr>
      <w:r w:rsidRPr="00841F3F">
        <w:rPr>
          <w:rFonts w:ascii="Calibri" w:eastAsia="Calibri" w:hAnsi="Calibri" w:cs="Calibri"/>
          <w:sz w:val="22"/>
          <w:szCs w:val="22"/>
        </w:rPr>
        <w:t xml:space="preserve">This assignment discusses staff and pupils’ perceptions of Assessment for Learning [hereafter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with a particular focus on questioning.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is a pedagogical approach which pertains to the continuous use of assessment as a fundamental aspect of teaching (Senedd Research, 2017).</w:t>
      </w:r>
      <w:r w:rsidRPr="00841F3F">
        <w:rPr>
          <w:rFonts w:ascii="Calibri" w:eastAsia="Calibri" w:hAnsi="Calibri" w:cs="Calibri"/>
          <w:color w:val="000000" w:themeColor="text1"/>
          <w:sz w:val="22"/>
          <w:szCs w:val="22"/>
        </w:rPr>
        <w:t xml:space="preserve"> According to Donaldson (2015, p. 67-68), an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approach entails meaningful and consistent feedback while adjusting teaching and materials to address individuals’ needs.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and questioning are intrinsically linked (</w:t>
      </w:r>
      <w:proofErr w:type="spellStart"/>
      <w:r w:rsidRPr="00841F3F">
        <w:rPr>
          <w:rFonts w:ascii="Calibri" w:eastAsia="Calibri" w:hAnsi="Calibri" w:cs="Calibri"/>
          <w:sz w:val="22"/>
          <w:szCs w:val="22"/>
        </w:rPr>
        <w:t>Darong</w:t>
      </w:r>
      <w:proofErr w:type="spellEnd"/>
      <w:r w:rsidRPr="00841F3F">
        <w:rPr>
          <w:rFonts w:ascii="Calibri" w:eastAsia="Calibri" w:hAnsi="Calibri" w:cs="Calibri"/>
          <w:sz w:val="22"/>
          <w:szCs w:val="22"/>
        </w:rPr>
        <w:t xml:space="preserve"> and Niman, 2021, p. 437). The quality of talk and questioning is key to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allow</w:t>
      </w:r>
      <w:r w:rsidR="0B43E3E5" w:rsidRPr="00841F3F">
        <w:rPr>
          <w:rFonts w:ascii="Calibri" w:eastAsia="Calibri" w:hAnsi="Calibri" w:cs="Calibri"/>
          <w:sz w:val="22"/>
          <w:szCs w:val="22"/>
        </w:rPr>
        <w:t>ing</w:t>
      </w:r>
      <w:r w:rsidRPr="00841F3F">
        <w:rPr>
          <w:rFonts w:ascii="Calibri" w:eastAsia="Calibri" w:hAnsi="Calibri" w:cs="Calibri"/>
          <w:sz w:val="22"/>
          <w:szCs w:val="22"/>
        </w:rPr>
        <w:t xml:space="preserve"> pupils, with</w:t>
      </w:r>
      <w:r w:rsidR="03CF73E2" w:rsidRPr="00841F3F">
        <w:rPr>
          <w:rFonts w:ascii="Calibri" w:eastAsia="Calibri" w:hAnsi="Calibri" w:cs="Calibri"/>
          <w:sz w:val="22"/>
          <w:szCs w:val="22"/>
        </w:rPr>
        <w:t xml:space="preserve"> teacher</w:t>
      </w:r>
      <w:r w:rsidRPr="00841F3F">
        <w:rPr>
          <w:rFonts w:ascii="Calibri" w:eastAsia="Calibri" w:hAnsi="Calibri" w:cs="Calibri"/>
          <w:sz w:val="22"/>
          <w:szCs w:val="22"/>
        </w:rPr>
        <w:t xml:space="preserve"> support; to identify </w:t>
      </w:r>
      <w:r w:rsidR="7EC7CF4D" w:rsidRPr="00841F3F">
        <w:rPr>
          <w:rFonts w:ascii="Calibri" w:eastAsia="Calibri" w:hAnsi="Calibri" w:cs="Calibri"/>
          <w:sz w:val="22"/>
          <w:szCs w:val="22"/>
        </w:rPr>
        <w:t>the</w:t>
      </w:r>
      <w:r w:rsidRPr="00841F3F">
        <w:rPr>
          <w:rFonts w:ascii="Calibri" w:eastAsia="Calibri" w:hAnsi="Calibri" w:cs="Calibri"/>
          <w:sz w:val="22"/>
          <w:szCs w:val="22"/>
        </w:rPr>
        <w:t xml:space="preserve"> level they are at in their learning (Cambridge, 2025). The research question underpinning this study is ‘’what are staff and pupil’s perceptions of questioning as an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strategy in the classroom?’’ The purpose of this research is to gain a better understanding of staff and </w:t>
      </w:r>
      <w:r w:rsidR="08641EB9" w:rsidRPr="00841F3F">
        <w:rPr>
          <w:rFonts w:ascii="Calibri" w:eastAsia="Calibri" w:hAnsi="Calibri" w:cs="Calibri"/>
          <w:sz w:val="22"/>
          <w:szCs w:val="22"/>
        </w:rPr>
        <w:t>pupils’</w:t>
      </w:r>
      <w:r w:rsidRPr="00841F3F">
        <w:rPr>
          <w:rFonts w:ascii="Calibri" w:eastAsia="Calibri" w:hAnsi="Calibri" w:cs="Calibri"/>
          <w:sz w:val="22"/>
          <w:szCs w:val="22"/>
        </w:rPr>
        <w:t xml:space="preserve"> perspectives on the use of questioning as an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strategy</w:t>
      </w:r>
      <w:r w:rsidR="51832DA5" w:rsidRPr="00841F3F">
        <w:rPr>
          <w:rFonts w:ascii="Calibri" w:eastAsia="Calibri" w:hAnsi="Calibri" w:cs="Calibri"/>
          <w:sz w:val="22"/>
          <w:szCs w:val="22"/>
        </w:rPr>
        <w:t>.</w:t>
      </w:r>
      <w:r w:rsidRPr="00841F3F">
        <w:rPr>
          <w:rFonts w:ascii="Calibri" w:eastAsia="Calibri" w:hAnsi="Calibri" w:cs="Calibri"/>
          <w:sz w:val="22"/>
          <w:szCs w:val="22"/>
        </w:rPr>
        <w:t xml:space="preserve"> The</w:t>
      </w:r>
      <w:r w:rsidR="4DCF8037" w:rsidRPr="00841F3F">
        <w:rPr>
          <w:rFonts w:ascii="Calibri" w:eastAsia="Calibri" w:hAnsi="Calibri" w:cs="Calibri"/>
          <w:sz w:val="22"/>
          <w:szCs w:val="22"/>
        </w:rPr>
        <w:t xml:space="preserve"> research</w:t>
      </w:r>
      <w:r w:rsidRPr="00841F3F">
        <w:rPr>
          <w:rFonts w:ascii="Calibri" w:eastAsia="Calibri" w:hAnsi="Calibri" w:cs="Calibri"/>
          <w:sz w:val="22"/>
          <w:szCs w:val="22"/>
        </w:rPr>
        <w:t xml:space="preserve"> rationale was to explore different questioning </w:t>
      </w:r>
      <w:proofErr w:type="spellStart"/>
      <w:r w:rsidRPr="00841F3F">
        <w:rPr>
          <w:rFonts w:ascii="Calibri" w:eastAsia="Calibri" w:hAnsi="Calibri" w:cs="Calibri"/>
          <w:sz w:val="22"/>
          <w:szCs w:val="22"/>
        </w:rPr>
        <w:t>AfL</w:t>
      </w:r>
      <w:proofErr w:type="spellEnd"/>
      <w:r w:rsidRPr="00841F3F">
        <w:rPr>
          <w:rFonts w:ascii="Calibri" w:eastAsia="Calibri" w:hAnsi="Calibri" w:cs="Calibri"/>
          <w:sz w:val="22"/>
          <w:szCs w:val="22"/>
        </w:rPr>
        <w:t xml:space="preserve"> strategies </w:t>
      </w:r>
      <w:r w:rsidR="3268E48B" w:rsidRPr="00841F3F">
        <w:rPr>
          <w:rFonts w:ascii="Calibri" w:eastAsia="Calibri" w:hAnsi="Calibri" w:cs="Calibri"/>
          <w:sz w:val="22"/>
          <w:szCs w:val="22"/>
        </w:rPr>
        <w:t>staff use</w:t>
      </w:r>
      <w:r w:rsidR="380FFB8D" w:rsidRPr="00841F3F">
        <w:rPr>
          <w:rFonts w:ascii="Calibri" w:eastAsia="Calibri" w:hAnsi="Calibri" w:cs="Calibri"/>
          <w:sz w:val="22"/>
          <w:szCs w:val="22"/>
        </w:rPr>
        <w:t xml:space="preserve"> </w:t>
      </w:r>
      <w:r w:rsidRPr="00841F3F">
        <w:rPr>
          <w:rFonts w:ascii="Calibri" w:eastAsia="Calibri" w:hAnsi="Calibri" w:cs="Calibri"/>
          <w:sz w:val="22"/>
          <w:szCs w:val="22"/>
        </w:rPr>
        <w:t xml:space="preserve">in both </w:t>
      </w:r>
      <w:r w:rsidR="58149EC3" w:rsidRPr="00841F3F">
        <w:rPr>
          <w:rFonts w:ascii="Calibri" w:eastAsia="Calibri" w:hAnsi="Calibri" w:cs="Calibri"/>
          <w:sz w:val="22"/>
          <w:szCs w:val="22"/>
        </w:rPr>
        <w:t>key stages</w:t>
      </w:r>
      <w:r w:rsidR="57322908" w:rsidRPr="00841F3F">
        <w:rPr>
          <w:rFonts w:ascii="Calibri" w:eastAsia="Calibri" w:hAnsi="Calibri" w:cs="Calibri"/>
          <w:sz w:val="22"/>
          <w:szCs w:val="22"/>
        </w:rPr>
        <w:t xml:space="preserve">. </w:t>
      </w:r>
      <w:r w:rsidRPr="00841F3F">
        <w:rPr>
          <w:rFonts w:ascii="Calibri" w:eastAsia="Calibri" w:hAnsi="Calibri" w:cs="Calibri"/>
          <w:sz w:val="22"/>
          <w:szCs w:val="22"/>
        </w:rPr>
        <w:t xml:space="preserve">This research was conducted in a community school located in South Wales, </w:t>
      </w:r>
      <w:r w:rsidR="7217322B" w:rsidRPr="00841F3F">
        <w:rPr>
          <w:rFonts w:ascii="Calibri" w:eastAsia="Calibri" w:hAnsi="Calibri" w:cs="Calibri"/>
          <w:sz w:val="22"/>
          <w:szCs w:val="22"/>
        </w:rPr>
        <w:t>with</w:t>
      </w:r>
      <w:r w:rsidRPr="00841F3F">
        <w:rPr>
          <w:rFonts w:ascii="Calibri" w:eastAsia="Calibri" w:hAnsi="Calibri" w:cs="Calibri"/>
          <w:sz w:val="22"/>
          <w:szCs w:val="22"/>
        </w:rPr>
        <w:t xml:space="preserve"> approximately 435 pupils</w:t>
      </w:r>
      <w:r w:rsidRPr="00841F3F">
        <w:rPr>
          <w:rFonts w:ascii="Calibri" w:eastAsia="Calibri" w:hAnsi="Calibri" w:cs="Calibri"/>
          <w:color w:val="FF0000"/>
          <w:sz w:val="22"/>
          <w:szCs w:val="22"/>
        </w:rPr>
        <w:t xml:space="preserve"> </w:t>
      </w:r>
      <w:r w:rsidRPr="00841F3F">
        <w:rPr>
          <w:rFonts w:ascii="Calibri" w:eastAsia="Calibri" w:hAnsi="Calibri" w:cs="Calibri"/>
          <w:sz w:val="22"/>
          <w:szCs w:val="22"/>
        </w:rPr>
        <w:t xml:space="preserve">(Estyn, 2023, p. 2). For confidentiality the school will be referred to as ‘School X’ and staff and pupils </w:t>
      </w:r>
      <w:r w:rsidR="55D87FD6" w:rsidRPr="00841F3F">
        <w:rPr>
          <w:rFonts w:ascii="Calibri" w:eastAsia="Calibri" w:hAnsi="Calibri" w:cs="Calibri"/>
          <w:sz w:val="22"/>
          <w:szCs w:val="22"/>
        </w:rPr>
        <w:t>i</w:t>
      </w:r>
      <w:r w:rsidRPr="00841F3F">
        <w:rPr>
          <w:rFonts w:ascii="Calibri" w:eastAsia="Calibri" w:hAnsi="Calibri" w:cs="Calibri"/>
          <w:sz w:val="22"/>
          <w:szCs w:val="22"/>
        </w:rPr>
        <w:t>n this research will not be named and will remain anonymous</w:t>
      </w:r>
      <w:r w:rsidR="22C3A2F3" w:rsidRPr="00841F3F">
        <w:rPr>
          <w:rFonts w:ascii="Calibri" w:eastAsia="Calibri" w:hAnsi="Calibri" w:cs="Calibri"/>
          <w:sz w:val="22"/>
          <w:szCs w:val="22"/>
        </w:rPr>
        <w:t>. T</w:t>
      </w:r>
      <w:r w:rsidRPr="00841F3F">
        <w:rPr>
          <w:rFonts w:ascii="Calibri" w:eastAsia="Calibri" w:hAnsi="Calibri" w:cs="Calibri"/>
          <w:sz w:val="22"/>
          <w:szCs w:val="22"/>
        </w:rPr>
        <w:t>he British Educational Research [hereafter BERA</w:t>
      </w:r>
      <w:r w:rsidR="6B4DE9C0" w:rsidRPr="00841F3F">
        <w:rPr>
          <w:rFonts w:ascii="Calibri" w:eastAsia="Calibri" w:hAnsi="Calibri" w:cs="Calibri"/>
          <w:sz w:val="22"/>
          <w:szCs w:val="22"/>
        </w:rPr>
        <w:t>]</w:t>
      </w:r>
      <w:r w:rsidRPr="00841F3F">
        <w:rPr>
          <w:rFonts w:ascii="Calibri" w:eastAsia="Calibri" w:hAnsi="Calibri" w:cs="Calibri"/>
          <w:sz w:val="22"/>
          <w:szCs w:val="22"/>
        </w:rPr>
        <w:t xml:space="preserve"> emphasises ‘‘researchers should recognise the entitlement of both institutions and individual participants to </w:t>
      </w:r>
      <w:bookmarkStart w:id="0" w:name="_Int_K0Yrsegh"/>
      <w:r w:rsidRPr="00841F3F">
        <w:rPr>
          <w:rFonts w:ascii="Calibri" w:eastAsia="Calibri" w:hAnsi="Calibri" w:cs="Calibri"/>
          <w:sz w:val="22"/>
          <w:szCs w:val="22"/>
        </w:rPr>
        <w:t>privacy’’</w:t>
      </w:r>
      <w:bookmarkEnd w:id="0"/>
      <w:r w:rsidRPr="00841F3F">
        <w:rPr>
          <w:rFonts w:ascii="Calibri" w:eastAsia="Calibri" w:hAnsi="Calibri" w:cs="Calibri"/>
          <w:sz w:val="22"/>
          <w:szCs w:val="22"/>
        </w:rPr>
        <w:t xml:space="preserve"> (BERA, 2024, p. 22).</w:t>
      </w:r>
    </w:p>
    <w:p w14:paraId="51827700" w14:textId="14E60D48" w:rsidR="16BC3A28" w:rsidRPr="00841F3F" w:rsidRDefault="6A49000A" w:rsidP="00841F3F">
      <w:pPr>
        <w:spacing w:line="360" w:lineRule="auto"/>
        <w:rPr>
          <w:rFonts w:ascii="Calibri" w:eastAsia="Calibri" w:hAnsi="Calibri" w:cs="Calibri"/>
          <w:color w:val="000000" w:themeColor="text1"/>
          <w:sz w:val="22"/>
          <w:szCs w:val="22"/>
        </w:rPr>
      </w:pPr>
      <w:r w:rsidRPr="00841F3F">
        <w:rPr>
          <w:rFonts w:ascii="Calibri" w:eastAsia="Calibri" w:hAnsi="Calibri" w:cs="Calibri"/>
          <w:color w:val="000000" w:themeColor="text1"/>
          <w:sz w:val="22"/>
          <w:szCs w:val="22"/>
        </w:rPr>
        <w:t xml:space="preserve">Broadfoot et al., (2002, p. 2) define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as</w:t>
      </w:r>
      <w:r w:rsidR="3765D3C9" w:rsidRPr="00841F3F">
        <w:rPr>
          <w:rFonts w:ascii="Calibri" w:eastAsia="Calibri" w:hAnsi="Calibri" w:cs="Calibri"/>
          <w:color w:val="000000" w:themeColor="text1"/>
          <w:sz w:val="22"/>
          <w:szCs w:val="22"/>
        </w:rPr>
        <w:t>:</w:t>
      </w:r>
    </w:p>
    <w:p w14:paraId="34BE8DE9" w14:textId="508D1988" w:rsidR="16BC3A28" w:rsidRPr="00841F3F" w:rsidRDefault="75C4BD04" w:rsidP="00841F3F">
      <w:pPr>
        <w:spacing w:line="360" w:lineRule="auto"/>
        <w:ind w:left="720"/>
        <w:rPr>
          <w:rFonts w:ascii="Calibri" w:eastAsia="Calibri" w:hAnsi="Calibri" w:cs="Calibri"/>
          <w:color w:val="000000" w:themeColor="text1"/>
          <w:sz w:val="22"/>
          <w:szCs w:val="22"/>
        </w:rPr>
      </w:pPr>
      <w:r w:rsidRPr="00841F3F">
        <w:rPr>
          <w:rFonts w:ascii="Calibri" w:eastAsia="Calibri" w:hAnsi="Calibri" w:cs="Calibri"/>
          <w:color w:val="000000" w:themeColor="text1"/>
          <w:sz w:val="22"/>
          <w:szCs w:val="22"/>
        </w:rPr>
        <w:t>the process of seeking and interpreting evidence for use by learners and their teachers to decide where the learners are in their learning, where they need to go and how best to get there.</w:t>
      </w:r>
    </w:p>
    <w:p w14:paraId="4259DE28" w14:textId="73E95F15" w:rsidR="57AC1B73" w:rsidRPr="00841F3F" w:rsidRDefault="24EAB918" w:rsidP="00841F3F">
      <w:pPr>
        <w:spacing w:line="360" w:lineRule="auto"/>
        <w:rPr>
          <w:rFonts w:ascii="Calibri" w:eastAsia="Calibri" w:hAnsi="Calibri" w:cs="Calibri"/>
          <w:color w:val="000000" w:themeColor="text1"/>
          <w:sz w:val="22"/>
          <w:szCs w:val="22"/>
        </w:rPr>
      </w:pPr>
      <w:r w:rsidRPr="00841F3F">
        <w:rPr>
          <w:rFonts w:ascii="Calibri" w:eastAsia="Calibri" w:hAnsi="Calibri" w:cs="Calibri"/>
          <w:color w:val="000000" w:themeColor="text1"/>
          <w:sz w:val="22"/>
          <w:szCs w:val="22"/>
        </w:rPr>
        <w:t xml:space="preserve">The Welsh Government (2013, p. 7) asserts there are four key elements </w:t>
      </w:r>
      <w:r w:rsidR="3D502858" w:rsidRPr="00841F3F">
        <w:rPr>
          <w:rFonts w:ascii="Calibri" w:eastAsia="Calibri" w:hAnsi="Calibri" w:cs="Calibri"/>
          <w:color w:val="000000" w:themeColor="text1"/>
          <w:sz w:val="22"/>
          <w:szCs w:val="22"/>
        </w:rPr>
        <w:t>underlying</w:t>
      </w:r>
      <w:r w:rsidRPr="00841F3F">
        <w:rPr>
          <w:rFonts w:ascii="Calibri" w:eastAsia="Calibri" w:hAnsi="Calibri" w:cs="Calibri"/>
          <w:color w:val="000000" w:themeColor="text1"/>
          <w:sz w:val="22"/>
          <w:szCs w:val="22"/>
        </w:rPr>
        <w:t xml:space="preserve"> effective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practice: sharing success criteria and learning expectations, developing learners as resources for each other, engineering effective classroom discussions, developing learners as owners of their learning</w:t>
      </w:r>
      <w:r w:rsidR="156F1C57" w:rsidRPr="00841F3F">
        <w:rPr>
          <w:rFonts w:ascii="Calibri" w:eastAsia="Calibri" w:hAnsi="Calibri" w:cs="Calibri"/>
          <w:color w:val="000000" w:themeColor="text1"/>
          <w:sz w:val="22"/>
          <w:szCs w:val="22"/>
        </w:rPr>
        <w:t xml:space="preserve"> and sharing formative feedback. The literature suggests </w:t>
      </w:r>
      <w:r w:rsidR="2AF50B6E" w:rsidRPr="00841F3F">
        <w:rPr>
          <w:rFonts w:ascii="Calibri" w:eastAsia="Calibri" w:hAnsi="Calibri" w:cs="Calibri"/>
          <w:color w:val="000000" w:themeColor="text1"/>
          <w:sz w:val="22"/>
          <w:szCs w:val="22"/>
        </w:rPr>
        <w:t>communication</w:t>
      </w:r>
      <w:r w:rsidR="156F1C57" w:rsidRPr="00841F3F">
        <w:rPr>
          <w:rFonts w:ascii="Calibri" w:eastAsia="Calibri" w:hAnsi="Calibri" w:cs="Calibri"/>
          <w:color w:val="000000" w:themeColor="text1"/>
          <w:sz w:val="22"/>
          <w:szCs w:val="22"/>
        </w:rPr>
        <w:t xml:space="preserve"> between</w:t>
      </w:r>
      <w:r w:rsidR="32006C0D" w:rsidRPr="00841F3F">
        <w:rPr>
          <w:rFonts w:ascii="Calibri" w:eastAsia="Calibri" w:hAnsi="Calibri" w:cs="Calibri"/>
          <w:color w:val="000000" w:themeColor="text1"/>
          <w:sz w:val="22"/>
          <w:szCs w:val="22"/>
        </w:rPr>
        <w:t xml:space="preserve"> teachers and</w:t>
      </w:r>
      <w:r w:rsidR="156F1C57" w:rsidRPr="00841F3F">
        <w:rPr>
          <w:rFonts w:ascii="Calibri" w:eastAsia="Calibri" w:hAnsi="Calibri" w:cs="Calibri"/>
          <w:color w:val="000000" w:themeColor="text1"/>
          <w:sz w:val="22"/>
          <w:szCs w:val="22"/>
        </w:rPr>
        <w:t xml:space="preserve"> pupils </w:t>
      </w:r>
      <w:r w:rsidR="1C0864F7" w:rsidRPr="00841F3F">
        <w:rPr>
          <w:rFonts w:ascii="Calibri" w:eastAsia="Calibri" w:hAnsi="Calibri" w:cs="Calibri"/>
          <w:color w:val="000000" w:themeColor="text1"/>
          <w:sz w:val="22"/>
          <w:szCs w:val="22"/>
        </w:rPr>
        <w:t>should</w:t>
      </w:r>
      <w:r w:rsidR="156F1C57" w:rsidRPr="00841F3F">
        <w:rPr>
          <w:rFonts w:ascii="Calibri" w:eastAsia="Calibri" w:hAnsi="Calibri" w:cs="Calibri"/>
          <w:color w:val="000000" w:themeColor="text1"/>
          <w:sz w:val="22"/>
          <w:szCs w:val="22"/>
        </w:rPr>
        <w:t xml:space="preserve"> be </w:t>
      </w:r>
      <w:r w:rsidR="4A64A0DA" w:rsidRPr="00841F3F">
        <w:rPr>
          <w:rFonts w:ascii="Calibri" w:eastAsia="Calibri" w:hAnsi="Calibri" w:cs="Calibri"/>
          <w:color w:val="000000" w:themeColor="text1"/>
          <w:sz w:val="22"/>
          <w:szCs w:val="22"/>
        </w:rPr>
        <w:t xml:space="preserve">reflective, </w:t>
      </w:r>
      <w:r w:rsidR="156F1C57" w:rsidRPr="00841F3F">
        <w:rPr>
          <w:rFonts w:ascii="Calibri" w:eastAsia="Calibri" w:hAnsi="Calibri" w:cs="Calibri"/>
          <w:color w:val="000000" w:themeColor="text1"/>
          <w:sz w:val="22"/>
          <w:szCs w:val="22"/>
        </w:rPr>
        <w:t xml:space="preserve">thoughtful, focused to </w:t>
      </w:r>
      <w:r w:rsidR="3069AAD7" w:rsidRPr="00841F3F">
        <w:rPr>
          <w:rFonts w:ascii="Calibri" w:eastAsia="Calibri" w:hAnsi="Calibri" w:cs="Calibri"/>
          <w:color w:val="000000" w:themeColor="text1"/>
          <w:sz w:val="22"/>
          <w:szCs w:val="22"/>
        </w:rPr>
        <w:t>realise</w:t>
      </w:r>
      <w:r w:rsidR="156F1C57" w:rsidRPr="00841F3F">
        <w:rPr>
          <w:rFonts w:ascii="Calibri" w:eastAsia="Calibri" w:hAnsi="Calibri" w:cs="Calibri"/>
          <w:color w:val="000000" w:themeColor="text1"/>
          <w:sz w:val="22"/>
          <w:szCs w:val="22"/>
        </w:rPr>
        <w:t xml:space="preserve"> and </w:t>
      </w:r>
      <w:r w:rsidR="794A55F4" w:rsidRPr="00841F3F">
        <w:rPr>
          <w:rFonts w:ascii="Calibri" w:eastAsia="Calibri" w:hAnsi="Calibri" w:cs="Calibri"/>
          <w:color w:val="000000" w:themeColor="text1"/>
          <w:sz w:val="22"/>
          <w:szCs w:val="22"/>
        </w:rPr>
        <w:t>investigate</w:t>
      </w:r>
      <w:r w:rsidR="156F1C57" w:rsidRPr="00841F3F">
        <w:rPr>
          <w:rFonts w:ascii="Calibri" w:eastAsia="Calibri" w:hAnsi="Calibri" w:cs="Calibri"/>
          <w:color w:val="000000" w:themeColor="text1"/>
          <w:sz w:val="22"/>
          <w:szCs w:val="22"/>
        </w:rPr>
        <w:t xml:space="preserve"> understanding, and </w:t>
      </w:r>
      <w:r w:rsidR="4933C09A" w:rsidRPr="00841F3F">
        <w:rPr>
          <w:rFonts w:ascii="Calibri" w:eastAsia="Calibri" w:hAnsi="Calibri" w:cs="Calibri"/>
          <w:color w:val="000000" w:themeColor="text1"/>
          <w:sz w:val="22"/>
          <w:szCs w:val="22"/>
        </w:rPr>
        <w:t>implemented</w:t>
      </w:r>
      <w:r w:rsidR="156F1C57" w:rsidRPr="00841F3F">
        <w:rPr>
          <w:rFonts w:ascii="Calibri" w:eastAsia="Calibri" w:hAnsi="Calibri" w:cs="Calibri"/>
          <w:color w:val="000000" w:themeColor="text1"/>
          <w:sz w:val="22"/>
          <w:szCs w:val="22"/>
        </w:rPr>
        <w:t xml:space="preserve"> so that all</w:t>
      </w:r>
      <w:r w:rsidR="2A22EEC3" w:rsidRPr="00841F3F">
        <w:rPr>
          <w:rFonts w:ascii="Calibri" w:eastAsia="Calibri" w:hAnsi="Calibri" w:cs="Calibri"/>
          <w:color w:val="000000" w:themeColor="text1"/>
          <w:sz w:val="22"/>
          <w:szCs w:val="22"/>
        </w:rPr>
        <w:t xml:space="preserve"> learners</w:t>
      </w:r>
      <w:r w:rsidR="156F1C57" w:rsidRPr="00841F3F">
        <w:rPr>
          <w:rFonts w:ascii="Calibri" w:eastAsia="Calibri" w:hAnsi="Calibri" w:cs="Calibri"/>
          <w:color w:val="000000" w:themeColor="text1"/>
          <w:sz w:val="22"/>
          <w:szCs w:val="22"/>
        </w:rPr>
        <w:t xml:space="preserve"> have a</w:t>
      </w:r>
      <w:r w:rsidR="474BD517" w:rsidRPr="00841F3F">
        <w:rPr>
          <w:rFonts w:ascii="Calibri" w:eastAsia="Calibri" w:hAnsi="Calibri" w:cs="Calibri"/>
          <w:color w:val="000000" w:themeColor="text1"/>
          <w:sz w:val="22"/>
          <w:szCs w:val="22"/>
        </w:rPr>
        <w:t xml:space="preserve"> chance </w:t>
      </w:r>
      <w:r w:rsidR="156F1C57" w:rsidRPr="00841F3F">
        <w:rPr>
          <w:rFonts w:ascii="Calibri" w:eastAsia="Calibri" w:hAnsi="Calibri" w:cs="Calibri"/>
          <w:color w:val="000000" w:themeColor="text1"/>
          <w:sz w:val="22"/>
          <w:szCs w:val="22"/>
        </w:rPr>
        <w:t xml:space="preserve">to </w:t>
      </w:r>
      <w:r w:rsidR="128F0BC9" w:rsidRPr="00841F3F">
        <w:rPr>
          <w:rFonts w:ascii="Calibri" w:eastAsia="Calibri" w:hAnsi="Calibri" w:cs="Calibri"/>
          <w:color w:val="000000" w:themeColor="text1"/>
          <w:sz w:val="22"/>
          <w:szCs w:val="22"/>
        </w:rPr>
        <w:t>reflect</w:t>
      </w:r>
      <w:r w:rsidR="156F1C57" w:rsidRPr="00841F3F">
        <w:rPr>
          <w:rFonts w:ascii="Calibri" w:eastAsia="Calibri" w:hAnsi="Calibri" w:cs="Calibri"/>
          <w:color w:val="000000" w:themeColor="text1"/>
          <w:sz w:val="22"/>
          <w:szCs w:val="22"/>
        </w:rPr>
        <w:t xml:space="preserve"> and </w:t>
      </w:r>
      <w:r w:rsidR="4B671601" w:rsidRPr="00841F3F">
        <w:rPr>
          <w:rFonts w:ascii="Calibri" w:eastAsia="Calibri" w:hAnsi="Calibri" w:cs="Calibri"/>
          <w:color w:val="000000" w:themeColor="text1"/>
          <w:sz w:val="22"/>
          <w:szCs w:val="22"/>
        </w:rPr>
        <w:t>share</w:t>
      </w:r>
      <w:r w:rsidR="156F1C57" w:rsidRPr="00841F3F">
        <w:rPr>
          <w:rFonts w:ascii="Calibri" w:eastAsia="Calibri" w:hAnsi="Calibri" w:cs="Calibri"/>
          <w:color w:val="000000" w:themeColor="text1"/>
          <w:sz w:val="22"/>
          <w:szCs w:val="22"/>
        </w:rPr>
        <w:t xml:space="preserve"> their ideas (Black and Wiliam, 1998, p. 9).</w:t>
      </w:r>
      <w:r w:rsidR="46E36DDE" w:rsidRPr="00841F3F">
        <w:rPr>
          <w:rFonts w:ascii="Calibri" w:eastAsia="Calibri" w:hAnsi="Calibri" w:cs="Calibri"/>
          <w:color w:val="000000" w:themeColor="text1"/>
          <w:sz w:val="22"/>
          <w:szCs w:val="22"/>
        </w:rPr>
        <w:t xml:space="preserve"> </w:t>
      </w:r>
      <w:r w:rsidR="02F1E9FC" w:rsidRPr="00841F3F">
        <w:rPr>
          <w:rFonts w:ascii="Calibri" w:eastAsia="Calibri" w:hAnsi="Calibri" w:cs="Calibri"/>
          <w:color w:val="000000" w:themeColor="text1"/>
          <w:sz w:val="22"/>
          <w:szCs w:val="22"/>
        </w:rPr>
        <w:t xml:space="preserve">Effective questioning involves framing </w:t>
      </w:r>
      <w:r w:rsidR="3E098F14" w:rsidRPr="00841F3F">
        <w:rPr>
          <w:rFonts w:ascii="Calibri" w:eastAsia="Calibri" w:hAnsi="Calibri" w:cs="Calibri"/>
          <w:color w:val="000000" w:themeColor="text1"/>
          <w:sz w:val="22"/>
          <w:szCs w:val="22"/>
        </w:rPr>
        <w:t>enquiries and</w:t>
      </w:r>
      <w:r w:rsidR="02F1E9FC" w:rsidRPr="00841F3F">
        <w:rPr>
          <w:rFonts w:ascii="Calibri" w:eastAsia="Calibri" w:hAnsi="Calibri" w:cs="Calibri"/>
          <w:color w:val="000000" w:themeColor="text1"/>
          <w:sz w:val="22"/>
          <w:szCs w:val="22"/>
        </w:rPr>
        <w:t xml:space="preserve"> draw</w:t>
      </w:r>
      <w:r w:rsidR="78ACDFB2" w:rsidRPr="00841F3F">
        <w:rPr>
          <w:rFonts w:ascii="Calibri" w:eastAsia="Calibri" w:hAnsi="Calibri" w:cs="Calibri"/>
          <w:color w:val="000000" w:themeColor="text1"/>
          <w:sz w:val="22"/>
          <w:szCs w:val="22"/>
        </w:rPr>
        <w:t>ing</w:t>
      </w:r>
      <w:r w:rsidR="02F1E9FC" w:rsidRPr="00841F3F">
        <w:rPr>
          <w:rFonts w:ascii="Calibri" w:eastAsia="Calibri" w:hAnsi="Calibri" w:cs="Calibri"/>
          <w:color w:val="000000" w:themeColor="text1"/>
          <w:sz w:val="22"/>
          <w:szCs w:val="22"/>
        </w:rPr>
        <w:t xml:space="preserve"> out the most comprehensive responses</w:t>
      </w:r>
      <w:r w:rsidR="04FCD9B4" w:rsidRPr="00841F3F">
        <w:rPr>
          <w:rFonts w:ascii="Calibri" w:eastAsia="Calibri" w:hAnsi="Calibri" w:cs="Calibri"/>
          <w:color w:val="000000" w:themeColor="text1"/>
          <w:sz w:val="22"/>
          <w:szCs w:val="22"/>
        </w:rPr>
        <w:t>, which can be used to assess, plan and enhance learning (</w:t>
      </w:r>
      <w:r w:rsidR="1AAC5A0C" w:rsidRPr="00841F3F">
        <w:rPr>
          <w:rFonts w:ascii="Calibri" w:eastAsia="Calibri" w:hAnsi="Calibri" w:cs="Calibri"/>
          <w:color w:val="000000" w:themeColor="text1"/>
          <w:sz w:val="22"/>
          <w:szCs w:val="22"/>
        </w:rPr>
        <w:t>C</w:t>
      </w:r>
      <w:r w:rsidR="25E22BAE" w:rsidRPr="00841F3F">
        <w:rPr>
          <w:rFonts w:ascii="Calibri" w:eastAsia="Calibri" w:hAnsi="Calibri" w:cs="Calibri"/>
          <w:color w:val="000000" w:themeColor="text1"/>
          <w:sz w:val="22"/>
          <w:szCs w:val="22"/>
        </w:rPr>
        <w:t xml:space="preserve">ouncil for the </w:t>
      </w:r>
      <w:r w:rsidR="1AAC5A0C" w:rsidRPr="00841F3F">
        <w:rPr>
          <w:rFonts w:ascii="Calibri" w:eastAsia="Calibri" w:hAnsi="Calibri" w:cs="Calibri"/>
          <w:color w:val="000000" w:themeColor="text1"/>
          <w:sz w:val="22"/>
          <w:szCs w:val="22"/>
        </w:rPr>
        <w:t>C</w:t>
      </w:r>
      <w:r w:rsidR="3D5B4C5A" w:rsidRPr="00841F3F">
        <w:rPr>
          <w:rFonts w:ascii="Calibri" w:eastAsia="Calibri" w:hAnsi="Calibri" w:cs="Calibri"/>
          <w:color w:val="000000" w:themeColor="text1"/>
          <w:sz w:val="22"/>
          <w:szCs w:val="22"/>
        </w:rPr>
        <w:t xml:space="preserve">urriculum, </w:t>
      </w:r>
      <w:r w:rsidR="1AAC5A0C" w:rsidRPr="00841F3F">
        <w:rPr>
          <w:rFonts w:ascii="Calibri" w:eastAsia="Calibri" w:hAnsi="Calibri" w:cs="Calibri"/>
          <w:color w:val="000000" w:themeColor="text1"/>
          <w:sz w:val="22"/>
          <w:szCs w:val="22"/>
        </w:rPr>
        <w:t>E</w:t>
      </w:r>
      <w:r w:rsidR="4FD1C872" w:rsidRPr="00841F3F">
        <w:rPr>
          <w:rFonts w:ascii="Calibri" w:eastAsia="Calibri" w:hAnsi="Calibri" w:cs="Calibri"/>
          <w:color w:val="000000" w:themeColor="text1"/>
          <w:sz w:val="22"/>
          <w:szCs w:val="22"/>
        </w:rPr>
        <w:t xml:space="preserve">xaminations </w:t>
      </w:r>
      <w:r w:rsidR="517AE20D" w:rsidRPr="00841F3F">
        <w:rPr>
          <w:rFonts w:ascii="Calibri" w:eastAsia="Calibri" w:hAnsi="Calibri" w:cs="Calibri"/>
          <w:color w:val="000000" w:themeColor="text1"/>
          <w:sz w:val="22"/>
          <w:szCs w:val="22"/>
        </w:rPr>
        <w:t xml:space="preserve">&amp; </w:t>
      </w:r>
      <w:r w:rsidR="1AAC5A0C" w:rsidRPr="00841F3F">
        <w:rPr>
          <w:rFonts w:ascii="Calibri" w:eastAsia="Calibri" w:hAnsi="Calibri" w:cs="Calibri"/>
          <w:color w:val="000000" w:themeColor="text1"/>
          <w:sz w:val="22"/>
          <w:szCs w:val="22"/>
        </w:rPr>
        <w:t>A</w:t>
      </w:r>
      <w:r w:rsidR="52B6AEFE" w:rsidRPr="00841F3F">
        <w:rPr>
          <w:rFonts w:ascii="Calibri" w:eastAsia="Calibri" w:hAnsi="Calibri" w:cs="Calibri"/>
          <w:color w:val="000000" w:themeColor="text1"/>
          <w:sz w:val="22"/>
          <w:szCs w:val="22"/>
        </w:rPr>
        <w:t>ssessment</w:t>
      </w:r>
      <w:r w:rsidR="1AAC5A0C" w:rsidRPr="00841F3F">
        <w:rPr>
          <w:rFonts w:ascii="Calibri" w:eastAsia="Calibri" w:hAnsi="Calibri" w:cs="Calibri"/>
          <w:color w:val="000000" w:themeColor="text1"/>
          <w:sz w:val="22"/>
          <w:szCs w:val="22"/>
        </w:rPr>
        <w:t xml:space="preserve">, 2007, </w:t>
      </w:r>
      <w:r w:rsidR="04FCD9B4" w:rsidRPr="00841F3F">
        <w:rPr>
          <w:rFonts w:ascii="Calibri" w:eastAsia="Calibri" w:hAnsi="Calibri" w:cs="Calibri"/>
          <w:color w:val="000000" w:themeColor="text1"/>
          <w:sz w:val="22"/>
          <w:szCs w:val="22"/>
        </w:rPr>
        <w:t>p. 21</w:t>
      </w:r>
      <w:r w:rsidR="609978AE" w:rsidRPr="00841F3F">
        <w:rPr>
          <w:rFonts w:ascii="Calibri" w:eastAsia="Calibri" w:hAnsi="Calibri" w:cs="Calibri"/>
          <w:color w:val="000000" w:themeColor="text1"/>
          <w:sz w:val="22"/>
          <w:szCs w:val="22"/>
        </w:rPr>
        <w:t>).</w:t>
      </w:r>
      <w:r w:rsidR="41B5973F" w:rsidRPr="00841F3F">
        <w:rPr>
          <w:rFonts w:ascii="Calibri" w:eastAsia="Calibri" w:hAnsi="Calibri" w:cs="Calibri"/>
          <w:color w:val="000000" w:themeColor="text1"/>
          <w:sz w:val="22"/>
          <w:szCs w:val="22"/>
        </w:rPr>
        <w:t xml:space="preserve"> It is </w:t>
      </w:r>
      <w:r w:rsidR="30E8C5AA" w:rsidRPr="00841F3F">
        <w:rPr>
          <w:rFonts w:ascii="Calibri" w:eastAsia="Calibri" w:hAnsi="Calibri" w:cs="Calibri"/>
          <w:color w:val="000000" w:themeColor="text1"/>
          <w:sz w:val="22"/>
          <w:szCs w:val="22"/>
        </w:rPr>
        <w:t xml:space="preserve">primarily </w:t>
      </w:r>
      <w:r w:rsidR="41B5973F" w:rsidRPr="00841F3F">
        <w:rPr>
          <w:rFonts w:ascii="Calibri" w:eastAsia="Calibri" w:hAnsi="Calibri" w:cs="Calibri"/>
          <w:color w:val="000000" w:themeColor="text1"/>
          <w:sz w:val="22"/>
          <w:szCs w:val="22"/>
        </w:rPr>
        <w:t xml:space="preserve">a formative assessment </w:t>
      </w:r>
      <w:r w:rsidR="42E24DC5" w:rsidRPr="00841F3F">
        <w:rPr>
          <w:rFonts w:ascii="Calibri" w:eastAsia="Calibri" w:hAnsi="Calibri" w:cs="Calibri"/>
          <w:color w:val="000000" w:themeColor="text1"/>
          <w:sz w:val="22"/>
          <w:szCs w:val="22"/>
        </w:rPr>
        <w:t>technique</w:t>
      </w:r>
      <w:r w:rsidR="2BA4DF4D" w:rsidRPr="00841F3F">
        <w:rPr>
          <w:rFonts w:ascii="Calibri" w:eastAsia="Calibri" w:hAnsi="Calibri" w:cs="Calibri"/>
          <w:color w:val="000000" w:themeColor="text1"/>
          <w:sz w:val="22"/>
          <w:szCs w:val="22"/>
        </w:rPr>
        <w:t xml:space="preserve"> </w:t>
      </w:r>
      <w:r w:rsidR="77F0EC6D" w:rsidRPr="00841F3F">
        <w:rPr>
          <w:rFonts w:ascii="Calibri" w:eastAsia="Calibri" w:hAnsi="Calibri" w:cs="Calibri"/>
          <w:color w:val="000000" w:themeColor="text1"/>
          <w:sz w:val="22"/>
          <w:szCs w:val="22"/>
        </w:rPr>
        <w:t xml:space="preserve">used during </w:t>
      </w:r>
      <w:r w:rsidR="522F1288" w:rsidRPr="00841F3F">
        <w:rPr>
          <w:rFonts w:ascii="Calibri" w:eastAsia="Calibri" w:hAnsi="Calibri" w:cs="Calibri"/>
          <w:color w:val="000000" w:themeColor="text1"/>
          <w:sz w:val="22"/>
          <w:szCs w:val="22"/>
        </w:rPr>
        <w:t xml:space="preserve">a </w:t>
      </w:r>
      <w:r w:rsidR="77F0EC6D" w:rsidRPr="00841F3F">
        <w:rPr>
          <w:rFonts w:ascii="Calibri" w:eastAsia="Calibri" w:hAnsi="Calibri" w:cs="Calibri"/>
          <w:color w:val="000000" w:themeColor="text1"/>
          <w:sz w:val="22"/>
          <w:szCs w:val="22"/>
        </w:rPr>
        <w:t>lesson to check for pupil’s understanding</w:t>
      </w:r>
      <w:r w:rsidR="117755C8" w:rsidRPr="00841F3F">
        <w:rPr>
          <w:rFonts w:ascii="Calibri" w:eastAsia="Calibri" w:hAnsi="Calibri" w:cs="Calibri"/>
          <w:color w:val="000000" w:themeColor="text1"/>
          <w:sz w:val="22"/>
          <w:szCs w:val="22"/>
        </w:rPr>
        <w:t>, clarify misconceptions and guide instructions</w:t>
      </w:r>
      <w:r w:rsidR="117755C8" w:rsidRPr="00841F3F">
        <w:rPr>
          <w:rFonts w:ascii="Calibri" w:eastAsia="Calibri" w:hAnsi="Calibri" w:cs="Calibri"/>
          <w:color w:val="FF0000"/>
          <w:sz w:val="22"/>
          <w:szCs w:val="22"/>
        </w:rPr>
        <w:t xml:space="preserve"> </w:t>
      </w:r>
      <w:r w:rsidR="117755C8" w:rsidRPr="00841F3F">
        <w:rPr>
          <w:rFonts w:ascii="Calibri" w:eastAsia="Calibri" w:hAnsi="Calibri" w:cs="Calibri"/>
          <w:color w:val="000000" w:themeColor="text1"/>
          <w:sz w:val="22"/>
          <w:szCs w:val="22"/>
        </w:rPr>
        <w:t>lead</w:t>
      </w:r>
      <w:r w:rsidR="0323CFDC" w:rsidRPr="00841F3F">
        <w:rPr>
          <w:rFonts w:ascii="Calibri" w:eastAsia="Calibri" w:hAnsi="Calibri" w:cs="Calibri"/>
          <w:color w:val="000000" w:themeColor="text1"/>
          <w:sz w:val="22"/>
          <w:szCs w:val="22"/>
        </w:rPr>
        <w:t>ing</w:t>
      </w:r>
      <w:r w:rsidR="117755C8" w:rsidRPr="00841F3F">
        <w:rPr>
          <w:rFonts w:ascii="Calibri" w:eastAsia="Calibri" w:hAnsi="Calibri" w:cs="Calibri"/>
          <w:color w:val="000000" w:themeColor="text1"/>
          <w:sz w:val="22"/>
          <w:szCs w:val="22"/>
        </w:rPr>
        <w:t xml:space="preserve"> to stronger learning outcomes (Wiliam, 2011).</w:t>
      </w:r>
      <w:r w:rsidR="762E8D59" w:rsidRPr="00841F3F">
        <w:rPr>
          <w:rFonts w:ascii="Calibri" w:eastAsia="Calibri" w:hAnsi="Calibri" w:cs="Calibri"/>
          <w:color w:val="000000" w:themeColor="text1"/>
          <w:sz w:val="22"/>
          <w:szCs w:val="22"/>
        </w:rPr>
        <w:t xml:space="preserve"> </w:t>
      </w:r>
      <w:r w:rsidR="6BA9BBD3" w:rsidRPr="00841F3F">
        <w:rPr>
          <w:rFonts w:ascii="Calibri" w:eastAsia="Calibri" w:hAnsi="Calibri" w:cs="Calibri"/>
          <w:color w:val="000000" w:themeColor="text1"/>
          <w:sz w:val="22"/>
          <w:szCs w:val="22"/>
        </w:rPr>
        <w:t xml:space="preserve">Questioning serves as a </w:t>
      </w:r>
      <w:r w:rsidR="65C172EA" w:rsidRPr="00841F3F">
        <w:rPr>
          <w:rFonts w:ascii="Calibri" w:eastAsia="Calibri" w:hAnsi="Calibri" w:cs="Calibri"/>
          <w:color w:val="000000" w:themeColor="text1"/>
          <w:sz w:val="22"/>
          <w:szCs w:val="22"/>
        </w:rPr>
        <w:t>fundamental component of teacher’s practice (Black et al., 2003).</w:t>
      </w:r>
      <w:r w:rsidR="2A7B3C17" w:rsidRPr="00841F3F">
        <w:rPr>
          <w:rFonts w:ascii="Calibri" w:eastAsia="Calibri" w:hAnsi="Calibri" w:cs="Calibri"/>
          <w:color w:val="000000" w:themeColor="text1"/>
          <w:sz w:val="22"/>
          <w:szCs w:val="22"/>
        </w:rPr>
        <w:t xml:space="preserve"> </w:t>
      </w:r>
      <w:r w:rsidR="772201B6" w:rsidRPr="00841F3F">
        <w:rPr>
          <w:rFonts w:ascii="Calibri" w:eastAsia="Calibri" w:hAnsi="Calibri" w:cs="Calibri"/>
          <w:color w:val="000000" w:themeColor="text1"/>
          <w:sz w:val="22"/>
          <w:szCs w:val="22"/>
        </w:rPr>
        <w:t xml:space="preserve">Interestingly, the British Psychological Society revealed that teachers ask ‘’300-400 questions a </w:t>
      </w:r>
      <w:r w:rsidR="772201B6" w:rsidRPr="00841F3F">
        <w:rPr>
          <w:rFonts w:ascii="Calibri" w:eastAsia="Calibri" w:hAnsi="Calibri" w:cs="Calibri"/>
          <w:color w:val="000000" w:themeColor="text1"/>
          <w:sz w:val="22"/>
          <w:szCs w:val="22"/>
        </w:rPr>
        <w:lastRenderedPageBreak/>
        <w:t xml:space="preserve">day’’ (2024, p. 3). </w:t>
      </w:r>
      <w:r w:rsidR="43FA110F" w:rsidRPr="00841F3F">
        <w:rPr>
          <w:rFonts w:ascii="Calibri" w:eastAsia="Calibri" w:hAnsi="Calibri" w:cs="Calibri"/>
          <w:color w:val="000000" w:themeColor="text1"/>
          <w:sz w:val="22"/>
          <w:szCs w:val="22"/>
        </w:rPr>
        <w:t xml:space="preserve">However, </w:t>
      </w:r>
      <w:r w:rsidR="4B777F2A" w:rsidRPr="00841F3F">
        <w:rPr>
          <w:rFonts w:ascii="Calibri" w:eastAsia="Calibri" w:hAnsi="Calibri" w:cs="Calibri"/>
          <w:color w:val="000000" w:themeColor="text1"/>
          <w:sz w:val="22"/>
          <w:szCs w:val="22"/>
        </w:rPr>
        <w:t>81</w:t>
      </w:r>
      <w:r w:rsidR="7CF77265" w:rsidRPr="00841F3F">
        <w:rPr>
          <w:rFonts w:ascii="Calibri" w:eastAsia="Calibri" w:hAnsi="Calibri" w:cs="Calibri"/>
          <w:color w:val="000000" w:themeColor="text1"/>
          <w:sz w:val="22"/>
          <w:szCs w:val="22"/>
        </w:rPr>
        <w:t>% were</w:t>
      </w:r>
      <w:r w:rsidR="3887DF4D" w:rsidRPr="00841F3F">
        <w:rPr>
          <w:rFonts w:ascii="Calibri" w:eastAsia="Calibri" w:hAnsi="Calibri" w:cs="Calibri"/>
          <w:color w:val="000000" w:themeColor="text1"/>
          <w:sz w:val="22"/>
          <w:szCs w:val="22"/>
        </w:rPr>
        <w:t xml:space="preserve"> </w:t>
      </w:r>
      <w:r w:rsidR="7FF16C0D" w:rsidRPr="00841F3F">
        <w:rPr>
          <w:rFonts w:ascii="Calibri" w:eastAsia="Calibri" w:hAnsi="Calibri" w:cs="Calibri"/>
          <w:color w:val="000000" w:themeColor="text1"/>
          <w:sz w:val="22"/>
          <w:szCs w:val="22"/>
        </w:rPr>
        <w:t>convergent</w:t>
      </w:r>
      <w:r w:rsidR="7A9D8254" w:rsidRPr="00841F3F">
        <w:rPr>
          <w:rFonts w:ascii="Calibri" w:eastAsia="Calibri" w:hAnsi="Calibri" w:cs="Calibri"/>
          <w:color w:val="000000" w:themeColor="text1"/>
          <w:sz w:val="22"/>
          <w:szCs w:val="22"/>
        </w:rPr>
        <w:t>, whereas only</w:t>
      </w:r>
      <w:r w:rsidR="39631F2E" w:rsidRPr="00841F3F">
        <w:rPr>
          <w:rFonts w:ascii="Calibri" w:eastAsia="Calibri" w:hAnsi="Calibri" w:cs="Calibri"/>
          <w:color w:val="000000" w:themeColor="text1"/>
          <w:sz w:val="22"/>
          <w:szCs w:val="22"/>
        </w:rPr>
        <w:t xml:space="preserve"> 7% </w:t>
      </w:r>
      <w:r w:rsidR="235398FF" w:rsidRPr="00841F3F">
        <w:rPr>
          <w:rFonts w:ascii="Calibri" w:eastAsia="Calibri" w:hAnsi="Calibri" w:cs="Calibri"/>
          <w:color w:val="000000" w:themeColor="text1"/>
          <w:sz w:val="22"/>
          <w:szCs w:val="22"/>
        </w:rPr>
        <w:t>were</w:t>
      </w:r>
      <w:r w:rsidR="39631F2E" w:rsidRPr="00841F3F">
        <w:rPr>
          <w:rFonts w:ascii="Calibri" w:eastAsia="Calibri" w:hAnsi="Calibri" w:cs="Calibri"/>
          <w:color w:val="000000" w:themeColor="text1"/>
          <w:sz w:val="22"/>
          <w:szCs w:val="22"/>
        </w:rPr>
        <w:t xml:space="preserve"> divergent </w:t>
      </w:r>
      <w:r w:rsidR="5706FC8E" w:rsidRPr="00841F3F">
        <w:rPr>
          <w:rFonts w:ascii="Calibri" w:eastAsia="Calibri" w:hAnsi="Calibri" w:cs="Calibri"/>
          <w:color w:val="000000" w:themeColor="text1"/>
          <w:sz w:val="22"/>
          <w:szCs w:val="22"/>
        </w:rPr>
        <w:t>(Jiang, 2014, p. 292).</w:t>
      </w:r>
      <w:r w:rsidR="3568CA28" w:rsidRPr="00841F3F">
        <w:rPr>
          <w:rFonts w:ascii="Calibri" w:eastAsia="Calibri" w:hAnsi="Calibri" w:cs="Calibri"/>
          <w:color w:val="000000" w:themeColor="text1"/>
          <w:sz w:val="22"/>
          <w:szCs w:val="22"/>
        </w:rPr>
        <w:t xml:space="preserve"> For pupils to think more carefully and critically about lesson content, their teachers need to move p</w:t>
      </w:r>
      <w:r w:rsidR="4A69CD80" w:rsidRPr="00841F3F">
        <w:rPr>
          <w:rFonts w:ascii="Calibri" w:eastAsia="Calibri" w:hAnsi="Calibri" w:cs="Calibri"/>
          <w:color w:val="000000" w:themeColor="text1"/>
          <w:sz w:val="22"/>
          <w:szCs w:val="22"/>
        </w:rPr>
        <w:t xml:space="preserve">upils </w:t>
      </w:r>
      <w:r w:rsidR="3568CA28" w:rsidRPr="00841F3F">
        <w:rPr>
          <w:rFonts w:ascii="Calibri" w:eastAsia="Calibri" w:hAnsi="Calibri" w:cs="Calibri"/>
          <w:color w:val="000000" w:themeColor="text1"/>
          <w:sz w:val="22"/>
          <w:szCs w:val="22"/>
        </w:rPr>
        <w:t>to answering</w:t>
      </w:r>
      <w:r w:rsidR="5B71A042" w:rsidRPr="00841F3F">
        <w:rPr>
          <w:rFonts w:ascii="Calibri" w:eastAsia="Calibri" w:hAnsi="Calibri" w:cs="Calibri"/>
          <w:color w:val="000000" w:themeColor="text1"/>
          <w:sz w:val="22"/>
          <w:szCs w:val="22"/>
        </w:rPr>
        <w:t xml:space="preserve"> more</w:t>
      </w:r>
      <w:r w:rsidR="3568CA28" w:rsidRPr="00841F3F">
        <w:rPr>
          <w:rFonts w:ascii="Calibri" w:eastAsia="Calibri" w:hAnsi="Calibri" w:cs="Calibri"/>
          <w:color w:val="000000" w:themeColor="text1"/>
          <w:sz w:val="22"/>
          <w:szCs w:val="22"/>
        </w:rPr>
        <w:t xml:space="preserve"> </w:t>
      </w:r>
      <w:r w:rsidR="4B78E04E" w:rsidRPr="00841F3F">
        <w:rPr>
          <w:rFonts w:ascii="Calibri" w:eastAsia="Calibri" w:hAnsi="Calibri" w:cs="Calibri"/>
          <w:color w:val="000000" w:themeColor="text1"/>
          <w:sz w:val="22"/>
          <w:szCs w:val="22"/>
        </w:rPr>
        <w:t xml:space="preserve">divergent </w:t>
      </w:r>
      <w:r w:rsidR="3568CA28" w:rsidRPr="00841F3F">
        <w:rPr>
          <w:rFonts w:ascii="Calibri" w:eastAsia="Calibri" w:hAnsi="Calibri" w:cs="Calibri"/>
          <w:color w:val="000000" w:themeColor="text1"/>
          <w:sz w:val="22"/>
          <w:szCs w:val="22"/>
        </w:rPr>
        <w:t>questions. These question types are closely linked with Bloom’s Taxonomy of Educational Objectives. The triangular representation of these question types includes ‘’knowledge, comprehension, application, analysis, synthesis and evaluation</w:t>
      </w:r>
      <w:r w:rsidR="408ECF8D" w:rsidRPr="00841F3F">
        <w:rPr>
          <w:rFonts w:ascii="Calibri" w:eastAsia="Calibri" w:hAnsi="Calibri" w:cs="Calibri"/>
          <w:color w:val="000000" w:themeColor="text1"/>
          <w:sz w:val="22"/>
          <w:szCs w:val="22"/>
        </w:rPr>
        <w:t>’’</w:t>
      </w:r>
      <w:r w:rsidR="0CBD519B" w:rsidRPr="00841F3F">
        <w:rPr>
          <w:rFonts w:ascii="Calibri" w:eastAsia="Calibri" w:hAnsi="Calibri" w:cs="Calibri"/>
          <w:color w:val="000000" w:themeColor="text1"/>
          <w:sz w:val="22"/>
          <w:szCs w:val="22"/>
        </w:rPr>
        <w:t xml:space="preserve"> (University of Arkansas, 2022)</w:t>
      </w:r>
      <w:r w:rsidR="3568CA28" w:rsidRPr="00841F3F">
        <w:rPr>
          <w:rFonts w:ascii="Calibri" w:eastAsia="Calibri" w:hAnsi="Calibri" w:cs="Calibri"/>
          <w:color w:val="000000" w:themeColor="text1"/>
          <w:sz w:val="22"/>
          <w:szCs w:val="22"/>
        </w:rPr>
        <w:t xml:space="preserve"> Teachers' questions need to be constructive, challenging</w:t>
      </w:r>
      <w:r w:rsidR="51E1E162" w:rsidRPr="00841F3F">
        <w:rPr>
          <w:rFonts w:ascii="Calibri" w:eastAsia="Calibri" w:hAnsi="Calibri" w:cs="Calibri"/>
          <w:color w:val="000000" w:themeColor="text1"/>
          <w:sz w:val="22"/>
          <w:szCs w:val="22"/>
        </w:rPr>
        <w:t xml:space="preserve"> </w:t>
      </w:r>
      <w:r w:rsidR="3568CA28" w:rsidRPr="00841F3F">
        <w:rPr>
          <w:rFonts w:ascii="Calibri" w:eastAsia="Calibri" w:hAnsi="Calibri" w:cs="Calibri"/>
          <w:color w:val="000000" w:themeColor="text1"/>
          <w:sz w:val="22"/>
          <w:szCs w:val="22"/>
        </w:rPr>
        <w:t>critical</w:t>
      </w:r>
      <w:r w:rsidR="18E1ED7F" w:rsidRPr="00841F3F">
        <w:rPr>
          <w:rFonts w:ascii="Calibri" w:eastAsia="Calibri" w:hAnsi="Calibri" w:cs="Calibri"/>
          <w:color w:val="000000" w:themeColor="text1"/>
          <w:sz w:val="22"/>
          <w:szCs w:val="22"/>
        </w:rPr>
        <w:t xml:space="preserve"> thinking</w:t>
      </w:r>
      <w:r w:rsidR="3568CA28" w:rsidRPr="00841F3F">
        <w:rPr>
          <w:rFonts w:ascii="Calibri" w:eastAsia="Calibri" w:hAnsi="Calibri" w:cs="Calibri"/>
          <w:color w:val="000000" w:themeColor="text1"/>
          <w:sz w:val="22"/>
          <w:szCs w:val="22"/>
        </w:rPr>
        <w:t>, developing</w:t>
      </w:r>
      <w:r w:rsidR="3E0CDD15" w:rsidRPr="00841F3F">
        <w:rPr>
          <w:rFonts w:ascii="Calibri" w:eastAsia="Calibri" w:hAnsi="Calibri" w:cs="Calibri"/>
          <w:color w:val="000000" w:themeColor="text1"/>
          <w:sz w:val="22"/>
          <w:szCs w:val="22"/>
        </w:rPr>
        <w:t xml:space="preserve"> </w:t>
      </w:r>
      <w:r w:rsidR="331D9C23" w:rsidRPr="00841F3F">
        <w:rPr>
          <w:rFonts w:ascii="Calibri" w:eastAsia="Calibri" w:hAnsi="Calibri" w:cs="Calibri"/>
          <w:color w:val="000000" w:themeColor="text1"/>
          <w:sz w:val="22"/>
          <w:szCs w:val="22"/>
        </w:rPr>
        <w:t>pupil's</w:t>
      </w:r>
      <w:r w:rsidR="3568CA28" w:rsidRPr="00841F3F">
        <w:rPr>
          <w:rFonts w:ascii="Calibri" w:eastAsia="Calibri" w:hAnsi="Calibri" w:cs="Calibri"/>
          <w:color w:val="000000" w:themeColor="text1"/>
          <w:sz w:val="22"/>
          <w:szCs w:val="22"/>
        </w:rPr>
        <w:t xml:space="preserve"> cognitive skills to </w:t>
      </w:r>
      <w:r w:rsidR="35C30B98" w:rsidRPr="00841F3F">
        <w:rPr>
          <w:rFonts w:ascii="Calibri" w:eastAsia="Calibri" w:hAnsi="Calibri" w:cs="Calibri"/>
          <w:color w:val="000000" w:themeColor="text1"/>
          <w:sz w:val="22"/>
          <w:szCs w:val="22"/>
        </w:rPr>
        <w:t>progress</w:t>
      </w:r>
      <w:r w:rsidR="3568CA28" w:rsidRPr="00841F3F">
        <w:rPr>
          <w:rFonts w:ascii="Calibri" w:eastAsia="Calibri" w:hAnsi="Calibri" w:cs="Calibri"/>
          <w:color w:val="000000" w:themeColor="text1"/>
          <w:sz w:val="22"/>
          <w:szCs w:val="22"/>
        </w:rPr>
        <w:t xml:space="preserve"> their learning. </w:t>
      </w:r>
      <w:r w:rsidR="5CC23AAD" w:rsidRPr="00841F3F">
        <w:rPr>
          <w:rFonts w:ascii="Calibri" w:eastAsia="Calibri" w:hAnsi="Calibri" w:cs="Calibri"/>
          <w:color w:val="000000" w:themeColor="text1"/>
          <w:sz w:val="22"/>
          <w:szCs w:val="22"/>
        </w:rPr>
        <w:t>John Hattie’s e</w:t>
      </w:r>
      <w:r w:rsidR="02EB3887" w:rsidRPr="00841F3F">
        <w:rPr>
          <w:rFonts w:ascii="Calibri" w:eastAsia="Calibri" w:hAnsi="Calibri" w:cs="Calibri"/>
          <w:color w:val="000000" w:themeColor="text1"/>
          <w:sz w:val="22"/>
          <w:szCs w:val="22"/>
        </w:rPr>
        <w:t xml:space="preserve">ducational research </w:t>
      </w:r>
      <w:r w:rsidR="114B384A" w:rsidRPr="00841F3F">
        <w:rPr>
          <w:rFonts w:ascii="Calibri" w:eastAsia="Calibri" w:hAnsi="Calibri" w:cs="Calibri"/>
          <w:color w:val="000000" w:themeColor="text1"/>
          <w:sz w:val="22"/>
          <w:szCs w:val="22"/>
        </w:rPr>
        <w:t>indicates</w:t>
      </w:r>
      <w:r w:rsidR="0CCDE6DB" w:rsidRPr="00841F3F">
        <w:rPr>
          <w:rFonts w:ascii="Calibri" w:eastAsia="Calibri" w:hAnsi="Calibri" w:cs="Calibri"/>
          <w:color w:val="000000" w:themeColor="text1"/>
          <w:sz w:val="22"/>
          <w:szCs w:val="22"/>
        </w:rPr>
        <w:t xml:space="preserve"> classroom</w:t>
      </w:r>
      <w:r w:rsidR="02EB3887" w:rsidRPr="00841F3F">
        <w:rPr>
          <w:rFonts w:ascii="Calibri" w:eastAsia="Calibri" w:hAnsi="Calibri" w:cs="Calibri"/>
          <w:color w:val="000000" w:themeColor="text1"/>
          <w:sz w:val="22"/>
          <w:szCs w:val="22"/>
        </w:rPr>
        <w:t xml:space="preserve"> </w:t>
      </w:r>
      <w:r w:rsidR="075FFF12" w:rsidRPr="00841F3F">
        <w:rPr>
          <w:rFonts w:ascii="Calibri" w:eastAsia="Calibri" w:hAnsi="Calibri" w:cs="Calibri"/>
          <w:color w:val="000000" w:themeColor="text1"/>
          <w:sz w:val="22"/>
          <w:szCs w:val="22"/>
        </w:rPr>
        <w:t xml:space="preserve">discussions </w:t>
      </w:r>
      <w:r w:rsidR="33BAD4ED" w:rsidRPr="00841F3F">
        <w:rPr>
          <w:rFonts w:ascii="Calibri" w:eastAsia="Calibri" w:hAnsi="Calibri" w:cs="Calibri"/>
          <w:color w:val="000000" w:themeColor="text1"/>
          <w:sz w:val="22"/>
          <w:szCs w:val="22"/>
        </w:rPr>
        <w:t>h</w:t>
      </w:r>
      <w:r w:rsidR="2A9B9087" w:rsidRPr="00841F3F">
        <w:rPr>
          <w:rFonts w:ascii="Calibri" w:eastAsia="Calibri" w:hAnsi="Calibri" w:cs="Calibri"/>
          <w:color w:val="000000" w:themeColor="text1"/>
          <w:sz w:val="22"/>
          <w:szCs w:val="22"/>
        </w:rPr>
        <w:t>ave a moderate impact on</w:t>
      </w:r>
      <w:r w:rsidR="075FFF12" w:rsidRPr="00841F3F">
        <w:rPr>
          <w:rFonts w:ascii="Calibri" w:eastAsia="Calibri" w:hAnsi="Calibri" w:cs="Calibri"/>
          <w:color w:val="000000" w:themeColor="text1"/>
          <w:sz w:val="22"/>
          <w:szCs w:val="22"/>
        </w:rPr>
        <w:t xml:space="preserve"> learning, progress and achievement. </w:t>
      </w:r>
      <w:r w:rsidR="3C50D6D6" w:rsidRPr="00841F3F">
        <w:rPr>
          <w:rFonts w:ascii="Calibri" w:eastAsia="Calibri" w:hAnsi="Calibri" w:cs="Calibri"/>
          <w:color w:val="000000" w:themeColor="text1"/>
          <w:sz w:val="22"/>
          <w:szCs w:val="22"/>
        </w:rPr>
        <w:t>Effect sizes gauge how effective various teaching methods are in promoting pupil achievement</w:t>
      </w:r>
      <w:r w:rsidR="73FFF9C6" w:rsidRPr="00841F3F">
        <w:rPr>
          <w:rFonts w:ascii="Calibri" w:eastAsia="Calibri" w:hAnsi="Calibri" w:cs="Calibri"/>
          <w:color w:val="000000" w:themeColor="text1"/>
          <w:sz w:val="22"/>
          <w:szCs w:val="22"/>
        </w:rPr>
        <w:t>.</w:t>
      </w:r>
      <w:r w:rsidR="3C50D6D6" w:rsidRPr="00841F3F">
        <w:rPr>
          <w:rFonts w:ascii="Calibri" w:eastAsia="Calibri" w:hAnsi="Calibri" w:cs="Calibri"/>
          <w:color w:val="000000" w:themeColor="text1"/>
          <w:sz w:val="22"/>
          <w:szCs w:val="22"/>
        </w:rPr>
        <w:t xml:space="preserve"> </w:t>
      </w:r>
      <w:r w:rsidR="395FF396" w:rsidRPr="00841F3F">
        <w:rPr>
          <w:rFonts w:ascii="Calibri" w:eastAsia="Calibri" w:hAnsi="Calibri" w:cs="Calibri"/>
          <w:color w:val="000000" w:themeColor="text1"/>
          <w:sz w:val="22"/>
          <w:szCs w:val="22"/>
        </w:rPr>
        <w:t>His r</w:t>
      </w:r>
      <w:r w:rsidR="6023E44D" w:rsidRPr="00841F3F">
        <w:rPr>
          <w:rFonts w:ascii="Calibri" w:eastAsia="Calibri" w:hAnsi="Calibri" w:cs="Calibri"/>
          <w:color w:val="000000" w:themeColor="text1"/>
          <w:sz w:val="22"/>
          <w:szCs w:val="22"/>
        </w:rPr>
        <w:t>esearch calculates</w:t>
      </w:r>
      <w:r w:rsidR="027A7DD3" w:rsidRPr="00841F3F">
        <w:rPr>
          <w:rFonts w:ascii="Calibri" w:eastAsia="Calibri" w:hAnsi="Calibri" w:cs="Calibri"/>
          <w:color w:val="000000" w:themeColor="text1"/>
          <w:sz w:val="22"/>
          <w:szCs w:val="22"/>
        </w:rPr>
        <w:t xml:space="preserve"> that questioning has </w:t>
      </w:r>
      <w:r w:rsidR="539914D2" w:rsidRPr="00841F3F">
        <w:rPr>
          <w:rFonts w:ascii="Calibri" w:eastAsia="Calibri" w:hAnsi="Calibri" w:cs="Calibri"/>
          <w:color w:val="000000" w:themeColor="text1"/>
          <w:sz w:val="22"/>
          <w:szCs w:val="22"/>
        </w:rPr>
        <w:t xml:space="preserve">an effect size of </w:t>
      </w:r>
      <w:r w:rsidR="027A7DD3" w:rsidRPr="00841F3F">
        <w:rPr>
          <w:rFonts w:ascii="Calibri" w:eastAsia="Calibri" w:hAnsi="Calibri" w:cs="Calibri"/>
          <w:color w:val="000000" w:themeColor="text1"/>
          <w:sz w:val="22"/>
          <w:szCs w:val="22"/>
        </w:rPr>
        <w:t>0.42</w:t>
      </w:r>
      <w:r w:rsidR="653F12A5" w:rsidRPr="00841F3F">
        <w:rPr>
          <w:rFonts w:ascii="Calibri" w:eastAsia="Calibri" w:hAnsi="Calibri" w:cs="Calibri"/>
          <w:color w:val="000000" w:themeColor="text1"/>
          <w:sz w:val="22"/>
          <w:szCs w:val="22"/>
        </w:rPr>
        <w:t xml:space="preserve">, which is above </w:t>
      </w:r>
      <w:r w:rsidR="3596FAC3" w:rsidRPr="00841F3F">
        <w:rPr>
          <w:rFonts w:ascii="Calibri" w:eastAsia="Calibri" w:hAnsi="Calibri" w:cs="Calibri"/>
          <w:color w:val="000000" w:themeColor="text1"/>
          <w:sz w:val="22"/>
          <w:szCs w:val="22"/>
        </w:rPr>
        <w:t xml:space="preserve">the </w:t>
      </w:r>
      <w:r w:rsidR="653F12A5" w:rsidRPr="00841F3F">
        <w:rPr>
          <w:rFonts w:ascii="Calibri" w:eastAsia="Calibri" w:hAnsi="Calibri" w:cs="Calibri"/>
          <w:color w:val="000000" w:themeColor="text1"/>
          <w:sz w:val="22"/>
          <w:szCs w:val="22"/>
        </w:rPr>
        <w:t>average</w:t>
      </w:r>
      <w:r w:rsidR="170AC6BB" w:rsidRPr="00841F3F">
        <w:rPr>
          <w:rFonts w:ascii="Calibri" w:eastAsia="Calibri" w:hAnsi="Calibri" w:cs="Calibri"/>
          <w:color w:val="000000" w:themeColor="text1"/>
          <w:sz w:val="22"/>
          <w:szCs w:val="22"/>
        </w:rPr>
        <w:t xml:space="preserve"> effect size of 0.40 across all teaching approaches</w:t>
      </w:r>
      <w:r w:rsidR="096BA1C4" w:rsidRPr="00841F3F">
        <w:rPr>
          <w:rFonts w:ascii="Calibri" w:eastAsia="Calibri" w:hAnsi="Calibri" w:cs="Calibri"/>
          <w:color w:val="000000" w:themeColor="text1"/>
          <w:sz w:val="22"/>
          <w:szCs w:val="22"/>
        </w:rPr>
        <w:t xml:space="preserve"> (Hattie, 2009, p. 162</w:t>
      </w:r>
      <w:r w:rsidR="7C7DA689" w:rsidRPr="00841F3F">
        <w:rPr>
          <w:rFonts w:ascii="Calibri" w:eastAsia="Calibri" w:hAnsi="Calibri" w:cs="Calibri"/>
          <w:color w:val="000000" w:themeColor="text1"/>
          <w:sz w:val="22"/>
          <w:szCs w:val="22"/>
        </w:rPr>
        <w:t>).</w:t>
      </w:r>
      <w:r w:rsidR="59FF124C" w:rsidRPr="00841F3F">
        <w:rPr>
          <w:rFonts w:ascii="Calibri" w:eastAsia="Calibri" w:hAnsi="Calibri" w:cs="Calibri"/>
          <w:color w:val="000000" w:themeColor="text1"/>
          <w:sz w:val="22"/>
          <w:szCs w:val="22"/>
        </w:rPr>
        <w:t xml:space="preserve"> </w:t>
      </w:r>
      <w:r w:rsidR="29B67488" w:rsidRPr="00841F3F">
        <w:rPr>
          <w:rFonts w:ascii="Calibri" w:eastAsia="Calibri" w:hAnsi="Calibri" w:cs="Calibri"/>
          <w:color w:val="000000" w:themeColor="text1"/>
          <w:sz w:val="22"/>
          <w:szCs w:val="22"/>
        </w:rPr>
        <w:t xml:space="preserve">This calculated average helps determine whether a teaching approach has a meaningful impact on </w:t>
      </w:r>
      <w:r w:rsidR="6B1FADAE" w:rsidRPr="00841F3F">
        <w:rPr>
          <w:rFonts w:ascii="Calibri" w:eastAsia="Calibri" w:hAnsi="Calibri" w:cs="Calibri"/>
          <w:color w:val="000000" w:themeColor="text1"/>
          <w:sz w:val="22"/>
          <w:szCs w:val="22"/>
        </w:rPr>
        <w:t>learning,</w:t>
      </w:r>
      <w:r w:rsidR="29B67488" w:rsidRPr="00841F3F">
        <w:rPr>
          <w:rFonts w:ascii="Calibri" w:eastAsia="Calibri" w:hAnsi="Calibri" w:cs="Calibri"/>
          <w:color w:val="000000" w:themeColor="text1"/>
          <w:sz w:val="22"/>
          <w:szCs w:val="22"/>
        </w:rPr>
        <w:t xml:space="preserve"> and it is recognised that</w:t>
      </w:r>
      <w:r w:rsidR="448C021D" w:rsidRPr="00841F3F">
        <w:rPr>
          <w:rFonts w:ascii="Calibri" w:eastAsia="Calibri" w:hAnsi="Calibri" w:cs="Calibri"/>
          <w:color w:val="000000" w:themeColor="text1"/>
          <w:sz w:val="22"/>
          <w:szCs w:val="22"/>
        </w:rPr>
        <w:t xml:space="preserve"> anything above 0.40 is regarded as effective</w:t>
      </w:r>
      <w:r w:rsidR="19BC7472" w:rsidRPr="00841F3F">
        <w:rPr>
          <w:rFonts w:ascii="Calibri" w:eastAsia="Calibri" w:hAnsi="Calibri" w:cs="Calibri"/>
          <w:color w:val="000000" w:themeColor="text1"/>
          <w:sz w:val="22"/>
          <w:szCs w:val="22"/>
        </w:rPr>
        <w:t>;</w:t>
      </w:r>
      <w:r w:rsidR="372A1BD4" w:rsidRPr="00841F3F">
        <w:rPr>
          <w:rFonts w:ascii="Calibri" w:eastAsia="Calibri" w:hAnsi="Calibri" w:cs="Calibri"/>
          <w:color w:val="000000" w:themeColor="text1"/>
          <w:sz w:val="22"/>
          <w:szCs w:val="22"/>
        </w:rPr>
        <w:t xml:space="preserve"> indicating that questioning has a </w:t>
      </w:r>
      <w:r w:rsidR="65299B75" w:rsidRPr="00841F3F">
        <w:rPr>
          <w:rFonts w:ascii="Calibri" w:eastAsia="Calibri" w:hAnsi="Calibri" w:cs="Calibri"/>
          <w:color w:val="000000" w:themeColor="text1"/>
          <w:sz w:val="22"/>
          <w:szCs w:val="22"/>
        </w:rPr>
        <w:t xml:space="preserve">moderately </w:t>
      </w:r>
      <w:r w:rsidR="372A1BD4" w:rsidRPr="00841F3F">
        <w:rPr>
          <w:rFonts w:ascii="Calibri" w:eastAsia="Calibri" w:hAnsi="Calibri" w:cs="Calibri"/>
          <w:color w:val="000000" w:themeColor="text1"/>
          <w:sz w:val="22"/>
          <w:szCs w:val="22"/>
        </w:rPr>
        <w:t>positive influence on pupil’s learning and achievement</w:t>
      </w:r>
      <w:r w:rsidR="41D50DC4" w:rsidRPr="00841F3F">
        <w:rPr>
          <w:rFonts w:ascii="Calibri" w:eastAsia="Calibri" w:hAnsi="Calibri" w:cs="Calibri"/>
          <w:color w:val="000000" w:themeColor="text1"/>
          <w:sz w:val="22"/>
          <w:szCs w:val="22"/>
        </w:rPr>
        <w:t xml:space="preserve">. </w:t>
      </w:r>
      <w:r w:rsidR="61EAEB37" w:rsidRPr="00841F3F">
        <w:rPr>
          <w:rFonts w:ascii="Calibri" w:eastAsia="Calibri" w:hAnsi="Calibri" w:cs="Calibri"/>
          <w:color w:val="000000" w:themeColor="text1"/>
          <w:sz w:val="22"/>
          <w:szCs w:val="22"/>
        </w:rPr>
        <w:t>Conversely, the Education Endowment Foundation (2021) suggest</w:t>
      </w:r>
      <w:r w:rsidR="5BB5C2F2" w:rsidRPr="00841F3F">
        <w:rPr>
          <w:rFonts w:ascii="Calibri" w:eastAsia="Calibri" w:hAnsi="Calibri" w:cs="Calibri"/>
          <w:color w:val="000000" w:themeColor="text1"/>
          <w:sz w:val="22"/>
          <w:szCs w:val="22"/>
        </w:rPr>
        <w:t>s</w:t>
      </w:r>
      <w:r w:rsidR="61EAEB37" w:rsidRPr="00841F3F">
        <w:rPr>
          <w:rFonts w:ascii="Calibri" w:eastAsia="Calibri" w:hAnsi="Calibri" w:cs="Calibri"/>
          <w:color w:val="000000" w:themeColor="text1"/>
          <w:sz w:val="22"/>
          <w:szCs w:val="22"/>
        </w:rPr>
        <w:t xml:space="preserve"> that effective questioning </w:t>
      </w:r>
      <w:r w:rsidR="01819779" w:rsidRPr="00841F3F">
        <w:rPr>
          <w:rFonts w:ascii="Calibri" w:eastAsia="Calibri" w:hAnsi="Calibri" w:cs="Calibri"/>
          <w:color w:val="000000" w:themeColor="text1"/>
          <w:sz w:val="22"/>
          <w:szCs w:val="22"/>
        </w:rPr>
        <w:t xml:space="preserve">can result in an additional 7 months of </w:t>
      </w:r>
      <w:r w:rsidR="7D76020A" w:rsidRPr="00841F3F">
        <w:rPr>
          <w:rFonts w:ascii="Calibri" w:eastAsia="Calibri" w:hAnsi="Calibri" w:cs="Calibri"/>
          <w:color w:val="000000" w:themeColor="text1"/>
          <w:sz w:val="22"/>
          <w:szCs w:val="22"/>
        </w:rPr>
        <w:t xml:space="preserve">progress </w:t>
      </w:r>
      <w:r w:rsidR="01819779" w:rsidRPr="00841F3F">
        <w:rPr>
          <w:rFonts w:ascii="Calibri" w:eastAsia="Calibri" w:hAnsi="Calibri" w:cs="Calibri"/>
          <w:color w:val="000000" w:themeColor="text1"/>
          <w:sz w:val="22"/>
          <w:szCs w:val="22"/>
        </w:rPr>
        <w:t>within a single year.</w:t>
      </w:r>
      <w:r w:rsidR="73E8633B" w:rsidRPr="00841F3F">
        <w:rPr>
          <w:rFonts w:ascii="Calibri" w:eastAsia="Calibri" w:hAnsi="Calibri" w:cs="Calibri"/>
          <w:color w:val="000000" w:themeColor="text1"/>
          <w:sz w:val="22"/>
          <w:szCs w:val="22"/>
        </w:rPr>
        <w:t xml:space="preserve"> </w:t>
      </w:r>
      <w:r w:rsidR="1EB609F5" w:rsidRPr="00841F3F">
        <w:rPr>
          <w:rFonts w:ascii="Calibri" w:eastAsia="Calibri" w:hAnsi="Calibri" w:cs="Calibri"/>
          <w:color w:val="000000" w:themeColor="text1"/>
          <w:sz w:val="22"/>
          <w:szCs w:val="22"/>
        </w:rPr>
        <w:t>The literature also suggests that</w:t>
      </w:r>
      <w:r w:rsidR="3018DA1E" w:rsidRPr="00841F3F">
        <w:rPr>
          <w:rFonts w:ascii="Calibri" w:eastAsia="Calibri" w:hAnsi="Calibri" w:cs="Calibri"/>
          <w:color w:val="000000" w:themeColor="text1"/>
          <w:sz w:val="22"/>
          <w:szCs w:val="22"/>
        </w:rPr>
        <w:t>, to ac</w:t>
      </w:r>
      <w:r w:rsidR="22AF5A06" w:rsidRPr="00841F3F">
        <w:rPr>
          <w:rFonts w:ascii="Calibri" w:eastAsia="Calibri" w:hAnsi="Calibri" w:cs="Calibri"/>
          <w:color w:val="000000" w:themeColor="text1"/>
          <w:sz w:val="22"/>
          <w:szCs w:val="22"/>
        </w:rPr>
        <w:t xml:space="preserve">hieve </w:t>
      </w:r>
      <w:r w:rsidR="3018DA1E" w:rsidRPr="00841F3F">
        <w:rPr>
          <w:rFonts w:ascii="Calibri" w:eastAsia="Calibri" w:hAnsi="Calibri" w:cs="Calibri"/>
          <w:color w:val="000000" w:themeColor="text1"/>
          <w:sz w:val="22"/>
          <w:szCs w:val="22"/>
        </w:rPr>
        <w:t xml:space="preserve">greater </w:t>
      </w:r>
      <w:r w:rsidR="203EF1AF" w:rsidRPr="00841F3F">
        <w:rPr>
          <w:rFonts w:ascii="Calibri" w:eastAsia="Calibri" w:hAnsi="Calibri" w:cs="Calibri"/>
          <w:color w:val="000000" w:themeColor="text1"/>
          <w:sz w:val="22"/>
          <w:szCs w:val="22"/>
        </w:rPr>
        <w:t>advantages,</w:t>
      </w:r>
      <w:r w:rsidR="3018DA1E" w:rsidRPr="00841F3F">
        <w:rPr>
          <w:rFonts w:ascii="Calibri" w:eastAsia="Calibri" w:hAnsi="Calibri" w:cs="Calibri"/>
          <w:color w:val="000000" w:themeColor="text1"/>
          <w:sz w:val="22"/>
          <w:szCs w:val="22"/>
        </w:rPr>
        <w:t xml:space="preserve"> </w:t>
      </w:r>
      <w:r w:rsidR="48F30367" w:rsidRPr="00841F3F">
        <w:rPr>
          <w:rFonts w:ascii="Calibri" w:eastAsia="Calibri" w:hAnsi="Calibri" w:cs="Calibri"/>
          <w:color w:val="000000" w:themeColor="text1"/>
          <w:sz w:val="22"/>
          <w:szCs w:val="22"/>
        </w:rPr>
        <w:t>a teacher should increase wait time by 3 – 5 seconds,</w:t>
      </w:r>
      <w:r w:rsidR="14F3CBD4" w:rsidRPr="00841F3F">
        <w:rPr>
          <w:rFonts w:ascii="Calibri" w:eastAsia="Calibri" w:hAnsi="Calibri" w:cs="Calibri"/>
          <w:color w:val="000000" w:themeColor="text1"/>
          <w:sz w:val="22"/>
          <w:szCs w:val="22"/>
        </w:rPr>
        <w:t xml:space="preserve"> </w:t>
      </w:r>
      <w:r w:rsidR="1A14C4AD" w:rsidRPr="00841F3F">
        <w:rPr>
          <w:rFonts w:ascii="Calibri" w:eastAsia="Calibri" w:hAnsi="Calibri" w:cs="Calibri"/>
          <w:color w:val="000000" w:themeColor="text1"/>
          <w:sz w:val="22"/>
          <w:szCs w:val="22"/>
        </w:rPr>
        <w:t>use think-pair-share</w:t>
      </w:r>
      <w:r w:rsidR="48F30367" w:rsidRPr="00841F3F">
        <w:rPr>
          <w:rFonts w:ascii="Calibri" w:eastAsia="Calibri" w:hAnsi="Calibri" w:cs="Calibri"/>
          <w:color w:val="000000" w:themeColor="text1"/>
          <w:sz w:val="22"/>
          <w:szCs w:val="22"/>
        </w:rPr>
        <w:t xml:space="preserve"> </w:t>
      </w:r>
      <w:r w:rsidR="4343C7E7" w:rsidRPr="00841F3F">
        <w:rPr>
          <w:rFonts w:ascii="Calibri" w:eastAsia="Calibri" w:hAnsi="Calibri" w:cs="Calibri"/>
          <w:color w:val="000000" w:themeColor="text1"/>
          <w:sz w:val="22"/>
          <w:szCs w:val="22"/>
        </w:rPr>
        <w:t xml:space="preserve">(Doherty, 2020, p. 27 - 28) and </w:t>
      </w:r>
      <w:r w:rsidR="3018DA1E" w:rsidRPr="00841F3F">
        <w:rPr>
          <w:rFonts w:ascii="Calibri" w:eastAsia="Calibri" w:hAnsi="Calibri" w:cs="Calibri"/>
          <w:color w:val="000000" w:themeColor="text1"/>
          <w:sz w:val="22"/>
          <w:szCs w:val="22"/>
        </w:rPr>
        <w:t>e</w:t>
      </w:r>
      <w:r w:rsidR="5B450AE6" w:rsidRPr="00841F3F">
        <w:rPr>
          <w:rFonts w:ascii="Calibri" w:eastAsia="Calibri" w:hAnsi="Calibri" w:cs="Calibri"/>
          <w:color w:val="000000" w:themeColor="text1"/>
          <w:sz w:val="22"/>
          <w:szCs w:val="22"/>
        </w:rPr>
        <w:t>stablish a non-threatening and pupil-friendly atmosphe</w:t>
      </w:r>
      <w:r w:rsidR="11979308" w:rsidRPr="00841F3F">
        <w:rPr>
          <w:rFonts w:ascii="Calibri" w:eastAsia="Calibri" w:hAnsi="Calibri" w:cs="Calibri"/>
          <w:color w:val="000000" w:themeColor="text1"/>
          <w:sz w:val="22"/>
          <w:szCs w:val="22"/>
        </w:rPr>
        <w:t>re where pupils feel safe making mistakes and responding to questions (</w:t>
      </w:r>
      <w:r w:rsidR="6A600A27" w:rsidRPr="00841F3F">
        <w:rPr>
          <w:rFonts w:ascii="Calibri" w:eastAsia="Calibri" w:hAnsi="Calibri" w:cs="Calibri"/>
          <w:color w:val="000000" w:themeColor="text1"/>
          <w:sz w:val="22"/>
          <w:szCs w:val="22"/>
        </w:rPr>
        <w:t>Kirton et al., 2007).</w:t>
      </w:r>
      <w:r w:rsidR="5E88FD38" w:rsidRPr="00841F3F">
        <w:rPr>
          <w:rFonts w:ascii="Calibri" w:eastAsia="Calibri" w:hAnsi="Calibri" w:cs="Calibri"/>
          <w:color w:val="000000" w:themeColor="text1"/>
          <w:sz w:val="22"/>
          <w:szCs w:val="22"/>
        </w:rPr>
        <w:t xml:space="preserve"> Hansen (2024, p. 13) highlights that employing a diverse range of questioning techniques, teachers can keep students actively engaged and challenge them to use a variety of cognitive skills.</w:t>
      </w:r>
      <w:r w:rsidR="096882FB" w:rsidRPr="00841F3F">
        <w:rPr>
          <w:rFonts w:ascii="Calibri" w:eastAsia="Calibri" w:hAnsi="Calibri" w:cs="Calibri"/>
          <w:color w:val="000000" w:themeColor="text1"/>
          <w:sz w:val="22"/>
          <w:szCs w:val="22"/>
        </w:rPr>
        <w:t xml:space="preserve"> </w:t>
      </w:r>
      <w:proofErr w:type="spellStart"/>
      <w:r w:rsidR="4ABB42DD" w:rsidRPr="00841F3F">
        <w:rPr>
          <w:rFonts w:ascii="Calibri" w:eastAsia="Calibri" w:hAnsi="Calibri" w:cs="Calibri"/>
          <w:color w:val="000000" w:themeColor="text1"/>
          <w:sz w:val="22"/>
          <w:szCs w:val="22"/>
        </w:rPr>
        <w:t>Darong</w:t>
      </w:r>
      <w:proofErr w:type="spellEnd"/>
      <w:r w:rsidR="4ABB42DD" w:rsidRPr="00841F3F">
        <w:rPr>
          <w:rFonts w:ascii="Calibri" w:eastAsia="Calibri" w:hAnsi="Calibri" w:cs="Calibri"/>
          <w:color w:val="000000" w:themeColor="text1"/>
          <w:sz w:val="22"/>
          <w:szCs w:val="22"/>
        </w:rPr>
        <w:t xml:space="preserve"> and Niman (2021, p. 438) </w:t>
      </w:r>
      <w:r w:rsidR="22AB43D9" w:rsidRPr="00841F3F">
        <w:rPr>
          <w:rFonts w:ascii="Calibri" w:eastAsia="Calibri" w:hAnsi="Calibri" w:cs="Calibri"/>
          <w:color w:val="000000" w:themeColor="text1"/>
          <w:sz w:val="22"/>
          <w:szCs w:val="22"/>
        </w:rPr>
        <w:t>impl</w:t>
      </w:r>
      <w:r w:rsidR="616B3785" w:rsidRPr="00841F3F">
        <w:rPr>
          <w:rFonts w:ascii="Calibri" w:eastAsia="Calibri" w:hAnsi="Calibri" w:cs="Calibri"/>
          <w:color w:val="000000" w:themeColor="text1"/>
          <w:sz w:val="22"/>
          <w:szCs w:val="22"/>
        </w:rPr>
        <w:t>y</w:t>
      </w:r>
      <w:r w:rsidR="4ABB42DD" w:rsidRPr="00841F3F">
        <w:rPr>
          <w:rFonts w:ascii="Calibri" w:eastAsia="Calibri" w:hAnsi="Calibri" w:cs="Calibri"/>
          <w:color w:val="000000" w:themeColor="text1"/>
          <w:sz w:val="22"/>
          <w:szCs w:val="22"/>
        </w:rPr>
        <w:t xml:space="preserve"> a clear need for </w:t>
      </w:r>
      <w:r w:rsidR="5408C3CE" w:rsidRPr="00841F3F">
        <w:rPr>
          <w:rFonts w:ascii="Calibri" w:eastAsia="Calibri" w:hAnsi="Calibri" w:cs="Calibri"/>
          <w:color w:val="000000" w:themeColor="text1"/>
          <w:sz w:val="22"/>
          <w:szCs w:val="22"/>
        </w:rPr>
        <w:t xml:space="preserve">further research on </w:t>
      </w:r>
      <w:r w:rsidR="4ABB42DD" w:rsidRPr="00841F3F">
        <w:rPr>
          <w:rFonts w:ascii="Calibri" w:eastAsia="Calibri" w:hAnsi="Calibri" w:cs="Calibri"/>
          <w:color w:val="000000" w:themeColor="text1"/>
          <w:sz w:val="22"/>
          <w:szCs w:val="22"/>
        </w:rPr>
        <w:t xml:space="preserve">the use of questioning, </w:t>
      </w:r>
      <w:r w:rsidR="7604D909" w:rsidRPr="00841F3F">
        <w:rPr>
          <w:rFonts w:ascii="Calibri" w:eastAsia="Calibri" w:hAnsi="Calibri" w:cs="Calibri"/>
          <w:color w:val="000000" w:themeColor="text1"/>
          <w:sz w:val="22"/>
          <w:szCs w:val="22"/>
        </w:rPr>
        <w:t xml:space="preserve">as existing studies </w:t>
      </w:r>
      <w:r w:rsidR="72918A3E" w:rsidRPr="00841F3F">
        <w:rPr>
          <w:rFonts w:ascii="Calibri" w:eastAsia="Calibri" w:hAnsi="Calibri" w:cs="Calibri"/>
          <w:color w:val="000000" w:themeColor="text1"/>
          <w:sz w:val="22"/>
          <w:szCs w:val="22"/>
        </w:rPr>
        <w:t>highlight insufficient examination of questioning types and their effectiveness</w:t>
      </w:r>
      <w:r w:rsidR="3B43FE43" w:rsidRPr="00841F3F">
        <w:rPr>
          <w:rFonts w:ascii="Calibri" w:eastAsia="Calibri" w:hAnsi="Calibri" w:cs="Calibri"/>
          <w:color w:val="000000" w:themeColor="text1"/>
          <w:sz w:val="22"/>
          <w:szCs w:val="22"/>
        </w:rPr>
        <w:t>. Whilst the literature acknowledges the sign</w:t>
      </w:r>
      <w:r w:rsidR="6ABBBCFA" w:rsidRPr="00841F3F">
        <w:rPr>
          <w:rFonts w:ascii="Calibri" w:eastAsia="Calibri" w:hAnsi="Calibri" w:cs="Calibri"/>
          <w:color w:val="000000" w:themeColor="text1"/>
          <w:sz w:val="22"/>
          <w:szCs w:val="22"/>
        </w:rPr>
        <w:t xml:space="preserve">ificance of questioning in improving pupil’s engagement and critical thinking skills, </w:t>
      </w:r>
      <w:r w:rsidR="6E98C612" w:rsidRPr="00841F3F">
        <w:rPr>
          <w:rFonts w:ascii="Calibri" w:eastAsia="Calibri" w:hAnsi="Calibri" w:cs="Calibri"/>
          <w:color w:val="000000" w:themeColor="text1"/>
          <w:sz w:val="22"/>
          <w:szCs w:val="22"/>
        </w:rPr>
        <w:t xml:space="preserve">there are still uncertainties regarding which questioning </w:t>
      </w:r>
      <w:proofErr w:type="spellStart"/>
      <w:r w:rsidR="6E98C612" w:rsidRPr="00841F3F">
        <w:rPr>
          <w:rFonts w:ascii="Calibri" w:eastAsia="Calibri" w:hAnsi="Calibri" w:cs="Calibri"/>
          <w:color w:val="000000" w:themeColor="text1"/>
          <w:sz w:val="22"/>
          <w:szCs w:val="22"/>
        </w:rPr>
        <w:t>AfL</w:t>
      </w:r>
      <w:proofErr w:type="spellEnd"/>
      <w:r w:rsidR="6E98C612" w:rsidRPr="00841F3F">
        <w:rPr>
          <w:rFonts w:ascii="Calibri" w:eastAsia="Calibri" w:hAnsi="Calibri" w:cs="Calibri"/>
          <w:color w:val="000000" w:themeColor="text1"/>
          <w:sz w:val="22"/>
          <w:szCs w:val="22"/>
        </w:rPr>
        <w:t xml:space="preserve"> strategies are most effective.</w:t>
      </w:r>
      <w:r w:rsidR="4CFEE5C5" w:rsidRPr="00841F3F">
        <w:rPr>
          <w:rFonts w:ascii="Calibri" w:eastAsia="Calibri" w:hAnsi="Calibri" w:cs="Calibri"/>
          <w:color w:val="000000" w:themeColor="text1"/>
          <w:sz w:val="22"/>
          <w:szCs w:val="22"/>
        </w:rPr>
        <w:t xml:space="preserve"> </w:t>
      </w:r>
      <w:r w:rsidR="5B2DEBF0" w:rsidRPr="00841F3F">
        <w:rPr>
          <w:rFonts w:ascii="Calibri" w:eastAsia="Calibri" w:hAnsi="Calibri" w:cs="Calibri"/>
          <w:color w:val="000000" w:themeColor="text1"/>
          <w:sz w:val="22"/>
          <w:szCs w:val="22"/>
        </w:rPr>
        <w:t>I</w:t>
      </w:r>
      <w:r w:rsidR="7BABCE68" w:rsidRPr="00841F3F">
        <w:rPr>
          <w:rFonts w:ascii="Calibri" w:eastAsia="Calibri" w:hAnsi="Calibri" w:cs="Calibri"/>
          <w:color w:val="000000" w:themeColor="text1"/>
          <w:sz w:val="22"/>
          <w:szCs w:val="22"/>
        </w:rPr>
        <w:t>n</w:t>
      </w:r>
      <w:r w:rsidR="16BC3A28" w:rsidRPr="00841F3F">
        <w:rPr>
          <w:rFonts w:ascii="Calibri" w:eastAsia="Calibri" w:hAnsi="Calibri" w:cs="Calibri"/>
          <w:color w:val="000000" w:themeColor="text1"/>
          <w:sz w:val="22"/>
          <w:szCs w:val="22"/>
        </w:rPr>
        <w:t xml:space="preserve"> their 2020 annual report, Estyn noted </w:t>
      </w:r>
      <w:r w:rsidR="333B5B78" w:rsidRPr="00841F3F">
        <w:rPr>
          <w:rFonts w:ascii="Calibri" w:eastAsia="Calibri" w:hAnsi="Calibri" w:cs="Calibri"/>
          <w:color w:val="000000" w:themeColor="text1"/>
          <w:sz w:val="22"/>
          <w:szCs w:val="22"/>
        </w:rPr>
        <w:t>that application of</w:t>
      </w:r>
      <w:r w:rsidR="16BC3A28" w:rsidRPr="00841F3F">
        <w:rPr>
          <w:rFonts w:ascii="Calibri" w:eastAsia="Calibri" w:hAnsi="Calibri" w:cs="Calibri"/>
          <w:color w:val="000000" w:themeColor="text1"/>
          <w:sz w:val="22"/>
          <w:szCs w:val="22"/>
        </w:rPr>
        <w:t xml:space="preserve"> assessment tech</w:t>
      </w:r>
      <w:r w:rsidR="59D466D5" w:rsidRPr="00841F3F">
        <w:rPr>
          <w:rFonts w:ascii="Calibri" w:eastAsia="Calibri" w:hAnsi="Calibri" w:cs="Calibri"/>
          <w:color w:val="000000" w:themeColor="text1"/>
          <w:sz w:val="22"/>
          <w:szCs w:val="22"/>
        </w:rPr>
        <w:t>niques to incorporate pupils in their learning</w:t>
      </w:r>
      <w:r w:rsidR="4D34BA93" w:rsidRPr="00841F3F">
        <w:rPr>
          <w:rFonts w:ascii="Calibri" w:eastAsia="Calibri" w:hAnsi="Calibri" w:cs="Calibri"/>
          <w:color w:val="000000" w:themeColor="text1"/>
          <w:sz w:val="22"/>
          <w:szCs w:val="22"/>
        </w:rPr>
        <w:t xml:space="preserve"> was still limited. They also suggested that in </w:t>
      </w:r>
      <w:r w:rsidR="51C5EC83" w:rsidRPr="00841F3F">
        <w:rPr>
          <w:rFonts w:ascii="Calibri" w:eastAsia="Calibri" w:hAnsi="Calibri" w:cs="Calibri"/>
          <w:color w:val="000000" w:themeColor="text1"/>
          <w:sz w:val="22"/>
          <w:szCs w:val="22"/>
        </w:rPr>
        <w:t xml:space="preserve">a small number of schools, teachers </w:t>
      </w:r>
      <w:r w:rsidR="5B58C4BA" w:rsidRPr="00841F3F">
        <w:rPr>
          <w:rFonts w:ascii="Calibri" w:eastAsia="Calibri" w:hAnsi="Calibri" w:cs="Calibri"/>
          <w:color w:val="000000" w:themeColor="text1"/>
          <w:sz w:val="22"/>
          <w:szCs w:val="22"/>
        </w:rPr>
        <w:t>implemented</w:t>
      </w:r>
      <w:r w:rsidR="51C5EC83" w:rsidRPr="00841F3F">
        <w:rPr>
          <w:rFonts w:ascii="Calibri" w:eastAsia="Calibri" w:hAnsi="Calibri" w:cs="Calibri"/>
          <w:color w:val="000000" w:themeColor="text1"/>
          <w:sz w:val="22"/>
          <w:szCs w:val="22"/>
        </w:rPr>
        <w:t xml:space="preserve"> </w:t>
      </w:r>
      <w:proofErr w:type="spellStart"/>
      <w:r w:rsidR="51C5EC83" w:rsidRPr="00841F3F">
        <w:rPr>
          <w:rFonts w:ascii="Calibri" w:eastAsia="Calibri" w:hAnsi="Calibri" w:cs="Calibri"/>
          <w:color w:val="000000" w:themeColor="text1"/>
          <w:sz w:val="22"/>
          <w:szCs w:val="22"/>
        </w:rPr>
        <w:t>AfL</w:t>
      </w:r>
      <w:proofErr w:type="spellEnd"/>
      <w:r w:rsidR="786F47B2" w:rsidRPr="00841F3F">
        <w:rPr>
          <w:rFonts w:ascii="Calibri" w:eastAsia="Calibri" w:hAnsi="Calibri" w:cs="Calibri"/>
          <w:color w:val="000000" w:themeColor="text1"/>
          <w:sz w:val="22"/>
          <w:szCs w:val="22"/>
        </w:rPr>
        <w:t xml:space="preserve"> approac</w:t>
      </w:r>
      <w:r w:rsidR="2D2D2431" w:rsidRPr="00841F3F">
        <w:rPr>
          <w:rFonts w:ascii="Calibri" w:eastAsia="Calibri" w:hAnsi="Calibri" w:cs="Calibri"/>
          <w:color w:val="000000" w:themeColor="text1"/>
          <w:sz w:val="22"/>
          <w:szCs w:val="22"/>
        </w:rPr>
        <w:t>hes</w:t>
      </w:r>
      <w:r w:rsidR="786F47B2" w:rsidRPr="00841F3F">
        <w:rPr>
          <w:rFonts w:ascii="Calibri" w:eastAsia="Calibri" w:hAnsi="Calibri" w:cs="Calibri"/>
          <w:color w:val="000000" w:themeColor="text1"/>
          <w:sz w:val="22"/>
          <w:szCs w:val="22"/>
        </w:rPr>
        <w:t xml:space="preserve"> without considering the</w:t>
      </w:r>
      <w:r w:rsidR="54503B8C" w:rsidRPr="00841F3F">
        <w:rPr>
          <w:rFonts w:ascii="Calibri" w:eastAsia="Calibri" w:hAnsi="Calibri" w:cs="Calibri"/>
          <w:color w:val="000000" w:themeColor="text1"/>
          <w:sz w:val="22"/>
          <w:szCs w:val="22"/>
        </w:rPr>
        <w:t xml:space="preserve"> effect on pupil’s progress</w:t>
      </w:r>
      <w:r w:rsidR="786F47B2" w:rsidRPr="00841F3F">
        <w:rPr>
          <w:rFonts w:ascii="Calibri" w:eastAsia="Calibri" w:hAnsi="Calibri" w:cs="Calibri"/>
          <w:color w:val="000000" w:themeColor="text1"/>
          <w:sz w:val="22"/>
          <w:szCs w:val="22"/>
        </w:rPr>
        <w:t xml:space="preserve"> </w:t>
      </w:r>
      <w:r w:rsidR="0AFC57D2" w:rsidRPr="00841F3F">
        <w:rPr>
          <w:rFonts w:ascii="Calibri" w:eastAsia="Calibri" w:hAnsi="Calibri" w:cs="Calibri"/>
          <w:color w:val="000000" w:themeColor="text1"/>
          <w:sz w:val="22"/>
          <w:szCs w:val="22"/>
        </w:rPr>
        <w:t xml:space="preserve">or </w:t>
      </w:r>
      <w:r w:rsidR="786F47B2" w:rsidRPr="00841F3F">
        <w:rPr>
          <w:rFonts w:ascii="Calibri" w:eastAsia="Calibri" w:hAnsi="Calibri" w:cs="Calibri"/>
          <w:color w:val="000000" w:themeColor="text1"/>
          <w:sz w:val="22"/>
          <w:szCs w:val="22"/>
        </w:rPr>
        <w:t>quality of these techniques</w:t>
      </w:r>
      <w:r w:rsidR="3185DA18" w:rsidRPr="00841F3F">
        <w:rPr>
          <w:rFonts w:ascii="Calibri" w:eastAsia="Calibri" w:hAnsi="Calibri" w:cs="Calibri"/>
          <w:color w:val="000000" w:themeColor="text1"/>
          <w:sz w:val="22"/>
          <w:szCs w:val="22"/>
        </w:rPr>
        <w:t xml:space="preserve"> (Estyn, 2021, p. 29)</w:t>
      </w:r>
      <w:r w:rsidR="79D81A68" w:rsidRPr="00841F3F">
        <w:rPr>
          <w:rFonts w:ascii="Calibri" w:eastAsia="Calibri" w:hAnsi="Calibri" w:cs="Calibri"/>
          <w:color w:val="000000" w:themeColor="text1"/>
          <w:sz w:val="22"/>
          <w:szCs w:val="22"/>
        </w:rPr>
        <w:t xml:space="preserve">. </w:t>
      </w:r>
      <w:r w:rsidR="5BD34476" w:rsidRPr="00841F3F">
        <w:rPr>
          <w:rFonts w:ascii="Calibri" w:eastAsia="Calibri" w:hAnsi="Calibri" w:cs="Calibri"/>
          <w:color w:val="000000" w:themeColor="text1"/>
          <w:sz w:val="22"/>
          <w:szCs w:val="22"/>
        </w:rPr>
        <w:t xml:space="preserve">In 2022, the Welsh Government </w:t>
      </w:r>
      <w:r w:rsidR="73FF26C9" w:rsidRPr="00841F3F">
        <w:rPr>
          <w:rFonts w:ascii="Calibri" w:eastAsia="Calibri" w:hAnsi="Calibri" w:cs="Calibri"/>
          <w:color w:val="000000" w:themeColor="text1"/>
          <w:sz w:val="22"/>
          <w:szCs w:val="22"/>
        </w:rPr>
        <w:t>released</w:t>
      </w:r>
      <w:r w:rsidR="5BD34476" w:rsidRPr="00841F3F">
        <w:rPr>
          <w:rFonts w:ascii="Calibri" w:eastAsia="Calibri" w:hAnsi="Calibri" w:cs="Calibri"/>
          <w:color w:val="000000" w:themeColor="text1"/>
          <w:sz w:val="22"/>
          <w:szCs w:val="22"/>
        </w:rPr>
        <w:t xml:space="preserve"> guidance </w:t>
      </w:r>
      <w:r w:rsidR="42D5C604" w:rsidRPr="00841F3F">
        <w:rPr>
          <w:rFonts w:ascii="Calibri" w:eastAsia="Calibri" w:hAnsi="Calibri" w:cs="Calibri"/>
          <w:color w:val="000000" w:themeColor="text1"/>
          <w:sz w:val="22"/>
          <w:szCs w:val="22"/>
        </w:rPr>
        <w:t>to assist with assessment arrangements</w:t>
      </w:r>
      <w:r w:rsidR="23968569" w:rsidRPr="00841F3F">
        <w:rPr>
          <w:rFonts w:ascii="Calibri" w:eastAsia="Calibri" w:hAnsi="Calibri" w:cs="Calibri"/>
          <w:color w:val="000000" w:themeColor="text1"/>
          <w:sz w:val="22"/>
          <w:szCs w:val="22"/>
        </w:rPr>
        <w:t xml:space="preserve">, </w:t>
      </w:r>
      <w:r w:rsidR="0E00F04B" w:rsidRPr="00841F3F">
        <w:rPr>
          <w:rFonts w:ascii="Calibri" w:eastAsia="Calibri" w:hAnsi="Calibri" w:cs="Calibri"/>
          <w:color w:val="000000" w:themeColor="text1"/>
          <w:sz w:val="22"/>
          <w:szCs w:val="22"/>
        </w:rPr>
        <w:t>help</w:t>
      </w:r>
      <w:r w:rsidR="41B7FC68" w:rsidRPr="00841F3F">
        <w:rPr>
          <w:rFonts w:ascii="Calibri" w:eastAsia="Calibri" w:hAnsi="Calibri" w:cs="Calibri"/>
          <w:color w:val="000000" w:themeColor="text1"/>
          <w:sz w:val="22"/>
          <w:szCs w:val="22"/>
        </w:rPr>
        <w:t>ing</w:t>
      </w:r>
      <w:r w:rsidR="4CBE3E8C" w:rsidRPr="00841F3F">
        <w:rPr>
          <w:rFonts w:ascii="Calibri" w:eastAsia="Calibri" w:hAnsi="Calibri" w:cs="Calibri"/>
          <w:color w:val="000000" w:themeColor="text1"/>
          <w:sz w:val="22"/>
          <w:szCs w:val="22"/>
        </w:rPr>
        <w:t xml:space="preserve"> schools </w:t>
      </w:r>
      <w:r w:rsidR="1570283D" w:rsidRPr="00841F3F">
        <w:rPr>
          <w:rFonts w:ascii="Calibri" w:eastAsia="Calibri" w:hAnsi="Calibri" w:cs="Calibri"/>
          <w:color w:val="000000" w:themeColor="text1"/>
          <w:sz w:val="22"/>
          <w:szCs w:val="22"/>
        </w:rPr>
        <w:t>gain</w:t>
      </w:r>
      <w:r w:rsidR="4CBE3E8C" w:rsidRPr="00841F3F">
        <w:rPr>
          <w:rFonts w:ascii="Calibri" w:eastAsia="Calibri" w:hAnsi="Calibri" w:cs="Calibri"/>
          <w:color w:val="000000" w:themeColor="text1"/>
          <w:sz w:val="22"/>
          <w:szCs w:val="22"/>
        </w:rPr>
        <w:t xml:space="preserve"> a </w:t>
      </w:r>
      <w:r w:rsidR="032B174C" w:rsidRPr="00841F3F">
        <w:rPr>
          <w:rFonts w:ascii="Calibri" w:eastAsia="Calibri" w:hAnsi="Calibri" w:cs="Calibri"/>
          <w:color w:val="000000" w:themeColor="text1"/>
          <w:sz w:val="22"/>
          <w:szCs w:val="22"/>
        </w:rPr>
        <w:t>clear</w:t>
      </w:r>
      <w:r w:rsidR="799DD852" w:rsidRPr="00841F3F">
        <w:rPr>
          <w:rFonts w:ascii="Calibri" w:eastAsia="Calibri" w:hAnsi="Calibri" w:cs="Calibri"/>
          <w:color w:val="000000" w:themeColor="text1"/>
          <w:sz w:val="22"/>
          <w:szCs w:val="22"/>
        </w:rPr>
        <w:t>er</w:t>
      </w:r>
      <w:r w:rsidR="1E47C55D" w:rsidRPr="00841F3F">
        <w:rPr>
          <w:rFonts w:ascii="Calibri" w:eastAsia="Calibri" w:hAnsi="Calibri" w:cs="Calibri"/>
          <w:color w:val="000000" w:themeColor="text1"/>
          <w:sz w:val="22"/>
          <w:szCs w:val="22"/>
        </w:rPr>
        <w:t xml:space="preserve"> </w:t>
      </w:r>
      <w:r w:rsidR="4CBE3E8C" w:rsidRPr="00841F3F">
        <w:rPr>
          <w:rFonts w:ascii="Calibri" w:eastAsia="Calibri" w:hAnsi="Calibri" w:cs="Calibri"/>
          <w:color w:val="000000" w:themeColor="text1"/>
          <w:sz w:val="22"/>
          <w:szCs w:val="22"/>
        </w:rPr>
        <w:t>understanding o</w:t>
      </w:r>
      <w:r w:rsidR="28930A17" w:rsidRPr="00841F3F">
        <w:rPr>
          <w:rFonts w:ascii="Calibri" w:eastAsia="Calibri" w:hAnsi="Calibri" w:cs="Calibri"/>
          <w:color w:val="000000" w:themeColor="text1"/>
          <w:sz w:val="22"/>
          <w:szCs w:val="22"/>
        </w:rPr>
        <w:t xml:space="preserve">f </w:t>
      </w:r>
      <w:r w:rsidR="108F0E83" w:rsidRPr="00841F3F">
        <w:rPr>
          <w:rFonts w:ascii="Calibri" w:eastAsia="Calibri" w:hAnsi="Calibri" w:cs="Calibri"/>
          <w:color w:val="000000" w:themeColor="text1"/>
          <w:sz w:val="22"/>
          <w:szCs w:val="22"/>
        </w:rPr>
        <w:t>their</w:t>
      </w:r>
      <w:r w:rsidR="28930A17" w:rsidRPr="00841F3F">
        <w:rPr>
          <w:rFonts w:ascii="Calibri" w:eastAsia="Calibri" w:hAnsi="Calibri" w:cs="Calibri"/>
          <w:color w:val="000000" w:themeColor="text1"/>
          <w:sz w:val="22"/>
          <w:szCs w:val="22"/>
        </w:rPr>
        <w:t xml:space="preserve"> </w:t>
      </w:r>
      <w:r w:rsidR="4CBE3E8C" w:rsidRPr="00841F3F">
        <w:rPr>
          <w:rFonts w:ascii="Calibri" w:eastAsia="Calibri" w:hAnsi="Calibri" w:cs="Calibri"/>
          <w:color w:val="000000" w:themeColor="text1"/>
          <w:sz w:val="22"/>
          <w:szCs w:val="22"/>
        </w:rPr>
        <w:t>purpose</w:t>
      </w:r>
      <w:r w:rsidR="404572C7" w:rsidRPr="00841F3F">
        <w:rPr>
          <w:rFonts w:ascii="Calibri" w:eastAsia="Calibri" w:hAnsi="Calibri" w:cs="Calibri"/>
          <w:color w:val="000000" w:themeColor="text1"/>
          <w:sz w:val="22"/>
          <w:szCs w:val="22"/>
        </w:rPr>
        <w:t xml:space="preserve"> </w:t>
      </w:r>
      <w:r w:rsidR="07D90032" w:rsidRPr="00841F3F">
        <w:rPr>
          <w:rFonts w:ascii="Calibri" w:eastAsia="Calibri" w:hAnsi="Calibri" w:cs="Calibri"/>
          <w:color w:val="000000" w:themeColor="text1"/>
          <w:sz w:val="22"/>
          <w:szCs w:val="22"/>
        </w:rPr>
        <w:t xml:space="preserve">and recognise it as an essential </w:t>
      </w:r>
      <w:r w:rsidR="7BA7AFB8" w:rsidRPr="00841F3F">
        <w:rPr>
          <w:rFonts w:ascii="Calibri" w:eastAsia="Calibri" w:hAnsi="Calibri" w:cs="Calibri"/>
          <w:color w:val="000000" w:themeColor="text1"/>
          <w:sz w:val="22"/>
          <w:szCs w:val="22"/>
        </w:rPr>
        <w:t>aspect</w:t>
      </w:r>
      <w:r w:rsidR="07D90032" w:rsidRPr="00841F3F">
        <w:rPr>
          <w:rFonts w:ascii="Calibri" w:eastAsia="Calibri" w:hAnsi="Calibri" w:cs="Calibri"/>
          <w:color w:val="000000" w:themeColor="text1"/>
          <w:sz w:val="22"/>
          <w:szCs w:val="22"/>
        </w:rPr>
        <w:t xml:space="preserve"> of teaching and learning</w:t>
      </w:r>
      <w:r w:rsidR="35101A05" w:rsidRPr="00841F3F">
        <w:rPr>
          <w:rFonts w:ascii="Calibri" w:eastAsia="Calibri" w:hAnsi="Calibri" w:cs="Calibri"/>
          <w:color w:val="000000" w:themeColor="text1"/>
          <w:sz w:val="22"/>
          <w:szCs w:val="22"/>
        </w:rPr>
        <w:t>.</w:t>
      </w:r>
      <w:r w:rsidR="6C50BDF3" w:rsidRPr="00841F3F">
        <w:rPr>
          <w:rFonts w:ascii="Calibri" w:eastAsia="Calibri" w:hAnsi="Calibri" w:cs="Calibri"/>
          <w:color w:val="000000" w:themeColor="text1"/>
          <w:sz w:val="22"/>
          <w:szCs w:val="22"/>
        </w:rPr>
        <w:t xml:space="preserve"> </w:t>
      </w:r>
      <w:r w:rsidR="4F9A164D" w:rsidRPr="00841F3F">
        <w:rPr>
          <w:rFonts w:ascii="Calibri" w:eastAsia="Calibri" w:hAnsi="Calibri" w:cs="Calibri"/>
          <w:color w:val="000000" w:themeColor="text1"/>
          <w:sz w:val="22"/>
          <w:szCs w:val="22"/>
        </w:rPr>
        <w:t xml:space="preserve">This is the reason </w:t>
      </w:r>
      <w:proofErr w:type="spellStart"/>
      <w:r w:rsidR="4F9A164D" w:rsidRPr="00841F3F">
        <w:rPr>
          <w:rFonts w:ascii="Calibri" w:eastAsia="Calibri" w:hAnsi="Calibri" w:cs="Calibri"/>
          <w:color w:val="000000" w:themeColor="text1"/>
          <w:sz w:val="22"/>
          <w:szCs w:val="22"/>
        </w:rPr>
        <w:t>AfL</w:t>
      </w:r>
      <w:proofErr w:type="spellEnd"/>
      <w:r w:rsidR="4F9A164D" w:rsidRPr="00841F3F">
        <w:rPr>
          <w:rFonts w:ascii="Calibri" w:eastAsia="Calibri" w:hAnsi="Calibri" w:cs="Calibri"/>
          <w:color w:val="000000" w:themeColor="text1"/>
          <w:sz w:val="22"/>
          <w:szCs w:val="22"/>
        </w:rPr>
        <w:t xml:space="preserve"> is no longer mentioned and is now termed ‘supporting learner </w:t>
      </w:r>
      <w:r w:rsidR="64C6C71E" w:rsidRPr="00841F3F">
        <w:rPr>
          <w:rFonts w:ascii="Calibri" w:eastAsia="Calibri" w:hAnsi="Calibri" w:cs="Calibri"/>
          <w:color w:val="000000" w:themeColor="text1"/>
          <w:sz w:val="22"/>
          <w:szCs w:val="22"/>
        </w:rPr>
        <w:t>progression’</w:t>
      </w:r>
      <w:r w:rsidR="4F9A164D" w:rsidRPr="00841F3F">
        <w:rPr>
          <w:rFonts w:ascii="Calibri" w:eastAsia="Calibri" w:hAnsi="Calibri" w:cs="Calibri"/>
          <w:color w:val="000000" w:themeColor="text1"/>
          <w:sz w:val="22"/>
          <w:szCs w:val="22"/>
        </w:rPr>
        <w:t xml:space="preserve"> in the </w:t>
      </w:r>
      <w:proofErr w:type="spellStart"/>
      <w:r w:rsidR="4F9A164D" w:rsidRPr="00841F3F">
        <w:rPr>
          <w:rFonts w:ascii="Calibri" w:eastAsia="Calibri" w:hAnsi="Calibri" w:cs="Calibri"/>
          <w:color w:val="000000" w:themeColor="text1"/>
          <w:sz w:val="22"/>
          <w:szCs w:val="22"/>
        </w:rPr>
        <w:t>CfW</w:t>
      </w:r>
      <w:proofErr w:type="spellEnd"/>
      <w:r w:rsidR="4F9A164D" w:rsidRPr="00841F3F">
        <w:rPr>
          <w:rFonts w:ascii="Calibri" w:eastAsia="Calibri" w:hAnsi="Calibri" w:cs="Calibri"/>
          <w:color w:val="000000" w:themeColor="text1"/>
          <w:sz w:val="22"/>
          <w:szCs w:val="22"/>
        </w:rPr>
        <w:t>.</w:t>
      </w:r>
    </w:p>
    <w:p w14:paraId="0354C46D" w14:textId="6966A8FF" w:rsidR="311DA253" w:rsidRPr="00841F3F" w:rsidRDefault="4180FB5D" w:rsidP="00841F3F">
      <w:pPr>
        <w:spacing w:line="360" w:lineRule="auto"/>
        <w:rPr>
          <w:rFonts w:ascii="Calibri" w:eastAsia="Calibri" w:hAnsi="Calibri" w:cs="Calibri"/>
          <w:sz w:val="22"/>
          <w:szCs w:val="22"/>
        </w:rPr>
      </w:pPr>
      <w:r w:rsidRPr="00841F3F">
        <w:rPr>
          <w:rFonts w:ascii="Calibri" w:eastAsia="Calibri" w:hAnsi="Calibri" w:cs="Calibri"/>
          <w:color w:val="000000" w:themeColor="text1"/>
          <w:sz w:val="22"/>
          <w:szCs w:val="22"/>
        </w:rPr>
        <w:lastRenderedPageBreak/>
        <w:t xml:space="preserve">The research question </w:t>
      </w:r>
      <w:r w:rsidR="1F17807D" w:rsidRPr="00841F3F">
        <w:rPr>
          <w:rFonts w:ascii="Calibri" w:eastAsia="Calibri" w:hAnsi="Calibri" w:cs="Calibri"/>
          <w:color w:val="000000" w:themeColor="text1"/>
          <w:sz w:val="22"/>
          <w:szCs w:val="22"/>
        </w:rPr>
        <w:t xml:space="preserve">was </w:t>
      </w:r>
      <w:r w:rsidR="1F17807D" w:rsidRPr="00841F3F">
        <w:rPr>
          <w:rFonts w:ascii="Calibri" w:eastAsia="Calibri" w:hAnsi="Calibri" w:cs="Calibri"/>
          <w:sz w:val="22"/>
          <w:szCs w:val="22"/>
        </w:rPr>
        <w:t xml:space="preserve">‘’what are staff and pupil’s perceptions of questioning as an </w:t>
      </w:r>
      <w:proofErr w:type="spellStart"/>
      <w:r w:rsidR="1F17807D" w:rsidRPr="00841F3F">
        <w:rPr>
          <w:rFonts w:ascii="Calibri" w:eastAsia="Calibri" w:hAnsi="Calibri" w:cs="Calibri"/>
          <w:sz w:val="22"/>
          <w:szCs w:val="22"/>
        </w:rPr>
        <w:t>AfL</w:t>
      </w:r>
      <w:proofErr w:type="spellEnd"/>
      <w:r w:rsidR="1F17807D" w:rsidRPr="00841F3F">
        <w:rPr>
          <w:rFonts w:ascii="Calibri" w:eastAsia="Calibri" w:hAnsi="Calibri" w:cs="Calibri"/>
          <w:sz w:val="22"/>
          <w:szCs w:val="22"/>
        </w:rPr>
        <w:t xml:space="preserve"> strategy in the classroom?’’ </w:t>
      </w:r>
      <w:r w:rsidR="2FB61D68" w:rsidRPr="00841F3F">
        <w:rPr>
          <w:rFonts w:ascii="Calibri" w:eastAsia="Calibri" w:hAnsi="Calibri" w:cs="Calibri"/>
          <w:color w:val="000000" w:themeColor="text1"/>
          <w:sz w:val="22"/>
          <w:szCs w:val="22"/>
        </w:rPr>
        <w:t xml:space="preserve">Ethics played a crucial role in this study, and BERA guidelines were adhered to before, during and after the research day. </w:t>
      </w:r>
      <w:r w:rsidR="35F0D9D7" w:rsidRPr="00841F3F">
        <w:rPr>
          <w:rFonts w:ascii="Calibri" w:eastAsia="Calibri" w:hAnsi="Calibri" w:cs="Calibri"/>
          <w:color w:val="000000" w:themeColor="text1"/>
          <w:sz w:val="22"/>
          <w:szCs w:val="22"/>
        </w:rPr>
        <w:t>R</w:t>
      </w:r>
      <w:r w:rsidR="2FB61D68" w:rsidRPr="00841F3F">
        <w:rPr>
          <w:rFonts w:ascii="Calibri" w:eastAsia="Calibri" w:hAnsi="Calibri" w:cs="Calibri"/>
          <w:color w:val="000000" w:themeColor="text1"/>
          <w:sz w:val="22"/>
          <w:szCs w:val="22"/>
        </w:rPr>
        <w:t>esearch ethics has taken on significant importance in educational research, and no study can be undertaken without consideration of ethical standards (</w:t>
      </w:r>
      <w:proofErr w:type="spellStart"/>
      <w:r w:rsidR="2FB61D68" w:rsidRPr="00841F3F">
        <w:rPr>
          <w:rFonts w:ascii="Calibri" w:eastAsia="Calibri" w:hAnsi="Calibri" w:cs="Calibri"/>
          <w:color w:val="000000" w:themeColor="text1"/>
          <w:sz w:val="22"/>
          <w:szCs w:val="22"/>
        </w:rPr>
        <w:t>Ramrathan</w:t>
      </w:r>
      <w:proofErr w:type="spellEnd"/>
      <w:r w:rsidR="2FB61D68" w:rsidRPr="00841F3F">
        <w:rPr>
          <w:rFonts w:ascii="Calibri" w:eastAsia="Calibri" w:hAnsi="Calibri" w:cs="Calibri"/>
          <w:color w:val="000000" w:themeColor="text1"/>
          <w:sz w:val="22"/>
          <w:szCs w:val="22"/>
        </w:rPr>
        <w:t xml:space="preserve"> et al., 2017, p. 432).</w:t>
      </w:r>
      <w:r w:rsidR="180747A8" w:rsidRPr="00841F3F">
        <w:rPr>
          <w:rFonts w:ascii="Calibri" w:eastAsia="Calibri" w:hAnsi="Calibri" w:cs="Calibri"/>
          <w:color w:val="000000" w:themeColor="text1"/>
          <w:sz w:val="22"/>
          <w:szCs w:val="22"/>
        </w:rPr>
        <w:t xml:space="preserve"> They consist of guidelines encouraging researchers to conduct their work in a manner that adheres to ethical standards and policies (Arafat, 2024, p. 139). An Ethics form (See Appendix </w:t>
      </w:r>
      <w:r w:rsidR="55491AF2" w:rsidRPr="00841F3F">
        <w:rPr>
          <w:rFonts w:ascii="Calibri" w:eastAsia="Calibri" w:hAnsi="Calibri" w:cs="Calibri"/>
          <w:color w:val="000000" w:themeColor="text1"/>
          <w:sz w:val="22"/>
          <w:szCs w:val="22"/>
        </w:rPr>
        <w:t>1</w:t>
      </w:r>
      <w:r w:rsidR="180747A8" w:rsidRPr="00841F3F">
        <w:rPr>
          <w:rFonts w:ascii="Calibri" w:eastAsia="Calibri" w:hAnsi="Calibri" w:cs="Calibri"/>
          <w:color w:val="000000" w:themeColor="text1"/>
          <w:sz w:val="22"/>
          <w:szCs w:val="22"/>
        </w:rPr>
        <w:t xml:space="preserve">), a consent form (See Appendix </w:t>
      </w:r>
      <w:r w:rsidR="176905C6" w:rsidRPr="00841F3F">
        <w:rPr>
          <w:rFonts w:ascii="Calibri" w:eastAsia="Calibri" w:hAnsi="Calibri" w:cs="Calibri"/>
          <w:color w:val="000000" w:themeColor="text1"/>
          <w:sz w:val="22"/>
          <w:szCs w:val="22"/>
        </w:rPr>
        <w:t>2</w:t>
      </w:r>
      <w:r w:rsidR="180747A8" w:rsidRPr="00841F3F">
        <w:rPr>
          <w:rFonts w:ascii="Calibri" w:eastAsia="Calibri" w:hAnsi="Calibri" w:cs="Calibri"/>
          <w:color w:val="000000" w:themeColor="text1"/>
          <w:sz w:val="22"/>
          <w:szCs w:val="22"/>
        </w:rPr>
        <w:t>) and a consent letter (See Appendix</w:t>
      </w:r>
      <w:r w:rsidR="1D8D2A14" w:rsidRPr="00841F3F">
        <w:rPr>
          <w:rFonts w:ascii="Calibri" w:eastAsia="Calibri" w:hAnsi="Calibri" w:cs="Calibri"/>
          <w:color w:val="000000" w:themeColor="text1"/>
          <w:sz w:val="22"/>
          <w:szCs w:val="22"/>
        </w:rPr>
        <w:t xml:space="preserve"> 3</w:t>
      </w:r>
      <w:r w:rsidR="180747A8" w:rsidRPr="00841F3F">
        <w:rPr>
          <w:rFonts w:ascii="Calibri" w:eastAsia="Calibri" w:hAnsi="Calibri" w:cs="Calibri"/>
          <w:color w:val="000000" w:themeColor="text1"/>
          <w:sz w:val="22"/>
          <w:szCs w:val="22"/>
        </w:rPr>
        <w:t>) were produced and sent to participants to read and sign, to gain their ‘’voluntary informed consent to be involved in a study’’ (BERA, 2024, p. 13).</w:t>
      </w:r>
      <w:r w:rsidR="5ECF9BCB" w:rsidRPr="00841F3F">
        <w:rPr>
          <w:rFonts w:ascii="Calibri" w:eastAsia="Calibri" w:hAnsi="Calibri" w:cs="Calibri"/>
          <w:color w:val="000000" w:themeColor="text1"/>
          <w:sz w:val="22"/>
          <w:szCs w:val="22"/>
        </w:rPr>
        <w:t xml:space="preserve"> As certain participants are under the age of eighteen, it is a legal requirement that I gain consent from pupil’s parents or legal guardians before participat</w:t>
      </w:r>
      <w:r w:rsidR="28FD53EA" w:rsidRPr="00841F3F">
        <w:rPr>
          <w:rFonts w:ascii="Calibri" w:eastAsia="Calibri" w:hAnsi="Calibri" w:cs="Calibri"/>
          <w:color w:val="000000" w:themeColor="text1"/>
          <w:sz w:val="22"/>
          <w:szCs w:val="22"/>
        </w:rPr>
        <w:t>ion</w:t>
      </w:r>
      <w:r w:rsidR="5ECF9BCB" w:rsidRPr="00841F3F">
        <w:rPr>
          <w:rFonts w:ascii="Calibri" w:eastAsia="Calibri" w:hAnsi="Calibri" w:cs="Calibri"/>
          <w:color w:val="FF0000"/>
          <w:sz w:val="22"/>
          <w:szCs w:val="22"/>
        </w:rPr>
        <w:t xml:space="preserve"> </w:t>
      </w:r>
      <w:r w:rsidR="5ECF9BCB" w:rsidRPr="00841F3F">
        <w:rPr>
          <w:rFonts w:ascii="Calibri" w:eastAsia="Calibri" w:hAnsi="Calibri" w:cs="Calibri"/>
          <w:color w:val="000000" w:themeColor="text1"/>
          <w:sz w:val="22"/>
          <w:szCs w:val="22"/>
        </w:rPr>
        <w:t>(Department for Education, 2023).</w:t>
      </w:r>
      <w:r w:rsidR="146FCC9A" w:rsidRPr="00841F3F">
        <w:rPr>
          <w:rFonts w:ascii="Calibri" w:eastAsia="Calibri" w:hAnsi="Calibri" w:cs="Calibri"/>
          <w:color w:val="000000" w:themeColor="text1"/>
          <w:sz w:val="22"/>
          <w:szCs w:val="22"/>
        </w:rPr>
        <w:t xml:space="preserve"> </w:t>
      </w:r>
      <w:r w:rsidR="46EBB796" w:rsidRPr="00841F3F">
        <w:rPr>
          <w:rFonts w:ascii="Calibri" w:eastAsia="Calibri" w:hAnsi="Calibri" w:cs="Calibri"/>
          <w:color w:val="000000" w:themeColor="text1"/>
          <w:sz w:val="22"/>
          <w:szCs w:val="22"/>
        </w:rPr>
        <w:t>Informed consent is the legal and ethical concept that necessitates an individual having the ability to consent, making choices freely without any pressure or dishonesty, and having adequate understanding to reach a well-informed decision (Siege, 2023, para. 3).</w:t>
      </w:r>
      <w:r w:rsidR="23FC7313" w:rsidRPr="00841F3F">
        <w:rPr>
          <w:rFonts w:ascii="Calibri" w:eastAsia="Calibri" w:hAnsi="Calibri" w:cs="Calibri"/>
          <w:color w:val="000000" w:themeColor="text1"/>
          <w:sz w:val="22"/>
          <w:szCs w:val="22"/>
        </w:rPr>
        <w:t xml:space="preserve"> Due to the small-scale</w:t>
      </w:r>
      <w:r w:rsidR="409004AC" w:rsidRPr="00841F3F">
        <w:rPr>
          <w:rFonts w:ascii="Calibri" w:eastAsia="Calibri" w:hAnsi="Calibri" w:cs="Calibri"/>
          <w:color w:val="000000" w:themeColor="text1"/>
          <w:sz w:val="22"/>
          <w:szCs w:val="22"/>
        </w:rPr>
        <w:t xml:space="preserve"> nature of this study</w:t>
      </w:r>
      <w:r w:rsidR="23FC7313" w:rsidRPr="00841F3F">
        <w:rPr>
          <w:rFonts w:ascii="Calibri" w:eastAsia="Calibri" w:hAnsi="Calibri" w:cs="Calibri"/>
          <w:color w:val="000000" w:themeColor="text1"/>
          <w:sz w:val="22"/>
          <w:szCs w:val="22"/>
        </w:rPr>
        <w:t>, the headteacher at School X acted in ‘loco parentis’ and provided parents and legal guardian’s consent.</w:t>
      </w:r>
      <w:r w:rsidR="74DF06A6" w:rsidRPr="00841F3F">
        <w:rPr>
          <w:rFonts w:ascii="Calibri" w:eastAsia="Calibri" w:hAnsi="Calibri" w:cs="Calibri"/>
          <w:color w:val="000000" w:themeColor="text1"/>
          <w:sz w:val="22"/>
          <w:szCs w:val="22"/>
        </w:rPr>
        <w:t xml:space="preserve"> Nevertheless, it was important to exercise pupil’s right to provide assent. Assent refers to participant’s willingness to engage in research who are too young to provide informed consent but possess enough understanding of the research, its benefits and risks, as well as the expected activities of them as participants (Cotrim et al., 2021, p. 2).</w:t>
      </w:r>
      <w:r w:rsidR="5F3C8152" w:rsidRPr="00841F3F">
        <w:rPr>
          <w:rFonts w:ascii="Calibri" w:eastAsia="Calibri" w:hAnsi="Calibri" w:cs="Calibri"/>
          <w:color w:val="000000" w:themeColor="text1"/>
          <w:sz w:val="22"/>
          <w:szCs w:val="22"/>
        </w:rPr>
        <w:t xml:space="preserve"> In accordance with the British Psychological Society (2021, p. 7)</w:t>
      </w:r>
      <w:r w:rsidR="4F67228E" w:rsidRPr="00841F3F">
        <w:rPr>
          <w:rFonts w:ascii="Calibri" w:eastAsia="Calibri" w:hAnsi="Calibri" w:cs="Calibri"/>
          <w:color w:val="000000" w:themeColor="text1"/>
          <w:sz w:val="22"/>
          <w:szCs w:val="22"/>
        </w:rPr>
        <w:t>,</w:t>
      </w:r>
      <w:r w:rsidR="5F3C8152" w:rsidRPr="00841F3F">
        <w:rPr>
          <w:rFonts w:ascii="Calibri" w:eastAsia="Calibri" w:hAnsi="Calibri" w:cs="Calibri"/>
          <w:color w:val="000000" w:themeColor="text1"/>
          <w:sz w:val="22"/>
          <w:szCs w:val="22"/>
        </w:rPr>
        <w:t xml:space="preserve"> I ensured that any information gathered about individuals was anonymised whilst respecting their confidentiality.</w:t>
      </w:r>
      <w:r w:rsidR="1119A897" w:rsidRPr="00841F3F">
        <w:rPr>
          <w:rFonts w:ascii="Calibri" w:eastAsia="Calibri" w:hAnsi="Calibri" w:cs="Calibri"/>
          <w:color w:val="000000" w:themeColor="text1"/>
          <w:sz w:val="22"/>
          <w:szCs w:val="22"/>
        </w:rPr>
        <w:t xml:space="preserve"> This research </w:t>
      </w:r>
      <w:r w:rsidR="57A8BF52" w:rsidRPr="00841F3F">
        <w:rPr>
          <w:rFonts w:ascii="Calibri" w:eastAsia="Calibri" w:hAnsi="Calibri" w:cs="Calibri"/>
          <w:color w:val="000000" w:themeColor="text1"/>
          <w:sz w:val="22"/>
          <w:szCs w:val="22"/>
        </w:rPr>
        <w:t>employed a mixed-methods approach</w:t>
      </w:r>
      <w:r w:rsidR="76CB1ABF" w:rsidRPr="00841F3F">
        <w:rPr>
          <w:rFonts w:ascii="Calibri" w:eastAsia="Calibri" w:hAnsi="Calibri" w:cs="Calibri"/>
          <w:color w:val="000000" w:themeColor="text1"/>
          <w:sz w:val="22"/>
          <w:szCs w:val="22"/>
        </w:rPr>
        <w:t>, incorporating both qualitative and quantitative data to</w:t>
      </w:r>
      <w:r w:rsidR="4E846D74" w:rsidRPr="00841F3F">
        <w:rPr>
          <w:rFonts w:ascii="Calibri" w:eastAsia="Calibri" w:hAnsi="Calibri" w:cs="Calibri"/>
          <w:color w:val="000000" w:themeColor="text1"/>
          <w:sz w:val="22"/>
          <w:szCs w:val="22"/>
        </w:rPr>
        <w:t xml:space="preserve"> effectively and ethically tackle research inquiries (</w:t>
      </w:r>
      <w:proofErr w:type="spellStart"/>
      <w:r w:rsidR="4E846D74" w:rsidRPr="00841F3F">
        <w:rPr>
          <w:rFonts w:ascii="Calibri" w:eastAsia="Calibri" w:hAnsi="Calibri" w:cs="Calibri"/>
          <w:color w:val="000000" w:themeColor="text1"/>
          <w:sz w:val="22"/>
          <w:szCs w:val="22"/>
        </w:rPr>
        <w:t>Dawadi</w:t>
      </w:r>
      <w:proofErr w:type="spellEnd"/>
      <w:r w:rsidR="4E846D74" w:rsidRPr="00841F3F">
        <w:rPr>
          <w:rFonts w:ascii="Calibri" w:eastAsia="Calibri" w:hAnsi="Calibri" w:cs="Calibri"/>
          <w:color w:val="000000" w:themeColor="text1"/>
          <w:sz w:val="22"/>
          <w:szCs w:val="22"/>
        </w:rPr>
        <w:t xml:space="preserve"> et al., 2021, p. 26).</w:t>
      </w:r>
      <w:r w:rsidR="06E5A231" w:rsidRPr="00841F3F">
        <w:rPr>
          <w:rFonts w:ascii="Calibri" w:eastAsia="Calibri" w:hAnsi="Calibri" w:cs="Calibri"/>
          <w:color w:val="000000" w:themeColor="text1"/>
          <w:sz w:val="22"/>
          <w:szCs w:val="22"/>
        </w:rPr>
        <w:t xml:space="preserve"> Quantitative data refers to empirical research that presents information in numerical form, while qualitative data denotes empirical research that uses non-numerical information (Punch and Oancea, 2014, p. 3).</w:t>
      </w:r>
      <w:r w:rsidR="00573C97" w:rsidRPr="00841F3F">
        <w:rPr>
          <w:rFonts w:ascii="Calibri" w:eastAsia="Calibri" w:hAnsi="Calibri" w:cs="Calibri"/>
          <w:color w:val="000000" w:themeColor="text1"/>
          <w:sz w:val="22"/>
          <w:szCs w:val="22"/>
        </w:rPr>
        <w:t xml:space="preserve"> The chosen methods for data collection were semi-structured interviews [hereafter SSI] and </w:t>
      </w:r>
      <w:r w:rsidR="376853A4" w:rsidRPr="00841F3F">
        <w:rPr>
          <w:rFonts w:ascii="Calibri" w:eastAsia="Calibri" w:hAnsi="Calibri" w:cs="Calibri"/>
          <w:color w:val="000000" w:themeColor="text1"/>
          <w:sz w:val="22"/>
          <w:szCs w:val="22"/>
        </w:rPr>
        <w:t>an online questionnaire</w:t>
      </w:r>
      <w:r w:rsidR="6B819FC7" w:rsidRPr="00841F3F">
        <w:rPr>
          <w:rFonts w:ascii="Calibri" w:eastAsia="Calibri" w:hAnsi="Calibri" w:cs="Calibri"/>
          <w:color w:val="000000" w:themeColor="text1"/>
          <w:sz w:val="22"/>
          <w:szCs w:val="22"/>
        </w:rPr>
        <w:t xml:space="preserve"> (See Appendix </w:t>
      </w:r>
      <w:r w:rsidR="5BE7CD1C" w:rsidRPr="00841F3F">
        <w:rPr>
          <w:rFonts w:ascii="Calibri" w:eastAsia="Calibri" w:hAnsi="Calibri" w:cs="Calibri"/>
          <w:color w:val="000000" w:themeColor="text1"/>
          <w:sz w:val="22"/>
          <w:szCs w:val="22"/>
        </w:rPr>
        <w:t>4)</w:t>
      </w:r>
      <w:r w:rsidR="502A72AD" w:rsidRPr="00841F3F">
        <w:rPr>
          <w:rFonts w:ascii="Calibri" w:eastAsia="Calibri" w:hAnsi="Calibri" w:cs="Calibri"/>
          <w:color w:val="000000" w:themeColor="text1"/>
          <w:sz w:val="22"/>
          <w:szCs w:val="22"/>
        </w:rPr>
        <w:t xml:space="preserve">. </w:t>
      </w:r>
      <w:r w:rsidR="671D300C" w:rsidRPr="00841F3F">
        <w:rPr>
          <w:rFonts w:ascii="Calibri" w:eastAsia="Calibri" w:hAnsi="Calibri" w:cs="Calibri"/>
          <w:color w:val="000000" w:themeColor="text1"/>
          <w:sz w:val="22"/>
          <w:szCs w:val="22"/>
        </w:rPr>
        <w:t>Studies with a m</w:t>
      </w:r>
      <w:r w:rsidR="071C2A23" w:rsidRPr="00841F3F">
        <w:rPr>
          <w:rFonts w:ascii="Calibri" w:eastAsia="Calibri" w:hAnsi="Calibri" w:cs="Calibri"/>
          <w:color w:val="000000" w:themeColor="text1"/>
          <w:sz w:val="22"/>
          <w:szCs w:val="22"/>
        </w:rPr>
        <w:t xml:space="preserve">ixed-methods </w:t>
      </w:r>
      <w:r w:rsidR="10CA076B" w:rsidRPr="00841F3F">
        <w:rPr>
          <w:rFonts w:ascii="Calibri" w:eastAsia="Calibri" w:hAnsi="Calibri" w:cs="Calibri"/>
          <w:color w:val="000000" w:themeColor="text1"/>
          <w:sz w:val="22"/>
          <w:szCs w:val="22"/>
        </w:rPr>
        <w:t>approach</w:t>
      </w:r>
      <w:r w:rsidR="071C2A23" w:rsidRPr="00841F3F">
        <w:rPr>
          <w:rFonts w:ascii="Calibri" w:eastAsia="Calibri" w:hAnsi="Calibri" w:cs="Calibri"/>
          <w:color w:val="000000" w:themeColor="text1"/>
          <w:sz w:val="22"/>
          <w:szCs w:val="22"/>
        </w:rPr>
        <w:t xml:space="preserve"> </w:t>
      </w:r>
      <w:r w:rsidR="797A0DE9" w:rsidRPr="00841F3F">
        <w:rPr>
          <w:rFonts w:ascii="Calibri" w:eastAsia="Calibri" w:hAnsi="Calibri" w:cs="Calibri"/>
          <w:color w:val="000000" w:themeColor="text1"/>
          <w:sz w:val="22"/>
          <w:szCs w:val="22"/>
        </w:rPr>
        <w:t>places</w:t>
      </w:r>
      <w:r w:rsidR="071C2A23" w:rsidRPr="00841F3F">
        <w:rPr>
          <w:rFonts w:ascii="Calibri" w:eastAsia="Calibri" w:hAnsi="Calibri" w:cs="Calibri"/>
          <w:color w:val="000000" w:themeColor="text1"/>
          <w:sz w:val="22"/>
          <w:szCs w:val="22"/>
        </w:rPr>
        <w:t xml:space="preserve"> </w:t>
      </w:r>
      <w:r w:rsidR="58974905" w:rsidRPr="00841F3F">
        <w:rPr>
          <w:rFonts w:ascii="Calibri" w:eastAsia="Calibri" w:hAnsi="Calibri" w:cs="Calibri"/>
          <w:color w:val="000000" w:themeColor="text1"/>
          <w:sz w:val="22"/>
          <w:szCs w:val="22"/>
        </w:rPr>
        <w:t>research questions</w:t>
      </w:r>
      <w:r w:rsidR="01179E01" w:rsidRPr="00841F3F">
        <w:rPr>
          <w:rFonts w:ascii="Calibri" w:eastAsia="Calibri" w:hAnsi="Calibri" w:cs="Calibri"/>
          <w:color w:val="000000" w:themeColor="text1"/>
          <w:sz w:val="22"/>
          <w:szCs w:val="22"/>
        </w:rPr>
        <w:t xml:space="preserve"> at the centre of decisions</w:t>
      </w:r>
      <w:r w:rsidR="58974905" w:rsidRPr="00841F3F">
        <w:rPr>
          <w:rFonts w:ascii="Calibri" w:eastAsia="Calibri" w:hAnsi="Calibri" w:cs="Calibri"/>
          <w:color w:val="000000" w:themeColor="text1"/>
          <w:sz w:val="22"/>
          <w:szCs w:val="22"/>
        </w:rPr>
        <w:t xml:space="preserve"> with appropriate methodologies </w:t>
      </w:r>
      <w:r w:rsidR="040126F1" w:rsidRPr="00841F3F">
        <w:rPr>
          <w:rFonts w:ascii="Calibri" w:eastAsia="Calibri" w:hAnsi="Calibri" w:cs="Calibri"/>
          <w:color w:val="000000" w:themeColor="text1"/>
          <w:sz w:val="22"/>
          <w:szCs w:val="22"/>
        </w:rPr>
        <w:t>(Ponce and Pagan-Maldonado, 2014, p. 116).</w:t>
      </w:r>
      <w:r w:rsidR="78F8AB6C" w:rsidRPr="00841F3F">
        <w:rPr>
          <w:rFonts w:ascii="Calibri" w:eastAsia="Calibri" w:hAnsi="Calibri" w:cs="Calibri"/>
          <w:color w:val="000000" w:themeColor="text1"/>
          <w:sz w:val="22"/>
          <w:szCs w:val="22"/>
        </w:rPr>
        <w:t xml:space="preserve"> </w:t>
      </w:r>
      <w:r w:rsidR="3C77474B" w:rsidRPr="00841F3F">
        <w:rPr>
          <w:rFonts w:ascii="Calibri" w:eastAsia="Calibri" w:hAnsi="Calibri" w:cs="Calibri"/>
          <w:color w:val="000000" w:themeColor="text1"/>
          <w:sz w:val="22"/>
          <w:szCs w:val="22"/>
        </w:rPr>
        <w:t>Given the research constraints – limited to one day at School X</w:t>
      </w:r>
      <w:r w:rsidR="33CB2D85" w:rsidRPr="00841F3F">
        <w:rPr>
          <w:rFonts w:ascii="Calibri" w:eastAsia="Calibri" w:hAnsi="Calibri" w:cs="Calibri"/>
          <w:color w:val="000000" w:themeColor="text1"/>
          <w:sz w:val="22"/>
          <w:szCs w:val="22"/>
        </w:rPr>
        <w:t xml:space="preserve"> – questionnaires were distributed to teachers and </w:t>
      </w:r>
      <w:r w:rsidR="15DCE818" w:rsidRPr="00841F3F">
        <w:rPr>
          <w:rFonts w:ascii="Calibri" w:eastAsia="Calibri" w:hAnsi="Calibri" w:cs="Calibri"/>
          <w:color w:val="000000" w:themeColor="text1"/>
          <w:sz w:val="22"/>
          <w:szCs w:val="22"/>
        </w:rPr>
        <w:t>six pupils were interviewed to</w:t>
      </w:r>
      <w:r w:rsidR="33CB2D85" w:rsidRPr="00841F3F">
        <w:rPr>
          <w:rFonts w:ascii="Calibri" w:eastAsia="Calibri" w:hAnsi="Calibri" w:cs="Calibri"/>
          <w:color w:val="000000" w:themeColor="text1"/>
          <w:sz w:val="22"/>
          <w:szCs w:val="22"/>
        </w:rPr>
        <w:t xml:space="preserve"> collect a broad and varied </w:t>
      </w:r>
      <w:r w:rsidR="2AA6C856" w:rsidRPr="00841F3F">
        <w:rPr>
          <w:rFonts w:ascii="Calibri" w:eastAsia="Calibri" w:hAnsi="Calibri" w:cs="Calibri"/>
          <w:color w:val="000000" w:themeColor="text1"/>
          <w:sz w:val="22"/>
          <w:szCs w:val="22"/>
        </w:rPr>
        <w:t xml:space="preserve">data analysis of their perceptions on questioning </w:t>
      </w:r>
      <w:proofErr w:type="spellStart"/>
      <w:r w:rsidR="2AA6C856" w:rsidRPr="00841F3F">
        <w:rPr>
          <w:rFonts w:ascii="Calibri" w:eastAsia="Calibri" w:hAnsi="Calibri" w:cs="Calibri"/>
          <w:color w:val="000000" w:themeColor="text1"/>
          <w:sz w:val="22"/>
          <w:szCs w:val="22"/>
        </w:rPr>
        <w:t>AfL</w:t>
      </w:r>
      <w:proofErr w:type="spellEnd"/>
      <w:r w:rsidR="2AA6C856" w:rsidRPr="00841F3F">
        <w:rPr>
          <w:rFonts w:ascii="Calibri" w:eastAsia="Calibri" w:hAnsi="Calibri" w:cs="Calibri"/>
          <w:color w:val="000000" w:themeColor="text1"/>
          <w:sz w:val="22"/>
          <w:szCs w:val="22"/>
        </w:rPr>
        <w:t xml:space="preserve"> strategy.</w:t>
      </w:r>
      <w:r w:rsidR="41AA0043" w:rsidRPr="00841F3F">
        <w:rPr>
          <w:rFonts w:ascii="Calibri" w:eastAsia="Calibri" w:hAnsi="Calibri" w:cs="Calibri"/>
          <w:color w:val="000000" w:themeColor="text1"/>
          <w:sz w:val="22"/>
          <w:szCs w:val="22"/>
        </w:rPr>
        <w:t xml:space="preserve"> </w:t>
      </w:r>
      <w:r w:rsidR="55C93CE2" w:rsidRPr="00841F3F">
        <w:rPr>
          <w:rFonts w:ascii="Calibri" w:eastAsia="Calibri" w:hAnsi="Calibri" w:cs="Calibri"/>
          <w:color w:val="000000" w:themeColor="text1"/>
          <w:sz w:val="22"/>
          <w:szCs w:val="22"/>
        </w:rPr>
        <w:t xml:space="preserve">An interview is a conversation involving two or more people, in which the interviewer </w:t>
      </w:r>
      <w:r w:rsidR="2487D499" w:rsidRPr="00841F3F">
        <w:rPr>
          <w:rFonts w:ascii="Calibri" w:eastAsia="Calibri" w:hAnsi="Calibri" w:cs="Calibri"/>
          <w:color w:val="000000" w:themeColor="text1"/>
          <w:sz w:val="22"/>
          <w:szCs w:val="22"/>
        </w:rPr>
        <w:t>poses specific questions to draw out answers from the interviewee (O’Reilly and Dogra, 2017, p. 2)</w:t>
      </w:r>
      <w:r w:rsidR="614794E7" w:rsidRPr="00841F3F">
        <w:rPr>
          <w:rFonts w:ascii="Calibri" w:eastAsia="Calibri" w:hAnsi="Calibri" w:cs="Calibri"/>
          <w:color w:val="000000" w:themeColor="text1"/>
          <w:sz w:val="22"/>
          <w:szCs w:val="22"/>
        </w:rPr>
        <w:t xml:space="preserve">. This research adopted SSI which tends to be open-ended, and the wording can be suited to interviewees needs, with probes and prompts (Cohen et al., </w:t>
      </w:r>
      <w:r w:rsidR="614794E7" w:rsidRPr="00841F3F">
        <w:rPr>
          <w:rFonts w:ascii="Calibri" w:eastAsia="Calibri" w:hAnsi="Calibri" w:cs="Calibri"/>
          <w:color w:val="000000" w:themeColor="text1"/>
          <w:sz w:val="22"/>
          <w:szCs w:val="22"/>
        </w:rPr>
        <w:lastRenderedPageBreak/>
        <w:t xml:space="preserve">2018, p. 511). </w:t>
      </w:r>
      <w:r w:rsidR="6E2DDAA3" w:rsidRPr="00841F3F">
        <w:rPr>
          <w:rFonts w:ascii="Calibri" w:eastAsia="Calibri" w:hAnsi="Calibri" w:cs="Calibri"/>
          <w:color w:val="000000" w:themeColor="text1"/>
          <w:sz w:val="22"/>
          <w:szCs w:val="22"/>
        </w:rPr>
        <w:t xml:space="preserve">Pre-prepared SSI questions (See Appendix </w:t>
      </w:r>
      <w:r w:rsidR="5F46BBA5" w:rsidRPr="00841F3F">
        <w:rPr>
          <w:rFonts w:ascii="Calibri" w:eastAsia="Calibri" w:hAnsi="Calibri" w:cs="Calibri"/>
          <w:color w:val="000000" w:themeColor="text1"/>
          <w:sz w:val="22"/>
          <w:szCs w:val="22"/>
        </w:rPr>
        <w:t>5</w:t>
      </w:r>
      <w:r w:rsidR="6E2DDAA3" w:rsidRPr="00841F3F">
        <w:rPr>
          <w:rFonts w:ascii="Calibri" w:eastAsia="Calibri" w:hAnsi="Calibri" w:cs="Calibri"/>
          <w:color w:val="000000" w:themeColor="text1"/>
          <w:sz w:val="22"/>
          <w:szCs w:val="22"/>
        </w:rPr>
        <w:t xml:space="preserve">) guided the interviews. </w:t>
      </w:r>
      <w:r w:rsidR="501709A5" w:rsidRPr="00841F3F">
        <w:rPr>
          <w:rFonts w:ascii="Calibri" w:eastAsia="Calibri" w:hAnsi="Calibri" w:cs="Calibri"/>
          <w:color w:val="000000" w:themeColor="text1"/>
          <w:sz w:val="22"/>
          <w:szCs w:val="22"/>
        </w:rPr>
        <w:t>Year 4 pupils were chosen for interviews, instead of teachers, because</w:t>
      </w:r>
      <w:r w:rsidR="2C30512B" w:rsidRPr="00841F3F">
        <w:rPr>
          <w:rFonts w:ascii="Calibri" w:eastAsia="Calibri" w:hAnsi="Calibri" w:cs="Calibri"/>
          <w:color w:val="000000" w:themeColor="text1"/>
          <w:sz w:val="22"/>
          <w:szCs w:val="22"/>
        </w:rPr>
        <w:t xml:space="preserve"> the Convention on the Rights of the Child, developed by the United Nations, highlight children’s right to ‘’express their </w:t>
      </w:r>
      <w:bookmarkStart w:id="1" w:name="_Int_hZDuTgOR"/>
      <w:r w:rsidR="2C30512B" w:rsidRPr="00841F3F">
        <w:rPr>
          <w:rFonts w:ascii="Calibri" w:eastAsia="Calibri" w:hAnsi="Calibri" w:cs="Calibri"/>
          <w:color w:val="000000" w:themeColor="text1"/>
          <w:sz w:val="22"/>
          <w:szCs w:val="22"/>
        </w:rPr>
        <w:t>views’’</w:t>
      </w:r>
      <w:bookmarkEnd w:id="1"/>
      <w:r w:rsidR="2C30512B" w:rsidRPr="00841F3F">
        <w:rPr>
          <w:rFonts w:ascii="Calibri" w:eastAsia="Calibri" w:hAnsi="Calibri" w:cs="Calibri"/>
          <w:color w:val="000000" w:themeColor="text1"/>
          <w:sz w:val="22"/>
          <w:szCs w:val="22"/>
        </w:rPr>
        <w:t xml:space="preserve"> (</w:t>
      </w:r>
      <w:proofErr w:type="spellStart"/>
      <w:r w:rsidR="2C30512B" w:rsidRPr="00841F3F">
        <w:rPr>
          <w:rFonts w:ascii="Calibri" w:eastAsia="Calibri" w:hAnsi="Calibri" w:cs="Calibri"/>
          <w:color w:val="000000" w:themeColor="text1"/>
          <w:sz w:val="22"/>
          <w:szCs w:val="22"/>
        </w:rPr>
        <w:t>Ponizovsky-Bergelson</w:t>
      </w:r>
      <w:proofErr w:type="spellEnd"/>
      <w:r w:rsidR="2C30512B" w:rsidRPr="00841F3F">
        <w:rPr>
          <w:rFonts w:ascii="Calibri" w:eastAsia="Calibri" w:hAnsi="Calibri" w:cs="Calibri"/>
          <w:color w:val="000000" w:themeColor="text1"/>
          <w:sz w:val="22"/>
          <w:szCs w:val="22"/>
        </w:rPr>
        <w:t xml:space="preserve"> et al., 2019, p. 1).</w:t>
      </w:r>
      <w:r w:rsidR="501709A5" w:rsidRPr="00841F3F">
        <w:rPr>
          <w:rFonts w:ascii="Calibri" w:eastAsia="Calibri" w:hAnsi="Calibri" w:cs="Calibri"/>
          <w:color w:val="000000" w:themeColor="text1"/>
          <w:sz w:val="22"/>
          <w:szCs w:val="22"/>
        </w:rPr>
        <w:t xml:space="preserve"> </w:t>
      </w:r>
      <w:r w:rsidR="663786E5" w:rsidRPr="00841F3F">
        <w:rPr>
          <w:rFonts w:ascii="Calibri" w:eastAsia="Calibri" w:hAnsi="Calibri" w:cs="Calibri"/>
          <w:color w:val="000000" w:themeColor="text1"/>
          <w:sz w:val="22"/>
          <w:szCs w:val="22"/>
        </w:rPr>
        <w:t>L</w:t>
      </w:r>
      <w:r w:rsidR="062CDC55" w:rsidRPr="00841F3F">
        <w:rPr>
          <w:rFonts w:ascii="Calibri" w:eastAsia="Calibri" w:hAnsi="Calibri" w:cs="Calibri"/>
          <w:color w:val="000000" w:themeColor="text1"/>
          <w:sz w:val="22"/>
          <w:szCs w:val="22"/>
        </w:rPr>
        <w:t>ink</w:t>
      </w:r>
      <w:r w:rsidR="15F81AD4" w:rsidRPr="00841F3F">
        <w:rPr>
          <w:rFonts w:ascii="Calibri" w:eastAsia="Calibri" w:hAnsi="Calibri" w:cs="Calibri"/>
          <w:color w:val="000000" w:themeColor="text1"/>
          <w:sz w:val="22"/>
          <w:szCs w:val="22"/>
        </w:rPr>
        <w:t>ing effectively</w:t>
      </w:r>
      <w:r w:rsidR="062CDC55" w:rsidRPr="00841F3F">
        <w:rPr>
          <w:rFonts w:ascii="Calibri" w:eastAsia="Calibri" w:hAnsi="Calibri" w:cs="Calibri"/>
          <w:color w:val="000000" w:themeColor="text1"/>
          <w:sz w:val="22"/>
          <w:szCs w:val="22"/>
        </w:rPr>
        <w:t xml:space="preserve"> to my research question. </w:t>
      </w:r>
      <w:r w:rsidR="27392245" w:rsidRPr="00841F3F">
        <w:rPr>
          <w:rFonts w:ascii="Calibri" w:eastAsia="Calibri" w:hAnsi="Calibri" w:cs="Calibri"/>
          <w:color w:val="000000" w:themeColor="text1"/>
          <w:sz w:val="22"/>
          <w:szCs w:val="22"/>
        </w:rPr>
        <w:t>As stated by Sternberg et al., (2001, cited in Canning and Peterson, 2020, p. 81), children are likely to give more information when replying to open-ended questions compar</w:t>
      </w:r>
      <w:r w:rsidR="0AAB669E" w:rsidRPr="00841F3F">
        <w:rPr>
          <w:rFonts w:ascii="Calibri" w:eastAsia="Calibri" w:hAnsi="Calibri" w:cs="Calibri"/>
          <w:color w:val="000000" w:themeColor="text1"/>
          <w:sz w:val="22"/>
          <w:szCs w:val="22"/>
        </w:rPr>
        <w:t>ed</w:t>
      </w:r>
      <w:r w:rsidR="27392245" w:rsidRPr="00841F3F">
        <w:rPr>
          <w:rFonts w:ascii="Calibri" w:eastAsia="Calibri" w:hAnsi="Calibri" w:cs="Calibri"/>
          <w:color w:val="000000" w:themeColor="text1"/>
          <w:sz w:val="22"/>
          <w:szCs w:val="22"/>
        </w:rPr>
        <w:t xml:space="preserve"> to closed questions. The interviews were conducted in pairs </w:t>
      </w:r>
      <w:r w:rsidR="31B3855C" w:rsidRPr="00841F3F">
        <w:rPr>
          <w:rFonts w:ascii="Calibri" w:eastAsia="Calibri" w:hAnsi="Calibri" w:cs="Calibri"/>
          <w:color w:val="000000" w:themeColor="text1"/>
          <w:sz w:val="22"/>
          <w:szCs w:val="22"/>
        </w:rPr>
        <w:t>as this would provide</w:t>
      </w:r>
      <w:r w:rsidR="27392245" w:rsidRPr="00841F3F">
        <w:rPr>
          <w:rFonts w:ascii="Calibri" w:eastAsia="Calibri" w:hAnsi="Calibri" w:cs="Calibri"/>
          <w:color w:val="000000" w:themeColor="text1"/>
          <w:sz w:val="22"/>
          <w:szCs w:val="22"/>
        </w:rPr>
        <w:t xml:space="preserve"> opportunities for discussion and interaction, whil</w:t>
      </w:r>
      <w:r w:rsidR="2DEEC756" w:rsidRPr="00841F3F">
        <w:rPr>
          <w:rFonts w:ascii="Calibri" w:eastAsia="Calibri" w:hAnsi="Calibri" w:cs="Calibri"/>
          <w:color w:val="000000" w:themeColor="text1"/>
          <w:sz w:val="22"/>
          <w:szCs w:val="22"/>
        </w:rPr>
        <w:t>st</w:t>
      </w:r>
      <w:r w:rsidR="27392245" w:rsidRPr="00841F3F">
        <w:rPr>
          <w:rFonts w:ascii="Calibri" w:eastAsia="Calibri" w:hAnsi="Calibri" w:cs="Calibri"/>
          <w:color w:val="000000" w:themeColor="text1"/>
          <w:sz w:val="22"/>
          <w:szCs w:val="22"/>
        </w:rPr>
        <w:t xml:space="preserve"> making the experience more comfortable (Evens and </w:t>
      </w:r>
      <w:proofErr w:type="spellStart"/>
      <w:r w:rsidR="27392245" w:rsidRPr="00841F3F">
        <w:rPr>
          <w:rFonts w:ascii="Calibri" w:eastAsia="Calibri" w:hAnsi="Calibri" w:cs="Calibri"/>
          <w:color w:val="000000" w:themeColor="text1"/>
          <w:sz w:val="22"/>
          <w:szCs w:val="22"/>
        </w:rPr>
        <w:t>Househart</w:t>
      </w:r>
      <w:proofErr w:type="spellEnd"/>
      <w:r w:rsidR="27392245" w:rsidRPr="00841F3F">
        <w:rPr>
          <w:rFonts w:ascii="Calibri" w:eastAsia="Calibri" w:hAnsi="Calibri" w:cs="Calibri"/>
          <w:color w:val="000000" w:themeColor="text1"/>
          <w:sz w:val="22"/>
          <w:szCs w:val="22"/>
        </w:rPr>
        <w:t>, 2007, p. 1)</w:t>
      </w:r>
      <w:r w:rsidR="43ED23DE" w:rsidRPr="00841F3F">
        <w:rPr>
          <w:rFonts w:ascii="Calibri" w:eastAsia="Calibri" w:hAnsi="Calibri" w:cs="Calibri"/>
          <w:color w:val="000000" w:themeColor="text1"/>
          <w:sz w:val="22"/>
          <w:szCs w:val="22"/>
        </w:rPr>
        <w:t xml:space="preserve">. Arksey and Knight (1999, p. 76) implies that including multiple interviewees can yield different perspectives on events, with one potentially complimenting the other with additional points, resulting in a more reliable and complete record. </w:t>
      </w:r>
      <w:r w:rsidR="7C05893C" w:rsidRPr="00841F3F">
        <w:rPr>
          <w:rFonts w:ascii="Calibri" w:eastAsia="Calibri" w:hAnsi="Calibri" w:cs="Calibri"/>
          <w:color w:val="000000" w:themeColor="text1"/>
          <w:sz w:val="22"/>
          <w:szCs w:val="22"/>
        </w:rPr>
        <w:t>However, one participant may dominate the discussion</w:t>
      </w:r>
      <w:r w:rsidR="5E16E3D1" w:rsidRPr="00841F3F">
        <w:rPr>
          <w:rFonts w:ascii="Calibri" w:eastAsia="Calibri" w:hAnsi="Calibri" w:cs="Calibri"/>
          <w:color w:val="000000" w:themeColor="text1"/>
          <w:sz w:val="22"/>
          <w:szCs w:val="22"/>
        </w:rPr>
        <w:t>,</w:t>
      </w:r>
      <w:r w:rsidR="7C05893C" w:rsidRPr="00841F3F">
        <w:rPr>
          <w:rFonts w:ascii="Calibri" w:eastAsia="Calibri" w:hAnsi="Calibri" w:cs="Calibri"/>
          <w:color w:val="000000" w:themeColor="text1"/>
          <w:sz w:val="22"/>
          <w:szCs w:val="22"/>
        </w:rPr>
        <w:t xml:space="preserve"> </w:t>
      </w:r>
      <w:r w:rsidR="5BA30FD8" w:rsidRPr="00841F3F">
        <w:rPr>
          <w:rFonts w:ascii="Calibri" w:eastAsia="Calibri" w:hAnsi="Calibri" w:cs="Calibri"/>
          <w:color w:val="000000" w:themeColor="text1"/>
          <w:sz w:val="22"/>
          <w:szCs w:val="22"/>
        </w:rPr>
        <w:t>t</w:t>
      </w:r>
      <w:r w:rsidR="7C05893C" w:rsidRPr="00841F3F">
        <w:rPr>
          <w:rFonts w:ascii="Calibri" w:eastAsia="Calibri" w:hAnsi="Calibri" w:cs="Calibri"/>
          <w:color w:val="000000" w:themeColor="text1"/>
          <w:sz w:val="22"/>
          <w:szCs w:val="22"/>
        </w:rPr>
        <w:t xml:space="preserve">herefore, it was important that my questions were prepared in </w:t>
      </w:r>
      <w:r w:rsidR="48FADB3F" w:rsidRPr="00841F3F">
        <w:rPr>
          <w:rFonts w:ascii="Calibri" w:eastAsia="Calibri" w:hAnsi="Calibri" w:cs="Calibri"/>
          <w:color w:val="000000" w:themeColor="text1"/>
          <w:sz w:val="22"/>
          <w:szCs w:val="22"/>
        </w:rPr>
        <w:t>advance,</w:t>
      </w:r>
      <w:r w:rsidR="7C05893C" w:rsidRPr="00841F3F">
        <w:rPr>
          <w:rFonts w:ascii="Calibri" w:eastAsia="Calibri" w:hAnsi="Calibri" w:cs="Calibri"/>
          <w:color w:val="000000" w:themeColor="text1"/>
          <w:sz w:val="22"/>
          <w:szCs w:val="22"/>
        </w:rPr>
        <w:t xml:space="preserve"> and the flexible nature of SSI allowed me to deal with this potential risk. </w:t>
      </w:r>
      <w:r w:rsidR="69B481C8" w:rsidRPr="00841F3F">
        <w:rPr>
          <w:rFonts w:ascii="Calibri" w:eastAsia="Calibri" w:hAnsi="Calibri" w:cs="Calibri"/>
          <w:color w:val="000000" w:themeColor="text1"/>
          <w:sz w:val="22"/>
          <w:szCs w:val="22"/>
        </w:rPr>
        <w:t xml:space="preserve">Interviews </w:t>
      </w:r>
      <w:r w:rsidR="43291932" w:rsidRPr="00841F3F">
        <w:rPr>
          <w:rFonts w:ascii="Calibri" w:eastAsia="Calibri" w:hAnsi="Calibri" w:cs="Calibri"/>
          <w:color w:val="000000" w:themeColor="text1"/>
          <w:sz w:val="22"/>
          <w:szCs w:val="22"/>
        </w:rPr>
        <w:t xml:space="preserve">occurred during school </w:t>
      </w:r>
      <w:r w:rsidR="36B063B5" w:rsidRPr="00841F3F">
        <w:rPr>
          <w:rFonts w:ascii="Calibri" w:eastAsia="Calibri" w:hAnsi="Calibri" w:cs="Calibri"/>
          <w:color w:val="000000" w:themeColor="text1"/>
          <w:sz w:val="22"/>
          <w:szCs w:val="22"/>
        </w:rPr>
        <w:t>hours, so</w:t>
      </w:r>
      <w:r w:rsidR="43291932" w:rsidRPr="00841F3F">
        <w:rPr>
          <w:rFonts w:ascii="Calibri" w:eastAsia="Calibri" w:hAnsi="Calibri" w:cs="Calibri"/>
          <w:color w:val="000000" w:themeColor="text1"/>
          <w:sz w:val="22"/>
          <w:szCs w:val="22"/>
        </w:rPr>
        <w:t xml:space="preserve"> it was important to not interfere with pupils’ learning. Hence, interviews </w:t>
      </w:r>
      <w:r w:rsidR="5B070396" w:rsidRPr="00841F3F">
        <w:rPr>
          <w:rFonts w:ascii="Calibri" w:eastAsia="Calibri" w:hAnsi="Calibri" w:cs="Calibri"/>
          <w:color w:val="000000" w:themeColor="text1"/>
          <w:sz w:val="22"/>
          <w:szCs w:val="22"/>
        </w:rPr>
        <w:t xml:space="preserve">were designed </w:t>
      </w:r>
      <w:r w:rsidR="43291932" w:rsidRPr="00841F3F">
        <w:rPr>
          <w:rFonts w:ascii="Calibri" w:eastAsia="Calibri" w:hAnsi="Calibri" w:cs="Calibri"/>
          <w:color w:val="000000" w:themeColor="text1"/>
          <w:sz w:val="22"/>
          <w:szCs w:val="22"/>
        </w:rPr>
        <w:t>to be five – seven minutes long. Cowan et al., (2010, p. 1) suggest</w:t>
      </w:r>
      <w:r w:rsidR="46191ABD" w:rsidRPr="00841F3F">
        <w:rPr>
          <w:rFonts w:ascii="Calibri" w:eastAsia="Calibri" w:hAnsi="Calibri" w:cs="Calibri"/>
          <w:color w:val="000000" w:themeColor="text1"/>
          <w:sz w:val="22"/>
          <w:szCs w:val="22"/>
        </w:rPr>
        <w:t>s</w:t>
      </w:r>
      <w:r w:rsidR="43291932" w:rsidRPr="00841F3F">
        <w:rPr>
          <w:rFonts w:ascii="Calibri" w:eastAsia="Calibri" w:hAnsi="Calibri" w:cs="Calibri"/>
          <w:color w:val="000000" w:themeColor="text1"/>
          <w:sz w:val="22"/>
          <w:szCs w:val="22"/>
        </w:rPr>
        <w:t xml:space="preserve"> keeping interviews to minimum</w:t>
      </w:r>
      <w:r w:rsidR="041FCA1E" w:rsidRPr="00841F3F">
        <w:rPr>
          <w:rFonts w:ascii="Calibri" w:eastAsia="Calibri" w:hAnsi="Calibri" w:cs="Calibri"/>
          <w:color w:val="000000" w:themeColor="text1"/>
          <w:sz w:val="22"/>
          <w:szCs w:val="22"/>
        </w:rPr>
        <w:t xml:space="preserve"> </w:t>
      </w:r>
      <w:r w:rsidR="43291932" w:rsidRPr="00841F3F">
        <w:rPr>
          <w:rFonts w:ascii="Calibri" w:eastAsia="Calibri" w:hAnsi="Calibri" w:cs="Calibri"/>
          <w:color w:val="000000" w:themeColor="text1"/>
          <w:sz w:val="22"/>
          <w:szCs w:val="22"/>
        </w:rPr>
        <w:t xml:space="preserve">time as children </w:t>
      </w:r>
      <w:r w:rsidR="2ABCC564" w:rsidRPr="00841F3F">
        <w:rPr>
          <w:rFonts w:ascii="Calibri" w:eastAsia="Calibri" w:hAnsi="Calibri" w:cs="Calibri"/>
          <w:color w:val="000000" w:themeColor="text1"/>
          <w:sz w:val="22"/>
          <w:szCs w:val="22"/>
        </w:rPr>
        <w:t>have limited</w:t>
      </w:r>
      <w:r w:rsidR="43291932" w:rsidRPr="00841F3F">
        <w:rPr>
          <w:rFonts w:ascii="Calibri" w:eastAsia="Calibri" w:hAnsi="Calibri" w:cs="Calibri"/>
          <w:color w:val="000000" w:themeColor="text1"/>
          <w:sz w:val="22"/>
          <w:szCs w:val="22"/>
        </w:rPr>
        <w:t xml:space="preserve"> ability to focus.</w:t>
      </w:r>
      <w:r w:rsidR="14253901" w:rsidRPr="00841F3F">
        <w:rPr>
          <w:rFonts w:ascii="Calibri" w:eastAsia="Calibri" w:hAnsi="Calibri" w:cs="Calibri"/>
          <w:color w:val="000000" w:themeColor="text1"/>
          <w:sz w:val="22"/>
          <w:szCs w:val="22"/>
        </w:rPr>
        <w:t xml:space="preserve"> Eight questions were asked, with sufficient time for pupils to think</w:t>
      </w:r>
      <w:r w:rsidR="2C3D28A9" w:rsidRPr="00841F3F">
        <w:rPr>
          <w:rFonts w:ascii="Calibri" w:eastAsia="Calibri" w:hAnsi="Calibri" w:cs="Calibri"/>
          <w:color w:val="000000" w:themeColor="text1"/>
          <w:sz w:val="22"/>
          <w:szCs w:val="22"/>
        </w:rPr>
        <w:t xml:space="preserve"> and respond. </w:t>
      </w:r>
      <w:r w:rsidR="28AF6F80" w:rsidRPr="00841F3F">
        <w:rPr>
          <w:rFonts w:ascii="Calibri" w:eastAsia="Calibri" w:hAnsi="Calibri" w:cs="Calibri"/>
          <w:color w:val="000000" w:themeColor="text1"/>
          <w:sz w:val="22"/>
          <w:szCs w:val="22"/>
        </w:rPr>
        <w:t>I informed pupils of their right to</w:t>
      </w:r>
      <w:r w:rsidR="2C3D28A9" w:rsidRPr="00841F3F">
        <w:rPr>
          <w:rFonts w:ascii="Calibri" w:eastAsia="Calibri" w:hAnsi="Calibri" w:cs="Calibri"/>
          <w:color w:val="000000" w:themeColor="text1"/>
          <w:sz w:val="22"/>
          <w:szCs w:val="22"/>
        </w:rPr>
        <w:t xml:space="preserve"> ‘’withdraw from the research for any or no reason’’ (BERA, 2024, p. 19).</w:t>
      </w:r>
      <w:r w:rsidR="44A47882" w:rsidRPr="00841F3F">
        <w:rPr>
          <w:rFonts w:ascii="Calibri" w:eastAsia="Calibri" w:hAnsi="Calibri" w:cs="Calibri"/>
          <w:color w:val="000000" w:themeColor="text1"/>
          <w:sz w:val="22"/>
          <w:szCs w:val="22"/>
        </w:rPr>
        <w:t xml:space="preserve"> </w:t>
      </w:r>
      <w:r w:rsidR="34EDE695" w:rsidRPr="00841F3F">
        <w:rPr>
          <w:rFonts w:ascii="Calibri" w:eastAsia="Calibri" w:hAnsi="Calibri" w:cs="Calibri"/>
          <w:color w:val="000000" w:themeColor="text1"/>
          <w:sz w:val="22"/>
          <w:szCs w:val="22"/>
        </w:rPr>
        <w:t>Researchers' presence</w:t>
      </w:r>
      <w:r w:rsidR="7D5D45A2" w:rsidRPr="00841F3F">
        <w:rPr>
          <w:rFonts w:ascii="Calibri" w:eastAsia="Calibri" w:hAnsi="Calibri" w:cs="Calibri"/>
          <w:color w:val="000000" w:themeColor="text1"/>
          <w:sz w:val="22"/>
          <w:szCs w:val="22"/>
        </w:rPr>
        <w:t xml:space="preserve"> during the interview can potentially elicit bias responses (Creswell and Creswell, 2018, p. 188).</w:t>
      </w:r>
      <w:r w:rsidR="76EB32C1" w:rsidRPr="00841F3F">
        <w:rPr>
          <w:rFonts w:ascii="Calibri" w:eastAsia="Calibri" w:hAnsi="Calibri" w:cs="Calibri"/>
          <w:color w:val="000000" w:themeColor="text1"/>
          <w:sz w:val="22"/>
          <w:szCs w:val="22"/>
        </w:rPr>
        <w:t xml:space="preserve"> It was not helpful that pupils</w:t>
      </w:r>
      <w:r w:rsidR="5A235BB3" w:rsidRPr="00841F3F">
        <w:rPr>
          <w:rFonts w:ascii="Calibri" w:eastAsia="Calibri" w:hAnsi="Calibri" w:cs="Calibri"/>
          <w:color w:val="000000" w:themeColor="text1"/>
          <w:sz w:val="22"/>
          <w:szCs w:val="22"/>
        </w:rPr>
        <w:t xml:space="preserve"> interviewed</w:t>
      </w:r>
      <w:r w:rsidR="76EB32C1" w:rsidRPr="00841F3F">
        <w:rPr>
          <w:rFonts w:ascii="Calibri" w:eastAsia="Calibri" w:hAnsi="Calibri" w:cs="Calibri"/>
          <w:color w:val="000000" w:themeColor="text1"/>
          <w:sz w:val="22"/>
          <w:szCs w:val="22"/>
        </w:rPr>
        <w:t xml:space="preserve"> I had previously taught on placement.</w:t>
      </w:r>
      <w:r w:rsidR="092EB4E4" w:rsidRPr="00841F3F">
        <w:rPr>
          <w:rFonts w:ascii="Calibri" w:eastAsia="Calibri" w:hAnsi="Calibri" w:cs="Calibri"/>
          <w:color w:val="000000" w:themeColor="text1"/>
          <w:sz w:val="22"/>
          <w:szCs w:val="22"/>
        </w:rPr>
        <w:t xml:space="preserve"> </w:t>
      </w:r>
      <w:r w:rsidR="76EB32C1" w:rsidRPr="00841F3F">
        <w:rPr>
          <w:rFonts w:ascii="Calibri" w:eastAsia="Calibri" w:hAnsi="Calibri" w:cs="Calibri"/>
          <w:color w:val="000000" w:themeColor="text1"/>
          <w:sz w:val="22"/>
          <w:szCs w:val="22"/>
        </w:rPr>
        <w:t xml:space="preserve">According to the Welsh Government (2015, </w:t>
      </w:r>
      <w:r w:rsidR="4E105C6B" w:rsidRPr="00841F3F">
        <w:rPr>
          <w:rFonts w:ascii="Calibri" w:eastAsia="Calibri" w:hAnsi="Calibri" w:cs="Calibri"/>
          <w:color w:val="000000" w:themeColor="text1"/>
          <w:sz w:val="22"/>
          <w:szCs w:val="22"/>
        </w:rPr>
        <w:t>p. 26), interviews can be time-consuming and data loss can potentially occur due to</w:t>
      </w:r>
      <w:r w:rsidR="0492DF62" w:rsidRPr="00841F3F">
        <w:rPr>
          <w:rFonts w:ascii="Calibri" w:eastAsia="Calibri" w:hAnsi="Calibri" w:cs="Calibri"/>
          <w:color w:val="000000" w:themeColor="text1"/>
          <w:sz w:val="22"/>
          <w:szCs w:val="22"/>
        </w:rPr>
        <w:t xml:space="preserve"> poor responses, lack of probing and limited understanding of the topic (</w:t>
      </w:r>
      <w:proofErr w:type="spellStart"/>
      <w:r w:rsidR="0492DF62" w:rsidRPr="00841F3F">
        <w:rPr>
          <w:rFonts w:ascii="Calibri" w:eastAsia="Calibri" w:hAnsi="Calibri" w:cs="Calibri"/>
          <w:color w:val="000000" w:themeColor="text1"/>
          <w:sz w:val="22"/>
          <w:szCs w:val="22"/>
        </w:rPr>
        <w:t>Kakilla</w:t>
      </w:r>
      <w:proofErr w:type="spellEnd"/>
      <w:r w:rsidR="0492DF62" w:rsidRPr="00841F3F">
        <w:rPr>
          <w:rFonts w:ascii="Calibri" w:eastAsia="Calibri" w:hAnsi="Calibri" w:cs="Calibri"/>
          <w:color w:val="000000" w:themeColor="text1"/>
          <w:sz w:val="22"/>
          <w:szCs w:val="22"/>
        </w:rPr>
        <w:t>, 2021, p. 1 – 2).</w:t>
      </w:r>
      <w:r w:rsidR="05896BAE" w:rsidRPr="00841F3F">
        <w:rPr>
          <w:rFonts w:ascii="Calibri" w:eastAsia="Calibri" w:hAnsi="Calibri" w:cs="Calibri"/>
          <w:color w:val="000000" w:themeColor="text1"/>
          <w:sz w:val="22"/>
          <w:szCs w:val="22"/>
        </w:rPr>
        <w:t xml:space="preserve"> </w:t>
      </w:r>
      <w:r w:rsidR="3AD16551" w:rsidRPr="00841F3F">
        <w:rPr>
          <w:rFonts w:ascii="Calibri" w:eastAsia="Calibri" w:hAnsi="Calibri" w:cs="Calibri"/>
          <w:sz w:val="22"/>
          <w:szCs w:val="22"/>
        </w:rPr>
        <w:t>Ensuring I documented data collected from the interviews, I took detailed typed notes and used my laptop to audio record.</w:t>
      </w:r>
      <w:r w:rsidR="749251F3" w:rsidRPr="00841F3F">
        <w:rPr>
          <w:rFonts w:ascii="Calibri" w:eastAsia="Calibri" w:hAnsi="Calibri" w:cs="Calibri"/>
          <w:sz w:val="22"/>
          <w:szCs w:val="22"/>
        </w:rPr>
        <w:t xml:space="preserve"> P</w:t>
      </w:r>
      <w:r w:rsidR="3AD16551" w:rsidRPr="00841F3F">
        <w:rPr>
          <w:rFonts w:ascii="Calibri" w:eastAsia="Calibri" w:hAnsi="Calibri" w:cs="Calibri"/>
          <w:sz w:val="22"/>
          <w:szCs w:val="22"/>
        </w:rPr>
        <w:t>upils were informed</w:t>
      </w:r>
      <w:r w:rsidR="220C7C69" w:rsidRPr="00841F3F">
        <w:rPr>
          <w:rFonts w:ascii="Calibri" w:eastAsia="Calibri" w:hAnsi="Calibri" w:cs="Calibri"/>
          <w:sz w:val="22"/>
          <w:szCs w:val="22"/>
        </w:rPr>
        <w:t>,</w:t>
      </w:r>
      <w:r w:rsidR="3AD16551" w:rsidRPr="00841F3F">
        <w:rPr>
          <w:rFonts w:ascii="Calibri" w:eastAsia="Calibri" w:hAnsi="Calibri" w:cs="Calibri"/>
          <w:sz w:val="22"/>
          <w:szCs w:val="22"/>
        </w:rPr>
        <w:t xml:space="preserve"> and the recording was stored on a password locked device and deleted following its transcription.</w:t>
      </w:r>
      <w:r w:rsidR="17D60086" w:rsidRPr="00841F3F">
        <w:rPr>
          <w:rFonts w:ascii="Calibri" w:eastAsia="Calibri" w:hAnsi="Calibri" w:cs="Calibri"/>
          <w:sz w:val="22"/>
          <w:szCs w:val="22"/>
        </w:rPr>
        <w:t xml:space="preserve"> </w:t>
      </w:r>
      <w:r w:rsidR="3AD16551" w:rsidRPr="00841F3F">
        <w:rPr>
          <w:rFonts w:ascii="Calibri" w:eastAsia="Calibri" w:hAnsi="Calibri" w:cs="Calibri"/>
          <w:sz w:val="22"/>
          <w:szCs w:val="22"/>
        </w:rPr>
        <w:t>I transcribed the recording</w:t>
      </w:r>
      <w:r w:rsidR="4F94D4B8" w:rsidRPr="00841F3F">
        <w:rPr>
          <w:rFonts w:ascii="Calibri" w:eastAsia="Calibri" w:hAnsi="Calibri" w:cs="Calibri"/>
          <w:sz w:val="22"/>
          <w:szCs w:val="22"/>
        </w:rPr>
        <w:t xml:space="preserve"> (See Appen</w:t>
      </w:r>
      <w:r w:rsidR="62676196" w:rsidRPr="00841F3F">
        <w:rPr>
          <w:rFonts w:ascii="Calibri" w:eastAsia="Calibri" w:hAnsi="Calibri" w:cs="Calibri"/>
          <w:sz w:val="22"/>
          <w:szCs w:val="22"/>
        </w:rPr>
        <w:t>d</w:t>
      </w:r>
      <w:r w:rsidR="4F94D4B8" w:rsidRPr="00841F3F">
        <w:rPr>
          <w:rFonts w:ascii="Calibri" w:eastAsia="Calibri" w:hAnsi="Calibri" w:cs="Calibri"/>
          <w:sz w:val="22"/>
          <w:szCs w:val="22"/>
        </w:rPr>
        <w:t>ix 6</w:t>
      </w:r>
      <w:proofErr w:type="gramStart"/>
      <w:r w:rsidR="00841F3F">
        <w:rPr>
          <w:rFonts w:ascii="Calibri" w:eastAsia="Calibri" w:hAnsi="Calibri" w:cs="Calibri"/>
          <w:sz w:val="22"/>
          <w:szCs w:val="22"/>
        </w:rPr>
        <w:t>)</w:t>
      </w:r>
      <w:proofErr w:type="gramEnd"/>
      <w:r w:rsidR="5ECC2D0C" w:rsidRPr="00841F3F">
        <w:rPr>
          <w:rFonts w:ascii="Calibri" w:eastAsia="Calibri" w:hAnsi="Calibri" w:cs="Calibri"/>
          <w:sz w:val="22"/>
          <w:szCs w:val="22"/>
        </w:rPr>
        <w:t xml:space="preserve"> </w:t>
      </w:r>
      <w:r w:rsidR="3AD16551" w:rsidRPr="00841F3F">
        <w:rPr>
          <w:rFonts w:ascii="Calibri" w:eastAsia="Calibri" w:hAnsi="Calibri" w:cs="Calibri"/>
          <w:sz w:val="22"/>
          <w:szCs w:val="22"/>
        </w:rPr>
        <w:t xml:space="preserve">and the pupil’s names were replaced with numbers and any identifying factors were </w:t>
      </w:r>
      <w:r w:rsidR="0DA88D59" w:rsidRPr="00841F3F">
        <w:rPr>
          <w:rFonts w:ascii="Calibri" w:eastAsia="Calibri" w:hAnsi="Calibri" w:cs="Calibri"/>
          <w:sz w:val="22"/>
          <w:szCs w:val="22"/>
        </w:rPr>
        <w:t>re</w:t>
      </w:r>
      <w:r w:rsidR="3AD16551" w:rsidRPr="00841F3F">
        <w:rPr>
          <w:rFonts w:ascii="Calibri" w:eastAsia="Calibri" w:hAnsi="Calibri" w:cs="Calibri"/>
          <w:sz w:val="22"/>
          <w:szCs w:val="22"/>
        </w:rPr>
        <w:t>d</w:t>
      </w:r>
      <w:r w:rsidR="7B94BB99" w:rsidRPr="00841F3F">
        <w:rPr>
          <w:rFonts w:ascii="Calibri" w:eastAsia="Calibri" w:hAnsi="Calibri" w:cs="Calibri"/>
          <w:sz w:val="22"/>
          <w:szCs w:val="22"/>
        </w:rPr>
        <w:t>a</w:t>
      </w:r>
      <w:r w:rsidR="3AD16551" w:rsidRPr="00841F3F">
        <w:rPr>
          <w:rFonts w:ascii="Calibri" w:eastAsia="Calibri" w:hAnsi="Calibri" w:cs="Calibri"/>
          <w:sz w:val="22"/>
          <w:szCs w:val="22"/>
        </w:rPr>
        <w:t>cted from the transcript in line with ethical guidelines. Kaplan-Moss (2022) implies clicking noise</w:t>
      </w:r>
      <w:r w:rsidR="2B577C56" w:rsidRPr="00841F3F">
        <w:rPr>
          <w:rFonts w:ascii="Calibri" w:eastAsia="Calibri" w:hAnsi="Calibri" w:cs="Calibri"/>
          <w:sz w:val="22"/>
          <w:szCs w:val="22"/>
        </w:rPr>
        <w:t>s</w:t>
      </w:r>
      <w:r w:rsidR="3AD16551" w:rsidRPr="00841F3F">
        <w:rPr>
          <w:rFonts w:ascii="Calibri" w:eastAsia="Calibri" w:hAnsi="Calibri" w:cs="Calibri"/>
          <w:sz w:val="22"/>
          <w:szCs w:val="22"/>
        </w:rPr>
        <w:t xml:space="preserve"> on the laptop can be distracting for interviewees. Next time, </w:t>
      </w:r>
      <w:r w:rsidR="41D47281" w:rsidRPr="00841F3F">
        <w:rPr>
          <w:rFonts w:ascii="Calibri" w:eastAsia="Calibri" w:hAnsi="Calibri" w:cs="Calibri"/>
          <w:sz w:val="22"/>
          <w:szCs w:val="22"/>
        </w:rPr>
        <w:t>my notes</w:t>
      </w:r>
      <w:r w:rsidR="3AD16551" w:rsidRPr="00841F3F">
        <w:rPr>
          <w:rFonts w:ascii="Calibri" w:eastAsia="Calibri" w:hAnsi="Calibri" w:cs="Calibri"/>
          <w:sz w:val="22"/>
          <w:szCs w:val="22"/>
        </w:rPr>
        <w:t xml:space="preserve"> will</w:t>
      </w:r>
      <w:r w:rsidR="6A4B51F1" w:rsidRPr="00841F3F">
        <w:rPr>
          <w:rFonts w:ascii="Calibri" w:eastAsia="Calibri" w:hAnsi="Calibri" w:cs="Calibri"/>
          <w:sz w:val="22"/>
          <w:szCs w:val="22"/>
        </w:rPr>
        <w:t xml:space="preserve"> be</w:t>
      </w:r>
      <w:r w:rsidR="3AD16551" w:rsidRPr="00841F3F">
        <w:rPr>
          <w:rFonts w:ascii="Calibri" w:eastAsia="Calibri" w:hAnsi="Calibri" w:cs="Calibri"/>
          <w:sz w:val="22"/>
          <w:szCs w:val="22"/>
        </w:rPr>
        <w:t xml:space="preserve"> handwrit</w:t>
      </w:r>
      <w:r w:rsidR="26CFD1D4" w:rsidRPr="00841F3F">
        <w:rPr>
          <w:rFonts w:ascii="Calibri" w:eastAsia="Calibri" w:hAnsi="Calibri" w:cs="Calibri"/>
          <w:sz w:val="22"/>
          <w:szCs w:val="22"/>
        </w:rPr>
        <w:t>ten</w:t>
      </w:r>
      <w:r w:rsidR="3AD16551" w:rsidRPr="00841F3F">
        <w:rPr>
          <w:rFonts w:ascii="Calibri" w:eastAsia="Calibri" w:hAnsi="Calibri" w:cs="Calibri"/>
          <w:sz w:val="22"/>
          <w:szCs w:val="22"/>
        </w:rPr>
        <w:t xml:space="preserve">, but I </w:t>
      </w:r>
      <w:r w:rsidR="59D44891" w:rsidRPr="00841F3F">
        <w:rPr>
          <w:rFonts w:ascii="Calibri" w:eastAsia="Calibri" w:hAnsi="Calibri" w:cs="Calibri"/>
          <w:sz w:val="22"/>
          <w:szCs w:val="22"/>
        </w:rPr>
        <w:t xml:space="preserve">had </w:t>
      </w:r>
      <w:r w:rsidR="3AD16551" w:rsidRPr="00841F3F">
        <w:rPr>
          <w:rFonts w:ascii="Calibri" w:eastAsia="Calibri" w:hAnsi="Calibri" w:cs="Calibri"/>
          <w:sz w:val="22"/>
          <w:szCs w:val="22"/>
        </w:rPr>
        <w:t>decided to type my notes ensur</w:t>
      </w:r>
      <w:r w:rsidR="683065C3" w:rsidRPr="00841F3F">
        <w:rPr>
          <w:rFonts w:ascii="Calibri" w:eastAsia="Calibri" w:hAnsi="Calibri" w:cs="Calibri"/>
          <w:sz w:val="22"/>
          <w:szCs w:val="22"/>
        </w:rPr>
        <w:t>ing</w:t>
      </w:r>
      <w:r w:rsidR="3AD16551" w:rsidRPr="00841F3F">
        <w:rPr>
          <w:rFonts w:ascii="Calibri" w:eastAsia="Calibri" w:hAnsi="Calibri" w:cs="Calibri"/>
          <w:sz w:val="22"/>
          <w:szCs w:val="22"/>
        </w:rPr>
        <w:t xml:space="preserve"> a detailed recollection of interviewees responses.</w:t>
      </w:r>
      <w:r w:rsidR="01D7CB97" w:rsidRPr="00841F3F">
        <w:rPr>
          <w:rFonts w:ascii="Calibri" w:eastAsia="Calibri" w:hAnsi="Calibri" w:cs="Calibri"/>
          <w:sz w:val="22"/>
          <w:szCs w:val="22"/>
        </w:rPr>
        <w:t xml:space="preserve"> </w:t>
      </w:r>
      <w:r w:rsidR="68C81BFC" w:rsidRPr="00841F3F">
        <w:rPr>
          <w:rFonts w:ascii="Calibri" w:eastAsia="Calibri" w:hAnsi="Calibri" w:cs="Calibri"/>
          <w:color w:val="000000" w:themeColor="text1"/>
          <w:sz w:val="22"/>
          <w:szCs w:val="22"/>
        </w:rPr>
        <w:t xml:space="preserve">According to Bell et al., (2024, p. 216), an online questionnaire is a ‘’set of written </w:t>
      </w:r>
      <w:r w:rsidR="62FC1D71" w:rsidRPr="00841F3F">
        <w:rPr>
          <w:rFonts w:ascii="Calibri" w:eastAsia="Calibri" w:hAnsi="Calibri" w:cs="Calibri"/>
          <w:color w:val="000000" w:themeColor="text1"/>
          <w:sz w:val="22"/>
          <w:szCs w:val="22"/>
        </w:rPr>
        <w:t>questions’</w:t>
      </w:r>
      <w:r w:rsidR="68C81BFC" w:rsidRPr="00841F3F">
        <w:rPr>
          <w:rFonts w:ascii="Calibri" w:eastAsia="Calibri" w:hAnsi="Calibri" w:cs="Calibri"/>
          <w:color w:val="000000" w:themeColor="text1"/>
          <w:sz w:val="22"/>
          <w:szCs w:val="22"/>
        </w:rPr>
        <w:t xml:space="preserve"> and usually contains</w:t>
      </w:r>
      <w:r w:rsidR="68C81BFC" w:rsidRPr="00841F3F">
        <w:rPr>
          <w:rFonts w:ascii="Calibri" w:eastAsia="Calibri" w:hAnsi="Calibri" w:cs="Calibri"/>
          <w:color w:val="FF0000"/>
          <w:sz w:val="22"/>
          <w:szCs w:val="22"/>
        </w:rPr>
        <w:t xml:space="preserve"> </w:t>
      </w:r>
      <w:r w:rsidR="68C81BFC" w:rsidRPr="00841F3F">
        <w:rPr>
          <w:rFonts w:ascii="Calibri" w:eastAsia="Calibri" w:hAnsi="Calibri" w:cs="Calibri"/>
          <w:color w:val="000000" w:themeColor="text1"/>
          <w:sz w:val="22"/>
          <w:szCs w:val="22"/>
        </w:rPr>
        <w:t>open and closed questions (</w:t>
      </w:r>
      <w:proofErr w:type="spellStart"/>
      <w:r w:rsidR="68C81BFC" w:rsidRPr="00841F3F">
        <w:rPr>
          <w:rFonts w:ascii="Calibri" w:eastAsia="Calibri" w:hAnsi="Calibri" w:cs="Calibri"/>
          <w:color w:val="000000" w:themeColor="text1"/>
          <w:sz w:val="22"/>
          <w:szCs w:val="22"/>
        </w:rPr>
        <w:t>SmartSurvey</w:t>
      </w:r>
      <w:proofErr w:type="spellEnd"/>
      <w:r w:rsidR="68C81BFC" w:rsidRPr="00841F3F">
        <w:rPr>
          <w:rFonts w:ascii="Calibri" w:eastAsia="Calibri" w:hAnsi="Calibri" w:cs="Calibri"/>
          <w:color w:val="000000" w:themeColor="text1"/>
          <w:sz w:val="22"/>
          <w:szCs w:val="22"/>
        </w:rPr>
        <w:t>, 2023).</w:t>
      </w:r>
      <w:r w:rsidR="1ACBC929" w:rsidRPr="00841F3F">
        <w:rPr>
          <w:rFonts w:ascii="Calibri" w:eastAsia="Calibri" w:hAnsi="Calibri" w:cs="Calibri"/>
          <w:color w:val="000000" w:themeColor="text1"/>
          <w:sz w:val="22"/>
          <w:szCs w:val="22"/>
        </w:rPr>
        <w:t xml:space="preserve"> Microsoft {hereafter MS] Forms</w:t>
      </w:r>
      <w:r w:rsidR="000F76C8" w:rsidRPr="00841F3F">
        <w:rPr>
          <w:rFonts w:ascii="Calibri" w:eastAsia="Calibri" w:hAnsi="Calibri" w:cs="Calibri"/>
          <w:color w:val="000000" w:themeColor="text1"/>
          <w:sz w:val="22"/>
          <w:szCs w:val="22"/>
        </w:rPr>
        <w:t xml:space="preserve"> were used</w:t>
      </w:r>
      <w:r w:rsidR="1ACBC929" w:rsidRPr="00841F3F">
        <w:rPr>
          <w:rFonts w:ascii="Calibri" w:eastAsia="Calibri" w:hAnsi="Calibri" w:cs="Calibri"/>
          <w:color w:val="000000" w:themeColor="text1"/>
          <w:sz w:val="22"/>
          <w:szCs w:val="22"/>
        </w:rPr>
        <w:t xml:space="preserve"> to create and send out my questionnaire. The questionnaire opened with a concise introduction which provided staff with an overview a</w:t>
      </w:r>
      <w:r w:rsidR="3F8FEAB6" w:rsidRPr="00841F3F">
        <w:rPr>
          <w:rFonts w:ascii="Calibri" w:eastAsia="Calibri" w:hAnsi="Calibri" w:cs="Calibri"/>
          <w:color w:val="000000" w:themeColor="text1"/>
          <w:sz w:val="22"/>
          <w:szCs w:val="22"/>
        </w:rPr>
        <w:t>nd</w:t>
      </w:r>
      <w:r w:rsidR="1ACBC929" w:rsidRPr="00841F3F">
        <w:rPr>
          <w:rFonts w:ascii="Calibri" w:eastAsia="Calibri" w:hAnsi="Calibri" w:cs="Calibri"/>
          <w:color w:val="000000" w:themeColor="text1"/>
          <w:sz w:val="22"/>
          <w:szCs w:val="22"/>
        </w:rPr>
        <w:t xml:space="preserve"> an explanation as to how their data will be analysed, dependent upon their voluntary informed consent. The questionnaire consisted of twelve open and closed questions. Open </w:t>
      </w:r>
      <w:r w:rsidR="1ACBC929" w:rsidRPr="00841F3F">
        <w:rPr>
          <w:rFonts w:ascii="Calibri" w:eastAsia="Calibri" w:hAnsi="Calibri" w:cs="Calibri"/>
          <w:color w:val="000000" w:themeColor="text1"/>
          <w:sz w:val="22"/>
          <w:szCs w:val="22"/>
        </w:rPr>
        <w:lastRenderedPageBreak/>
        <w:t xml:space="preserve">questions allow participants to provide an open account using their own words, to clarify and elaborate on their answers and avoid the constraints of predetermined response categories (Cohen et al., 2018, p. 476). In contrast, closed questions are ‘’yes/no’’ or ‘’agree/disagree’’ answers which can be analysed statistically providing detail and clarification (Nielsen Norman Group, 2024). </w:t>
      </w:r>
      <w:r w:rsidR="6AC52535" w:rsidRPr="00841F3F">
        <w:rPr>
          <w:rFonts w:ascii="Calibri" w:eastAsia="Calibri" w:hAnsi="Calibri" w:cs="Calibri"/>
          <w:color w:val="000000" w:themeColor="text1"/>
          <w:sz w:val="22"/>
          <w:szCs w:val="22"/>
        </w:rPr>
        <w:t>M</w:t>
      </w:r>
      <w:r w:rsidR="1ACBC929" w:rsidRPr="00841F3F">
        <w:rPr>
          <w:rFonts w:ascii="Calibri" w:eastAsia="Calibri" w:hAnsi="Calibri" w:cs="Calibri"/>
          <w:color w:val="000000" w:themeColor="text1"/>
          <w:sz w:val="22"/>
          <w:szCs w:val="22"/>
        </w:rPr>
        <w:t>y questionnaire</w:t>
      </w:r>
      <w:r w:rsidR="645B0887" w:rsidRPr="00841F3F">
        <w:rPr>
          <w:rFonts w:ascii="Calibri" w:eastAsia="Calibri" w:hAnsi="Calibri" w:cs="Calibri"/>
          <w:color w:val="000000" w:themeColor="text1"/>
          <w:sz w:val="22"/>
          <w:szCs w:val="22"/>
        </w:rPr>
        <w:t xml:space="preserve"> was designed</w:t>
      </w:r>
      <w:r w:rsidR="1ACBC929" w:rsidRPr="00841F3F">
        <w:rPr>
          <w:rFonts w:ascii="Calibri" w:eastAsia="Calibri" w:hAnsi="Calibri" w:cs="Calibri"/>
          <w:color w:val="000000" w:themeColor="text1"/>
          <w:sz w:val="22"/>
          <w:szCs w:val="22"/>
        </w:rPr>
        <w:t xml:space="preserve"> to be completed in</w:t>
      </w:r>
      <w:r w:rsidR="187B7525" w:rsidRPr="00841F3F">
        <w:rPr>
          <w:rFonts w:ascii="Calibri" w:eastAsia="Calibri" w:hAnsi="Calibri" w:cs="Calibri"/>
          <w:color w:val="000000" w:themeColor="text1"/>
          <w:sz w:val="22"/>
          <w:szCs w:val="22"/>
        </w:rPr>
        <w:t xml:space="preserve"> approximately</w:t>
      </w:r>
      <w:r w:rsidR="1ACBC929" w:rsidRPr="00841F3F">
        <w:rPr>
          <w:rFonts w:ascii="Calibri" w:eastAsia="Calibri" w:hAnsi="Calibri" w:cs="Calibri"/>
          <w:color w:val="000000" w:themeColor="text1"/>
          <w:sz w:val="22"/>
          <w:szCs w:val="22"/>
        </w:rPr>
        <w:t xml:space="preserve"> ten minutes, as studies indicate when there are too many questions participants often rush or settle for quick answers which can significantly impact the quality, reliability and response rates (Sharma, 2022, p. 68).</w:t>
      </w:r>
      <w:r w:rsidR="18E8FB80" w:rsidRPr="00841F3F">
        <w:rPr>
          <w:rFonts w:ascii="Calibri" w:eastAsia="Calibri" w:hAnsi="Calibri" w:cs="Calibri"/>
          <w:color w:val="000000" w:themeColor="text1"/>
          <w:sz w:val="22"/>
          <w:szCs w:val="22"/>
        </w:rPr>
        <w:t xml:space="preserve"> Using MS Forms kept participants in the online questionnaire anonymous. </w:t>
      </w:r>
      <w:r w:rsidR="6585CE1D" w:rsidRPr="00841F3F">
        <w:rPr>
          <w:rFonts w:ascii="Calibri" w:eastAsia="Calibri" w:hAnsi="Calibri" w:cs="Calibri"/>
          <w:color w:val="000000" w:themeColor="text1"/>
          <w:sz w:val="22"/>
          <w:szCs w:val="22"/>
        </w:rPr>
        <w:t xml:space="preserve">This allowed participants to give truthful and impartial responses without worrying about potential consequences or criticisms. When </w:t>
      </w:r>
      <w:r w:rsidR="091AF55B" w:rsidRPr="00841F3F">
        <w:rPr>
          <w:rFonts w:ascii="Calibri" w:eastAsia="Calibri" w:hAnsi="Calibri" w:cs="Calibri"/>
          <w:color w:val="000000" w:themeColor="text1"/>
          <w:sz w:val="22"/>
          <w:szCs w:val="22"/>
        </w:rPr>
        <w:t>anonymity is preserved</w:t>
      </w:r>
      <w:r w:rsidR="6585CE1D" w:rsidRPr="00841F3F">
        <w:rPr>
          <w:rFonts w:ascii="Calibri" w:eastAsia="Calibri" w:hAnsi="Calibri" w:cs="Calibri"/>
          <w:color w:val="000000" w:themeColor="text1"/>
          <w:sz w:val="22"/>
          <w:szCs w:val="22"/>
        </w:rPr>
        <w:t xml:space="preserve">, </w:t>
      </w:r>
      <w:r w:rsidR="62C41898" w:rsidRPr="00841F3F">
        <w:rPr>
          <w:rFonts w:ascii="Calibri" w:eastAsia="Calibri" w:hAnsi="Calibri" w:cs="Calibri"/>
          <w:color w:val="000000" w:themeColor="text1"/>
          <w:sz w:val="22"/>
          <w:szCs w:val="22"/>
        </w:rPr>
        <w:t>participants</w:t>
      </w:r>
      <w:r w:rsidR="6585CE1D" w:rsidRPr="00841F3F">
        <w:rPr>
          <w:rFonts w:ascii="Calibri" w:eastAsia="Calibri" w:hAnsi="Calibri" w:cs="Calibri"/>
          <w:color w:val="000000" w:themeColor="text1"/>
          <w:sz w:val="22"/>
          <w:szCs w:val="22"/>
        </w:rPr>
        <w:t xml:space="preserve"> share their genuine thoughts and experiences (</w:t>
      </w:r>
      <w:proofErr w:type="spellStart"/>
      <w:r w:rsidR="6585CE1D" w:rsidRPr="00841F3F">
        <w:rPr>
          <w:rFonts w:ascii="Calibri" w:eastAsia="Calibri" w:hAnsi="Calibri" w:cs="Calibri"/>
          <w:color w:val="000000" w:themeColor="text1"/>
          <w:sz w:val="22"/>
          <w:szCs w:val="22"/>
        </w:rPr>
        <w:t>Pointerpro</w:t>
      </w:r>
      <w:proofErr w:type="spellEnd"/>
      <w:r w:rsidR="6585CE1D" w:rsidRPr="00841F3F">
        <w:rPr>
          <w:rFonts w:ascii="Calibri" w:eastAsia="Calibri" w:hAnsi="Calibri" w:cs="Calibri"/>
          <w:color w:val="000000" w:themeColor="text1"/>
          <w:sz w:val="22"/>
          <w:szCs w:val="22"/>
        </w:rPr>
        <w:t>, 2023).</w:t>
      </w:r>
      <w:r w:rsidR="68141968" w:rsidRPr="00841F3F">
        <w:rPr>
          <w:rFonts w:ascii="Calibri" w:eastAsia="Calibri" w:hAnsi="Calibri" w:cs="Calibri"/>
          <w:color w:val="000000" w:themeColor="text1"/>
          <w:sz w:val="22"/>
          <w:szCs w:val="22"/>
        </w:rPr>
        <w:t xml:space="preserve"> Conversely,</w:t>
      </w:r>
      <w:r w:rsidR="6585CE1D" w:rsidRPr="00841F3F">
        <w:rPr>
          <w:rFonts w:ascii="Calibri" w:eastAsia="Calibri" w:hAnsi="Calibri" w:cs="Calibri"/>
          <w:color w:val="000000" w:themeColor="text1"/>
          <w:sz w:val="22"/>
          <w:szCs w:val="22"/>
        </w:rPr>
        <w:t xml:space="preserve"> the low response rate of completed questionnaires raises the possibility of bias from non-responses which can be difficult to quantify precisely (</w:t>
      </w:r>
      <w:proofErr w:type="spellStart"/>
      <w:r w:rsidR="6585CE1D" w:rsidRPr="00841F3F">
        <w:rPr>
          <w:rFonts w:ascii="Calibri" w:eastAsia="Calibri" w:hAnsi="Calibri" w:cs="Calibri"/>
          <w:color w:val="000000" w:themeColor="text1"/>
          <w:sz w:val="22"/>
          <w:szCs w:val="22"/>
        </w:rPr>
        <w:t>Kuphanga</w:t>
      </w:r>
      <w:proofErr w:type="spellEnd"/>
      <w:r w:rsidR="6585CE1D" w:rsidRPr="00841F3F">
        <w:rPr>
          <w:rFonts w:ascii="Calibri" w:eastAsia="Calibri" w:hAnsi="Calibri" w:cs="Calibri"/>
          <w:color w:val="000000" w:themeColor="text1"/>
          <w:sz w:val="22"/>
          <w:szCs w:val="22"/>
        </w:rPr>
        <w:t>, 2024, p. 6). Additionally, Hochschild (2009, cited in Cohen at al., 2018, p. 506) asserts interviews can investigate topics more thoroughly than questionnaires can, allowing for deeper understanding of how and why individuals shape their thoughts in certain ways.</w:t>
      </w:r>
    </w:p>
    <w:p w14:paraId="1323287B" w14:textId="7855B671" w:rsidR="7D7EBAC3" w:rsidRPr="00841F3F" w:rsidRDefault="311DA253" w:rsidP="00841F3F">
      <w:pPr>
        <w:spacing w:line="360" w:lineRule="auto"/>
        <w:rPr>
          <w:rFonts w:ascii="Calibri" w:eastAsia="Calibri" w:hAnsi="Calibri" w:cs="Calibri"/>
          <w:color w:val="000000" w:themeColor="text1"/>
          <w:sz w:val="22"/>
          <w:szCs w:val="22"/>
        </w:rPr>
      </w:pPr>
      <w:r w:rsidRPr="00841F3F">
        <w:rPr>
          <w:rFonts w:ascii="Calibri" w:eastAsia="Calibri" w:hAnsi="Calibri" w:cs="Calibri"/>
          <w:color w:val="000000" w:themeColor="text1"/>
          <w:sz w:val="22"/>
          <w:szCs w:val="22"/>
        </w:rPr>
        <w:t xml:space="preserve">This section will analyse and discuss the information collected during the research day at School X, as well as reflecting on the insights from the literature review. 4 out of 7 respondents in the online questionnaire have over 11+ years teaching experience, whilst only one respondent falls into the 1 – 2 years category, and another in the 3 – 5 and 6 – 10 years category (See Appendix </w:t>
      </w:r>
      <w:r w:rsidR="0FC32321" w:rsidRPr="00841F3F">
        <w:rPr>
          <w:rFonts w:ascii="Calibri" w:eastAsia="Calibri" w:hAnsi="Calibri" w:cs="Calibri"/>
          <w:color w:val="000000" w:themeColor="text1"/>
          <w:sz w:val="22"/>
          <w:szCs w:val="22"/>
        </w:rPr>
        <w:t xml:space="preserve">7 </w:t>
      </w:r>
      <w:r w:rsidRPr="00841F3F">
        <w:rPr>
          <w:rFonts w:ascii="Calibri" w:eastAsia="Calibri" w:hAnsi="Calibri" w:cs="Calibri"/>
          <w:color w:val="000000" w:themeColor="text1"/>
          <w:sz w:val="22"/>
          <w:szCs w:val="22"/>
        </w:rPr>
        <w:t>Q</w:t>
      </w:r>
      <w:r w:rsidR="1D149B80" w:rsidRPr="00841F3F">
        <w:rPr>
          <w:rFonts w:ascii="Calibri" w:eastAsia="Calibri" w:hAnsi="Calibri" w:cs="Calibri"/>
          <w:color w:val="000000" w:themeColor="text1"/>
          <w:sz w:val="22"/>
          <w:szCs w:val="22"/>
        </w:rPr>
        <w:t xml:space="preserve">uestion </w:t>
      </w:r>
      <w:r w:rsidRPr="00841F3F">
        <w:rPr>
          <w:rFonts w:ascii="Calibri" w:eastAsia="Calibri" w:hAnsi="Calibri" w:cs="Calibri"/>
          <w:color w:val="000000" w:themeColor="text1"/>
          <w:sz w:val="22"/>
          <w:szCs w:val="22"/>
        </w:rPr>
        <w:t xml:space="preserve">2). Having more responses from teachers with 11+ years teaching experience provided better insight into their perceptions of questioning as an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as their long-standing classroom-based teaching practice and professionalism contributed to a well-informed perspective on its implementation and effectiveness enhanc</w:t>
      </w:r>
      <w:r w:rsidR="3D125AB0" w:rsidRPr="00841F3F">
        <w:rPr>
          <w:rFonts w:ascii="Calibri" w:eastAsia="Calibri" w:hAnsi="Calibri" w:cs="Calibri"/>
          <w:color w:val="000000" w:themeColor="text1"/>
          <w:sz w:val="22"/>
          <w:szCs w:val="22"/>
        </w:rPr>
        <w:t>ing</w:t>
      </w:r>
      <w:r w:rsidRPr="00841F3F">
        <w:rPr>
          <w:rFonts w:ascii="Calibri" w:eastAsia="Calibri" w:hAnsi="Calibri" w:cs="Calibri"/>
          <w:color w:val="000000" w:themeColor="text1"/>
          <w:sz w:val="22"/>
          <w:szCs w:val="22"/>
        </w:rPr>
        <w:t xml:space="preserve"> the validity of my findings.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is predominantly used by respondents at School X, specifically the use of questioning. 4 respondents use questioning every lesson and 1 occasionally and 2 in most of their lessons. This links with Hattie’s (2009, p. 182) findings of questioning taking 50% of classroom time. 71% of responses to </w:t>
      </w:r>
      <w:r w:rsidR="44D6D002" w:rsidRPr="00841F3F">
        <w:rPr>
          <w:rFonts w:ascii="Calibri" w:eastAsia="Calibri" w:hAnsi="Calibri" w:cs="Calibri"/>
          <w:color w:val="000000" w:themeColor="text1"/>
          <w:sz w:val="22"/>
          <w:szCs w:val="22"/>
        </w:rPr>
        <w:t xml:space="preserve">question </w:t>
      </w:r>
      <w:r w:rsidR="37AAE945" w:rsidRPr="00841F3F">
        <w:rPr>
          <w:rFonts w:ascii="Calibri" w:eastAsia="Calibri" w:hAnsi="Calibri" w:cs="Calibri"/>
          <w:color w:val="000000" w:themeColor="text1"/>
          <w:sz w:val="22"/>
          <w:szCs w:val="22"/>
        </w:rPr>
        <w:t>4 agree</w:t>
      </w:r>
      <w:r w:rsidRPr="00841F3F">
        <w:rPr>
          <w:rFonts w:ascii="Calibri" w:eastAsia="Calibri" w:hAnsi="Calibri" w:cs="Calibri"/>
          <w:color w:val="000000" w:themeColor="text1"/>
          <w:sz w:val="22"/>
          <w:szCs w:val="22"/>
        </w:rPr>
        <w:t xml:space="preserve"> with the statement provided. However</w:t>
      </w:r>
      <w:r w:rsidR="481A4495" w:rsidRPr="00841F3F">
        <w:rPr>
          <w:rFonts w:ascii="Calibri" w:eastAsia="Calibri" w:hAnsi="Calibri" w:cs="Calibri"/>
          <w:color w:val="000000" w:themeColor="text1"/>
          <w:sz w:val="22"/>
          <w:szCs w:val="22"/>
        </w:rPr>
        <w:t>,</w:t>
      </w:r>
      <w:r w:rsidRPr="00841F3F">
        <w:rPr>
          <w:rFonts w:ascii="Calibri" w:eastAsia="Calibri" w:hAnsi="Calibri" w:cs="Calibri"/>
          <w:color w:val="000000" w:themeColor="text1"/>
          <w:sz w:val="22"/>
          <w:szCs w:val="22"/>
        </w:rPr>
        <w:t xml:space="preserve"> Youngman (1984: 163) indicates that humans have an inherent inclination to affirm a statement rather than reject it; this implies that a straightforward yes/no question might introduce bias among respondents. In fact, individuals may be more hesitant to endorse a negative statement than to decline a positive one (Weems et al., 2003</w:t>
      </w:r>
      <w:r w:rsidRPr="00841F3F">
        <w:rPr>
          <w:rFonts w:ascii="Calibri" w:eastAsia="Calibri" w:hAnsi="Calibri" w:cs="Calibri"/>
          <w:color w:val="1F243C"/>
          <w:sz w:val="22"/>
          <w:szCs w:val="22"/>
        </w:rPr>
        <w:t>)</w:t>
      </w:r>
      <w:r w:rsidRPr="00841F3F">
        <w:rPr>
          <w:rFonts w:ascii="Calibri" w:eastAsia="Calibri" w:hAnsi="Calibri" w:cs="Calibri"/>
          <w:color w:val="000000" w:themeColor="text1"/>
          <w:sz w:val="22"/>
          <w:szCs w:val="22"/>
        </w:rPr>
        <w:t>.  I will consider</w:t>
      </w:r>
      <w:r w:rsidR="5300D7A0" w:rsidRPr="00841F3F">
        <w:rPr>
          <w:rFonts w:ascii="Calibri" w:eastAsia="Calibri" w:hAnsi="Calibri" w:cs="Calibri"/>
          <w:color w:val="000000" w:themeColor="text1"/>
          <w:sz w:val="22"/>
          <w:szCs w:val="22"/>
        </w:rPr>
        <w:t xml:space="preserve"> this</w:t>
      </w:r>
      <w:r w:rsidRPr="00841F3F">
        <w:rPr>
          <w:rFonts w:ascii="Calibri" w:eastAsia="Calibri" w:hAnsi="Calibri" w:cs="Calibri"/>
          <w:color w:val="000000" w:themeColor="text1"/>
          <w:sz w:val="22"/>
          <w:szCs w:val="22"/>
        </w:rPr>
        <w:t xml:space="preserve"> when designing my next questionnaire. Q</w:t>
      </w:r>
      <w:r w:rsidR="16C81DE6" w:rsidRPr="00841F3F">
        <w:rPr>
          <w:rFonts w:ascii="Calibri" w:eastAsia="Calibri" w:hAnsi="Calibri" w:cs="Calibri"/>
          <w:color w:val="000000" w:themeColor="text1"/>
          <w:sz w:val="22"/>
          <w:szCs w:val="22"/>
        </w:rPr>
        <w:t xml:space="preserve">uestion </w:t>
      </w:r>
      <w:r w:rsidR="74AD5A28" w:rsidRPr="00841F3F">
        <w:rPr>
          <w:rFonts w:ascii="Calibri" w:eastAsia="Calibri" w:hAnsi="Calibri" w:cs="Calibri"/>
          <w:color w:val="000000" w:themeColor="text1"/>
          <w:sz w:val="22"/>
          <w:szCs w:val="22"/>
        </w:rPr>
        <w:t>6 revealed</w:t>
      </w:r>
      <w:r w:rsidRPr="00841F3F">
        <w:rPr>
          <w:rFonts w:ascii="Calibri" w:eastAsia="Calibri" w:hAnsi="Calibri" w:cs="Calibri"/>
          <w:color w:val="000000" w:themeColor="text1"/>
          <w:sz w:val="22"/>
          <w:szCs w:val="22"/>
        </w:rPr>
        <w:t xml:space="preserve"> that ‘think, pair, share’ is the most used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by teachers at School X. Additionally, when interviewed a pupil stated it ‘’happens almost every lesson’’</w:t>
      </w:r>
      <w:r w:rsidR="4FB9E95E" w:rsidRPr="00841F3F">
        <w:rPr>
          <w:rFonts w:ascii="Calibri" w:eastAsia="Calibri" w:hAnsi="Calibri" w:cs="Calibri"/>
          <w:color w:val="000000" w:themeColor="text1"/>
          <w:sz w:val="22"/>
          <w:szCs w:val="22"/>
        </w:rPr>
        <w:t xml:space="preserve"> (See </w:t>
      </w:r>
      <w:r w:rsidR="0CDBB687" w:rsidRPr="00841F3F">
        <w:rPr>
          <w:rFonts w:ascii="Calibri" w:eastAsia="Calibri" w:hAnsi="Calibri" w:cs="Calibri"/>
          <w:color w:val="000000" w:themeColor="text1"/>
          <w:sz w:val="22"/>
          <w:szCs w:val="22"/>
        </w:rPr>
        <w:t>Appendix</w:t>
      </w:r>
      <w:r w:rsidR="4FB9E95E" w:rsidRPr="00841F3F">
        <w:rPr>
          <w:rFonts w:ascii="Calibri" w:eastAsia="Calibri" w:hAnsi="Calibri" w:cs="Calibri"/>
          <w:color w:val="000000" w:themeColor="text1"/>
          <w:sz w:val="22"/>
          <w:szCs w:val="22"/>
        </w:rPr>
        <w:t xml:space="preserve"> 8).</w:t>
      </w:r>
      <w:r w:rsidRPr="00841F3F">
        <w:rPr>
          <w:rFonts w:ascii="Calibri" w:eastAsia="Calibri" w:hAnsi="Calibri" w:cs="Calibri"/>
          <w:color w:val="000000" w:themeColor="text1"/>
          <w:sz w:val="22"/>
          <w:szCs w:val="22"/>
        </w:rPr>
        <w:t xml:space="preserve"> It is suggested that think, pair, share facilitates increased levels of pupil participation, leading to higher academic achievement </w:t>
      </w:r>
      <w:r w:rsidRPr="00841F3F">
        <w:rPr>
          <w:rFonts w:ascii="Calibri" w:eastAsia="Calibri" w:hAnsi="Calibri" w:cs="Calibri"/>
          <w:color w:val="000000" w:themeColor="text1"/>
          <w:sz w:val="22"/>
          <w:szCs w:val="22"/>
        </w:rPr>
        <w:lastRenderedPageBreak/>
        <w:t xml:space="preserve">(Research Schools Network, 2022). Most respondents who selected think, pair, share as their preferred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said ‘’it includes all pupils in their learning’’ and is the ‘’easiest to incorporate into lessons</w:t>
      </w:r>
      <w:r w:rsidR="290B2420" w:rsidRPr="00841F3F">
        <w:rPr>
          <w:rFonts w:ascii="Calibri" w:eastAsia="Calibri" w:hAnsi="Calibri" w:cs="Calibri"/>
          <w:color w:val="000000" w:themeColor="text1"/>
          <w:sz w:val="22"/>
          <w:szCs w:val="22"/>
        </w:rPr>
        <w:t>.</w:t>
      </w:r>
      <w:r w:rsidRPr="00841F3F">
        <w:rPr>
          <w:rFonts w:ascii="Calibri" w:eastAsia="Calibri" w:hAnsi="Calibri" w:cs="Calibri"/>
          <w:color w:val="000000" w:themeColor="text1"/>
          <w:sz w:val="22"/>
          <w:szCs w:val="22"/>
        </w:rPr>
        <w:t>’’</w:t>
      </w:r>
      <w:r w:rsidR="502136CB" w:rsidRPr="00841F3F">
        <w:rPr>
          <w:rFonts w:ascii="Calibri" w:eastAsia="Calibri" w:hAnsi="Calibri" w:cs="Calibri"/>
          <w:color w:val="000000" w:themeColor="text1"/>
          <w:sz w:val="22"/>
          <w:szCs w:val="22"/>
        </w:rPr>
        <w:t xml:space="preserve"> </w:t>
      </w:r>
      <w:r w:rsidRPr="00841F3F">
        <w:rPr>
          <w:rFonts w:ascii="Calibri" w:eastAsia="Calibri" w:hAnsi="Calibri" w:cs="Calibri"/>
          <w:color w:val="000000" w:themeColor="text1"/>
          <w:sz w:val="22"/>
          <w:szCs w:val="22"/>
        </w:rPr>
        <w:t xml:space="preserve">It also provides learners with the chance to ‘’recall, process, practice and communicate what they have learned’’ (Cooper et al., 2020, p. 2). Another commonly used strategy is ‘open questions.’ This contrasts with the findings of the literature review as Jiang (2014, p. 292) indicates that 81% of questions posed by teachers were convergent, otherwise referred to as closed questions. Open questions appear to be a preferred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amongst Foundation Learning Phase [hereafter FLP] teachers with one stating ‘’due to the age of the children, they often struggle to answer questions comprehensively so open questions encourages them to do this</w:t>
      </w:r>
      <w:r w:rsidR="5EDFBA77" w:rsidRPr="00841F3F">
        <w:rPr>
          <w:rFonts w:ascii="Calibri" w:eastAsia="Calibri" w:hAnsi="Calibri" w:cs="Calibri"/>
          <w:color w:val="000000" w:themeColor="text1"/>
          <w:sz w:val="22"/>
          <w:szCs w:val="22"/>
        </w:rPr>
        <w:t>.</w:t>
      </w:r>
      <w:r w:rsidRPr="00841F3F">
        <w:rPr>
          <w:rFonts w:ascii="Calibri" w:eastAsia="Calibri" w:hAnsi="Calibri" w:cs="Calibri"/>
          <w:color w:val="000000" w:themeColor="text1"/>
          <w:sz w:val="22"/>
          <w:szCs w:val="22"/>
        </w:rPr>
        <w:t>’’</w:t>
      </w:r>
      <w:r w:rsidR="56B98769" w:rsidRPr="00841F3F">
        <w:rPr>
          <w:rFonts w:ascii="Calibri" w:eastAsia="Calibri" w:hAnsi="Calibri" w:cs="Calibri"/>
          <w:color w:val="000000" w:themeColor="text1"/>
          <w:sz w:val="22"/>
          <w:szCs w:val="22"/>
        </w:rPr>
        <w:t xml:space="preserve"> </w:t>
      </w:r>
      <w:r w:rsidR="23D011CC" w:rsidRPr="00841F3F">
        <w:rPr>
          <w:rFonts w:ascii="Calibri" w:eastAsia="Calibri" w:hAnsi="Calibri" w:cs="Calibri"/>
          <w:color w:val="000000" w:themeColor="text1"/>
          <w:sz w:val="22"/>
          <w:szCs w:val="22"/>
        </w:rPr>
        <w:t>R</w:t>
      </w:r>
      <w:r w:rsidRPr="00841F3F">
        <w:rPr>
          <w:rFonts w:ascii="Calibri" w:eastAsia="Calibri" w:hAnsi="Calibri" w:cs="Calibri"/>
          <w:color w:val="000000" w:themeColor="text1"/>
          <w:sz w:val="22"/>
          <w:szCs w:val="22"/>
        </w:rPr>
        <w:t>eflect</w:t>
      </w:r>
      <w:r w:rsidR="5B6DD541" w:rsidRPr="00841F3F">
        <w:rPr>
          <w:rFonts w:ascii="Calibri" w:eastAsia="Calibri" w:hAnsi="Calibri" w:cs="Calibri"/>
          <w:color w:val="000000" w:themeColor="text1"/>
          <w:sz w:val="22"/>
          <w:szCs w:val="22"/>
        </w:rPr>
        <w:t>ing</w:t>
      </w:r>
      <w:r w:rsidRPr="00841F3F">
        <w:rPr>
          <w:rFonts w:ascii="Calibri" w:eastAsia="Calibri" w:hAnsi="Calibri" w:cs="Calibri"/>
          <w:color w:val="000000" w:themeColor="text1"/>
          <w:sz w:val="22"/>
          <w:szCs w:val="22"/>
        </w:rPr>
        <w:t xml:space="preserve"> the findings of the literature review Black and Wiliam (1998, p. 9) recommend the communication between teachers and pupils should be considerate </w:t>
      </w:r>
      <w:r w:rsidR="167BF023" w:rsidRPr="00841F3F">
        <w:rPr>
          <w:rFonts w:ascii="Calibri" w:eastAsia="Calibri" w:hAnsi="Calibri" w:cs="Calibri"/>
          <w:color w:val="000000" w:themeColor="text1"/>
          <w:sz w:val="22"/>
          <w:szCs w:val="22"/>
        </w:rPr>
        <w:t>enabling</w:t>
      </w:r>
      <w:r w:rsidRPr="00841F3F">
        <w:rPr>
          <w:rFonts w:ascii="Calibri" w:eastAsia="Calibri" w:hAnsi="Calibri" w:cs="Calibri"/>
          <w:color w:val="000000" w:themeColor="text1"/>
          <w:sz w:val="22"/>
          <w:szCs w:val="22"/>
        </w:rPr>
        <w:t xml:space="preserve"> learners a chance to reflect and share their ideas. The use of </w:t>
      </w:r>
      <w:proofErr w:type="gramStart"/>
      <w:r w:rsidRPr="00841F3F">
        <w:rPr>
          <w:rFonts w:ascii="Calibri" w:eastAsia="Calibri" w:hAnsi="Calibri" w:cs="Calibri"/>
          <w:color w:val="000000" w:themeColor="text1"/>
          <w:sz w:val="22"/>
          <w:szCs w:val="22"/>
        </w:rPr>
        <w:t>mini-whiteboards</w:t>
      </w:r>
      <w:proofErr w:type="gramEnd"/>
      <w:r w:rsidRPr="00841F3F">
        <w:rPr>
          <w:rFonts w:ascii="Calibri" w:eastAsia="Calibri" w:hAnsi="Calibri" w:cs="Calibri"/>
          <w:color w:val="000000" w:themeColor="text1"/>
          <w:sz w:val="22"/>
          <w:szCs w:val="22"/>
        </w:rPr>
        <w:t xml:space="preserve"> was also a commonly used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at School X with one respondent stating they can be used to ‘’quickly check pupil's understanding’’ which links to formative </w:t>
      </w:r>
      <w:proofErr w:type="spellStart"/>
      <w:r w:rsidRPr="00841F3F">
        <w:rPr>
          <w:rFonts w:ascii="Calibri" w:eastAsia="Calibri" w:hAnsi="Calibri" w:cs="Calibri"/>
          <w:color w:val="000000" w:themeColor="text1"/>
          <w:sz w:val="22"/>
          <w:szCs w:val="22"/>
        </w:rPr>
        <w:t>AfL’s</w:t>
      </w:r>
      <w:proofErr w:type="spellEnd"/>
      <w:r w:rsidRPr="00841F3F">
        <w:rPr>
          <w:rFonts w:ascii="Calibri" w:eastAsia="Calibri" w:hAnsi="Calibri" w:cs="Calibri"/>
          <w:color w:val="000000" w:themeColor="text1"/>
          <w:sz w:val="22"/>
          <w:szCs w:val="22"/>
        </w:rPr>
        <w:t xml:space="preserve"> purpose of providing quick yet informative feedback for teachers to adapt their instruction if required. The responses from the interviews were analysed using a thematic approach </w:t>
      </w:r>
      <w:r w:rsidR="3E12003D" w:rsidRPr="00841F3F">
        <w:rPr>
          <w:rFonts w:ascii="Calibri" w:eastAsia="Calibri" w:hAnsi="Calibri" w:cs="Calibri"/>
          <w:color w:val="000000" w:themeColor="text1"/>
          <w:sz w:val="22"/>
          <w:szCs w:val="22"/>
        </w:rPr>
        <w:t>called</w:t>
      </w:r>
      <w:r w:rsidRPr="00841F3F">
        <w:rPr>
          <w:rFonts w:ascii="Calibri" w:eastAsia="Calibri" w:hAnsi="Calibri" w:cs="Calibri"/>
          <w:color w:val="000000" w:themeColor="text1"/>
          <w:sz w:val="22"/>
          <w:szCs w:val="22"/>
        </w:rPr>
        <w:t xml:space="preserve"> coding</w:t>
      </w:r>
      <w:r w:rsidR="569A3E6E" w:rsidRPr="00841F3F">
        <w:rPr>
          <w:rFonts w:ascii="Calibri" w:eastAsia="Calibri" w:hAnsi="Calibri" w:cs="Calibri"/>
          <w:color w:val="000000" w:themeColor="text1"/>
          <w:sz w:val="22"/>
          <w:szCs w:val="22"/>
        </w:rPr>
        <w:t xml:space="preserve"> (See Appendix 9)</w:t>
      </w:r>
      <w:r w:rsidRPr="00841F3F">
        <w:rPr>
          <w:rFonts w:ascii="Calibri" w:eastAsia="Calibri" w:hAnsi="Calibri" w:cs="Calibri"/>
          <w:color w:val="000000" w:themeColor="text1"/>
          <w:sz w:val="22"/>
          <w:szCs w:val="22"/>
        </w:rPr>
        <w:t xml:space="preserve">. </w:t>
      </w:r>
      <w:proofErr w:type="spellStart"/>
      <w:r w:rsidRPr="00841F3F">
        <w:rPr>
          <w:rFonts w:ascii="Calibri" w:eastAsia="Calibri" w:hAnsi="Calibri" w:cs="Calibri"/>
          <w:color w:val="000000" w:themeColor="text1"/>
          <w:sz w:val="22"/>
          <w:szCs w:val="22"/>
        </w:rPr>
        <w:t>Mcleod</w:t>
      </w:r>
      <w:proofErr w:type="spellEnd"/>
      <w:r w:rsidRPr="00841F3F">
        <w:rPr>
          <w:rFonts w:ascii="Calibri" w:eastAsia="Calibri" w:hAnsi="Calibri" w:cs="Calibri"/>
          <w:color w:val="000000" w:themeColor="text1"/>
          <w:sz w:val="22"/>
          <w:szCs w:val="22"/>
        </w:rPr>
        <w:t xml:space="preserve"> (2024) explains coding is the examination of qualitative data, typically in textual form, by applying labels to parts of information, that encapsulates their core meaning. Using this method allowed me to summarise, categorise and </w:t>
      </w:r>
      <w:proofErr w:type="spellStart"/>
      <w:r w:rsidRPr="00841F3F">
        <w:rPr>
          <w:rFonts w:ascii="Calibri" w:eastAsia="Calibri" w:hAnsi="Calibri" w:cs="Calibri"/>
          <w:color w:val="000000" w:themeColor="text1"/>
          <w:sz w:val="22"/>
          <w:szCs w:val="22"/>
        </w:rPr>
        <w:t>interpet</w:t>
      </w:r>
      <w:proofErr w:type="spellEnd"/>
      <w:r w:rsidRPr="00841F3F">
        <w:rPr>
          <w:rFonts w:ascii="Calibri" w:eastAsia="Calibri" w:hAnsi="Calibri" w:cs="Calibri"/>
          <w:color w:val="000000" w:themeColor="text1"/>
          <w:sz w:val="22"/>
          <w:szCs w:val="22"/>
        </w:rPr>
        <w:t xml:space="preserve"> the data I had collected. When asked if they enjoy answering questions in class pupils were mixed. 3 said they enjoy answering questions, whereas 3 did not. Question 7 was ‘’do you think answering questions helps you learn?’’ Most pupils responded with yes, but 1 remained neutral and said ‘’it is just answering questions... you do not know the answer to every question.’’ This demonstrates a limitation of questioning as an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as not all pupils feel comfortable asking questions and some questions may be phrased difficulty, resulting in pupils not feeling confident enough to respond. On the other hand, it does reflect the findings of the literature review as pupils have become accustomed to the use of questioning as an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despite its mixed </w:t>
      </w:r>
      <w:proofErr w:type="gramStart"/>
      <w:r w:rsidRPr="00841F3F">
        <w:rPr>
          <w:rFonts w:ascii="Calibri" w:eastAsia="Calibri" w:hAnsi="Calibri" w:cs="Calibri"/>
          <w:color w:val="000000" w:themeColor="text1"/>
          <w:sz w:val="22"/>
          <w:szCs w:val="22"/>
        </w:rPr>
        <w:t>reaction, and</w:t>
      </w:r>
      <w:proofErr w:type="gramEnd"/>
      <w:r w:rsidRPr="00841F3F">
        <w:rPr>
          <w:rFonts w:ascii="Calibri" w:eastAsia="Calibri" w:hAnsi="Calibri" w:cs="Calibri"/>
          <w:color w:val="000000" w:themeColor="text1"/>
          <w:sz w:val="22"/>
          <w:szCs w:val="22"/>
        </w:rPr>
        <w:t xml:space="preserve"> know it will help develop their learning as it is a way for them to ‘’get smarter’’ and adds an additional seven months of learning (Education Endowment Foundation, 2021).</w:t>
      </w:r>
    </w:p>
    <w:p w14:paraId="1E62BFC9" w14:textId="474FB50E" w:rsidR="3610E927" w:rsidRPr="00841F3F" w:rsidRDefault="311DA253" w:rsidP="00841F3F">
      <w:pPr>
        <w:spacing w:line="360" w:lineRule="auto"/>
        <w:rPr>
          <w:rFonts w:ascii="Calibri" w:eastAsia="Calibri" w:hAnsi="Calibri" w:cs="Calibri"/>
          <w:sz w:val="22"/>
          <w:szCs w:val="22"/>
        </w:rPr>
      </w:pPr>
      <w:r w:rsidRPr="00841F3F">
        <w:rPr>
          <w:rFonts w:ascii="Calibri" w:eastAsia="Calibri" w:hAnsi="Calibri" w:cs="Calibri"/>
          <w:color w:val="000000" w:themeColor="text1"/>
          <w:sz w:val="22"/>
          <w:szCs w:val="22"/>
        </w:rPr>
        <w:t xml:space="preserve">The aim of this research was to explore staff and pupil’s perceptions on questioning as an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in the classroom. After writing the literature review, analysing the questionnaire and interviews, my research findings have found that questioning is </w:t>
      </w:r>
      <w:proofErr w:type="spellStart"/>
      <w:r w:rsidRPr="00841F3F">
        <w:rPr>
          <w:rFonts w:ascii="Calibri" w:eastAsia="Calibri" w:hAnsi="Calibri" w:cs="Calibri"/>
          <w:color w:val="000000" w:themeColor="text1"/>
          <w:sz w:val="22"/>
          <w:szCs w:val="22"/>
        </w:rPr>
        <w:t>percieved</w:t>
      </w:r>
      <w:proofErr w:type="spellEnd"/>
      <w:r w:rsidRPr="00841F3F">
        <w:rPr>
          <w:rFonts w:ascii="Calibri" w:eastAsia="Calibri" w:hAnsi="Calibri" w:cs="Calibri"/>
          <w:color w:val="000000" w:themeColor="text1"/>
          <w:sz w:val="22"/>
          <w:szCs w:val="22"/>
        </w:rPr>
        <w:t xml:space="preserve"> as an effective and predominantly used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strategy by teachers with 11+ years of teaching experience. There is a shared agreement that having in-depth conversations with pupils can aid their progression with the use of </w:t>
      </w:r>
      <w:proofErr w:type="spellStart"/>
      <w:r w:rsidRPr="00841F3F">
        <w:rPr>
          <w:rFonts w:ascii="Calibri" w:eastAsia="Calibri" w:hAnsi="Calibri" w:cs="Calibri"/>
          <w:color w:val="000000" w:themeColor="text1"/>
          <w:sz w:val="22"/>
          <w:szCs w:val="22"/>
        </w:rPr>
        <w:t>AfL</w:t>
      </w:r>
      <w:proofErr w:type="spellEnd"/>
      <w:r w:rsidRPr="00841F3F">
        <w:rPr>
          <w:rFonts w:ascii="Calibri" w:eastAsia="Calibri" w:hAnsi="Calibri" w:cs="Calibri"/>
          <w:color w:val="000000" w:themeColor="text1"/>
          <w:sz w:val="22"/>
          <w:szCs w:val="22"/>
        </w:rPr>
        <w:t xml:space="preserve"> strategies, namely think, </w:t>
      </w:r>
      <w:r w:rsidRPr="00841F3F">
        <w:rPr>
          <w:rFonts w:ascii="Calibri" w:eastAsia="Calibri" w:hAnsi="Calibri" w:cs="Calibri"/>
          <w:color w:val="000000" w:themeColor="text1"/>
          <w:sz w:val="22"/>
          <w:szCs w:val="22"/>
        </w:rPr>
        <w:lastRenderedPageBreak/>
        <w:t xml:space="preserve">pair, share, open questions and </w:t>
      </w:r>
      <w:proofErr w:type="gramStart"/>
      <w:r w:rsidRPr="00841F3F">
        <w:rPr>
          <w:rFonts w:ascii="Calibri" w:eastAsia="Calibri" w:hAnsi="Calibri" w:cs="Calibri"/>
          <w:color w:val="000000" w:themeColor="text1"/>
          <w:sz w:val="22"/>
          <w:szCs w:val="22"/>
        </w:rPr>
        <w:t>mini-whiteboards</w:t>
      </w:r>
      <w:proofErr w:type="gramEnd"/>
      <w:r w:rsidRPr="00841F3F">
        <w:rPr>
          <w:rFonts w:ascii="Calibri" w:eastAsia="Calibri" w:hAnsi="Calibri" w:cs="Calibri"/>
          <w:color w:val="000000" w:themeColor="text1"/>
          <w:sz w:val="22"/>
          <w:szCs w:val="22"/>
        </w:rPr>
        <w:t xml:space="preserve"> aiding this development. Pupils were evidently mixed in their feelings about the use of </w:t>
      </w:r>
      <w:proofErr w:type="gramStart"/>
      <w:r w:rsidRPr="00841F3F">
        <w:rPr>
          <w:rFonts w:ascii="Calibri" w:eastAsia="Calibri" w:hAnsi="Calibri" w:cs="Calibri"/>
          <w:color w:val="000000" w:themeColor="text1"/>
          <w:sz w:val="22"/>
          <w:szCs w:val="22"/>
        </w:rPr>
        <w:t>questioning, but</w:t>
      </w:r>
      <w:proofErr w:type="gramEnd"/>
      <w:r w:rsidRPr="00841F3F">
        <w:rPr>
          <w:rFonts w:ascii="Calibri" w:eastAsia="Calibri" w:hAnsi="Calibri" w:cs="Calibri"/>
          <w:color w:val="000000" w:themeColor="text1"/>
          <w:sz w:val="22"/>
          <w:szCs w:val="22"/>
        </w:rPr>
        <w:t xml:space="preserve"> acknowledged the benefits and justification of its uses by their teachers. Completing this research has allowed me to take a step towards meeting one of the Qualified Teacher Standards in the form of ‘’the teacher has an informed understanding of the contribution of research, including small scale action research, to the development of practice’’ (Welsh Government, 2019, p. 49). BERA (2014, cited in Grigg, 2016, p. 216) argues that schools should become research-rich environments and that teachers need to be ‘research literate’ for Wales to improve its education system. </w:t>
      </w:r>
      <w:r w:rsidRPr="00841F3F">
        <w:rPr>
          <w:rFonts w:ascii="Calibri" w:eastAsia="Calibri" w:hAnsi="Calibri" w:cs="Calibri"/>
          <w:sz w:val="22"/>
          <w:szCs w:val="22"/>
        </w:rPr>
        <w:t xml:space="preserve"> </w:t>
      </w:r>
    </w:p>
    <w:p w14:paraId="44ADDC59" w14:textId="429169F8" w:rsidR="018FB3BB" w:rsidRPr="00841F3F" w:rsidRDefault="018FB3BB" w:rsidP="00841F3F">
      <w:pPr>
        <w:spacing w:line="360" w:lineRule="auto"/>
        <w:rPr>
          <w:rFonts w:ascii="Calibri" w:eastAsia="Calibri" w:hAnsi="Calibri" w:cs="Calibri"/>
          <w:b/>
          <w:bCs/>
          <w:i/>
          <w:iCs/>
          <w:sz w:val="22"/>
          <w:szCs w:val="22"/>
          <w:u w:val="single"/>
        </w:rPr>
      </w:pPr>
      <w:r w:rsidRPr="00841F3F">
        <w:rPr>
          <w:rFonts w:ascii="Calibri" w:eastAsia="Calibri" w:hAnsi="Calibri" w:cs="Calibri"/>
          <w:b/>
          <w:bCs/>
          <w:i/>
          <w:iCs/>
          <w:sz w:val="22"/>
          <w:szCs w:val="22"/>
          <w:u w:val="single"/>
        </w:rPr>
        <w:t>Reference list</w:t>
      </w:r>
    </w:p>
    <w:p w14:paraId="09FB0748"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Arafat, Y. (2024) ‘</w:t>
      </w:r>
      <w:r w:rsidRPr="00841F3F">
        <w:rPr>
          <w:rFonts w:ascii="Calibri" w:hAnsi="Calibri" w:cs="Calibri"/>
          <w:i/>
          <w:iCs/>
          <w:sz w:val="22"/>
          <w:szCs w:val="22"/>
          <w:lang w:val="en-US"/>
        </w:rPr>
        <w:t>Research Ethics: Meaning and Principles</w:t>
      </w:r>
      <w:r w:rsidRPr="00841F3F">
        <w:rPr>
          <w:rFonts w:ascii="Calibri" w:hAnsi="Calibri" w:cs="Calibri"/>
          <w:sz w:val="22"/>
          <w:szCs w:val="22"/>
          <w:lang w:val="en-US"/>
        </w:rPr>
        <w:t xml:space="preserve">,’ International Journal of Academic and Multidisciplinary Research (IJAMR), 8 (1), pp. 139 – 144. Available at: </w:t>
      </w:r>
      <w:r w:rsidRPr="00841F3F">
        <w:rPr>
          <w:rFonts w:ascii="Calibri" w:hAnsi="Calibri" w:cs="Calibri"/>
          <w:color w:val="0070C0"/>
          <w:sz w:val="22"/>
          <w:szCs w:val="22"/>
          <w:u w:val="single"/>
        </w:rPr>
        <w:t>DOI:</w:t>
      </w:r>
      <w:hyperlink r:id="rId4" w:tgtFrame="_blank" w:history="1">
        <w:r w:rsidRPr="00841F3F">
          <w:rPr>
            <w:rStyle w:val="Hyperlink"/>
            <w:rFonts w:ascii="Calibri" w:hAnsi="Calibri" w:cs="Calibri"/>
            <w:color w:val="0070C0"/>
            <w:sz w:val="22"/>
            <w:szCs w:val="22"/>
          </w:rPr>
          <w:t>10.2139/ssrn.4887943</w:t>
        </w:r>
      </w:hyperlink>
    </w:p>
    <w:p w14:paraId="7E530FE6"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Arksey, H. and Knight, P. (1999)</w:t>
      </w:r>
      <w:r w:rsidRPr="00841F3F">
        <w:rPr>
          <w:rFonts w:ascii="Calibri" w:hAnsi="Calibri" w:cs="Calibri"/>
          <w:i/>
          <w:iCs/>
          <w:sz w:val="22"/>
          <w:szCs w:val="22"/>
          <w:lang w:val="en-US"/>
        </w:rPr>
        <w:t xml:space="preserve"> Interviewing for Social Scientists: </w:t>
      </w:r>
      <w:proofErr w:type="gramStart"/>
      <w:r w:rsidRPr="00841F3F">
        <w:rPr>
          <w:rFonts w:ascii="Calibri" w:hAnsi="Calibri" w:cs="Calibri"/>
          <w:i/>
          <w:iCs/>
          <w:sz w:val="22"/>
          <w:szCs w:val="22"/>
          <w:lang w:val="en-US"/>
        </w:rPr>
        <w:t>an</w:t>
      </w:r>
      <w:proofErr w:type="gramEnd"/>
      <w:r w:rsidRPr="00841F3F">
        <w:rPr>
          <w:rFonts w:ascii="Calibri" w:hAnsi="Calibri" w:cs="Calibri"/>
          <w:i/>
          <w:iCs/>
          <w:sz w:val="22"/>
          <w:szCs w:val="22"/>
          <w:lang w:val="en-US"/>
        </w:rPr>
        <w:t xml:space="preserve"> Introductory Resource with Examples</w:t>
      </w:r>
      <w:r w:rsidRPr="00841F3F">
        <w:rPr>
          <w:rFonts w:ascii="Calibri" w:hAnsi="Calibri" w:cs="Calibri"/>
          <w:sz w:val="22"/>
          <w:szCs w:val="22"/>
          <w:lang w:val="en-US"/>
        </w:rPr>
        <w:t>. London: Sage.</w:t>
      </w:r>
      <w:r w:rsidRPr="00841F3F">
        <w:rPr>
          <w:rFonts w:ascii="Calibri" w:hAnsi="Calibri" w:cs="Calibri"/>
          <w:sz w:val="22"/>
          <w:szCs w:val="22"/>
        </w:rPr>
        <w:t> </w:t>
      </w:r>
    </w:p>
    <w:p w14:paraId="5395D3FA"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Bell, J., Waters, S. and Johnson, H. (2024) </w:t>
      </w:r>
      <w:r w:rsidRPr="00841F3F">
        <w:rPr>
          <w:rFonts w:ascii="Calibri" w:hAnsi="Calibri" w:cs="Calibri"/>
          <w:i/>
          <w:iCs/>
          <w:sz w:val="22"/>
          <w:szCs w:val="22"/>
          <w:lang w:val="en-US"/>
        </w:rPr>
        <w:t>Doing Your Research Project: A guide for first-time researchers</w:t>
      </w:r>
      <w:r w:rsidRPr="00841F3F">
        <w:rPr>
          <w:rFonts w:ascii="Calibri" w:hAnsi="Calibri" w:cs="Calibri"/>
          <w:sz w:val="22"/>
          <w:szCs w:val="22"/>
          <w:lang w:val="en-US"/>
        </w:rPr>
        <w:t>. 8</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w:t>
      </w:r>
      <w:proofErr w:type="spellStart"/>
      <w:proofErr w:type="gramStart"/>
      <w:r w:rsidRPr="00841F3F">
        <w:rPr>
          <w:rFonts w:ascii="Calibri" w:hAnsi="Calibri" w:cs="Calibri"/>
          <w:sz w:val="22"/>
          <w:szCs w:val="22"/>
          <w:lang w:val="en-US"/>
        </w:rPr>
        <w:t>edn</w:t>
      </w:r>
      <w:proofErr w:type="spellEnd"/>
      <w:proofErr w:type="gramEnd"/>
      <w:r w:rsidRPr="00841F3F">
        <w:rPr>
          <w:rFonts w:ascii="Calibri" w:hAnsi="Calibri" w:cs="Calibri"/>
          <w:sz w:val="22"/>
          <w:szCs w:val="22"/>
          <w:lang w:val="en-US"/>
        </w:rPr>
        <w:t>. Maidenhead: Open University Press.</w:t>
      </w:r>
      <w:r w:rsidRPr="00841F3F">
        <w:rPr>
          <w:rFonts w:ascii="Calibri" w:hAnsi="Calibri" w:cs="Calibri"/>
          <w:sz w:val="22"/>
          <w:szCs w:val="22"/>
        </w:rPr>
        <w:t> </w:t>
      </w:r>
    </w:p>
    <w:p w14:paraId="35F20D8A"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BERA (2024) </w:t>
      </w:r>
      <w:r w:rsidRPr="00841F3F">
        <w:rPr>
          <w:rFonts w:ascii="Calibri" w:hAnsi="Calibri" w:cs="Calibri"/>
          <w:i/>
          <w:iCs/>
          <w:sz w:val="22"/>
          <w:szCs w:val="22"/>
          <w:lang w:val="en-US"/>
        </w:rPr>
        <w:t>Ethical Guidelines for Educational Research</w:t>
      </w:r>
      <w:r w:rsidRPr="00841F3F">
        <w:rPr>
          <w:rFonts w:ascii="Calibri" w:hAnsi="Calibri" w:cs="Calibri"/>
          <w:sz w:val="22"/>
          <w:szCs w:val="22"/>
          <w:lang w:val="en-US"/>
        </w:rPr>
        <w:t>. 5</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w:t>
      </w:r>
      <w:proofErr w:type="spellStart"/>
      <w:proofErr w:type="gramStart"/>
      <w:r w:rsidRPr="00841F3F">
        <w:rPr>
          <w:rFonts w:ascii="Calibri" w:hAnsi="Calibri" w:cs="Calibri"/>
          <w:sz w:val="22"/>
          <w:szCs w:val="22"/>
          <w:lang w:val="en-US"/>
        </w:rPr>
        <w:t>edn</w:t>
      </w:r>
      <w:proofErr w:type="spellEnd"/>
      <w:proofErr w:type="gramEnd"/>
      <w:r w:rsidRPr="00841F3F">
        <w:rPr>
          <w:rFonts w:ascii="Calibri" w:hAnsi="Calibri" w:cs="Calibri"/>
          <w:sz w:val="22"/>
          <w:szCs w:val="22"/>
          <w:lang w:val="en-US"/>
        </w:rPr>
        <w:t xml:space="preserve">. Available at: </w:t>
      </w:r>
      <w:hyperlink r:id="rId5" w:tgtFrame="_blank" w:history="1">
        <w:r w:rsidRPr="00841F3F">
          <w:rPr>
            <w:rStyle w:val="Hyperlink"/>
            <w:rFonts w:ascii="Calibri" w:hAnsi="Calibri" w:cs="Calibri"/>
            <w:sz w:val="22"/>
            <w:szCs w:val="22"/>
            <w:lang w:val="en-US"/>
          </w:rPr>
          <w:t>https://www.bera.ac.uk/publication/ethical-guidelines-for-educational-research-fifth-edition-2024-online</w:t>
        </w:r>
      </w:hyperlink>
      <w:r w:rsidRPr="00841F3F">
        <w:rPr>
          <w:rFonts w:ascii="Calibri" w:hAnsi="Calibri" w:cs="Calibri"/>
          <w:sz w:val="22"/>
          <w:szCs w:val="22"/>
          <w:lang w:val="en-US"/>
        </w:rPr>
        <w:t xml:space="preserve"> (Accessed: 20</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21FE3A4E"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Black, P. and Wiliam, D. (1998) ‘</w:t>
      </w:r>
      <w:r w:rsidRPr="00841F3F">
        <w:rPr>
          <w:rFonts w:ascii="Calibri" w:hAnsi="Calibri" w:cs="Calibri"/>
          <w:i/>
          <w:iCs/>
          <w:sz w:val="22"/>
          <w:szCs w:val="22"/>
          <w:lang w:val="en-US"/>
        </w:rPr>
        <w:t>Inside the Black Box: Raising Standards through Classroom Assessment</w:t>
      </w:r>
      <w:r w:rsidRPr="00841F3F">
        <w:rPr>
          <w:rFonts w:ascii="Calibri" w:hAnsi="Calibri" w:cs="Calibri"/>
          <w:sz w:val="22"/>
          <w:szCs w:val="22"/>
          <w:lang w:val="en-US"/>
        </w:rPr>
        <w:t xml:space="preserve">,’ Phi Delta </w:t>
      </w:r>
      <w:proofErr w:type="spellStart"/>
      <w:r w:rsidRPr="00841F3F">
        <w:rPr>
          <w:rFonts w:ascii="Calibri" w:hAnsi="Calibri" w:cs="Calibri"/>
          <w:sz w:val="22"/>
          <w:szCs w:val="22"/>
          <w:lang w:val="en-US"/>
        </w:rPr>
        <w:t>Kappan</w:t>
      </w:r>
      <w:proofErr w:type="spellEnd"/>
      <w:r w:rsidRPr="00841F3F">
        <w:rPr>
          <w:rFonts w:ascii="Calibri" w:hAnsi="Calibri" w:cs="Calibri"/>
          <w:sz w:val="22"/>
          <w:szCs w:val="22"/>
          <w:lang w:val="en-US"/>
        </w:rPr>
        <w:t xml:space="preserve">, 92(1), pp.139–148. Available at: </w:t>
      </w:r>
      <w:r w:rsidRPr="00841F3F">
        <w:rPr>
          <w:rFonts w:ascii="Calibri" w:hAnsi="Calibri" w:cs="Calibri"/>
          <w:color w:val="0070C0"/>
          <w:sz w:val="22"/>
          <w:szCs w:val="22"/>
          <w:u w:val="single"/>
        </w:rPr>
        <w:t>DOI:</w:t>
      </w:r>
      <w:hyperlink r:id="rId6" w:tgtFrame="_blank" w:history="1">
        <w:r w:rsidRPr="00841F3F">
          <w:rPr>
            <w:rStyle w:val="Hyperlink"/>
            <w:rFonts w:ascii="Calibri" w:hAnsi="Calibri" w:cs="Calibri"/>
            <w:color w:val="0070C0"/>
            <w:sz w:val="22"/>
            <w:szCs w:val="22"/>
          </w:rPr>
          <w:t>10.1177/003172171009200119</w:t>
        </w:r>
      </w:hyperlink>
    </w:p>
    <w:p w14:paraId="310F8DA4"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Black, P., Harrison, C., Lee, C., Marshall, B. and Wiliam, D. (2003) </w:t>
      </w:r>
      <w:r w:rsidRPr="00841F3F">
        <w:rPr>
          <w:rFonts w:ascii="Calibri" w:hAnsi="Calibri" w:cs="Calibri"/>
          <w:i/>
          <w:iCs/>
          <w:sz w:val="22"/>
          <w:szCs w:val="22"/>
          <w:lang w:val="en-US"/>
        </w:rPr>
        <w:t>Assessment for Learning: Putting it into practice</w:t>
      </w:r>
      <w:r w:rsidRPr="00841F3F">
        <w:rPr>
          <w:rFonts w:ascii="Calibri" w:hAnsi="Calibri" w:cs="Calibri"/>
          <w:sz w:val="22"/>
          <w:szCs w:val="22"/>
          <w:lang w:val="en-US"/>
        </w:rPr>
        <w:t>. </w:t>
      </w:r>
      <w:r w:rsidRPr="00841F3F">
        <w:rPr>
          <w:rFonts w:ascii="Calibri" w:hAnsi="Calibri" w:cs="Calibri"/>
          <w:sz w:val="22"/>
          <w:szCs w:val="22"/>
        </w:rPr>
        <w:t>Maidenhead: Open University Press.</w:t>
      </w:r>
    </w:p>
    <w:p w14:paraId="3CB9951C"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British Psychological Society (2021) </w:t>
      </w:r>
      <w:r w:rsidRPr="00841F3F">
        <w:rPr>
          <w:rFonts w:ascii="Calibri" w:hAnsi="Calibri" w:cs="Calibri"/>
          <w:i/>
          <w:iCs/>
          <w:sz w:val="22"/>
          <w:szCs w:val="22"/>
          <w:lang w:val="en-US"/>
        </w:rPr>
        <w:t>BPS Code of Human Research Ethics</w:t>
      </w:r>
      <w:r w:rsidRPr="00841F3F">
        <w:rPr>
          <w:rFonts w:ascii="Calibri" w:hAnsi="Calibri" w:cs="Calibri"/>
          <w:sz w:val="22"/>
          <w:szCs w:val="22"/>
          <w:lang w:val="en-US"/>
        </w:rPr>
        <w:t xml:space="preserve">. Available at: </w:t>
      </w:r>
      <w:hyperlink r:id="rId7" w:tgtFrame="_blank" w:history="1">
        <w:r w:rsidRPr="00841F3F">
          <w:rPr>
            <w:rStyle w:val="Hyperlink"/>
            <w:rFonts w:ascii="Calibri" w:hAnsi="Calibri" w:cs="Calibri"/>
            <w:sz w:val="22"/>
            <w:szCs w:val="22"/>
            <w:lang w:val="en-US"/>
          </w:rPr>
          <w:t>https://cms.bps.org.uk/sites/default/files/2022-06/BPS%20Code%20of%20Human%20Research%20Ethics%20%281%29.pdf</w:t>
        </w:r>
      </w:hyperlink>
      <w:r w:rsidRPr="00841F3F">
        <w:rPr>
          <w:rFonts w:ascii="Calibri" w:hAnsi="Calibri" w:cs="Calibri"/>
          <w:sz w:val="22"/>
          <w:szCs w:val="22"/>
          <w:lang w:val="en-US"/>
        </w:rPr>
        <w:t xml:space="preserve"> (Accessed: 25</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369A266B"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lastRenderedPageBreak/>
        <w:t xml:space="preserve">British Psychological Society (2024) </w:t>
      </w:r>
      <w:r w:rsidRPr="00841F3F">
        <w:rPr>
          <w:rFonts w:ascii="Calibri" w:hAnsi="Calibri" w:cs="Calibri"/>
          <w:i/>
          <w:iCs/>
          <w:sz w:val="22"/>
          <w:szCs w:val="22"/>
          <w:lang w:val="en-US"/>
        </w:rPr>
        <w:t>The Art of Questioning</w:t>
      </w:r>
      <w:r w:rsidRPr="00841F3F">
        <w:rPr>
          <w:rFonts w:ascii="Calibri" w:hAnsi="Calibri" w:cs="Calibri"/>
          <w:sz w:val="22"/>
          <w:szCs w:val="22"/>
          <w:lang w:val="en-US"/>
        </w:rPr>
        <w:t xml:space="preserve">. Available at: </w:t>
      </w:r>
      <w:hyperlink r:id="rId8" w:tgtFrame="_blank" w:history="1">
        <w:r w:rsidRPr="00841F3F">
          <w:rPr>
            <w:rStyle w:val="Hyperlink"/>
            <w:rFonts w:ascii="Calibri" w:hAnsi="Calibri" w:cs="Calibri"/>
            <w:sz w:val="22"/>
            <w:szCs w:val="22"/>
            <w:lang w:val="en-US"/>
          </w:rPr>
          <w:t>https://cms.bps.org.uk/sites/default/files/2024-03/Teachers%20Toolkit%20-%20The%20Art%20of%20Questioning.pdf</w:t>
        </w:r>
      </w:hyperlink>
      <w:r w:rsidRPr="00841F3F">
        <w:rPr>
          <w:rFonts w:ascii="Calibri" w:hAnsi="Calibri" w:cs="Calibri"/>
          <w:sz w:val="22"/>
          <w:szCs w:val="22"/>
          <w:lang w:val="en-US"/>
        </w:rPr>
        <w:t xml:space="preserve"> (Accessed: 23</w:t>
      </w:r>
      <w:r w:rsidRPr="00841F3F">
        <w:rPr>
          <w:rFonts w:ascii="Calibri" w:hAnsi="Calibri" w:cs="Calibri"/>
          <w:sz w:val="22"/>
          <w:szCs w:val="22"/>
          <w:vertAlign w:val="superscript"/>
          <w:lang w:val="en-US"/>
        </w:rPr>
        <w:t>rd</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52C0A924"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Broadfoot, P., Daugherty, R., Gardner, J., Harlen, W., James, M. and Stobart, G. (2002) </w:t>
      </w:r>
      <w:r w:rsidRPr="00841F3F">
        <w:rPr>
          <w:rFonts w:ascii="Calibri" w:hAnsi="Calibri" w:cs="Calibri"/>
          <w:i/>
          <w:iCs/>
          <w:sz w:val="22"/>
          <w:szCs w:val="22"/>
          <w:lang w:val="en-US"/>
        </w:rPr>
        <w:t>Assessment for Learning: 10 Principles</w:t>
      </w:r>
      <w:r w:rsidRPr="00841F3F">
        <w:rPr>
          <w:rFonts w:ascii="Calibri" w:hAnsi="Calibri" w:cs="Calibri"/>
          <w:sz w:val="22"/>
          <w:szCs w:val="22"/>
          <w:lang w:val="en-US"/>
        </w:rPr>
        <w:t xml:space="preserve">. Available at: </w:t>
      </w:r>
      <w:hyperlink r:id="rId9" w:tgtFrame="_blank" w:history="1">
        <w:r w:rsidRPr="00841F3F">
          <w:rPr>
            <w:rStyle w:val="Hyperlink"/>
            <w:rFonts w:ascii="Calibri" w:hAnsi="Calibri" w:cs="Calibri"/>
            <w:sz w:val="22"/>
            <w:szCs w:val="22"/>
            <w:lang w:val="en-US"/>
          </w:rPr>
          <w:t>https://dspace.stir.ac.uk/bitstream/1893/32458/1/Assessment%20for%20learning%2010%20principles%202002.pdf</w:t>
        </w:r>
      </w:hyperlink>
      <w:r w:rsidRPr="00841F3F">
        <w:rPr>
          <w:rFonts w:ascii="Calibri" w:hAnsi="Calibri" w:cs="Calibri"/>
          <w:sz w:val="22"/>
          <w:szCs w:val="22"/>
          <w:lang w:val="en-US"/>
        </w:rPr>
        <w:t> </w:t>
      </w:r>
      <w:r w:rsidRPr="00841F3F">
        <w:rPr>
          <w:rFonts w:ascii="Calibri" w:hAnsi="Calibri" w:cs="Calibri"/>
          <w:sz w:val="22"/>
          <w:szCs w:val="22"/>
        </w:rPr>
        <w:t> </w:t>
      </w:r>
    </w:p>
    <w:p w14:paraId="4425B4DA"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Canning, H.S. and Peterson, C. (2020) ‘</w:t>
      </w:r>
      <w:r w:rsidRPr="00841F3F">
        <w:rPr>
          <w:rFonts w:ascii="Calibri" w:hAnsi="Calibri" w:cs="Calibri"/>
          <w:i/>
          <w:iCs/>
          <w:sz w:val="22"/>
          <w:szCs w:val="22"/>
          <w:lang w:val="en-US"/>
        </w:rPr>
        <w:t>Encouraging more open-ended recall in child interviews</w:t>
      </w:r>
      <w:r w:rsidRPr="00841F3F">
        <w:rPr>
          <w:rFonts w:ascii="Calibri" w:hAnsi="Calibri" w:cs="Calibri"/>
          <w:sz w:val="22"/>
          <w:szCs w:val="22"/>
          <w:lang w:val="en-US"/>
        </w:rPr>
        <w:t xml:space="preserve">,’ Psychiatry, Psychology and Law, 27 (1), pp. 1 – 14. Available at: </w:t>
      </w:r>
      <w:hyperlink r:id="rId10" w:tgtFrame="_blank" w:history="1">
        <w:r w:rsidRPr="00841F3F">
          <w:rPr>
            <w:rStyle w:val="Hyperlink"/>
            <w:rFonts w:ascii="Calibri" w:hAnsi="Calibri" w:cs="Calibri"/>
            <w:sz w:val="22"/>
            <w:szCs w:val="22"/>
            <w:lang w:val="en-US"/>
          </w:rPr>
          <w:t>https://pmc.ncbi.nlm.nih.gov/articles/PMC7144253/pdf/TPPL_27_1687045.pdf</w:t>
        </w:r>
      </w:hyperlink>
      <w:r w:rsidRPr="00841F3F">
        <w:rPr>
          <w:rFonts w:ascii="Calibri" w:hAnsi="Calibri" w:cs="Calibri"/>
          <w:sz w:val="22"/>
          <w:szCs w:val="22"/>
        </w:rPr>
        <w:t> </w:t>
      </w:r>
    </w:p>
    <w:p w14:paraId="7597E2D0"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Cohen, L., Manion, L. and Morrison, K. (2018) </w:t>
      </w:r>
      <w:r w:rsidRPr="00841F3F">
        <w:rPr>
          <w:rFonts w:ascii="Calibri" w:hAnsi="Calibri" w:cs="Calibri"/>
          <w:i/>
          <w:iCs/>
          <w:sz w:val="22"/>
          <w:szCs w:val="22"/>
          <w:lang w:val="en-US"/>
        </w:rPr>
        <w:t>Research Methods in Education</w:t>
      </w:r>
      <w:r w:rsidRPr="00841F3F">
        <w:rPr>
          <w:rFonts w:ascii="Calibri" w:hAnsi="Calibri" w:cs="Calibri"/>
          <w:sz w:val="22"/>
          <w:szCs w:val="22"/>
          <w:lang w:val="en-US"/>
        </w:rPr>
        <w:t xml:space="preserve">. 8th </w:t>
      </w:r>
      <w:proofErr w:type="spellStart"/>
      <w:proofErr w:type="gramStart"/>
      <w:r w:rsidRPr="00841F3F">
        <w:rPr>
          <w:rFonts w:ascii="Calibri" w:hAnsi="Calibri" w:cs="Calibri"/>
          <w:sz w:val="22"/>
          <w:szCs w:val="22"/>
          <w:lang w:val="en-US"/>
        </w:rPr>
        <w:t>edn</w:t>
      </w:r>
      <w:proofErr w:type="spellEnd"/>
      <w:proofErr w:type="gramEnd"/>
      <w:r w:rsidRPr="00841F3F">
        <w:rPr>
          <w:rFonts w:ascii="Calibri" w:hAnsi="Calibri" w:cs="Calibri"/>
          <w:sz w:val="22"/>
          <w:szCs w:val="22"/>
          <w:lang w:val="en-US"/>
        </w:rPr>
        <w:t>. London: Routledge.</w:t>
      </w:r>
      <w:r w:rsidRPr="00841F3F">
        <w:rPr>
          <w:rFonts w:ascii="Calibri" w:hAnsi="Calibri" w:cs="Calibri"/>
          <w:sz w:val="22"/>
          <w:szCs w:val="22"/>
        </w:rPr>
        <w:t> </w:t>
      </w:r>
    </w:p>
    <w:p w14:paraId="5EE53AAD"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Council for the Curriculum, Examinations &amp; Assessment (2007) </w:t>
      </w:r>
      <w:r w:rsidRPr="00841F3F">
        <w:rPr>
          <w:rFonts w:ascii="Calibri" w:hAnsi="Calibri" w:cs="Calibri"/>
          <w:i/>
          <w:iCs/>
          <w:sz w:val="22"/>
          <w:szCs w:val="22"/>
          <w:lang w:val="en-US"/>
        </w:rPr>
        <w:t>Assessment for Learning for Key Stages 1 &amp; 2</w:t>
      </w:r>
      <w:r w:rsidRPr="00841F3F">
        <w:rPr>
          <w:rFonts w:ascii="Calibri" w:hAnsi="Calibri" w:cs="Calibri"/>
          <w:sz w:val="22"/>
          <w:szCs w:val="22"/>
          <w:lang w:val="en-US"/>
        </w:rPr>
        <w:t xml:space="preserve">. Available at: </w:t>
      </w:r>
      <w:hyperlink r:id="rId11" w:tgtFrame="_blank" w:history="1">
        <w:r w:rsidRPr="00841F3F">
          <w:rPr>
            <w:rStyle w:val="Hyperlink"/>
            <w:rFonts w:ascii="Calibri" w:hAnsi="Calibri" w:cs="Calibri"/>
            <w:sz w:val="22"/>
            <w:szCs w:val="22"/>
            <w:lang w:val="en-US"/>
          </w:rPr>
          <w:t>https://ccea.org.uk/downloads/docs/ccea-asset/Assessment/Assessment%20for%20Learning%20for%20Key%20Stage%201%20%26amp%3B%202%20%28Guidance%20Booklet%29.pdf</w:t>
        </w:r>
      </w:hyperlink>
      <w:r w:rsidRPr="00841F3F">
        <w:rPr>
          <w:rFonts w:ascii="Calibri" w:hAnsi="Calibri" w:cs="Calibri"/>
          <w:sz w:val="22"/>
          <w:szCs w:val="22"/>
          <w:lang w:val="en-US"/>
        </w:rPr>
        <w:t xml:space="preserve"> (Accessed: 31</w:t>
      </w:r>
      <w:r w:rsidRPr="00841F3F">
        <w:rPr>
          <w:rFonts w:ascii="Calibri" w:hAnsi="Calibri" w:cs="Calibri"/>
          <w:sz w:val="22"/>
          <w:szCs w:val="22"/>
          <w:vertAlign w:val="superscript"/>
          <w:lang w:val="en-US"/>
        </w:rPr>
        <w:t>st</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1B08D518"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Cotrim, H., Granja, C., Carvalho, A.S., Cotrim, C. and Martins, R. (2021) ‘</w:t>
      </w:r>
      <w:r w:rsidRPr="00841F3F">
        <w:rPr>
          <w:rFonts w:ascii="Calibri" w:hAnsi="Calibri" w:cs="Calibri"/>
          <w:i/>
          <w:iCs/>
          <w:sz w:val="22"/>
          <w:szCs w:val="22"/>
          <w:lang w:val="en-US"/>
        </w:rPr>
        <w:t>Children’s Understanding of Informed Assents in Research Studies</w:t>
      </w:r>
      <w:r w:rsidRPr="00841F3F">
        <w:rPr>
          <w:rFonts w:ascii="Calibri" w:hAnsi="Calibri" w:cs="Calibri"/>
          <w:sz w:val="22"/>
          <w:szCs w:val="22"/>
          <w:lang w:val="en-US"/>
        </w:rPr>
        <w:t xml:space="preserve">,’ Healthcare, 9 (7), pp. 1 – 16. Available at: </w:t>
      </w:r>
      <w:hyperlink r:id="rId12" w:tgtFrame="_blank" w:history="1">
        <w:r w:rsidRPr="00841F3F">
          <w:rPr>
            <w:rStyle w:val="Hyperlink"/>
            <w:rFonts w:ascii="Calibri" w:hAnsi="Calibri" w:cs="Calibri"/>
            <w:sz w:val="22"/>
            <w:szCs w:val="22"/>
            <w:lang w:val="en-US"/>
          </w:rPr>
          <w:t>https://doi.org/10.3390/healthcare9070871</w:t>
        </w:r>
      </w:hyperlink>
      <w:r w:rsidRPr="00841F3F">
        <w:rPr>
          <w:rFonts w:ascii="Calibri" w:hAnsi="Calibri" w:cs="Calibri"/>
          <w:sz w:val="22"/>
          <w:szCs w:val="22"/>
          <w:lang w:val="en-US"/>
        </w:rPr>
        <w:t>  </w:t>
      </w:r>
      <w:r w:rsidRPr="00841F3F">
        <w:rPr>
          <w:rFonts w:ascii="Calibri" w:hAnsi="Calibri" w:cs="Calibri"/>
          <w:sz w:val="22"/>
          <w:szCs w:val="22"/>
        </w:rPr>
        <w:t> </w:t>
      </w:r>
    </w:p>
    <w:p w14:paraId="3CE3AFD1"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Chand, S.P. and Pillay, K. (2024) ‘</w:t>
      </w:r>
      <w:r w:rsidRPr="00841F3F">
        <w:rPr>
          <w:rFonts w:ascii="Calibri" w:hAnsi="Calibri" w:cs="Calibri"/>
          <w:i/>
          <w:iCs/>
          <w:sz w:val="22"/>
          <w:szCs w:val="22"/>
          <w:lang w:val="en-US"/>
        </w:rPr>
        <w:t>Understanding the fundamental differences between formative and summative assessment</w:t>
      </w:r>
      <w:r w:rsidRPr="00841F3F">
        <w:rPr>
          <w:rFonts w:ascii="Calibri" w:hAnsi="Calibri" w:cs="Calibri"/>
          <w:sz w:val="22"/>
          <w:szCs w:val="22"/>
          <w:lang w:val="en-US"/>
        </w:rPr>
        <w:t xml:space="preserve">,’ Global Scientific and Academic Research Journal of Education and Literature, 2 (2), pp. 6 – 9. Available at: </w:t>
      </w:r>
      <w:hyperlink r:id="rId13" w:tgtFrame="_blank" w:history="1">
        <w:r w:rsidRPr="00841F3F">
          <w:rPr>
            <w:rStyle w:val="Hyperlink"/>
            <w:rFonts w:ascii="Calibri" w:hAnsi="Calibri" w:cs="Calibri"/>
            <w:sz w:val="22"/>
            <w:szCs w:val="22"/>
            <w:lang w:val="en-US"/>
          </w:rPr>
          <w:t>https://www.researchgate.net/publication/378343193_Understanding_the_fundamental_differences_between_formative_and_summative_assessment</w:t>
        </w:r>
      </w:hyperlink>
      <w:r w:rsidRPr="00841F3F">
        <w:rPr>
          <w:rFonts w:ascii="Calibri" w:hAnsi="Calibri" w:cs="Calibri"/>
          <w:sz w:val="22"/>
          <w:szCs w:val="22"/>
        </w:rPr>
        <w:t> </w:t>
      </w:r>
    </w:p>
    <w:p w14:paraId="05DCC450" w14:textId="77777777" w:rsidR="00841F3F" w:rsidRPr="00841F3F" w:rsidRDefault="00841F3F" w:rsidP="00841F3F">
      <w:pPr>
        <w:spacing w:line="360" w:lineRule="auto"/>
        <w:rPr>
          <w:rFonts w:ascii="Calibri" w:hAnsi="Calibri" w:cs="Calibri"/>
          <w:sz w:val="22"/>
          <w:szCs w:val="22"/>
          <w:lang w:val="en-US"/>
        </w:rPr>
      </w:pPr>
      <w:r w:rsidRPr="00841F3F">
        <w:rPr>
          <w:rFonts w:ascii="Calibri" w:hAnsi="Calibri" w:cs="Calibri"/>
          <w:color w:val="000000" w:themeColor="text1"/>
          <w:sz w:val="22"/>
          <w:szCs w:val="22"/>
          <w:lang w:val="en-US"/>
        </w:rPr>
        <w:t>Cooper, K.M., Schinske, J.N. and Tanner, K.D. (2021) ‘</w:t>
      </w:r>
      <w:r w:rsidRPr="00841F3F">
        <w:rPr>
          <w:rFonts w:ascii="Calibri" w:hAnsi="Calibri" w:cs="Calibri"/>
          <w:i/>
          <w:iCs/>
          <w:color w:val="000000" w:themeColor="text1"/>
          <w:sz w:val="22"/>
          <w:szCs w:val="22"/>
          <w:lang w:val="en-US"/>
        </w:rPr>
        <w:t>Reconsidering the share of a think–pair–share: Emerging limitations, alternatives, and opportunities for research</w:t>
      </w:r>
      <w:r w:rsidRPr="00841F3F">
        <w:rPr>
          <w:rFonts w:ascii="Calibri" w:hAnsi="Calibri" w:cs="Calibri"/>
          <w:color w:val="000000" w:themeColor="text1"/>
          <w:sz w:val="22"/>
          <w:szCs w:val="22"/>
          <w:lang w:val="en-US"/>
        </w:rPr>
        <w:t xml:space="preserve">,’ CBE—Life Sciences Education, 20(1), pp.1–10. Available at: </w:t>
      </w:r>
      <w:hyperlink r:id="rId14" w:tgtFrame="_blank" w:history="1">
        <w:r w:rsidRPr="00841F3F">
          <w:rPr>
            <w:rStyle w:val="Hyperlink"/>
            <w:rFonts w:ascii="Calibri" w:hAnsi="Calibri" w:cs="Calibri"/>
            <w:color w:val="0070C0"/>
            <w:sz w:val="22"/>
            <w:szCs w:val="22"/>
            <w:lang w:val="en-US"/>
          </w:rPr>
          <w:t>https://doi.org/10.1187/cbe.20-08-0200</w:t>
        </w:r>
      </w:hyperlink>
      <w:r w:rsidRPr="00841F3F">
        <w:rPr>
          <w:rFonts w:ascii="Calibri" w:hAnsi="Calibri" w:cs="Calibri"/>
          <w:color w:val="0070C0"/>
          <w:sz w:val="22"/>
          <w:szCs w:val="22"/>
          <w:lang w:val="en-US"/>
        </w:rPr>
        <w:t>  </w:t>
      </w:r>
    </w:p>
    <w:p w14:paraId="0163ED4F"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lastRenderedPageBreak/>
        <w:t>Cowan, N., Morey, C.C., AuBuchon, A.M., Zwilling, C.E. and Gilchrist, A.L. (2010) ‘</w:t>
      </w:r>
      <w:r w:rsidRPr="00841F3F">
        <w:rPr>
          <w:rFonts w:ascii="Calibri" w:hAnsi="Calibri" w:cs="Calibri"/>
          <w:i/>
          <w:iCs/>
          <w:sz w:val="22"/>
          <w:szCs w:val="22"/>
          <w:lang w:val="en-US"/>
        </w:rPr>
        <w:t>Seven-year-olds allocate attention like adults unless working memory is overloaded</w:t>
      </w:r>
      <w:r w:rsidRPr="00841F3F">
        <w:rPr>
          <w:rFonts w:ascii="Calibri" w:hAnsi="Calibri" w:cs="Calibri"/>
          <w:sz w:val="22"/>
          <w:szCs w:val="22"/>
          <w:lang w:val="en-US"/>
        </w:rPr>
        <w:t xml:space="preserve">,’ Developmental Science, 13 (1), pp. 120–133. Available at: </w:t>
      </w:r>
      <w:hyperlink r:id="rId15" w:tgtFrame="_blank" w:history="1">
        <w:r w:rsidRPr="00841F3F">
          <w:rPr>
            <w:rStyle w:val="Hyperlink"/>
            <w:rFonts w:ascii="Calibri" w:hAnsi="Calibri" w:cs="Calibri"/>
            <w:sz w:val="22"/>
            <w:szCs w:val="22"/>
            <w:lang w:val="en-US"/>
          </w:rPr>
          <w:t>https://pmc.ncbi.nlm.nih.gov/articles/PMC2819460/pdf/nihms84222.pdf</w:t>
        </w:r>
      </w:hyperlink>
      <w:r w:rsidRPr="00841F3F">
        <w:rPr>
          <w:rFonts w:ascii="Calibri" w:hAnsi="Calibri" w:cs="Calibri"/>
          <w:sz w:val="22"/>
          <w:szCs w:val="22"/>
          <w:lang w:val="en-US"/>
        </w:rPr>
        <w:t>  </w:t>
      </w:r>
      <w:r w:rsidRPr="00841F3F">
        <w:rPr>
          <w:rFonts w:ascii="Calibri" w:hAnsi="Calibri" w:cs="Calibri"/>
          <w:sz w:val="22"/>
          <w:szCs w:val="22"/>
        </w:rPr>
        <w:t> </w:t>
      </w:r>
    </w:p>
    <w:p w14:paraId="7193A4AC"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Creswell, J.W. and Creswell, J.D. (2018) </w:t>
      </w:r>
      <w:r w:rsidRPr="00841F3F">
        <w:rPr>
          <w:rFonts w:ascii="Calibri" w:hAnsi="Calibri" w:cs="Calibri"/>
          <w:i/>
          <w:iCs/>
          <w:sz w:val="22"/>
          <w:szCs w:val="22"/>
          <w:lang w:val="en-US"/>
        </w:rPr>
        <w:t>Research Design: Qualitative, Quantitative &amp; Mixed Methods Approaches</w:t>
      </w:r>
      <w:r w:rsidRPr="00841F3F">
        <w:rPr>
          <w:rFonts w:ascii="Calibri" w:hAnsi="Calibri" w:cs="Calibri"/>
          <w:sz w:val="22"/>
          <w:szCs w:val="22"/>
          <w:lang w:val="en-US"/>
        </w:rPr>
        <w:t>. 5</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w:t>
      </w:r>
      <w:proofErr w:type="spellStart"/>
      <w:proofErr w:type="gramStart"/>
      <w:r w:rsidRPr="00841F3F">
        <w:rPr>
          <w:rFonts w:ascii="Calibri" w:hAnsi="Calibri" w:cs="Calibri"/>
          <w:sz w:val="22"/>
          <w:szCs w:val="22"/>
          <w:lang w:val="en-US"/>
        </w:rPr>
        <w:t>edn</w:t>
      </w:r>
      <w:proofErr w:type="spellEnd"/>
      <w:proofErr w:type="gramEnd"/>
      <w:r w:rsidRPr="00841F3F">
        <w:rPr>
          <w:rFonts w:ascii="Calibri" w:hAnsi="Calibri" w:cs="Calibri"/>
          <w:sz w:val="22"/>
          <w:szCs w:val="22"/>
          <w:lang w:val="en-US"/>
        </w:rPr>
        <w:t>. London: Sage.</w:t>
      </w:r>
      <w:r w:rsidRPr="00841F3F">
        <w:rPr>
          <w:rFonts w:ascii="Calibri" w:hAnsi="Calibri" w:cs="Calibri"/>
          <w:sz w:val="22"/>
          <w:szCs w:val="22"/>
        </w:rPr>
        <w:t> </w:t>
      </w:r>
    </w:p>
    <w:p w14:paraId="4821446F"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lang w:val="en-US"/>
        </w:rPr>
        <w:t>Darong</w:t>
      </w:r>
      <w:proofErr w:type="spellEnd"/>
      <w:r w:rsidRPr="00841F3F">
        <w:rPr>
          <w:rFonts w:ascii="Calibri" w:hAnsi="Calibri" w:cs="Calibri"/>
          <w:sz w:val="22"/>
          <w:szCs w:val="22"/>
          <w:lang w:val="en-US"/>
        </w:rPr>
        <w:t>, H.C. and Niman, E.M. (2021) ‘</w:t>
      </w:r>
      <w:r w:rsidRPr="00841F3F">
        <w:rPr>
          <w:rFonts w:ascii="Calibri" w:hAnsi="Calibri" w:cs="Calibri"/>
          <w:i/>
          <w:iCs/>
          <w:sz w:val="22"/>
          <w:szCs w:val="22"/>
          <w:lang w:val="en-US"/>
        </w:rPr>
        <w:t xml:space="preserve">Do Teacher Questions Function as Assessment for </w:t>
      </w:r>
      <w:proofErr w:type="gramStart"/>
      <w:r w:rsidRPr="00841F3F">
        <w:rPr>
          <w:rFonts w:ascii="Calibri" w:hAnsi="Calibri" w:cs="Calibri"/>
          <w:i/>
          <w:iCs/>
          <w:sz w:val="22"/>
          <w:szCs w:val="22"/>
          <w:lang w:val="en-US"/>
        </w:rPr>
        <w:t>Learning?</w:t>
      </w:r>
      <w:r w:rsidRPr="00841F3F">
        <w:rPr>
          <w:rFonts w:ascii="Calibri" w:hAnsi="Calibri" w:cs="Calibri"/>
          <w:sz w:val="22"/>
          <w:szCs w:val="22"/>
          <w:lang w:val="en-US"/>
        </w:rPr>
        <w:t>,</w:t>
      </w:r>
      <w:proofErr w:type="gramEnd"/>
      <w:r w:rsidRPr="00841F3F">
        <w:rPr>
          <w:rFonts w:ascii="Calibri" w:hAnsi="Calibri" w:cs="Calibri"/>
          <w:sz w:val="22"/>
          <w:szCs w:val="22"/>
          <w:lang w:val="en-US"/>
        </w:rPr>
        <w:t xml:space="preserve">’ Randwick International of Education and Linguistics Science (RIELS) </w:t>
      </w:r>
      <w:proofErr w:type="spellStart"/>
      <w:r w:rsidRPr="00841F3F">
        <w:rPr>
          <w:rFonts w:ascii="Calibri" w:hAnsi="Calibri" w:cs="Calibri"/>
          <w:sz w:val="22"/>
          <w:szCs w:val="22"/>
          <w:lang w:val="en-US"/>
        </w:rPr>
        <w:t>Jounral</w:t>
      </w:r>
      <w:proofErr w:type="spellEnd"/>
      <w:r w:rsidRPr="00841F3F">
        <w:rPr>
          <w:rFonts w:ascii="Calibri" w:hAnsi="Calibri" w:cs="Calibri"/>
          <w:sz w:val="22"/>
          <w:szCs w:val="22"/>
          <w:lang w:val="en-US"/>
        </w:rPr>
        <w:t xml:space="preserve">, 2 (3), pp. 437 – 454. Available at: </w:t>
      </w:r>
      <w:hyperlink r:id="rId16" w:tgtFrame="_blank" w:history="1">
        <w:r w:rsidRPr="00841F3F">
          <w:rPr>
            <w:rStyle w:val="Hyperlink"/>
            <w:rFonts w:ascii="Calibri" w:hAnsi="Calibri" w:cs="Calibri"/>
            <w:sz w:val="22"/>
            <w:szCs w:val="22"/>
            <w:lang w:val="en-US"/>
          </w:rPr>
          <w:t>https://doi.org/10.47175/rielsj.v2i3.308</w:t>
        </w:r>
      </w:hyperlink>
      <w:r w:rsidRPr="00841F3F">
        <w:rPr>
          <w:rFonts w:ascii="Calibri" w:hAnsi="Calibri" w:cs="Calibri"/>
          <w:sz w:val="22"/>
          <w:szCs w:val="22"/>
        </w:rPr>
        <w:t> </w:t>
      </w:r>
    </w:p>
    <w:p w14:paraId="3F4B358F"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rPr>
        <w:t>Dawadi</w:t>
      </w:r>
      <w:proofErr w:type="spellEnd"/>
      <w:r w:rsidRPr="00841F3F">
        <w:rPr>
          <w:rFonts w:ascii="Calibri" w:hAnsi="Calibri" w:cs="Calibri"/>
          <w:sz w:val="22"/>
          <w:szCs w:val="22"/>
        </w:rPr>
        <w:t>, S., Shrestha, S., &amp; Giri, R.A. (2021) ‘</w:t>
      </w:r>
      <w:r w:rsidRPr="00841F3F">
        <w:rPr>
          <w:rFonts w:ascii="Calibri" w:hAnsi="Calibri" w:cs="Calibri"/>
          <w:i/>
          <w:iCs/>
          <w:sz w:val="22"/>
          <w:szCs w:val="22"/>
        </w:rPr>
        <w:t>Mixed-Methods Research: A Discussion on its Types, Challenges, and Criticisms</w:t>
      </w:r>
      <w:r w:rsidRPr="00841F3F">
        <w:rPr>
          <w:rFonts w:ascii="Calibri" w:hAnsi="Calibri" w:cs="Calibri"/>
          <w:sz w:val="22"/>
          <w:szCs w:val="22"/>
        </w:rPr>
        <w:t xml:space="preserve">,’ Journal of Practical Studies in Education, 2(2), pp. 25-36. Available at: </w:t>
      </w:r>
      <w:hyperlink r:id="rId17" w:history="1">
        <w:r w:rsidRPr="00841F3F">
          <w:rPr>
            <w:rStyle w:val="Hyperlink"/>
            <w:rFonts w:ascii="Calibri" w:hAnsi="Calibri" w:cs="Calibri"/>
            <w:sz w:val="22"/>
            <w:szCs w:val="22"/>
          </w:rPr>
          <w:t>https://files.eric.ed.gov/fulltext/ED611786.pdf</w:t>
        </w:r>
      </w:hyperlink>
      <w:r w:rsidRPr="00841F3F">
        <w:rPr>
          <w:rFonts w:ascii="Calibri" w:hAnsi="Calibri" w:cs="Calibri"/>
          <w:sz w:val="22"/>
          <w:szCs w:val="22"/>
        </w:rPr>
        <w:t xml:space="preserve"> </w:t>
      </w:r>
    </w:p>
    <w:p w14:paraId="4F9027FA"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Education Endowment Foundation (2021) </w:t>
      </w:r>
      <w:r w:rsidRPr="00841F3F">
        <w:rPr>
          <w:rFonts w:ascii="Calibri" w:hAnsi="Calibri" w:cs="Calibri"/>
          <w:i/>
          <w:iCs/>
          <w:sz w:val="22"/>
          <w:szCs w:val="22"/>
          <w:lang w:val="en-US"/>
        </w:rPr>
        <w:t>Feedback</w:t>
      </w:r>
      <w:r w:rsidRPr="00841F3F">
        <w:rPr>
          <w:rFonts w:ascii="Calibri" w:hAnsi="Calibri" w:cs="Calibri"/>
          <w:sz w:val="22"/>
          <w:szCs w:val="22"/>
          <w:lang w:val="en-US"/>
        </w:rPr>
        <w:t xml:space="preserve">. Available at: </w:t>
      </w:r>
      <w:hyperlink r:id="rId18" w:tgtFrame="_blank" w:history="1">
        <w:r w:rsidRPr="00841F3F">
          <w:rPr>
            <w:rStyle w:val="Hyperlink"/>
            <w:rFonts w:ascii="Calibri" w:hAnsi="Calibri" w:cs="Calibri"/>
            <w:sz w:val="22"/>
            <w:szCs w:val="22"/>
            <w:lang w:val="en-US"/>
          </w:rPr>
          <w:t>https://educationendowmentfoundation.org.uk/education-evidence/teaching-learning-toolkit/feedback</w:t>
        </w:r>
      </w:hyperlink>
      <w:r w:rsidRPr="00841F3F">
        <w:rPr>
          <w:rFonts w:ascii="Calibri" w:hAnsi="Calibri" w:cs="Calibri"/>
          <w:sz w:val="22"/>
          <w:szCs w:val="22"/>
          <w:lang w:val="en-US"/>
        </w:rPr>
        <w:t xml:space="preserve"> (Accessed: 1</w:t>
      </w:r>
      <w:r w:rsidRPr="00841F3F">
        <w:rPr>
          <w:rFonts w:ascii="Calibri" w:hAnsi="Calibri" w:cs="Calibri"/>
          <w:sz w:val="22"/>
          <w:szCs w:val="22"/>
          <w:vertAlign w:val="superscript"/>
          <w:lang w:val="en-US"/>
        </w:rPr>
        <w:t>st</w:t>
      </w:r>
      <w:r w:rsidRPr="00841F3F">
        <w:rPr>
          <w:rFonts w:ascii="Calibri" w:hAnsi="Calibri" w:cs="Calibri"/>
          <w:sz w:val="22"/>
          <w:szCs w:val="22"/>
          <w:lang w:val="en-US"/>
        </w:rPr>
        <w:t xml:space="preserve"> April 2025).</w:t>
      </w:r>
      <w:r w:rsidRPr="00841F3F">
        <w:rPr>
          <w:rFonts w:ascii="Calibri" w:hAnsi="Calibri" w:cs="Calibri"/>
          <w:sz w:val="22"/>
          <w:szCs w:val="22"/>
        </w:rPr>
        <w:t> </w:t>
      </w:r>
    </w:p>
    <w:p w14:paraId="685A8B04"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lang w:val="en-US"/>
        </w:rPr>
        <w:t>Estyn</w:t>
      </w:r>
      <w:proofErr w:type="spellEnd"/>
      <w:r w:rsidRPr="00841F3F">
        <w:rPr>
          <w:rFonts w:ascii="Calibri" w:hAnsi="Calibri" w:cs="Calibri"/>
          <w:sz w:val="22"/>
          <w:szCs w:val="22"/>
          <w:lang w:val="en-US"/>
        </w:rPr>
        <w:t xml:space="preserve"> (2021)</w:t>
      </w:r>
      <w:r w:rsidRPr="00841F3F">
        <w:rPr>
          <w:rFonts w:ascii="Calibri" w:hAnsi="Calibri" w:cs="Calibri"/>
          <w:i/>
          <w:iCs/>
          <w:sz w:val="22"/>
          <w:szCs w:val="22"/>
          <w:lang w:val="en-US"/>
        </w:rPr>
        <w:t xml:space="preserve"> Supplementary Guidance on Inspecting Assessment</w:t>
      </w:r>
      <w:r w:rsidRPr="00841F3F">
        <w:rPr>
          <w:rFonts w:ascii="Calibri" w:hAnsi="Calibri" w:cs="Calibri"/>
          <w:sz w:val="22"/>
          <w:szCs w:val="22"/>
          <w:lang w:val="en-US"/>
        </w:rPr>
        <w:t xml:space="preserve">. Available at: </w:t>
      </w:r>
      <w:hyperlink r:id="rId19" w:tgtFrame="_blank" w:history="1">
        <w:r w:rsidRPr="00841F3F">
          <w:rPr>
            <w:rStyle w:val="Hyperlink"/>
            <w:rFonts w:ascii="Calibri" w:hAnsi="Calibri" w:cs="Calibri"/>
            <w:sz w:val="22"/>
            <w:szCs w:val="22"/>
            <w:lang w:val="en-US"/>
          </w:rPr>
          <w:t>https://www.estyn.gov.wales/documentpage/20508/contents</w:t>
        </w:r>
      </w:hyperlink>
      <w:r w:rsidRPr="00841F3F">
        <w:rPr>
          <w:rFonts w:ascii="Calibri" w:hAnsi="Calibri" w:cs="Calibri"/>
          <w:sz w:val="22"/>
          <w:szCs w:val="22"/>
          <w:lang w:val="en-US"/>
        </w:rPr>
        <w:t xml:space="preserve"> (Accessed: 31</w:t>
      </w:r>
      <w:r w:rsidRPr="00841F3F">
        <w:rPr>
          <w:rFonts w:ascii="Calibri" w:hAnsi="Calibri" w:cs="Calibri"/>
          <w:sz w:val="22"/>
          <w:szCs w:val="22"/>
          <w:vertAlign w:val="superscript"/>
          <w:lang w:val="en-US"/>
        </w:rPr>
        <w:t>st</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7494198D"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lang w:val="en-US"/>
        </w:rPr>
        <w:t>Estyn</w:t>
      </w:r>
      <w:proofErr w:type="spellEnd"/>
      <w:r w:rsidRPr="00841F3F">
        <w:rPr>
          <w:rFonts w:ascii="Calibri" w:hAnsi="Calibri" w:cs="Calibri"/>
          <w:sz w:val="22"/>
          <w:szCs w:val="22"/>
          <w:lang w:val="en-US"/>
        </w:rPr>
        <w:t xml:space="preserve"> (2023) </w:t>
      </w:r>
      <w:r w:rsidRPr="00841F3F">
        <w:rPr>
          <w:rFonts w:ascii="Calibri" w:hAnsi="Calibri" w:cs="Calibri"/>
          <w:i/>
          <w:iCs/>
          <w:sz w:val="22"/>
          <w:szCs w:val="22"/>
          <w:lang w:val="en-US"/>
        </w:rPr>
        <w:t>School X’s Inspection Report</w:t>
      </w:r>
      <w:r w:rsidRPr="00841F3F">
        <w:rPr>
          <w:rFonts w:ascii="Calibri" w:hAnsi="Calibri" w:cs="Calibri"/>
          <w:sz w:val="22"/>
          <w:szCs w:val="22"/>
          <w:lang w:val="en-US"/>
        </w:rPr>
        <w:t xml:space="preserve">. Available at: Link </w:t>
      </w:r>
      <w:proofErr w:type="spellStart"/>
      <w:r w:rsidRPr="00841F3F">
        <w:rPr>
          <w:rFonts w:ascii="Calibri" w:hAnsi="Calibri" w:cs="Calibri"/>
          <w:sz w:val="22"/>
          <w:szCs w:val="22"/>
          <w:lang w:val="en-US"/>
        </w:rPr>
        <w:t>Anonymised</w:t>
      </w:r>
      <w:proofErr w:type="spellEnd"/>
      <w:r w:rsidRPr="00841F3F">
        <w:rPr>
          <w:rFonts w:ascii="Calibri" w:hAnsi="Calibri" w:cs="Calibri"/>
          <w:sz w:val="22"/>
          <w:szCs w:val="22"/>
          <w:lang w:val="en-US"/>
        </w:rPr>
        <w:t xml:space="preserve"> (Accessed: 20</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70A53526" w14:textId="77777777" w:rsidR="00841F3F" w:rsidRPr="00841F3F" w:rsidRDefault="00841F3F" w:rsidP="00841F3F">
      <w:pPr>
        <w:spacing w:line="360" w:lineRule="auto"/>
        <w:rPr>
          <w:rFonts w:ascii="Calibri" w:hAnsi="Calibri" w:cs="Calibri"/>
          <w:sz w:val="22"/>
          <w:szCs w:val="22"/>
          <w:lang w:val="en-US"/>
        </w:rPr>
      </w:pPr>
      <w:r w:rsidRPr="00841F3F">
        <w:rPr>
          <w:rFonts w:ascii="Calibri" w:hAnsi="Calibri" w:cs="Calibri"/>
          <w:sz w:val="22"/>
          <w:szCs w:val="22"/>
          <w:lang w:val="en-US"/>
        </w:rPr>
        <w:t xml:space="preserve">Evens, H. and </w:t>
      </w:r>
      <w:proofErr w:type="spellStart"/>
      <w:r w:rsidRPr="00841F3F">
        <w:rPr>
          <w:rFonts w:ascii="Calibri" w:hAnsi="Calibri" w:cs="Calibri"/>
          <w:sz w:val="22"/>
          <w:szCs w:val="22"/>
          <w:lang w:val="en-US"/>
        </w:rPr>
        <w:t>Househart</w:t>
      </w:r>
      <w:proofErr w:type="spellEnd"/>
      <w:r w:rsidRPr="00841F3F">
        <w:rPr>
          <w:rFonts w:ascii="Calibri" w:hAnsi="Calibri" w:cs="Calibri"/>
          <w:sz w:val="22"/>
          <w:szCs w:val="22"/>
          <w:lang w:val="en-US"/>
        </w:rPr>
        <w:t>, J. (2007) ‘</w:t>
      </w:r>
      <w:r w:rsidRPr="00841F3F">
        <w:rPr>
          <w:rFonts w:ascii="Calibri" w:hAnsi="Calibri" w:cs="Calibri"/>
          <w:i/>
          <w:iCs/>
          <w:sz w:val="22"/>
          <w:szCs w:val="22"/>
          <w:lang w:val="en-US"/>
        </w:rPr>
        <w:t>Paired Interviews in Mathematics Education</w:t>
      </w:r>
      <w:r w:rsidRPr="00841F3F">
        <w:rPr>
          <w:rFonts w:ascii="Calibri" w:hAnsi="Calibri" w:cs="Calibri"/>
          <w:sz w:val="22"/>
          <w:szCs w:val="22"/>
          <w:lang w:val="en-US"/>
        </w:rPr>
        <w:t xml:space="preserve">,’ Open University, Institute of Education, 27 (2), pp. 19 – 24. Available at: </w:t>
      </w:r>
      <w:hyperlink r:id="rId20" w:tgtFrame="_blank" w:history="1">
        <w:r w:rsidRPr="00841F3F">
          <w:rPr>
            <w:rStyle w:val="Hyperlink"/>
            <w:rFonts w:ascii="Calibri" w:hAnsi="Calibri" w:cs="Calibri"/>
            <w:sz w:val="22"/>
            <w:szCs w:val="22"/>
          </w:rPr>
          <w:t>https://bsrlm.org.uk/wp-content/uploads/2016/02/BSRLM-IP-27-2-04.pdf</w:t>
        </w:r>
      </w:hyperlink>
      <w:r w:rsidRPr="00841F3F">
        <w:rPr>
          <w:rFonts w:ascii="Calibri" w:hAnsi="Calibri" w:cs="Calibri"/>
          <w:sz w:val="22"/>
          <w:szCs w:val="22"/>
        </w:rPr>
        <w:t> </w:t>
      </w:r>
    </w:p>
    <w:p w14:paraId="0CF4E79F"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Grigg, R. (2016)</w:t>
      </w:r>
      <w:r w:rsidRPr="00841F3F">
        <w:rPr>
          <w:rFonts w:ascii="Calibri" w:hAnsi="Calibri" w:cs="Calibri"/>
          <w:i/>
          <w:iCs/>
          <w:sz w:val="22"/>
          <w:szCs w:val="22"/>
          <w:lang w:val="en-US"/>
        </w:rPr>
        <w:t xml:space="preserve"> Big ideas in education</w:t>
      </w:r>
      <w:r w:rsidRPr="00841F3F">
        <w:rPr>
          <w:rFonts w:ascii="Calibri" w:hAnsi="Calibri" w:cs="Calibri"/>
          <w:sz w:val="22"/>
          <w:szCs w:val="22"/>
          <w:lang w:val="en-US"/>
        </w:rPr>
        <w:t>. Carmarthen: Crown House Publishing.</w:t>
      </w:r>
      <w:r w:rsidRPr="00841F3F">
        <w:rPr>
          <w:rFonts w:ascii="Calibri" w:hAnsi="Calibri" w:cs="Calibri"/>
          <w:sz w:val="22"/>
          <w:szCs w:val="22"/>
        </w:rPr>
        <w:t> </w:t>
      </w:r>
    </w:p>
    <w:p w14:paraId="2A667922"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Hansen, C. (2024) </w:t>
      </w:r>
      <w:r w:rsidRPr="00841F3F">
        <w:rPr>
          <w:rFonts w:ascii="Calibri" w:hAnsi="Calibri" w:cs="Calibri"/>
          <w:sz w:val="22"/>
          <w:szCs w:val="22"/>
        </w:rPr>
        <w:t>‘</w:t>
      </w:r>
      <w:r w:rsidRPr="00841F3F">
        <w:rPr>
          <w:rFonts w:ascii="Calibri" w:hAnsi="Calibri" w:cs="Calibri"/>
          <w:i/>
          <w:iCs/>
          <w:sz w:val="22"/>
          <w:szCs w:val="22"/>
        </w:rPr>
        <w:t>Assessment for Learning: a summary of concepts, tactics and strategies</w:t>
      </w:r>
      <w:r w:rsidRPr="00841F3F">
        <w:rPr>
          <w:rFonts w:ascii="Calibri" w:hAnsi="Calibri" w:cs="Calibri"/>
          <w:sz w:val="22"/>
          <w:szCs w:val="22"/>
        </w:rPr>
        <w:t xml:space="preserve">,’ Summit Institute, pp. 1 – 46. Available at: </w:t>
      </w:r>
      <w:r w:rsidRPr="00841F3F">
        <w:rPr>
          <w:rFonts w:ascii="Calibri" w:hAnsi="Calibri" w:cs="Calibri"/>
          <w:color w:val="0070C0"/>
          <w:sz w:val="22"/>
          <w:szCs w:val="22"/>
          <w:u w:val="single"/>
        </w:rPr>
        <w:t>DOI:</w:t>
      </w:r>
      <w:hyperlink r:id="rId21" w:tgtFrame="_blank" w:history="1">
        <w:r w:rsidRPr="00841F3F">
          <w:rPr>
            <w:rStyle w:val="Hyperlink"/>
            <w:rFonts w:ascii="Calibri" w:hAnsi="Calibri" w:cs="Calibri"/>
            <w:color w:val="0070C0"/>
            <w:sz w:val="22"/>
            <w:szCs w:val="22"/>
          </w:rPr>
          <w:t>10.13140/RG.2.2.28213.28640</w:t>
        </w:r>
      </w:hyperlink>
    </w:p>
    <w:p w14:paraId="3841D3EF"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Hattie, J. (2009)</w:t>
      </w:r>
      <w:r w:rsidRPr="00841F3F">
        <w:rPr>
          <w:rFonts w:ascii="Calibri" w:hAnsi="Calibri" w:cs="Calibri"/>
          <w:i/>
          <w:iCs/>
          <w:sz w:val="22"/>
          <w:szCs w:val="22"/>
          <w:lang w:val="en-US"/>
        </w:rPr>
        <w:t xml:space="preserve"> Visible Learning: a Synthesis of Over 800 Meta-Analyses Relating to Achievement</w:t>
      </w:r>
      <w:r w:rsidRPr="00841F3F">
        <w:rPr>
          <w:rFonts w:ascii="Calibri" w:hAnsi="Calibri" w:cs="Calibri"/>
          <w:sz w:val="22"/>
          <w:szCs w:val="22"/>
          <w:lang w:val="en-US"/>
        </w:rPr>
        <w:t>. London: Routledge.</w:t>
      </w:r>
      <w:r w:rsidRPr="00841F3F">
        <w:rPr>
          <w:rFonts w:ascii="Calibri" w:hAnsi="Calibri" w:cs="Calibri"/>
          <w:sz w:val="22"/>
          <w:szCs w:val="22"/>
        </w:rPr>
        <w:t> </w:t>
      </w:r>
    </w:p>
    <w:p w14:paraId="506C55B5"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Jiang, Y. (2014) ‘</w:t>
      </w:r>
      <w:r w:rsidRPr="00841F3F">
        <w:rPr>
          <w:rFonts w:ascii="Calibri" w:hAnsi="Calibri" w:cs="Calibri"/>
          <w:i/>
          <w:iCs/>
          <w:sz w:val="22"/>
          <w:szCs w:val="22"/>
          <w:lang w:val="en-US"/>
        </w:rPr>
        <w:t>Exploring Teacher Questioning as a Formative Assessment Strategy</w:t>
      </w:r>
      <w:r w:rsidRPr="00841F3F">
        <w:rPr>
          <w:rFonts w:ascii="Calibri" w:hAnsi="Calibri" w:cs="Calibri"/>
          <w:sz w:val="22"/>
          <w:szCs w:val="22"/>
          <w:lang w:val="en-US"/>
        </w:rPr>
        <w:t xml:space="preserve">,’ RELC Journal, 45 (3), pp. 287 – 304. Available at: </w:t>
      </w:r>
      <w:hyperlink r:id="rId22" w:tgtFrame="_blank" w:history="1">
        <w:r w:rsidRPr="00841F3F">
          <w:rPr>
            <w:rStyle w:val="Hyperlink"/>
            <w:rFonts w:ascii="Calibri" w:hAnsi="Calibri" w:cs="Calibri"/>
            <w:sz w:val="22"/>
            <w:szCs w:val="22"/>
            <w:lang w:val="en-US"/>
          </w:rPr>
          <w:t>https://journals.sagepub.com/doi/pdf/10.1177/0033688214546962</w:t>
        </w:r>
      </w:hyperlink>
      <w:r w:rsidRPr="00841F3F">
        <w:rPr>
          <w:rFonts w:ascii="Calibri" w:hAnsi="Calibri" w:cs="Calibri"/>
          <w:sz w:val="22"/>
          <w:szCs w:val="22"/>
          <w:lang w:val="en-US"/>
        </w:rPr>
        <w:t> </w:t>
      </w:r>
      <w:r w:rsidRPr="00841F3F">
        <w:rPr>
          <w:rFonts w:ascii="Calibri" w:hAnsi="Calibri" w:cs="Calibri"/>
          <w:sz w:val="22"/>
          <w:szCs w:val="22"/>
        </w:rPr>
        <w:t> </w:t>
      </w:r>
    </w:p>
    <w:p w14:paraId="6720F172"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lastRenderedPageBreak/>
        <w:t xml:space="preserve">Kaplan-Moss, J. (2022) </w:t>
      </w:r>
      <w:r w:rsidRPr="00841F3F">
        <w:rPr>
          <w:rFonts w:ascii="Calibri" w:hAnsi="Calibri" w:cs="Calibri"/>
          <w:i/>
          <w:iCs/>
          <w:sz w:val="22"/>
          <w:szCs w:val="22"/>
          <w:lang w:val="en-US"/>
        </w:rPr>
        <w:t>Taking notes in interviews</w:t>
      </w:r>
      <w:r w:rsidRPr="00841F3F">
        <w:rPr>
          <w:rFonts w:ascii="Calibri" w:hAnsi="Calibri" w:cs="Calibri"/>
          <w:sz w:val="22"/>
          <w:szCs w:val="22"/>
          <w:lang w:val="en-US"/>
        </w:rPr>
        <w:t xml:space="preserve">. Available at: </w:t>
      </w:r>
      <w:hyperlink r:id="rId23" w:tgtFrame="_blank" w:history="1">
        <w:r w:rsidRPr="00841F3F">
          <w:rPr>
            <w:rStyle w:val="Hyperlink"/>
            <w:rFonts w:ascii="Calibri" w:hAnsi="Calibri" w:cs="Calibri"/>
            <w:sz w:val="22"/>
            <w:szCs w:val="22"/>
            <w:lang w:val="en-US"/>
          </w:rPr>
          <w:t>https://jacobian.org/2022/aug/12/interview-notes/</w:t>
        </w:r>
      </w:hyperlink>
      <w:r w:rsidRPr="00841F3F">
        <w:rPr>
          <w:rFonts w:ascii="Calibri" w:hAnsi="Calibri" w:cs="Calibri"/>
          <w:sz w:val="22"/>
          <w:szCs w:val="22"/>
          <w:lang w:val="en-US"/>
        </w:rPr>
        <w:t xml:space="preserve"> (Accessed: 25</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75DB8371"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Kirton, A., Hallam, S., Peffers, J., Robertson, P. and Stobart G. (</w:t>
      </w:r>
      <w:proofErr w:type="gramStart"/>
      <w:r w:rsidRPr="00841F3F">
        <w:rPr>
          <w:rFonts w:ascii="Calibri" w:hAnsi="Calibri" w:cs="Calibri"/>
          <w:sz w:val="22"/>
          <w:szCs w:val="22"/>
          <w:lang w:val="en-US"/>
        </w:rPr>
        <w:t>2013) ‘</w:t>
      </w:r>
      <w:proofErr w:type="gramEnd"/>
      <w:r w:rsidRPr="00841F3F">
        <w:rPr>
          <w:rFonts w:ascii="Calibri" w:hAnsi="Calibri" w:cs="Calibri"/>
          <w:i/>
          <w:iCs/>
          <w:sz w:val="22"/>
          <w:szCs w:val="22"/>
          <w:lang w:val="en-US"/>
        </w:rPr>
        <w:t>Revolution, evolution or a Trojan horse? Piloting assessment for learning in some Scottish primary schools</w:t>
      </w:r>
      <w:r w:rsidRPr="00841F3F">
        <w:rPr>
          <w:rFonts w:ascii="Calibri" w:hAnsi="Calibri" w:cs="Calibri"/>
          <w:sz w:val="22"/>
          <w:szCs w:val="22"/>
          <w:lang w:val="en-US"/>
        </w:rPr>
        <w:t xml:space="preserve">,’ British Educational Research Journal, 33 (4), pp. 605 – 627. Available at: </w:t>
      </w:r>
      <w:hyperlink r:id="rId24" w:tgtFrame="_blank" w:history="1">
        <w:r w:rsidRPr="00841F3F">
          <w:rPr>
            <w:rStyle w:val="Hyperlink"/>
            <w:rFonts w:ascii="Calibri" w:hAnsi="Calibri" w:cs="Calibri"/>
            <w:sz w:val="22"/>
            <w:szCs w:val="22"/>
            <w:lang w:val="en-US"/>
          </w:rPr>
          <w:t>https://doi.org/10.1080/01411920701434136</w:t>
        </w:r>
      </w:hyperlink>
      <w:r w:rsidRPr="00841F3F">
        <w:rPr>
          <w:rFonts w:ascii="Calibri" w:hAnsi="Calibri" w:cs="Calibri"/>
          <w:sz w:val="22"/>
          <w:szCs w:val="22"/>
          <w:u w:val="single"/>
          <w:lang w:val="en-US"/>
        </w:rPr>
        <w:t> </w:t>
      </w:r>
      <w:r w:rsidRPr="00841F3F">
        <w:rPr>
          <w:rFonts w:ascii="Calibri" w:hAnsi="Calibri" w:cs="Calibri"/>
          <w:sz w:val="22"/>
          <w:szCs w:val="22"/>
        </w:rPr>
        <w:t> </w:t>
      </w:r>
    </w:p>
    <w:p w14:paraId="014E8EE0"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lang w:val="en-US"/>
        </w:rPr>
        <w:t>Kuphanga</w:t>
      </w:r>
      <w:proofErr w:type="spellEnd"/>
      <w:r w:rsidRPr="00841F3F">
        <w:rPr>
          <w:rFonts w:ascii="Calibri" w:hAnsi="Calibri" w:cs="Calibri"/>
          <w:sz w:val="22"/>
          <w:szCs w:val="22"/>
          <w:lang w:val="en-US"/>
        </w:rPr>
        <w:t>, D. (</w:t>
      </w:r>
      <w:proofErr w:type="gramStart"/>
      <w:r w:rsidRPr="00841F3F">
        <w:rPr>
          <w:rFonts w:ascii="Calibri" w:hAnsi="Calibri" w:cs="Calibri"/>
          <w:sz w:val="22"/>
          <w:szCs w:val="22"/>
          <w:lang w:val="en-US"/>
        </w:rPr>
        <w:t>2024) ‘</w:t>
      </w:r>
      <w:proofErr w:type="gramEnd"/>
      <w:r w:rsidRPr="00841F3F">
        <w:rPr>
          <w:rFonts w:ascii="Calibri" w:hAnsi="Calibri" w:cs="Calibri"/>
          <w:i/>
          <w:iCs/>
          <w:sz w:val="22"/>
          <w:szCs w:val="22"/>
          <w:lang w:val="en-US"/>
        </w:rPr>
        <w:t>Questionnaires in Research: Their Role, Advantages, and Main Aspects</w:t>
      </w:r>
      <w:r w:rsidRPr="00841F3F">
        <w:rPr>
          <w:rFonts w:ascii="Calibri" w:hAnsi="Calibri" w:cs="Calibri"/>
          <w:sz w:val="22"/>
          <w:szCs w:val="22"/>
          <w:lang w:val="en-US"/>
        </w:rPr>
        <w:t xml:space="preserve">,’ Action Aid International. Available at: </w:t>
      </w:r>
      <w:r w:rsidRPr="00841F3F">
        <w:rPr>
          <w:rFonts w:ascii="Calibri" w:hAnsi="Calibri" w:cs="Calibri"/>
          <w:color w:val="0070C0"/>
          <w:sz w:val="22"/>
          <w:szCs w:val="22"/>
          <w:u w:val="single"/>
        </w:rPr>
        <w:t>DOI:</w:t>
      </w:r>
      <w:hyperlink r:id="rId25" w:tgtFrame="_blank" w:history="1">
        <w:r w:rsidRPr="00841F3F">
          <w:rPr>
            <w:rStyle w:val="Hyperlink"/>
            <w:rFonts w:ascii="Calibri" w:hAnsi="Calibri" w:cs="Calibri"/>
            <w:color w:val="0070C0"/>
            <w:sz w:val="22"/>
            <w:szCs w:val="22"/>
          </w:rPr>
          <w:t>10.13140/RG.2.2.15334.64325</w:t>
        </w:r>
      </w:hyperlink>
      <w:r w:rsidRPr="00841F3F">
        <w:rPr>
          <w:rFonts w:ascii="Calibri" w:hAnsi="Calibri" w:cs="Calibri"/>
          <w:sz w:val="22"/>
          <w:szCs w:val="22"/>
          <w:lang w:val="en-US"/>
        </w:rPr>
        <w:t xml:space="preserve"> (Accessed: 27</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p>
    <w:p w14:paraId="3DCBCE90"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McLeod, S. (2024) </w:t>
      </w:r>
      <w:r w:rsidRPr="00841F3F">
        <w:rPr>
          <w:rFonts w:ascii="Calibri" w:hAnsi="Calibri" w:cs="Calibri"/>
          <w:i/>
          <w:iCs/>
          <w:sz w:val="22"/>
          <w:szCs w:val="22"/>
          <w:lang w:val="en-US"/>
        </w:rPr>
        <w:t>Qualitative Data Coding</w:t>
      </w:r>
      <w:r w:rsidRPr="00841F3F">
        <w:rPr>
          <w:rFonts w:ascii="Calibri" w:hAnsi="Calibri" w:cs="Calibri"/>
          <w:sz w:val="22"/>
          <w:szCs w:val="22"/>
          <w:lang w:val="en-US"/>
        </w:rPr>
        <w:t xml:space="preserve">. Available at: </w:t>
      </w:r>
      <w:hyperlink r:id="rId26" w:tgtFrame="_blank" w:history="1">
        <w:r w:rsidRPr="00841F3F">
          <w:rPr>
            <w:rStyle w:val="Hyperlink"/>
            <w:rFonts w:ascii="Calibri" w:hAnsi="Calibri" w:cs="Calibri"/>
            <w:sz w:val="22"/>
            <w:szCs w:val="22"/>
            <w:lang w:val="en-US"/>
          </w:rPr>
          <w:t>https://www.simplypsychology.org/qualitative-data-coding.html</w:t>
        </w:r>
      </w:hyperlink>
      <w:r w:rsidRPr="00841F3F">
        <w:rPr>
          <w:rFonts w:ascii="Calibri" w:hAnsi="Calibri" w:cs="Calibri"/>
          <w:sz w:val="22"/>
          <w:szCs w:val="22"/>
          <w:lang w:val="en-US"/>
        </w:rPr>
        <w:t xml:space="preserve"> (Accessed: 3</w:t>
      </w:r>
      <w:r w:rsidRPr="00841F3F">
        <w:rPr>
          <w:rFonts w:ascii="Calibri" w:hAnsi="Calibri" w:cs="Calibri"/>
          <w:sz w:val="22"/>
          <w:szCs w:val="22"/>
          <w:vertAlign w:val="superscript"/>
          <w:lang w:val="en-US"/>
        </w:rPr>
        <w:t>rd</w:t>
      </w:r>
      <w:r w:rsidRPr="00841F3F">
        <w:rPr>
          <w:rFonts w:ascii="Calibri" w:hAnsi="Calibri" w:cs="Calibri"/>
          <w:sz w:val="22"/>
          <w:szCs w:val="22"/>
          <w:lang w:val="en-US"/>
        </w:rPr>
        <w:t xml:space="preserve"> April 2025).</w:t>
      </w:r>
      <w:r w:rsidRPr="00841F3F">
        <w:rPr>
          <w:rFonts w:ascii="Calibri" w:hAnsi="Calibri" w:cs="Calibri"/>
          <w:sz w:val="22"/>
          <w:szCs w:val="22"/>
        </w:rPr>
        <w:t> </w:t>
      </w:r>
    </w:p>
    <w:p w14:paraId="4EC04414"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rPr>
        <w:t xml:space="preserve">Nielsen Norman Group (2024) </w:t>
      </w:r>
      <w:r w:rsidRPr="00841F3F">
        <w:rPr>
          <w:rFonts w:ascii="Calibri" w:hAnsi="Calibri" w:cs="Calibri"/>
          <w:i/>
          <w:iCs/>
          <w:sz w:val="22"/>
          <w:szCs w:val="22"/>
        </w:rPr>
        <w:t>Open-Ended vs. Closed Questions in User Research</w:t>
      </w:r>
      <w:r w:rsidRPr="00841F3F">
        <w:rPr>
          <w:rFonts w:ascii="Calibri" w:hAnsi="Calibri" w:cs="Calibri"/>
          <w:sz w:val="22"/>
          <w:szCs w:val="22"/>
        </w:rPr>
        <w:t xml:space="preserve">. Available at: </w:t>
      </w:r>
      <w:hyperlink r:id="rId27" w:history="1">
        <w:r w:rsidRPr="00841F3F">
          <w:rPr>
            <w:rStyle w:val="Hyperlink"/>
            <w:rFonts w:ascii="Calibri" w:hAnsi="Calibri" w:cs="Calibri"/>
            <w:sz w:val="22"/>
            <w:szCs w:val="22"/>
          </w:rPr>
          <w:t>https://www.nngroup.com/articles/open-ended-questions/</w:t>
        </w:r>
      </w:hyperlink>
      <w:r w:rsidRPr="00841F3F">
        <w:rPr>
          <w:rFonts w:ascii="Calibri" w:hAnsi="Calibri" w:cs="Calibri"/>
          <w:sz w:val="22"/>
          <w:szCs w:val="22"/>
        </w:rPr>
        <w:t xml:space="preserve"> (Accessed: 4</w:t>
      </w:r>
      <w:r w:rsidRPr="00841F3F">
        <w:rPr>
          <w:rFonts w:ascii="Calibri" w:hAnsi="Calibri" w:cs="Calibri"/>
          <w:sz w:val="22"/>
          <w:szCs w:val="22"/>
          <w:vertAlign w:val="superscript"/>
        </w:rPr>
        <w:t>th</w:t>
      </w:r>
      <w:r w:rsidRPr="00841F3F">
        <w:rPr>
          <w:rFonts w:ascii="Calibri" w:hAnsi="Calibri" w:cs="Calibri"/>
          <w:sz w:val="22"/>
          <w:szCs w:val="22"/>
        </w:rPr>
        <w:t xml:space="preserve"> April 2025).</w:t>
      </w:r>
    </w:p>
    <w:p w14:paraId="4100896F" w14:textId="77777777" w:rsidR="00841F3F" w:rsidRPr="00841F3F" w:rsidRDefault="00841F3F" w:rsidP="00841F3F">
      <w:pPr>
        <w:spacing w:line="360" w:lineRule="auto"/>
        <w:rPr>
          <w:rFonts w:ascii="Calibri" w:hAnsi="Calibri" w:cs="Calibri"/>
          <w:sz w:val="22"/>
          <w:szCs w:val="22"/>
          <w:lang w:val="en-US"/>
        </w:rPr>
      </w:pPr>
      <w:r w:rsidRPr="00841F3F">
        <w:rPr>
          <w:rFonts w:ascii="Calibri" w:hAnsi="Calibri" w:cs="Calibri"/>
          <w:sz w:val="22"/>
          <w:szCs w:val="22"/>
          <w:lang w:val="en-US"/>
        </w:rPr>
        <w:t xml:space="preserve">O’Reilly, M. and Dogra, N. (2017) </w:t>
      </w:r>
      <w:r w:rsidRPr="00841F3F">
        <w:rPr>
          <w:rFonts w:ascii="Calibri" w:hAnsi="Calibri" w:cs="Calibri"/>
          <w:i/>
          <w:iCs/>
          <w:sz w:val="22"/>
          <w:szCs w:val="22"/>
          <w:lang w:val="en-US"/>
        </w:rPr>
        <w:t>Interviewing Children and Young People for Research</w:t>
      </w:r>
      <w:r w:rsidRPr="00841F3F">
        <w:rPr>
          <w:rFonts w:ascii="Calibri" w:hAnsi="Calibri" w:cs="Calibri"/>
          <w:sz w:val="22"/>
          <w:szCs w:val="22"/>
          <w:lang w:val="en-US"/>
        </w:rPr>
        <w:t>. London: Sage.</w:t>
      </w:r>
    </w:p>
    <w:p w14:paraId="4CA53CD1"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rPr>
        <w:t>Pointerpro</w:t>
      </w:r>
      <w:proofErr w:type="spellEnd"/>
      <w:r w:rsidRPr="00841F3F">
        <w:rPr>
          <w:rFonts w:ascii="Calibri" w:hAnsi="Calibri" w:cs="Calibri"/>
          <w:sz w:val="22"/>
          <w:szCs w:val="22"/>
        </w:rPr>
        <w:t xml:space="preserve"> (2023) </w:t>
      </w:r>
      <w:r w:rsidRPr="00841F3F">
        <w:rPr>
          <w:rFonts w:ascii="Calibri" w:hAnsi="Calibri" w:cs="Calibri"/>
          <w:i/>
          <w:iCs/>
          <w:sz w:val="22"/>
          <w:szCs w:val="22"/>
        </w:rPr>
        <w:t>12 advantages and disadvantages of questionnaires</w:t>
      </w:r>
      <w:r w:rsidRPr="00841F3F">
        <w:rPr>
          <w:rFonts w:ascii="Calibri" w:hAnsi="Calibri" w:cs="Calibri"/>
          <w:sz w:val="22"/>
          <w:szCs w:val="22"/>
        </w:rPr>
        <w:t xml:space="preserve">. Available at: </w:t>
      </w:r>
      <w:hyperlink r:id="rId28" w:history="1">
        <w:r w:rsidRPr="00841F3F">
          <w:rPr>
            <w:rStyle w:val="Hyperlink"/>
            <w:rFonts w:ascii="Calibri" w:hAnsi="Calibri" w:cs="Calibri"/>
            <w:sz w:val="22"/>
            <w:szCs w:val="22"/>
          </w:rPr>
          <w:t>https://pointerpro.com/blog/questionnaire-pros-and-cons/</w:t>
        </w:r>
      </w:hyperlink>
      <w:r w:rsidRPr="00841F3F">
        <w:rPr>
          <w:rFonts w:ascii="Calibri" w:hAnsi="Calibri" w:cs="Calibri"/>
          <w:sz w:val="22"/>
          <w:szCs w:val="22"/>
        </w:rPr>
        <w:t xml:space="preserve"> (Accessed: 24</w:t>
      </w:r>
      <w:r w:rsidRPr="00841F3F">
        <w:rPr>
          <w:rFonts w:ascii="Calibri" w:hAnsi="Calibri" w:cs="Calibri"/>
          <w:sz w:val="22"/>
          <w:szCs w:val="22"/>
          <w:vertAlign w:val="superscript"/>
        </w:rPr>
        <w:t>th</w:t>
      </w:r>
      <w:r w:rsidRPr="00841F3F">
        <w:rPr>
          <w:rFonts w:ascii="Calibri" w:hAnsi="Calibri" w:cs="Calibri"/>
          <w:sz w:val="22"/>
          <w:szCs w:val="22"/>
        </w:rPr>
        <w:t xml:space="preserve"> March 2025).</w:t>
      </w:r>
    </w:p>
    <w:p w14:paraId="7A1B016D"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Ponce, O.A. and Pagan-</w:t>
      </w:r>
      <w:proofErr w:type="spellStart"/>
      <w:r w:rsidRPr="00841F3F">
        <w:rPr>
          <w:rFonts w:ascii="Calibri" w:hAnsi="Calibri" w:cs="Calibri"/>
          <w:sz w:val="22"/>
          <w:szCs w:val="22"/>
          <w:lang w:val="en-US"/>
        </w:rPr>
        <w:t>Moldanado</w:t>
      </w:r>
      <w:proofErr w:type="spellEnd"/>
      <w:r w:rsidRPr="00841F3F">
        <w:rPr>
          <w:rFonts w:ascii="Calibri" w:hAnsi="Calibri" w:cs="Calibri"/>
          <w:sz w:val="22"/>
          <w:szCs w:val="22"/>
          <w:lang w:val="en-US"/>
        </w:rPr>
        <w:t>, N. (2015) ‘</w:t>
      </w:r>
      <w:r w:rsidRPr="00841F3F">
        <w:rPr>
          <w:rFonts w:ascii="Calibri" w:hAnsi="Calibri" w:cs="Calibri"/>
          <w:i/>
          <w:iCs/>
          <w:sz w:val="22"/>
          <w:szCs w:val="22"/>
          <w:lang w:val="en-US"/>
        </w:rPr>
        <w:t xml:space="preserve">Mixed Methods Research in </w:t>
      </w:r>
      <w:proofErr w:type="spellStart"/>
      <w:r w:rsidRPr="00841F3F">
        <w:rPr>
          <w:rFonts w:ascii="Calibri" w:hAnsi="Calibri" w:cs="Calibri"/>
          <w:i/>
          <w:iCs/>
          <w:sz w:val="22"/>
          <w:szCs w:val="22"/>
          <w:lang w:val="en-US"/>
        </w:rPr>
        <w:t>Educcation</w:t>
      </w:r>
      <w:proofErr w:type="spellEnd"/>
      <w:r w:rsidRPr="00841F3F">
        <w:rPr>
          <w:rFonts w:ascii="Calibri" w:hAnsi="Calibri" w:cs="Calibri"/>
          <w:i/>
          <w:iCs/>
          <w:sz w:val="22"/>
          <w:szCs w:val="22"/>
          <w:lang w:val="en-US"/>
        </w:rPr>
        <w:t>: Capturing the Complexity of the Profession</w:t>
      </w:r>
      <w:r w:rsidRPr="00841F3F">
        <w:rPr>
          <w:rFonts w:ascii="Calibri" w:hAnsi="Calibri" w:cs="Calibri"/>
          <w:sz w:val="22"/>
          <w:szCs w:val="22"/>
          <w:lang w:val="en-US"/>
        </w:rPr>
        <w:t xml:space="preserve">,’ International Journal of Educational Excellence, 1 (1), pp. 111 – 135. Available at: </w:t>
      </w:r>
      <w:hyperlink r:id="rId29" w:history="1">
        <w:r w:rsidRPr="00841F3F">
          <w:rPr>
            <w:rStyle w:val="Hyperlink"/>
            <w:rFonts w:ascii="Calibri" w:hAnsi="Calibri" w:cs="Calibri"/>
            <w:sz w:val="22"/>
            <w:szCs w:val="22"/>
            <w:lang w:val="en-US"/>
          </w:rPr>
          <w:t>https://pdfs.semanticscholar.org/161e/7826fbe09af93d59972fdd5a5201da5b7dc6.pdf</w:t>
        </w:r>
      </w:hyperlink>
      <w:r w:rsidRPr="00841F3F">
        <w:rPr>
          <w:rFonts w:ascii="Calibri" w:hAnsi="Calibri" w:cs="Calibri"/>
          <w:sz w:val="22"/>
          <w:szCs w:val="22"/>
          <w:lang w:val="en-US"/>
        </w:rPr>
        <w:t xml:space="preserve"> </w:t>
      </w:r>
    </w:p>
    <w:p w14:paraId="7912BB30" w14:textId="77777777" w:rsidR="00841F3F" w:rsidRPr="00841F3F" w:rsidRDefault="00841F3F" w:rsidP="00841F3F">
      <w:pPr>
        <w:spacing w:line="360" w:lineRule="auto"/>
        <w:rPr>
          <w:rFonts w:ascii="Calibri" w:hAnsi="Calibri" w:cs="Calibri"/>
          <w:sz w:val="22"/>
          <w:szCs w:val="22"/>
          <w:lang w:val="en-US"/>
        </w:rPr>
      </w:pPr>
      <w:proofErr w:type="spellStart"/>
      <w:r w:rsidRPr="00841F3F">
        <w:rPr>
          <w:rFonts w:ascii="Calibri" w:hAnsi="Calibri" w:cs="Calibri"/>
          <w:sz w:val="22"/>
          <w:szCs w:val="22"/>
          <w:lang w:val="en-US"/>
        </w:rPr>
        <w:t>Ponizovsky-Begelson</w:t>
      </w:r>
      <w:proofErr w:type="spellEnd"/>
      <w:r w:rsidRPr="00841F3F">
        <w:rPr>
          <w:rFonts w:ascii="Calibri" w:hAnsi="Calibri" w:cs="Calibri"/>
          <w:sz w:val="22"/>
          <w:szCs w:val="22"/>
          <w:lang w:val="en-US"/>
        </w:rPr>
        <w:t>, Y., Dayan, Y., Roer-</w:t>
      </w:r>
      <w:proofErr w:type="spellStart"/>
      <w:r w:rsidRPr="00841F3F">
        <w:rPr>
          <w:rFonts w:ascii="Calibri" w:hAnsi="Calibri" w:cs="Calibri"/>
          <w:sz w:val="22"/>
          <w:szCs w:val="22"/>
          <w:lang w:val="en-US"/>
        </w:rPr>
        <w:t>Strier</w:t>
      </w:r>
      <w:proofErr w:type="spellEnd"/>
      <w:r w:rsidRPr="00841F3F">
        <w:rPr>
          <w:rFonts w:ascii="Calibri" w:hAnsi="Calibri" w:cs="Calibri"/>
          <w:sz w:val="22"/>
          <w:szCs w:val="22"/>
          <w:lang w:val="en-US"/>
        </w:rPr>
        <w:t>, D. and Wahle, N. (2019) ‘</w:t>
      </w:r>
      <w:r w:rsidRPr="00841F3F">
        <w:rPr>
          <w:rFonts w:ascii="Calibri" w:hAnsi="Calibri" w:cs="Calibri"/>
          <w:i/>
          <w:iCs/>
          <w:sz w:val="22"/>
          <w:szCs w:val="22"/>
          <w:lang w:val="en-US"/>
        </w:rPr>
        <w:t>A Qualitative Interview with Young Children: What Encourages or Inhibits Young Children’s Participation</w:t>
      </w:r>
      <w:r w:rsidRPr="00841F3F">
        <w:rPr>
          <w:rFonts w:ascii="Calibri" w:hAnsi="Calibri" w:cs="Calibri"/>
          <w:sz w:val="22"/>
          <w:szCs w:val="22"/>
          <w:lang w:val="en-US"/>
        </w:rPr>
        <w:t xml:space="preserve">?’ International Journal of Qualitative Methods, Vol. 18, pp. 1 – 9. Available at: </w:t>
      </w:r>
      <w:hyperlink r:id="rId30" w:history="1">
        <w:r w:rsidRPr="00841F3F">
          <w:rPr>
            <w:rStyle w:val="Hyperlink"/>
            <w:rFonts w:ascii="Calibri" w:hAnsi="Calibri" w:cs="Calibri"/>
            <w:sz w:val="22"/>
            <w:szCs w:val="22"/>
          </w:rPr>
          <w:t>https://doi.org/10.1177/1609406919840516</w:t>
        </w:r>
      </w:hyperlink>
    </w:p>
    <w:p w14:paraId="5EA425BC" w14:textId="77777777" w:rsidR="00841F3F" w:rsidRPr="00841F3F" w:rsidRDefault="00841F3F" w:rsidP="00841F3F">
      <w:pPr>
        <w:spacing w:line="360" w:lineRule="auto"/>
        <w:rPr>
          <w:rFonts w:ascii="Calibri" w:hAnsi="Calibri" w:cs="Calibri"/>
          <w:sz w:val="22"/>
          <w:szCs w:val="22"/>
          <w:lang w:val="en-US"/>
        </w:rPr>
      </w:pPr>
      <w:r w:rsidRPr="00841F3F">
        <w:rPr>
          <w:rFonts w:ascii="Calibri" w:hAnsi="Calibri" w:cs="Calibri"/>
          <w:sz w:val="22"/>
          <w:szCs w:val="22"/>
          <w:lang w:val="en-US"/>
        </w:rPr>
        <w:t xml:space="preserve">Research Schools Network (2022) </w:t>
      </w:r>
      <w:r w:rsidRPr="00841F3F">
        <w:rPr>
          <w:rFonts w:ascii="Calibri" w:hAnsi="Calibri" w:cs="Calibri"/>
          <w:i/>
          <w:iCs/>
          <w:sz w:val="22"/>
          <w:szCs w:val="22"/>
          <w:lang w:val="en-US"/>
        </w:rPr>
        <w:t xml:space="preserve">How Effective is Think Pair Share? </w:t>
      </w:r>
      <w:r w:rsidRPr="00841F3F">
        <w:rPr>
          <w:rFonts w:ascii="Calibri" w:hAnsi="Calibri" w:cs="Calibri"/>
          <w:sz w:val="22"/>
          <w:szCs w:val="22"/>
          <w:lang w:val="en-US"/>
        </w:rPr>
        <w:t xml:space="preserve">Available at: </w:t>
      </w:r>
      <w:hyperlink r:id="rId31" w:tgtFrame="_blank" w:history="1">
        <w:r w:rsidRPr="00841F3F">
          <w:rPr>
            <w:rStyle w:val="Hyperlink"/>
            <w:rFonts w:ascii="Calibri" w:hAnsi="Calibri" w:cs="Calibri"/>
            <w:sz w:val="22"/>
            <w:szCs w:val="22"/>
            <w:lang w:val="en-US"/>
          </w:rPr>
          <w:t>https://researchschool.org.uk/durrington/news/how-effective-is-think-pair-share</w:t>
        </w:r>
      </w:hyperlink>
      <w:r w:rsidRPr="00841F3F">
        <w:rPr>
          <w:rFonts w:ascii="Calibri" w:hAnsi="Calibri" w:cs="Calibri"/>
          <w:sz w:val="22"/>
          <w:szCs w:val="22"/>
          <w:lang w:val="en-US"/>
        </w:rPr>
        <w:t xml:space="preserve"> (Accessed: 3</w:t>
      </w:r>
      <w:r w:rsidRPr="00841F3F">
        <w:rPr>
          <w:rFonts w:ascii="Calibri" w:hAnsi="Calibri" w:cs="Calibri"/>
          <w:sz w:val="22"/>
          <w:szCs w:val="22"/>
          <w:vertAlign w:val="superscript"/>
          <w:lang w:val="en-US"/>
        </w:rPr>
        <w:t>rd</w:t>
      </w:r>
      <w:r w:rsidRPr="00841F3F">
        <w:rPr>
          <w:rFonts w:ascii="Calibri" w:hAnsi="Calibri" w:cs="Calibri"/>
          <w:sz w:val="22"/>
          <w:szCs w:val="22"/>
          <w:lang w:val="en-US"/>
        </w:rPr>
        <w:t xml:space="preserve"> April 2025).</w:t>
      </w:r>
      <w:r w:rsidRPr="00841F3F">
        <w:rPr>
          <w:rFonts w:ascii="Calibri" w:hAnsi="Calibri" w:cs="Calibri"/>
          <w:sz w:val="22"/>
          <w:szCs w:val="22"/>
        </w:rPr>
        <w:t> </w:t>
      </w:r>
    </w:p>
    <w:p w14:paraId="5A487C88"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Senedd Research (2017) </w:t>
      </w:r>
      <w:r w:rsidRPr="00841F3F">
        <w:rPr>
          <w:rFonts w:ascii="Calibri" w:hAnsi="Calibri" w:cs="Calibri"/>
          <w:i/>
          <w:iCs/>
          <w:sz w:val="22"/>
          <w:szCs w:val="22"/>
          <w:lang w:val="en-US"/>
        </w:rPr>
        <w:t>Assessment for learning or accountability?</w:t>
      </w:r>
      <w:r w:rsidRPr="00841F3F">
        <w:rPr>
          <w:rFonts w:ascii="Calibri" w:hAnsi="Calibri" w:cs="Calibri"/>
          <w:sz w:val="22"/>
          <w:szCs w:val="22"/>
          <w:lang w:val="en-US"/>
        </w:rPr>
        <w:t xml:space="preserve"> Available at: </w:t>
      </w:r>
      <w:hyperlink r:id="rId32" w:tgtFrame="_blank" w:history="1">
        <w:r w:rsidRPr="00841F3F">
          <w:rPr>
            <w:rStyle w:val="Hyperlink"/>
            <w:rFonts w:ascii="Calibri" w:hAnsi="Calibri" w:cs="Calibri"/>
            <w:sz w:val="22"/>
            <w:szCs w:val="22"/>
            <w:lang w:val="en-US"/>
          </w:rPr>
          <w:t>https://research.senedd.wales/research-articles/assessment-for-learning-or-accountability/</w:t>
        </w:r>
      </w:hyperlink>
      <w:r w:rsidRPr="00841F3F">
        <w:rPr>
          <w:rFonts w:ascii="Calibri" w:hAnsi="Calibri" w:cs="Calibri"/>
          <w:sz w:val="22"/>
          <w:szCs w:val="22"/>
          <w:lang w:val="en-US"/>
        </w:rPr>
        <w:t xml:space="preserve"> (Accessed: 18</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29DE4214"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lastRenderedPageBreak/>
        <w:t>Sharma, H. (</w:t>
      </w:r>
      <w:proofErr w:type="gramStart"/>
      <w:r w:rsidRPr="00841F3F">
        <w:rPr>
          <w:rFonts w:ascii="Calibri" w:hAnsi="Calibri" w:cs="Calibri"/>
          <w:sz w:val="22"/>
          <w:szCs w:val="22"/>
          <w:lang w:val="en-US"/>
        </w:rPr>
        <w:t>2022) ‘</w:t>
      </w:r>
      <w:proofErr w:type="gramEnd"/>
      <w:r w:rsidRPr="00841F3F">
        <w:rPr>
          <w:rFonts w:ascii="Calibri" w:hAnsi="Calibri" w:cs="Calibri"/>
          <w:i/>
          <w:iCs/>
          <w:sz w:val="22"/>
          <w:szCs w:val="22"/>
          <w:lang w:val="en-US"/>
        </w:rPr>
        <w:t xml:space="preserve">How short or long should be a questionnaire for any research? </w:t>
      </w:r>
      <w:proofErr w:type="gramStart"/>
      <w:r w:rsidRPr="00841F3F">
        <w:rPr>
          <w:rFonts w:ascii="Calibri" w:hAnsi="Calibri" w:cs="Calibri"/>
          <w:i/>
          <w:iCs/>
          <w:sz w:val="22"/>
          <w:szCs w:val="22"/>
          <w:lang w:val="en-US"/>
        </w:rPr>
        <w:t>Researchers</w:t>
      </w:r>
      <w:proofErr w:type="gramEnd"/>
      <w:r w:rsidRPr="00841F3F">
        <w:rPr>
          <w:rFonts w:ascii="Calibri" w:hAnsi="Calibri" w:cs="Calibri"/>
          <w:i/>
          <w:iCs/>
          <w:sz w:val="22"/>
          <w:szCs w:val="22"/>
          <w:lang w:val="en-US"/>
        </w:rPr>
        <w:t xml:space="preserve"> dilemma in deciding the appropriate questionnaire length</w:t>
      </w:r>
      <w:r w:rsidRPr="00841F3F">
        <w:rPr>
          <w:rFonts w:ascii="Calibri" w:hAnsi="Calibri" w:cs="Calibri"/>
          <w:sz w:val="22"/>
          <w:szCs w:val="22"/>
          <w:lang w:val="en-US"/>
        </w:rPr>
        <w:t xml:space="preserve">,’ Saudi Journal of </w:t>
      </w:r>
      <w:proofErr w:type="spellStart"/>
      <w:r w:rsidRPr="00841F3F">
        <w:rPr>
          <w:rFonts w:ascii="Calibri" w:hAnsi="Calibri" w:cs="Calibri"/>
          <w:sz w:val="22"/>
          <w:szCs w:val="22"/>
          <w:lang w:val="en-US"/>
        </w:rPr>
        <w:t>Anaesthesia</w:t>
      </w:r>
      <w:proofErr w:type="spellEnd"/>
      <w:r w:rsidRPr="00841F3F">
        <w:rPr>
          <w:rFonts w:ascii="Calibri" w:hAnsi="Calibri" w:cs="Calibri"/>
          <w:sz w:val="22"/>
          <w:szCs w:val="22"/>
          <w:lang w:val="en-US"/>
        </w:rPr>
        <w:t xml:space="preserve">, 16 (1), pp. 65 – 68. Available at: </w:t>
      </w:r>
      <w:hyperlink r:id="rId33" w:tgtFrame="_blank" w:history="1">
        <w:r w:rsidRPr="00841F3F">
          <w:rPr>
            <w:rStyle w:val="Hyperlink"/>
            <w:rFonts w:ascii="Calibri" w:hAnsi="Calibri" w:cs="Calibri"/>
            <w:sz w:val="22"/>
            <w:szCs w:val="22"/>
            <w:lang w:val="en-US"/>
          </w:rPr>
          <w:t>https://pmc.ncbi.nlm.nih.gov/articles/PMC8846243/pdf/SJA-16-65.pdf</w:t>
        </w:r>
      </w:hyperlink>
      <w:r w:rsidRPr="00841F3F">
        <w:rPr>
          <w:rFonts w:ascii="Calibri" w:hAnsi="Calibri" w:cs="Calibri"/>
          <w:sz w:val="22"/>
          <w:szCs w:val="22"/>
          <w:lang w:val="en-US"/>
        </w:rPr>
        <w:t>   </w:t>
      </w:r>
      <w:r w:rsidRPr="00841F3F">
        <w:rPr>
          <w:rFonts w:ascii="Calibri" w:hAnsi="Calibri" w:cs="Calibri"/>
          <w:sz w:val="22"/>
          <w:szCs w:val="22"/>
        </w:rPr>
        <w:t> </w:t>
      </w:r>
    </w:p>
    <w:p w14:paraId="4E99B67B"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Siegle, D. (2023) </w:t>
      </w:r>
      <w:r w:rsidRPr="00841F3F">
        <w:rPr>
          <w:rFonts w:ascii="Calibri" w:hAnsi="Calibri" w:cs="Calibri"/>
          <w:i/>
          <w:iCs/>
          <w:sz w:val="22"/>
          <w:szCs w:val="22"/>
          <w:lang w:val="en-US"/>
        </w:rPr>
        <w:t>Research Ethics and Informed Consent</w:t>
      </w:r>
      <w:r w:rsidRPr="00841F3F">
        <w:rPr>
          <w:rFonts w:ascii="Calibri" w:hAnsi="Calibri" w:cs="Calibri"/>
          <w:sz w:val="22"/>
          <w:szCs w:val="22"/>
          <w:lang w:val="en-US"/>
        </w:rPr>
        <w:t xml:space="preserve">. Available at: </w:t>
      </w:r>
      <w:hyperlink r:id="rId34" w:tgtFrame="_blank" w:history="1">
        <w:r w:rsidRPr="00841F3F">
          <w:rPr>
            <w:rStyle w:val="Hyperlink"/>
            <w:rFonts w:ascii="Calibri" w:hAnsi="Calibri" w:cs="Calibri"/>
            <w:sz w:val="22"/>
            <w:szCs w:val="22"/>
            <w:lang w:val="en-US"/>
          </w:rPr>
          <w:t>https://researchbasics.education.uconn.edu/ethics-and-informed-consent/</w:t>
        </w:r>
      </w:hyperlink>
      <w:r w:rsidRPr="00841F3F">
        <w:rPr>
          <w:rFonts w:ascii="Calibri" w:hAnsi="Calibri" w:cs="Calibri"/>
          <w:sz w:val="22"/>
          <w:szCs w:val="22"/>
          <w:lang w:val="en-US"/>
        </w:rPr>
        <w:t xml:space="preserve"> (Accessed: 24</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79FA75E1" w14:textId="77777777" w:rsidR="00841F3F" w:rsidRPr="00841F3F" w:rsidRDefault="00841F3F" w:rsidP="00841F3F">
      <w:pPr>
        <w:spacing w:line="360" w:lineRule="auto"/>
        <w:rPr>
          <w:rFonts w:ascii="Calibri" w:hAnsi="Calibri" w:cs="Calibri"/>
          <w:sz w:val="22"/>
          <w:szCs w:val="22"/>
        </w:rPr>
      </w:pPr>
      <w:proofErr w:type="spellStart"/>
      <w:r w:rsidRPr="00841F3F">
        <w:rPr>
          <w:rFonts w:ascii="Calibri" w:hAnsi="Calibri" w:cs="Calibri"/>
          <w:sz w:val="22"/>
          <w:szCs w:val="22"/>
          <w:lang w:val="en-US"/>
        </w:rPr>
        <w:t>SmartSurvey</w:t>
      </w:r>
      <w:proofErr w:type="spellEnd"/>
      <w:r w:rsidRPr="00841F3F">
        <w:rPr>
          <w:rFonts w:ascii="Calibri" w:hAnsi="Calibri" w:cs="Calibri"/>
          <w:sz w:val="22"/>
          <w:szCs w:val="22"/>
          <w:lang w:val="en-US"/>
        </w:rPr>
        <w:t xml:space="preserve"> (2023) </w:t>
      </w:r>
      <w:r w:rsidRPr="00841F3F">
        <w:rPr>
          <w:rFonts w:ascii="Calibri" w:hAnsi="Calibri" w:cs="Calibri"/>
          <w:i/>
          <w:iCs/>
          <w:sz w:val="22"/>
          <w:szCs w:val="22"/>
          <w:lang w:val="en-US"/>
        </w:rPr>
        <w:t>Advantages of Questionnaires in Online Research</w:t>
      </w:r>
      <w:r w:rsidRPr="00841F3F">
        <w:rPr>
          <w:rFonts w:ascii="Calibri" w:hAnsi="Calibri" w:cs="Calibri"/>
          <w:sz w:val="22"/>
          <w:szCs w:val="22"/>
          <w:lang w:val="en-US"/>
        </w:rPr>
        <w:t xml:space="preserve">. Available at: </w:t>
      </w:r>
      <w:hyperlink r:id="rId35" w:tgtFrame="_blank" w:history="1">
        <w:r w:rsidRPr="00841F3F">
          <w:rPr>
            <w:rStyle w:val="Hyperlink"/>
            <w:rFonts w:ascii="Calibri" w:hAnsi="Calibri" w:cs="Calibri"/>
            <w:sz w:val="22"/>
            <w:szCs w:val="22"/>
            <w:lang w:val="en-US"/>
          </w:rPr>
          <w:t>https://www.smartsurvey.co.uk/blog/advantages-of-questionnaires-in-online-research</w:t>
        </w:r>
      </w:hyperlink>
      <w:r w:rsidRPr="00841F3F">
        <w:rPr>
          <w:rFonts w:ascii="Calibri" w:hAnsi="Calibri" w:cs="Calibri"/>
          <w:sz w:val="22"/>
          <w:szCs w:val="22"/>
          <w:lang w:val="en-US"/>
        </w:rPr>
        <w:t xml:space="preserve"> (Accessed: 26</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188939D8"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rPr>
        <w:t xml:space="preserve">University of Arkansas (2022) </w:t>
      </w:r>
      <w:r w:rsidRPr="00841F3F">
        <w:rPr>
          <w:rFonts w:ascii="Calibri" w:hAnsi="Calibri" w:cs="Calibri"/>
          <w:i/>
          <w:iCs/>
          <w:sz w:val="22"/>
          <w:szCs w:val="22"/>
        </w:rPr>
        <w:t>Using Bloom’s Taxonomy to Write Effective Learning Objectives</w:t>
      </w:r>
      <w:r w:rsidRPr="00841F3F">
        <w:rPr>
          <w:rFonts w:ascii="Calibri" w:hAnsi="Calibri" w:cs="Calibri"/>
          <w:sz w:val="22"/>
          <w:szCs w:val="22"/>
        </w:rPr>
        <w:t xml:space="preserve">. Available at: </w:t>
      </w:r>
      <w:hyperlink r:id="rId36" w:history="1">
        <w:r w:rsidRPr="00841F3F">
          <w:rPr>
            <w:rStyle w:val="Hyperlink"/>
            <w:rFonts w:ascii="Calibri" w:hAnsi="Calibri" w:cs="Calibri"/>
            <w:sz w:val="22"/>
            <w:szCs w:val="22"/>
          </w:rPr>
          <w:t>https://tips.uark.edu/using-blooms-taxonomy/#gsc.tab=0</w:t>
        </w:r>
      </w:hyperlink>
      <w:r w:rsidRPr="00841F3F">
        <w:rPr>
          <w:rFonts w:ascii="Calibri" w:hAnsi="Calibri" w:cs="Calibri"/>
          <w:sz w:val="22"/>
          <w:szCs w:val="22"/>
        </w:rPr>
        <w:t xml:space="preserve"> (Accessed: 7</w:t>
      </w:r>
      <w:r w:rsidRPr="00841F3F">
        <w:rPr>
          <w:rFonts w:ascii="Calibri" w:hAnsi="Calibri" w:cs="Calibri"/>
          <w:sz w:val="22"/>
          <w:szCs w:val="22"/>
          <w:vertAlign w:val="superscript"/>
        </w:rPr>
        <w:t>th</w:t>
      </w:r>
      <w:r w:rsidRPr="00841F3F">
        <w:rPr>
          <w:rFonts w:ascii="Calibri" w:hAnsi="Calibri" w:cs="Calibri"/>
          <w:sz w:val="22"/>
          <w:szCs w:val="22"/>
        </w:rPr>
        <w:t xml:space="preserve"> April 2025)</w:t>
      </w:r>
    </w:p>
    <w:p w14:paraId="637CC5BE"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rPr>
        <w:t>Weems, G.H., Onwuegbuzie, A.J. and Lustig, D. (2003) ‘</w:t>
      </w:r>
      <w:r w:rsidRPr="00841F3F">
        <w:rPr>
          <w:rFonts w:ascii="Calibri" w:hAnsi="Calibri" w:cs="Calibri"/>
          <w:i/>
          <w:iCs/>
          <w:sz w:val="22"/>
          <w:szCs w:val="22"/>
        </w:rPr>
        <w:t>Profiles of respondents who respond inconsistently to positively- and negatively-worded items on rating scale</w:t>
      </w:r>
      <w:r w:rsidRPr="00841F3F">
        <w:rPr>
          <w:rFonts w:ascii="Calibri" w:hAnsi="Calibri" w:cs="Calibri"/>
          <w:sz w:val="22"/>
          <w:szCs w:val="22"/>
        </w:rPr>
        <w:t xml:space="preserve">,’ Evaluation and Research in Education, 17 (1), pp. 45 – 60. Available at: </w:t>
      </w:r>
      <w:hyperlink r:id="rId37" w:history="1">
        <w:r w:rsidRPr="00841F3F">
          <w:rPr>
            <w:rStyle w:val="Hyperlink"/>
            <w:rFonts w:ascii="Calibri" w:hAnsi="Calibri" w:cs="Calibri"/>
            <w:sz w:val="22"/>
            <w:szCs w:val="22"/>
          </w:rPr>
          <w:t>https://doi.org/10.1080/14664200308668290</w:t>
        </w:r>
      </w:hyperlink>
    </w:p>
    <w:p w14:paraId="44BB05A8"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Welsh Government (2013) </w:t>
      </w:r>
      <w:r w:rsidRPr="00841F3F">
        <w:rPr>
          <w:rFonts w:ascii="Calibri" w:hAnsi="Calibri" w:cs="Calibri"/>
          <w:i/>
          <w:iCs/>
          <w:sz w:val="22"/>
          <w:szCs w:val="22"/>
          <w:lang w:val="en-US"/>
        </w:rPr>
        <w:t>Assessment for Learning and the National Literacy and Numeracy Framework</w:t>
      </w:r>
      <w:r w:rsidRPr="00841F3F">
        <w:rPr>
          <w:rFonts w:ascii="Calibri" w:hAnsi="Calibri" w:cs="Calibri"/>
          <w:sz w:val="22"/>
          <w:szCs w:val="22"/>
          <w:lang w:val="en-US"/>
        </w:rPr>
        <w:t xml:space="preserve">. Available at: </w:t>
      </w:r>
      <w:hyperlink r:id="rId38" w:tgtFrame="_blank" w:history="1">
        <w:r w:rsidRPr="00841F3F">
          <w:rPr>
            <w:rStyle w:val="Hyperlink"/>
            <w:rFonts w:ascii="Calibri" w:hAnsi="Calibri" w:cs="Calibri"/>
            <w:sz w:val="22"/>
            <w:szCs w:val="22"/>
            <w:lang w:val="en-US"/>
          </w:rPr>
          <w:t>https://hwb.gov.wales/api/storage/b447d1fe-5463-4382-9726-e68623a05dd2/assessment-for-learning-and-the-national-literacy-and-numeracy-framework.pdf</w:t>
        </w:r>
      </w:hyperlink>
      <w:r w:rsidRPr="00841F3F">
        <w:rPr>
          <w:rFonts w:ascii="Calibri" w:hAnsi="Calibri" w:cs="Calibri"/>
          <w:sz w:val="22"/>
          <w:szCs w:val="22"/>
          <w:lang w:val="en-US"/>
        </w:rPr>
        <w:t xml:space="preserve"> (Accessed: 18</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w:t>
      </w:r>
      <w:r w:rsidRPr="00841F3F">
        <w:rPr>
          <w:rFonts w:ascii="Calibri" w:hAnsi="Calibri" w:cs="Calibri"/>
          <w:sz w:val="22"/>
          <w:szCs w:val="22"/>
        </w:rPr>
        <w:t> </w:t>
      </w:r>
    </w:p>
    <w:p w14:paraId="55D4CCA1" w14:textId="77777777" w:rsidR="00841F3F" w:rsidRPr="00841F3F" w:rsidRDefault="00841F3F" w:rsidP="00841F3F">
      <w:pPr>
        <w:spacing w:line="360" w:lineRule="auto"/>
        <w:rPr>
          <w:rFonts w:ascii="Calibri" w:hAnsi="Calibri" w:cs="Calibri"/>
          <w:sz w:val="22"/>
          <w:szCs w:val="22"/>
          <w:lang w:val="en-US"/>
        </w:rPr>
      </w:pPr>
      <w:r w:rsidRPr="00841F3F">
        <w:rPr>
          <w:rFonts w:ascii="Calibri" w:hAnsi="Calibri" w:cs="Calibri"/>
          <w:sz w:val="22"/>
          <w:szCs w:val="22"/>
          <w:lang w:val="en-US"/>
        </w:rPr>
        <w:t xml:space="preserve">Welsh Government (2015) </w:t>
      </w:r>
      <w:r w:rsidRPr="00841F3F">
        <w:rPr>
          <w:rFonts w:ascii="Calibri" w:hAnsi="Calibri" w:cs="Calibri"/>
          <w:i/>
          <w:iCs/>
          <w:sz w:val="22"/>
          <w:szCs w:val="22"/>
          <w:lang w:val="en-US"/>
        </w:rPr>
        <w:t>Effective use of data and research evidence</w:t>
      </w:r>
      <w:r w:rsidRPr="00841F3F">
        <w:rPr>
          <w:rFonts w:ascii="Calibri" w:hAnsi="Calibri" w:cs="Calibri"/>
          <w:sz w:val="22"/>
          <w:szCs w:val="22"/>
          <w:lang w:val="en-US"/>
        </w:rPr>
        <w:t xml:space="preserve">. Available at: </w:t>
      </w:r>
      <w:hyperlink r:id="rId39" w:tgtFrame="_blank" w:history="1">
        <w:r w:rsidRPr="00841F3F">
          <w:rPr>
            <w:rStyle w:val="Hyperlink"/>
            <w:rFonts w:ascii="Calibri" w:hAnsi="Calibri" w:cs="Calibri"/>
            <w:sz w:val="22"/>
            <w:szCs w:val="22"/>
            <w:lang w:val="en-US"/>
          </w:rPr>
          <w:t>https://dera.ioe.ac.uk/id/eprint/24313/2/150814-effective-use-of-data-en_Redacted.pdf</w:t>
        </w:r>
      </w:hyperlink>
      <w:r w:rsidRPr="00841F3F">
        <w:rPr>
          <w:rFonts w:ascii="Calibri" w:hAnsi="Calibri" w:cs="Calibri"/>
          <w:sz w:val="22"/>
          <w:szCs w:val="22"/>
          <w:lang w:val="en-US"/>
        </w:rPr>
        <w:t xml:space="preserve"> (Accessed: 24</w:t>
      </w:r>
      <w:r w:rsidRPr="00841F3F">
        <w:rPr>
          <w:rFonts w:ascii="Calibri" w:hAnsi="Calibri" w:cs="Calibri"/>
          <w:sz w:val="22"/>
          <w:szCs w:val="22"/>
          <w:vertAlign w:val="superscript"/>
          <w:lang w:val="en-US"/>
        </w:rPr>
        <w:t>th</w:t>
      </w:r>
      <w:r w:rsidRPr="00841F3F">
        <w:rPr>
          <w:rFonts w:ascii="Calibri" w:hAnsi="Calibri" w:cs="Calibri"/>
          <w:sz w:val="22"/>
          <w:szCs w:val="22"/>
          <w:lang w:val="en-US"/>
        </w:rPr>
        <w:t xml:space="preserve"> March 2025). </w:t>
      </w:r>
    </w:p>
    <w:p w14:paraId="5FBB2B15" w14:textId="77777777" w:rsidR="00841F3F" w:rsidRPr="00841F3F" w:rsidRDefault="00841F3F" w:rsidP="00841F3F">
      <w:pPr>
        <w:spacing w:line="360" w:lineRule="auto"/>
        <w:rPr>
          <w:rFonts w:ascii="Calibri" w:hAnsi="Calibri" w:cs="Calibri"/>
          <w:sz w:val="22"/>
          <w:szCs w:val="22"/>
          <w:lang w:val="en-US"/>
        </w:rPr>
      </w:pPr>
      <w:r w:rsidRPr="00841F3F">
        <w:rPr>
          <w:rFonts w:ascii="Calibri" w:hAnsi="Calibri" w:cs="Calibri"/>
          <w:sz w:val="22"/>
          <w:szCs w:val="22"/>
          <w:lang w:val="en-US"/>
        </w:rPr>
        <w:t xml:space="preserve">Welsh Government (2019) Professional standards for teaching and leadership. Available at: </w:t>
      </w:r>
      <w:hyperlink r:id="rId40" w:tgtFrame="_blank" w:history="1">
        <w:r w:rsidRPr="00841F3F">
          <w:rPr>
            <w:rStyle w:val="Hyperlink"/>
            <w:rFonts w:ascii="Calibri" w:hAnsi="Calibri" w:cs="Calibri"/>
            <w:sz w:val="22"/>
            <w:szCs w:val="22"/>
            <w:lang w:val="en-US"/>
          </w:rPr>
          <w:t>https://hwb.gov.wales/api/storage/19bc948b-8a3f-41e0-944a-7bf2cadf7d18/professional-standards-for-teaching-and-leadership-interactive-pdf-for-pc.pdf</w:t>
        </w:r>
      </w:hyperlink>
      <w:r w:rsidRPr="00841F3F">
        <w:rPr>
          <w:rFonts w:ascii="Calibri" w:hAnsi="Calibri" w:cs="Calibri"/>
          <w:sz w:val="22"/>
          <w:szCs w:val="22"/>
          <w:lang w:val="en-US"/>
        </w:rPr>
        <w:t xml:space="preserve"> (Accessed: 3</w:t>
      </w:r>
      <w:r w:rsidRPr="00841F3F">
        <w:rPr>
          <w:rFonts w:ascii="Calibri" w:hAnsi="Calibri" w:cs="Calibri"/>
          <w:sz w:val="22"/>
          <w:szCs w:val="22"/>
          <w:vertAlign w:val="superscript"/>
          <w:lang w:val="en-US"/>
        </w:rPr>
        <w:t>rd</w:t>
      </w:r>
      <w:r w:rsidRPr="00841F3F">
        <w:rPr>
          <w:rFonts w:ascii="Calibri" w:hAnsi="Calibri" w:cs="Calibri"/>
          <w:sz w:val="22"/>
          <w:szCs w:val="22"/>
          <w:lang w:val="en-US"/>
        </w:rPr>
        <w:t xml:space="preserve"> April 2025).</w:t>
      </w:r>
      <w:r w:rsidRPr="00841F3F">
        <w:rPr>
          <w:rFonts w:ascii="Calibri" w:hAnsi="Calibri" w:cs="Calibri"/>
          <w:sz w:val="22"/>
          <w:szCs w:val="22"/>
        </w:rPr>
        <w:t> </w:t>
      </w:r>
    </w:p>
    <w:p w14:paraId="2A70A25E"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lang w:val="en-US"/>
        </w:rPr>
        <w:t xml:space="preserve">Wiliam, D. (2011) </w:t>
      </w:r>
      <w:r w:rsidRPr="00841F3F">
        <w:rPr>
          <w:rFonts w:ascii="Calibri" w:hAnsi="Calibri" w:cs="Calibri"/>
          <w:i/>
          <w:iCs/>
          <w:sz w:val="22"/>
          <w:szCs w:val="22"/>
          <w:lang w:val="en-US"/>
        </w:rPr>
        <w:t>Embedded Formative Assessment</w:t>
      </w:r>
      <w:r w:rsidRPr="00841F3F">
        <w:rPr>
          <w:rFonts w:ascii="Calibri" w:hAnsi="Calibri" w:cs="Calibri"/>
          <w:sz w:val="22"/>
          <w:szCs w:val="22"/>
          <w:lang w:val="en-US"/>
        </w:rPr>
        <w:t>. Bloomington: Solution Tree Press.</w:t>
      </w:r>
      <w:r w:rsidRPr="00841F3F">
        <w:rPr>
          <w:rFonts w:ascii="Calibri" w:hAnsi="Calibri" w:cs="Calibri"/>
          <w:sz w:val="22"/>
          <w:szCs w:val="22"/>
        </w:rPr>
        <w:t> </w:t>
      </w:r>
    </w:p>
    <w:p w14:paraId="3E11AC8B" w14:textId="77777777" w:rsidR="00841F3F" w:rsidRPr="00841F3F" w:rsidRDefault="00841F3F" w:rsidP="00841F3F">
      <w:pPr>
        <w:spacing w:line="360" w:lineRule="auto"/>
        <w:rPr>
          <w:rFonts w:ascii="Calibri" w:hAnsi="Calibri" w:cs="Calibri"/>
          <w:sz w:val="22"/>
          <w:szCs w:val="22"/>
        </w:rPr>
      </w:pPr>
      <w:r w:rsidRPr="00841F3F">
        <w:rPr>
          <w:rFonts w:ascii="Calibri" w:hAnsi="Calibri" w:cs="Calibri"/>
          <w:sz w:val="22"/>
          <w:szCs w:val="22"/>
        </w:rPr>
        <w:t xml:space="preserve">Youngman, M.B. (1984) </w:t>
      </w:r>
      <w:r w:rsidRPr="00841F3F">
        <w:rPr>
          <w:rFonts w:ascii="Calibri" w:hAnsi="Calibri" w:cs="Calibri"/>
          <w:i/>
          <w:iCs/>
          <w:sz w:val="22"/>
          <w:szCs w:val="22"/>
        </w:rPr>
        <w:t>Designing questionnaires</w:t>
      </w:r>
      <w:r w:rsidRPr="00841F3F">
        <w:rPr>
          <w:rFonts w:ascii="Calibri" w:hAnsi="Calibri" w:cs="Calibri"/>
          <w:sz w:val="22"/>
          <w:szCs w:val="22"/>
        </w:rPr>
        <w:t>. In J. Bell, T. Bush, A. Fox, J. Goodey and S. Goulding (eds) Conducting Small-Scale Investigations in Educational Management. London: Harper Row, pp. 156 – 76.</w:t>
      </w:r>
    </w:p>
    <w:p w14:paraId="6A398AC8" w14:textId="0292BAE1" w:rsidR="64CDEEFB" w:rsidRDefault="64CDEEFB" w:rsidP="64CDEEFB">
      <w:pPr>
        <w:spacing w:line="360" w:lineRule="auto"/>
        <w:rPr>
          <w:rFonts w:ascii="Calibri" w:eastAsia="Calibri" w:hAnsi="Calibri" w:cs="Calibri"/>
          <w:color w:val="000000" w:themeColor="text1"/>
          <w:sz w:val="21"/>
          <w:szCs w:val="21"/>
        </w:rPr>
      </w:pPr>
    </w:p>
    <w:sectPr w:rsidR="64CDEE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jf2COixPlAuCt" int2:id="17w7ObTY">
      <int2:state int2:value="Rejected" int2:type="AugLoop_Text_Critique"/>
    </int2:textHash>
    <int2:textHash int2:hashCode="K9X7Xd4L2h5wl4" int2:id="6YVNMrKK">
      <int2:state int2:value="Rejected" int2:type="AugLoop_Text_Critique"/>
    </int2:textHash>
    <int2:textHash int2:hashCode="wtKSqYmrO8qHMS" int2:id="MltcdZhR">
      <int2:state int2:value="Rejected" int2:type="AugLoop_Text_Critique"/>
    </int2:textHash>
    <int2:textHash int2:hashCode="hN6B5b8f/AaH/i" int2:id="OfBC7MeL">
      <int2:state int2:value="Rejected" int2:type="AugLoop_Text_Critique"/>
    </int2:textHash>
    <int2:textHash int2:hashCode="xQy+KnIliT8rxm" int2:id="ZmSg56RT">
      <int2:state int2:value="Rejected" int2:type="AugLoop_Text_Critique"/>
    </int2:textHash>
    <int2:textHash int2:hashCode="bLNw5K/RtBTj6A" int2:id="h2bhY2K7">
      <int2:state int2:value="Rejected" int2:type="AugLoop_Text_Critique"/>
    </int2:textHash>
    <int2:textHash int2:hashCode="NT12h6See3qwhk" int2:id="nMhI18BB">
      <int2:state int2:value="Rejected" int2:type="AugLoop_Text_Critique"/>
    </int2:textHash>
    <int2:bookmark int2:bookmarkName="_Int_K0Yrsegh" int2:invalidationBookmarkName="" int2:hashCode="iOXTmO9TE7GsFC" int2:id="ZpK9tP9K">
      <int2:state int2:value="Rejected" int2:type="AugLoop_Text_Critique"/>
    </int2:bookmark>
    <int2:bookmark int2:bookmarkName="_Int_hZDuTgOR" int2:invalidationBookmarkName="" int2:hashCode="j2eMZr00c2ukcl" int2:id="YgpnJoCK">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F6389A"/>
    <w:rsid w:val="000F76C8"/>
    <w:rsid w:val="001779DD"/>
    <w:rsid w:val="002D3622"/>
    <w:rsid w:val="004BE10C"/>
    <w:rsid w:val="00573C97"/>
    <w:rsid w:val="005800B2"/>
    <w:rsid w:val="00841F3F"/>
    <w:rsid w:val="009A5669"/>
    <w:rsid w:val="00DA68A9"/>
    <w:rsid w:val="00E1308D"/>
    <w:rsid w:val="00ED103D"/>
    <w:rsid w:val="00FD58BE"/>
    <w:rsid w:val="01179E01"/>
    <w:rsid w:val="012554AE"/>
    <w:rsid w:val="0160D8BD"/>
    <w:rsid w:val="01819779"/>
    <w:rsid w:val="018FB3BB"/>
    <w:rsid w:val="019BF97E"/>
    <w:rsid w:val="01A9F9B0"/>
    <w:rsid w:val="01D7CB97"/>
    <w:rsid w:val="01F886FE"/>
    <w:rsid w:val="022A8AF8"/>
    <w:rsid w:val="0232A7F7"/>
    <w:rsid w:val="0255346D"/>
    <w:rsid w:val="027A7DD3"/>
    <w:rsid w:val="029913F5"/>
    <w:rsid w:val="02DAE856"/>
    <w:rsid w:val="02EB3887"/>
    <w:rsid w:val="02F1E9FC"/>
    <w:rsid w:val="0323CFDC"/>
    <w:rsid w:val="032B174C"/>
    <w:rsid w:val="0354BF6D"/>
    <w:rsid w:val="03CF73E2"/>
    <w:rsid w:val="03F179DD"/>
    <w:rsid w:val="03F431DC"/>
    <w:rsid w:val="040126F1"/>
    <w:rsid w:val="04012D5F"/>
    <w:rsid w:val="041FCA1E"/>
    <w:rsid w:val="04293E7F"/>
    <w:rsid w:val="0491E403"/>
    <w:rsid w:val="0492DF62"/>
    <w:rsid w:val="04B80AB0"/>
    <w:rsid w:val="04FCD9B4"/>
    <w:rsid w:val="051F682D"/>
    <w:rsid w:val="05896BAE"/>
    <w:rsid w:val="058B0AB5"/>
    <w:rsid w:val="059B2C5E"/>
    <w:rsid w:val="060EEA74"/>
    <w:rsid w:val="0615B8D1"/>
    <w:rsid w:val="061DE8A6"/>
    <w:rsid w:val="062CDC55"/>
    <w:rsid w:val="0696ABD7"/>
    <w:rsid w:val="069A4ABE"/>
    <w:rsid w:val="06E5A231"/>
    <w:rsid w:val="06ECCA8B"/>
    <w:rsid w:val="0714B7CD"/>
    <w:rsid w:val="071C2A23"/>
    <w:rsid w:val="0735AE92"/>
    <w:rsid w:val="0735B9BF"/>
    <w:rsid w:val="075FFF12"/>
    <w:rsid w:val="07840244"/>
    <w:rsid w:val="0789428B"/>
    <w:rsid w:val="07A655BD"/>
    <w:rsid w:val="07BED897"/>
    <w:rsid w:val="07D90032"/>
    <w:rsid w:val="081F5873"/>
    <w:rsid w:val="08641EB9"/>
    <w:rsid w:val="086CA4DE"/>
    <w:rsid w:val="08C7D413"/>
    <w:rsid w:val="08D22287"/>
    <w:rsid w:val="08EF98D0"/>
    <w:rsid w:val="090604C4"/>
    <w:rsid w:val="091AF55B"/>
    <w:rsid w:val="091CD51C"/>
    <w:rsid w:val="092EB4E4"/>
    <w:rsid w:val="093CE3FB"/>
    <w:rsid w:val="096882FB"/>
    <w:rsid w:val="096BA1C4"/>
    <w:rsid w:val="09D71E13"/>
    <w:rsid w:val="0A655B0E"/>
    <w:rsid w:val="0A815432"/>
    <w:rsid w:val="0AAB669E"/>
    <w:rsid w:val="0AFC57D2"/>
    <w:rsid w:val="0B06B978"/>
    <w:rsid w:val="0B43E3E5"/>
    <w:rsid w:val="0B5D29BF"/>
    <w:rsid w:val="0BFA8359"/>
    <w:rsid w:val="0C41B5C1"/>
    <w:rsid w:val="0C4D413A"/>
    <w:rsid w:val="0CBD519B"/>
    <w:rsid w:val="0CCDE6DB"/>
    <w:rsid w:val="0CDBB687"/>
    <w:rsid w:val="0CEBEDAA"/>
    <w:rsid w:val="0DA88D59"/>
    <w:rsid w:val="0DB340D9"/>
    <w:rsid w:val="0E00F04B"/>
    <w:rsid w:val="0E38FB6A"/>
    <w:rsid w:val="0E4C0548"/>
    <w:rsid w:val="0F03AA0A"/>
    <w:rsid w:val="0F346BCD"/>
    <w:rsid w:val="0F7E18D5"/>
    <w:rsid w:val="0FC32321"/>
    <w:rsid w:val="0FF35062"/>
    <w:rsid w:val="101D35AB"/>
    <w:rsid w:val="103100ED"/>
    <w:rsid w:val="105E52D5"/>
    <w:rsid w:val="1085FFE9"/>
    <w:rsid w:val="108F0E83"/>
    <w:rsid w:val="10CA076B"/>
    <w:rsid w:val="110F820D"/>
    <w:rsid w:val="1119A897"/>
    <w:rsid w:val="112A6F7B"/>
    <w:rsid w:val="1131990A"/>
    <w:rsid w:val="114B384A"/>
    <w:rsid w:val="117755C8"/>
    <w:rsid w:val="117938C4"/>
    <w:rsid w:val="11979308"/>
    <w:rsid w:val="11AC43C1"/>
    <w:rsid w:val="11F59FC0"/>
    <w:rsid w:val="12182E41"/>
    <w:rsid w:val="12310865"/>
    <w:rsid w:val="123D9731"/>
    <w:rsid w:val="1260527F"/>
    <w:rsid w:val="128F0BC9"/>
    <w:rsid w:val="12C3C083"/>
    <w:rsid w:val="12EEB4A5"/>
    <w:rsid w:val="136F883D"/>
    <w:rsid w:val="13937F51"/>
    <w:rsid w:val="13A6FF8A"/>
    <w:rsid w:val="13BE4BD2"/>
    <w:rsid w:val="14037EA3"/>
    <w:rsid w:val="14253901"/>
    <w:rsid w:val="146FCC9A"/>
    <w:rsid w:val="147BB6E4"/>
    <w:rsid w:val="14A1F859"/>
    <w:rsid w:val="14CC8EFC"/>
    <w:rsid w:val="14F3CBD4"/>
    <w:rsid w:val="152A5DD1"/>
    <w:rsid w:val="155BC1A7"/>
    <w:rsid w:val="156F1C57"/>
    <w:rsid w:val="1570283D"/>
    <w:rsid w:val="15716891"/>
    <w:rsid w:val="15DCE818"/>
    <w:rsid w:val="15F81AD4"/>
    <w:rsid w:val="164C213C"/>
    <w:rsid w:val="166ED39E"/>
    <w:rsid w:val="167BF023"/>
    <w:rsid w:val="16BC3A28"/>
    <w:rsid w:val="16C81DE6"/>
    <w:rsid w:val="16FD07B1"/>
    <w:rsid w:val="170AC6BB"/>
    <w:rsid w:val="174A3234"/>
    <w:rsid w:val="176905C6"/>
    <w:rsid w:val="17A727B4"/>
    <w:rsid w:val="17D2DCD4"/>
    <w:rsid w:val="17D60086"/>
    <w:rsid w:val="17E0FC9D"/>
    <w:rsid w:val="180747A8"/>
    <w:rsid w:val="180A8229"/>
    <w:rsid w:val="1810B25A"/>
    <w:rsid w:val="184593DE"/>
    <w:rsid w:val="187B7525"/>
    <w:rsid w:val="18B15264"/>
    <w:rsid w:val="18E1ED7F"/>
    <w:rsid w:val="18E8FB80"/>
    <w:rsid w:val="18F04293"/>
    <w:rsid w:val="1999CAB9"/>
    <w:rsid w:val="19BC7472"/>
    <w:rsid w:val="19D716FB"/>
    <w:rsid w:val="19E1B10D"/>
    <w:rsid w:val="19E425F9"/>
    <w:rsid w:val="1A0F244D"/>
    <w:rsid w:val="1A14C4AD"/>
    <w:rsid w:val="1A171065"/>
    <w:rsid w:val="1A57C13A"/>
    <w:rsid w:val="1A923638"/>
    <w:rsid w:val="1AAC5A0C"/>
    <w:rsid w:val="1ACBC929"/>
    <w:rsid w:val="1AEF245D"/>
    <w:rsid w:val="1B4F63E0"/>
    <w:rsid w:val="1B76D38E"/>
    <w:rsid w:val="1C0864F7"/>
    <w:rsid w:val="1C8DE6CD"/>
    <w:rsid w:val="1D149B80"/>
    <w:rsid w:val="1D463918"/>
    <w:rsid w:val="1D5BD8D7"/>
    <w:rsid w:val="1D735653"/>
    <w:rsid w:val="1D88FC03"/>
    <w:rsid w:val="1D8D2A14"/>
    <w:rsid w:val="1DCE7217"/>
    <w:rsid w:val="1DDE76C5"/>
    <w:rsid w:val="1DE86B8F"/>
    <w:rsid w:val="1E02C336"/>
    <w:rsid w:val="1E0368D2"/>
    <w:rsid w:val="1E0D4E37"/>
    <w:rsid w:val="1E47C55D"/>
    <w:rsid w:val="1E55C06A"/>
    <w:rsid w:val="1E5F8463"/>
    <w:rsid w:val="1E8CC57E"/>
    <w:rsid w:val="1EA469F0"/>
    <w:rsid w:val="1EAA5987"/>
    <w:rsid w:val="1EB609F5"/>
    <w:rsid w:val="1F17807D"/>
    <w:rsid w:val="1F8D8EFF"/>
    <w:rsid w:val="1FDDC761"/>
    <w:rsid w:val="20104FB1"/>
    <w:rsid w:val="201CCCD7"/>
    <w:rsid w:val="203EF1AF"/>
    <w:rsid w:val="2082500B"/>
    <w:rsid w:val="209D27B2"/>
    <w:rsid w:val="20ECF492"/>
    <w:rsid w:val="21300AF7"/>
    <w:rsid w:val="213EFC5D"/>
    <w:rsid w:val="21D762AE"/>
    <w:rsid w:val="21DAED95"/>
    <w:rsid w:val="220C7C69"/>
    <w:rsid w:val="22364941"/>
    <w:rsid w:val="223DF837"/>
    <w:rsid w:val="225266AB"/>
    <w:rsid w:val="2261E7EF"/>
    <w:rsid w:val="22AB43D9"/>
    <w:rsid w:val="22AF5A06"/>
    <w:rsid w:val="22B2C0BB"/>
    <w:rsid w:val="22C3A2F3"/>
    <w:rsid w:val="235398FF"/>
    <w:rsid w:val="238A4FB0"/>
    <w:rsid w:val="2392599A"/>
    <w:rsid w:val="23968569"/>
    <w:rsid w:val="23C15A5A"/>
    <w:rsid w:val="23D011CC"/>
    <w:rsid w:val="23E3EAA9"/>
    <w:rsid w:val="23E4A141"/>
    <w:rsid w:val="23F68695"/>
    <w:rsid w:val="23FC7313"/>
    <w:rsid w:val="24040064"/>
    <w:rsid w:val="245D8F89"/>
    <w:rsid w:val="2487D499"/>
    <w:rsid w:val="24A4F048"/>
    <w:rsid w:val="24C42EF2"/>
    <w:rsid w:val="24EAB918"/>
    <w:rsid w:val="252F13C7"/>
    <w:rsid w:val="25331653"/>
    <w:rsid w:val="25976559"/>
    <w:rsid w:val="25E22BAE"/>
    <w:rsid w:val="25E23B3C"/>
    <w:rsid w:val="25E42E74"/>
    <w:rsid w:val="25EC7BFF"/>
    <w:rsid w:val="263BA4E1"/>
    <w:rsid w:val="26892E1B"/>
    <w:rsid w:val="26CFD1D4"/>
    <w:rsid w:val="271EA2D6"/>
    <w:rsid w:val="2738D012"/>
    <w:rsid w:val="27392245"/>
    <w:rsid w:val="27D401C8"/>
    <w:rsid w:val="27E3E618"/>
    <w:rsid w:val="27EC2E56"/>
    <w:rsid w:val="28398C03"/>
    <w:rsid w:val="28463E0A"/>
    <w:rsid w:val="28860EF2"/>
    <w:rsid w:val="28930A17"/>
    <w:rsid w:val="289A1326"/>
    <w:rsid w:val="28AF6F80"/>
    <w:rsid w:val="28C0B403"/>
    <w:rsid w:val="28CB5E5B"/>
    <w:rsid w:val="28CC26DE"/>
    <w:rsid w:val="28D84620"/>
    <w:rsid w:val="28FD53EA"/>
    <w:rsid w:val="290B2420"/>
    <w:rsid w:val="292C151B"/>
    <w:rsid w:val="29A08E38"/>
    <w:rsid w:val="29A6C16C"/>
    <w:rsid w:val="29B67488"/>
    <w:rsid w:val="2A22EEC3"/>
    <w:rsid w:val="2A2ED1D6"/>
    <w:rsid w:val="2A5D1679"/>
    <w:rsid w:val="2A634065"/>
    <w:rsid w:val="2A6E7E30"/>
    <w:rsid w:val="2A7B3C17"/>
    <w:rsid w:val="2A9B9087"/>
    <w:rsid w:val="2AA6C856"/>
    <w:rsid w:val="2ABCC564"/>
    <w:rsid w:val="2AC608D2"/>
    <w:rsid w:val="2ADFC909"/>
    <w:rsid w:val="2AF50B6E"/>
    <w:rsid w:val="2AF90F6D"/>
    <w:rsid w:val="2B290167"/>
    <w:rsid w:val="2B333157"/>
    <w:rsid w:val="2B577C56"/>
    <w:rsid w:val="2B76EC30"/>
    <w:rsid w:val="2B8CD5E0"/>
    <w:rsid w:val="2BA4DF4D"/>
    <w:rsid w:val="2BDAB502"/>
    <w:rsid w:val="2C30512B"/>
    <w:rsid w:val="2C3D28A9"/>
    <w:rsid w:val="2C3EEEFF"/>
    <w:rsid w:val="2C4580FC"/>
    <w:rsid w:val="2CEE88E2"/>
    <w:rsid w:val="2D09C990"/>
    <w:rsid w:val="2D2D2431"/>
    <w:rsid w:val="2D5ED801"/>
    <w:rsid w:val="2D609C1D"/>
    <w:rsid w:val="2D8105B3"/>
    <w:rsid w:val="2D98E541"/>
    <w:rsid w:val="2DEEC756"/>
    <w:rsid w:val="2E335D78"/>
    <w:rsid w:val="2E5F2F5B"/>
    <w:rsid w:val="2E747D8A"/>
    <w:rsid w:val="2E99149D"/>
    <w:rsid w:val="2EE97A09"/>
    <w:rsid w:val="2F37A03D"/>
    <w:rsid w:val="2F8D4E0B"/>
    <w:rsid w:val="2FB61D68"/>
    <w:rsid w:val="2FD3E43F"/>
    <w:rsid w:val="3008E1B6"/>
    <w:rsid w:val="301794FC"/>
    <w:rsid w:val="3018DA1E"/>
    <w:rsid w:val="3028ED34"/>
    <w:rsid w:val="304DBC3F"/>
    <w:rsid w:val="3066BAE3"/>
    <w:rsid w:val="3069AAD7"/>
    <w:rsid w:val="30BCA492"/>
    <w:rsid w:val="30E850F7"/>
    <w:rsid w:val="30E8C5AA"/>
    <w:rsid w:val="30FFB503"/>
    <w:rsid w:val="311B13A3"/>
    <w:rsid w:val="311DA253"/>
    <w:rsid w:val="3185DA18"/>
    <w:rsid w:val="31B3855C"/>
    <w:rsid w:val="31E18551"/>
    <w:rsid w:val="32006C0D"/>
    <w:rsid w:val="322895C3"/>
    <w:rsid w:val="3268E48B"/>
    <w:rsid w:val="328BFAEB"/>
    <w:rsid w:val="3299AB65"/>
    <w:rsid w:val="32FFB055"/>
    <w:rsid w:val="3315AC10"/>
    <w:rsid w:val="331D9C23"/>
    <w:rsid w:val="333B5B78"/>
    <w:rsid w:val="3387FD38"/>
    <w:rsid w:val="33BAD4ED"/>
    <w:rsid w:val="33CB2D85"/>
    <w:rsid w:val="33ECEFC7"/>
    <w:rsid w:val="33F28E00"/>
    <w:rsid w:val="340DCE76"/>
    <w:rsid w:val="34505009"/>
    <w:rsid w:val="347366DA"/>
    <w:rsid w:val="3493138D"/>
    <w:rsid w:val="34BC7C1F"/>
    <w:rsid w:val="34C69C8C"/>
    <w:rsid w:val="34EDE695"/>
    <w:rsid w:val="34FB3818"/>
    <w:rsid w:val="35034076"/>
    <w:rsid w:val="35101A05"/>
    <w:rsid w:val="3568CA28"/>
    <w:rsid w:val="357ACB98"/>
    <w:rsid w:val="3596FAC3"/>
    <w:rsid w:val="35BB059D"/>
    <w:rsid w:val="35C30B98"/>
    <w:rsid w:val="35E73559"/>
    <w:rsid w:val="35F0D9D7"/>
    <w:rsid w:val="35FBC044"/>
    <w:rsid w:val="35FEAC46"/>
    <w:rsid w:val="3610E927"/>
    <w:rsid w:val="365D7329"/>
    <w:rsid w:val="36B063B5"/>
    <w:rsid w:val="36C42F60"/>
    <w:rsid w:val="372A1BD4"/>
    <w:rsid w:val="3765D3C9"/>
    <w:rsid w:val="376853A4"/>
    <w:rsid w:val="37795A6D"/>
    <w:rsid w:val="37AAE945"/>
    <w:rsid w:val="37C0CC3A"/>
    <w:rsid w:val="37F2A2B1"/>
    <w:rsid w:val="37FE61BF"/>
    <w:rsid w:val="380FFB8D"/>
    <w:rsid w:val="3829ABBF"/>
    <w:rsid w:val="384FF8AF"/>
    <w:rsid w:val="3882836B"/>
    <w:rsid w:val="3887DF4D"/>
    <w:rsid w:val="3892B925"/>
    <w:rsid w:val="3898BC21"/>
    <w:rsid w:val="389F7E26"/>
    <w:rsid w:val="38BE3D3A"/>
    <w:rsid w:val="394FB44F"/>
    <w:rsid w:val="3951226C"/>
    <w:rsid w:val="395FF396"/>
    <w:rsid w:val="39631F2E"/>
    <w:rsid w:val="3966F0A8"/>
    <w:rsid w:val="39751571"/>
    <w:rsid w:val="3978D2A0"/>
    <w:rsid w:val="39AD6B67"/>
    <w:rsid w:val="39B71B1F"/>
    <w:rsid w:val="39DEDA38"/>
    <w:rsid w:val="3A2F3188"/>
    <w:rsid w:val="3A781D8E"/>
    <w:rsid w:val="3A7A9486"/>
    <w:rsid w:val="3AB12AE9"/>
    <w:rsid w:val="3AD16551"/>
    <w:rsid w:val="3B33E4C0"/>
    <w:rsid w:val="3B43FE43"/>
    <w:rsid w:val="3B4EF1AA"/>
    <w:rsid w:val="3B66CD33"/>
    <w:rsid w:val="3B7709BC"/>
    <w:rsid w:val="3BCD7C0B"/>
    <w:rsid w:val="3C06EFC6"/>
    <w:rsid w:val="3C2D02CB"/>
    <w:rsid w:val="3C50D6D6"/>
    <w:rsid w:val="3C77474B"/>
    <w:rsid w:val="3CB51023"/>
    <w:rsid w:val="3D125AB0"/>
    <w:rsid w:val="3D502858"/>
    <w:rsid w:val="3D51D898"/>
    <w:rsid w:val="3D555C40"/>
    <w:rsid w:val="3D5B4C5A"/>
    <w:rsid w:val="3D5EB835"/>
    <w:rsid w:val="3DB8284A"/>
    <w:rsid w:val="3DDCE5F5"/>
    <w:rsid w:val="3E098F14"/>
    <w:rsid w:val="3E0CDD15"/>
    <w:rsid w:val="3E12003D"/>
    <w:rsid w:val="3E1A56E5"/>
    <w:rsid w:val="3E2AA32B"/>
    <w:rsid w:val="3E8B63D4"/>
    <w:rsid w:val="3F0674AF"/>
    <w:rsid w:val="3F0C27C6"/>
    <w:rsid w:val="3F131340"/>
    <w:rsid w:val="3F24F034"/>
    <w:rsid w:val="3F6EED1F"/>
    <w:rsid w:val="3F71F23E"/>
    <w:rsid w:val="3F8FEAB6"/>
    <w:rsid w:val="3FB91F67"/>
    <w:rsid w:val="3FBE4E8E"/>
    <w:rsid w:val="403E8CD6"/>
    <w:rsid w:val="4044A4C1"/>
    <w:rsid w:val="404572C7"/>
    <w:rsid w:val="408ECF8D"/>
    <w:rsid w:val="409004AC"/>
    <w:rsid w:val="41313D57"/>
    <w:rsid w:val="4180FB5D"/>
    <w:rsid w:val="418F78B8"/>
    <w:rsid w:val="41AA0043"/>
    <w:rsid w:val="41B5973F"/>
    <w:rsid w:val="41B7FC68"/>
    <w:rsid w:val="41BCA0B5"/>
    <w:rsid w:val="41D47281"/>
    <w:rsid w:val="41D50DC4"/>
    <w:rsid w:val="41F469DC"/>
    <w:rsid w:val="420D3303"/>
    <w:rsid w:val="42507BB3"/>
    <w:rsid w:val="42C1AA4F"/>
    <w:rsid w:val="42D5C604"/>
    <w:rsid w:val="42E24DC5"/>
    <w:rsid w:val="42E35D81"/>
    <w:rsid w:val="42F257C1"/>
    <w:rsid w:val="42FF1C5D"/>
    <w:rsid w:val="43291932"/>
    <w:rsid w:val="4343C7E7"/>
    <w:rsid w:val="43A3D66D"/>
    <w:rsid w:val="43ED23DE"/>
    <w:rsid w:val="43FA110F"/>
    <w:rsid w:val="44631CDD"/>
    <w:rsid w:val="446C4D6A"/>
    <w:rsid w:val="448C021D"/>
    <w:rsid w:val="44A47882"/>
    <w:rsid w:val="44D6D002"/>
    <w:rsid w:val="45192FB9"/>
    <w:rsid w:val="457B99AA"/>
    <w:rsid w:val="4581B170"/>
    <w:rsid w:val="45DE3B95"/>
    <w:rsid w:val="45F86CA7"/>
    <w:rsid w:val="46191ABD"/>
    <w:rsid w:val="46292B94"/>
    <w:rsid w:val="465008FD"/>
    <w:rsid w:val="468EA78B"/>
    <w:rsid w:val="46A2D871"/>
    <w:rsid w:val="46E36DDE"/>
    <w:rsid w:val="46EBB796"/>
    <w:rsid w:val="4708B805"/>
    <w:rsid w:val="471D333E"/>
    <w:rsid w:val="474BD517"/>
    <w:rsid w:val="4770E776"/>
    <w:rsid w:val="479574D0"/>
    <w:rsid w:val="47C78EEB"/>
    <w:rsid w:val="47F997B0"/>
    <w:rsid w:val="481A4495"/>
    <w:rsid w:val="4829611E"/>
    <w:rsid w:val="48794C10"/>
    <w:rsid w:val="48B01DCA"/>
    <w:rsid w:val="48F30367"/>
    <w:rsid w:val="48FADB3F"/>
    <w:rsid w:val="49145418"/>
    <w:rsid w:val="492AFFCD"/>
    <w:rsid w:val="4933C09A"/>
    <w:rsid w:val="49363CE4"/>
    <w:rsid w:val="4A0B0254"/>
    <w:rsid w:val="4A64A0DA"/>
    <w:rsid w:val="4A69CD80"/>
    <w:rsid w:val="4A74017E"/>
    <w:rsid w:val="4AA452A7"/>
    <w:rsid w:val="4ABB42DD"/>
    <w:rsid w:val="4B156B73"/>
    <w:rsid w:val="4B671601"/>
    <w:rsid w:val="4B777F2A"/>
    <w:rsid w:val="4B78E04E"/>
    <w:rsid w:val="4C7A7586"/>
    <w:rsid w:val="4C83A1CA"/>
    <w:rsid w:val="4CAF46D1"/>
    <w:rsid w:val="4CBE3E8C"/>
    <w:rsid w:val="4CC5479D"/>
    <w:rsid w:val="4CC54BC1"/>
    <w:rsid w:val="4CCF2ECC"/>
    <w:rsid w:val="4CE979C1"/>
    <w:rsid w:val="4CFEE5C5"/>
    <w:rsid w:val="4D34BA93"/>
    <w:rsid w:val="4DB6044F"/>
    <w:rsid w:val="4DCF8037"/>
    <w:rsid w:val="4E105C6B"/>
    <w:rsid w:val="4E385D94"/>
    <w:rsid w:val="4E8254A9"/>
    <w:rsid w:val="4E846D74"/>
    <w:rsid w:val="4E934976"/>
    <w:rsid w:val="4E987048"/>
    <w:rsid w:val="4EBFFBBA"/>
    <w:rsid w:val="4ECB6455"/>
    <w:rsid w:val="4ED8E82B"/>
    <w:rsid w:val="4F194F3B"/>
    <w:rsid w:val="4F67228E"/>
    <w:rsid w:val="4F94D4B8"/>
    <w:rsid w:val="4F9A164D"/>
    <w:rsid w:val="4FB9E95E"/>
    <w:rsid w:val="4FD1C872"/>
    <w:rsid w:val="501709A5"/>
    <w:rsid w:val="502136CB"/>
    <w:rsid w:val="502A72AD"/>
    <w:rsid w:val="5045E698"/>
    <w:rsid w:val="506F9173"/>
    <w:rsid w:val="50AD5161"/>
    <w:rsid w:val="50D432BB"/>
    <w:rsid w:val="50EC6C59"/>
    <w:rsid w:val="50FFEBE7"/>
    <w:rsid w:val="5120C885"/>
    <w:rsid w:val="5146439F"/>
    <w:rsid w:val="51537AEE"/>
    <w:rsid w:val="517AE20D"/>
    <w:rsid w:val="51832DA5"/>
    <w:rsid w:val="51C5EC83"/>
    <w:rsid w:val="51E1E162"/>
    <w:rsid w:val="521A3A2F"/>
    <w:rsid w:val="522F1288"/>
    <w:rsid w:val="525EE197"/>
    <w:rsid w:val="529DD4FB"/>
    <w:rsid w:val="52B6AEFE"/>
    <w:rsid w:val="52C2522B"/>
    <w:rsid w:val="52C8E343"/>
    <w:rsid w:val="5300D7A0"/>
    <w:rsid w:val="539844CA"/>
    <w:rsid w:val="539914D2"/>
    <w:rsid w:val="53ACDCC9"/>
    <w:rsid w:val="53BD8370"/>
    <w:rsid w:val="53D16D03"/>
    <w:rsid w:val="5408C3CE"/>
    <w:rsid w:val="54503B8C"/>
    <w:rsid w:val="55491AF2"/>
    <w:rsid w:val="557606ED"/>
    <w:rsid w:val="55769035"/>
    <w:rsid w:val="55A89746"/>
    <w:rsid w:val="55AF932A"/>
    <w:rsid w:val="55BE0D24"/>
    <w:rsid w:val="55C93CE2"/>
    <w:rsid w:val="55D69A46"/>
    <w:rsid w:val="55D87FD6"/>
    <w:rsid w:val="56467F47"/>
    <w:rsid w:val="56672F09"/>
    <w:rsid w:val="569A3E6E"/>
    <w:rsid w:val="569ED206"/>
    <w:rsid w:val="56A34A56"/>
    <w:rsid w:val="56B98769"/>
    <w:rsid w:val="56E756FE"/>
    <w:rsid w:val="56FC4167"/>
    <w:rsid w:val="5706FC8E"/>
    <w:rsid w:val="57322908"/>
    <w:rsid w:val="57372DA4"/>
    <w:rsid w:val="57549B13"/>
    <w:rsid w:val="5758B6A5"/>
    <w:rsid w:val="577C908D"/>
    <w:rsid w:val="578BD260"/>
    <w:rsid w:val="57A8BF52"/>
    <w:rsid w:val="57AC1B73"/>
    <w:rsid w:val="58149EC3"/>
    <w:rsid w:val="5829D493"/>
    <w:rsid w:val="58974905"/>
    <w:rsid w:val="58CBA36E"/>
    <w:rsid w:val="58D2F74C"/>
    <w:rsid w:val="590546CE"/>
    <w:rsid w:val="5922BA82"/>
    <w:rsid w:val="5929EDD4"/>
    <w:rsid w:val="5941F21F"/>
    <w:rsid w:val="594B8728"/>
    <w:rsid w:val="59728F52"/>
    <w:rsid w:val="5997BDE1"/>
    <w:rsid w:val="59D44891"/>
    <w:rsid w:val="59D466D5"/>
    <w:rsid w:val="59E187E6"/>
    <w:rsid w:val="59FF124C"/>
    <w:rsid w:val="5A17C5F6"/>
    <w:rsid w:val="5A235BB3"/>
    <w:rsid w:val="5A2F1492"/>
    <w:rsid w:val="5A5FCD1E"/>
    <w:rsid w:val="5B00801F"/>
    <w:rsid w:val="5B070396"/>
    <w:rsid w:val="5B2DEBF0"/>
    <w:rsid w:val="5B3F7B47"/>
    <w:rsid w:val="5B450AE6"/>
    <w:rsid w:val="5B58C4BA"/>
    <w:rsid w:val="5B6DD541"/>
    <w:rsid w:val="5B71A042"/>
    <w:rsid w:val="5BA30FD8"/>
    <w:rsid w:val="5BAE53D1"/>
    <w:rsid w:val="5BB5C2F2"/>
    <w:rsid w:val="5BD34476"/>
    <w:rsid w:val="5BE7CD1C"/>
    <w:rsid w:val="5C0BC2AE"/>
    <w:rsid w:val="5C4162BB"/>
    <w:rsid w:val="5C4A57DF"/>
    <w:rsid w:val="5C7DF83B"/>
    <w:rsid w:val="5CBD2E10"/>
    <w:rsid w:val="5CC23AAD"/>
    <w:rsid w:val="5CD8AD7F"/>
    <w:rsid w:val="5D3CEEAF"/>
    <w:rsid w:val="5DD090BE"/>
    <w:rsid w:val="5DF2C23E"/>
    <w:rsid w:val="5E16E3D1"/>
    <w:rsid w:val="5E22665D"/>
    <w:rsid w:val="5E551F47"/>
    <w:rsid w:val="5E88FD38"/>
    <w:rsid w:val="5EA4167D"/>
    <w:rsid w:val="5ECC2D0C"/>
    <w:rsid w:val="5ECF9BCB"/>
    <w:rsid w:val="5EDFBA77"/>
    <w:rsid w:val="5F2CF5AD"/>
    <w:rsid w:val="5F3C8152"/>
    <w:rsid w:val="5F46BBA5"/>
    <w:rsid w:val="5FC08149"/>
    <w:rsid w:val="6023E44D"/>
    <w:rsid w:val="6062A92B"/>
    <w:rsid w:val="60835CC1"/>
    <w:rsid w:val="609978AE"/>
    <w:rsid w:val="6100927F"/>
    <w:rsid w:val="610BC0C2"/>
    <w:rsid w:val="614794E7"/>
    <w:rsid w:val="616B3785"/>
    <w:rsid w:val="617358A6"/>
    <w:rsid w:val="619FE8C1"/>
    <w:rsid w:val="61EAEB37"/>
    <w:rsid w:val="623DE957"/>
    <w:rsid w:val="62452F4B"/>
    <w:rsid w:val="62630BD5"/>
    <w:rsid w:val="62676196"/>
    <w:rsid w:val="628350B8"/>
    <w:rsid w:val="62AA18DC"/>
    <w:rsid w:val="62B5D2CD"/>
    <w:rsid w:val="62C41898"/>
    <w:rsid w:val="62FC1D71"/>
    <w:rsid w:val="63115030"/>
    <w:rsid w:val="6332744F"/>
    <w:rsid w:val="63464749"/>
    <w:rsid w:val="634DE1FE"/>
    <w:rsid w:val="6355604E"/>
    <w:rsid w:val="63B65072"/>
    <w:rsid w:val="63D90749"/>
    <w:rsid w:val="63EBB069"/>
    <w:rsid w:val="63FC4B65"/>
    <w:rsid w:val="6427D00E"/>
    <w:rsid w:val="6436C741"/>
    <w:rsid w:val="645B0887"/>
    <w:rsid w:val="64A2A25E"/>
    <w:rsid w:val="64BC5833"/>
    <w:rsid w:val="64C6C71E"/>
    <w:rsid w:val="64CDEEFB"/>
    <w:rsid w:val="651DEA88"/>
    <w:rsid w:val="651E668A"/>
    <w:rsid w:val="65299B75"/>
    <w:rsid w:val="653F12A5"/>
    <w:rsid w:val="65633EEF"/>
    <w:rsid w:val="65675C86"/>
    <w:rsid w:val="65820878"/>
    <w:rsid w:val="6585CE1D"/>
    <w:rsid w:val="659AEE01"/>
    <w:rsid w:val="65C172EA"/>
    <w:rsid w:val="661EC8FC"/>
    <w:rsid w:val="663786E5"/>
    <w:rsid w:val="664005CB"/>
    <w:rsid w:val="6694EFC1"/>
    <w:rsid w:val="66C51754"/>
    <w:rsid w:val="671D300C"/>
    <w:rsid w:val="67774BCA"/>
    <w:rsid w:val="67B8435A"/>
    <w:rsid w:val="67F6389A"/>
    <w:rsid w:val="68141968"/>
    <w:rsid w:val="683065C3"/>
    <w:rsid w:val="68A12619"/>
    <w:rsid w:val="68A6AB21"/>
    <w:rsid w:val="68ADE0D8"/>
    <w:rsid w:val="68BE1E1B"/>
    <w:rsid w:val="68C81BFC"/>
    <w:rsid w:val="68DF55D9"/>
    <w:rsid w:val="691738A3"/>
    <w:rsid w:val="696FA84D"/>
    <w:rsid w:val="69B481C8"/>
    <w:rsid w:val="6A49000A"/>
    <w:rsid w:val="6A4B51F1"/>
    <w:rsid w:val="6A600A27"/>
    <w:rsid w:val="6ABBBCFA"/>
    <w:rsid w:val="6AC52535"/>
    <w:rsid w:val="6B12EAA5"/>
    <w:rsid w:val="6B1FADAE"/>
    <w:rsid w:val="6B218F4B"/>
    <w:rsid w:val="6B33F426"/>
    <w:rsid w:val="6B4DE9C0"/>
    <w:rsid w:val="6B4DEC6D"/>
    <w:rsid w:val="6B699EB0"/>
    <w:rsid w:val="6B819FC7"/>
    <w:rsid w:val="6B83064B"/>
    <w:rsid w:val="6B941243"/>
    <w:rsid w:val="6BA9BBD3"/>
    <w:rsid w:val="6C334877"/>
    <w:rsid w:val="6C50BDF3"/>
    <w:rsid w:val="6C53F8F2"/>
    <w:rsid w:val="6C61CD95"/>
    <w:rsid w:val="6C6448C6"/>
    <w:rsid w:val="6C6E7409"/>
    <w:rsid w:val="6C7179EF"/>
    <w:rsid w:val="6C8CBFA9"/>
    <w:rsid w:val="6CB42167"/>
    <w:rsid w:val="6D2282B4"/>
    <w:rsid w:val="6D399706"/>
    <w:rsid w:val="6D44BA40"/>
    <w:rsid w:val="6D6D28D1"/>
    <w:rsid w:val="6DD07964"/>
    <w:rsid w:val="6DDDE356"/>
    <w:rsid w:val="6DF07EC1"/>
    <w:rsid w:val="6E2DDAA3"/>
    <w:rsid w:val="6E81AFDE"/>
    <w:rsid w:val="6E98C612"/>
    <w:rsid w:val="6EBBC3F2"/>
    <w:rsid w:val="6EF4E8C9"/>
    <w:rsid w:val="6F2F4211"/>
    <w:rsid w:val="6F463AC0"/>
    <w:rsid w:val="6F5AC3AE"/>
    <w:rsid w:val="6F70DCF8"/>
    <w:rsid w:val="6FA7A970"/>
    <w:rsid w:val="6FB2875D"/>
    <w:rsid w:val="6FBE8093"/>
    <w:rsid w:val="70058EFF"/>
    <w:rsid w:val="70094788"/>
    <w:rsid w:val="702812AE"/>
    <w:rsid w:val="70A7CC48"/>
    <w:rsid w:val="7121B83A"/>
    <w:rsid w:val="71789A3F"/>
    <w:rsid w:val="71928028"/>
    <w:rsid w:val="71AF7DDF"/>
    <w:rsid w:val="71B355EB"/>
    <w:rsid w:val="71F21FA5"/>
    <w:rsid w:val="71F3D0F5"/>
    <w:rsid w:val="7217322B"/>
    <w:rsid w:val="722C4E53"/>
    <w:rsid w:val="72368C12"/>
    <w:rsid w:val="728EF797"/>
    <w:rsid w:val="72918A3E"/>
    <w:rsid w:val="7347F791"/>
    <w:rsid w:val="737BB4FA"/>
    <w:rsid w:val="73B79889"/>
    <w:rsid w:val="73D8CBD0"/>
    <w:rsid w:val="73E8633B"/>
    <w:rsid w:val="73FF26C9"/>
    <w:rsid w:val="73FFF9C6"/>
    <w:rsid w:val="749251F3"/>
    <w:rsid w:val="74A97C38"/>
    <w:rsid w:val="74AD5A28"/>
    <w:rsid w:val="74B19394"/>
    <w:rsid w:val="74DF06A6"/>
    <w:rsid w:val="74F9878C"/>
    <w:rsid w:val="7525F212"/>
    <w:rsid w:val="7538A19A"/>
    <w:rsid w:val="7579224F"/>
    <w:rsid w:val="758FCC3F"/>
    <w:rsid w:val="75C4BD04"/>
    <w:rsid w:val="7604D909"/>
    <w:rsid w:val="762E8D59"/>
    <w:rsid w:val="76B4EE2B"/>
    <w:rsid w:val="76CB1ABF"/>
    <w:rsid w:val="76D24C53"/>
    <w:rsid w:val="76EB32C1"/>
    <w:rsid w:val="76F8AB6C"/>
    <w:rsid w:val="76FCF0D1"/>
    <w:rsid w:val="771EA3A7"/>
    <w:rsid w:val="772201B6"/>
    <w:rsid w:val="775737D8"/>
    <w:rsid w:val="77B50C91"/>
    <w:rsid w:val="77EB1BFC"/>
    <w:rsid w:val="77F0EC6D"/>
    <w:rsid w:val="77F6246C"/>
    <w:rsid w:val="786F47B2"/>
    <w:rsid w:val="78ACDFB2"/>
    <w:rsid w:val="78AF8CB1"/>
    <w:rsid w:val="78F8AB6C"/>
    <w:rsid w:val="79421BD9"/>
    <w:rsid w:val="794A55F4"/>
    <w:rsid w:val="797530A0"/>
    <w:rsid w:val="797A0DE9"/>
    <w:rsid w:val="799DD852"/>
    <w:rsid w:val="79C31ADF"/>
    <w:rsid w:val="79D81A68"/>
    <w:rsid w:val="79F6BFE8"/>
    <w:rsid w:val="7A081F88"/>
    <w:rsid w:val="7A35CACE"/>
    <w:rsid w:val="7A55432B"/>
    <w:rsid w:val="7A9D8254"/>
    <w:rsid w:val="7AB88A93"/>
    <w:rsid w:val="7B0C00DB"/>
    <w:rsid w:val="7B6A7AB5"/>
    <w:rsid w:val="7B74D138"/>
    <w:rsid w:val="7B94BB99"/>
    <w:rsid w:val="7BA7AFB8"/>
    <w:rsid w:val="7BABCE68"/>
    <w:rsid w:val="7BE6F6E1"/>
    <w:rsid w:val="7C05893C"/>
    <w:rsid w:val="7C062662"/>
    <w:rsid w:val="7C2B1CAF"/>
    <w:rsid w:val="7C6B7EEA"/>
    <w:rsid w:val="7C7DA689"/>
    <w:rsid w:val="7CDCC378"/>
    <w:rsid w:val="7CF77265"/>
    <w:rsid w:val="7D0A1B03"/>
    <w:rsid w:val="7D4579BA"/>
    <w:rsid w:val="7D5D45A2"/>
    <w:rsid w:val="7D76020A"/>
    <w:rsid w:val="7D7EBAC3"/>
    <w:rsid w:val="7D98065F"/>
    <w:rsid w:val="7DB0A1F3"/>
    <w:rsid w:val="7E002AEC"/>
    <w:rsid w:val="7E089382"/>
    <w:rsid w:val="7E1CEFD0"/>
    <w:rsid w:val="7E817731"/>
    <w:rsid w:val="7EC7CF4D"/>
    <w:rsid w:val="7ED31B33"/>
    <w:rsid w:val="7F53D529"/>
    <w:rsid w:val="7FF16C0D"/>
    <w:rsid w:val="7FFB1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6389A"/>
  <w15:chartTrackingRefBased/>
  <w15:docId w15:val="{39AC1F46-C3DF-4D1D-AE64-61BFB4C2F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E1CEFD0"/>
    <w:rPr>
      <w:color w:val="467886"/>
      <w:u w:val="single"/>
    </w:rPr>
  </w:style>
  <w:style w:type="paragraph" w:styleId="NoSpacing">
    <w:name w:val="No Spacing"/>
    <w:uiPriority w:val="1"/>
    <w:qFormat/>
    <w:rsid w:val="2C3EEEF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78343193_Understanding_the_fundamental_differences_between_formative_and_summative_assessment" TargetMode="External"/><Relationship Id="rId18" Type="http://schemas.openxmlformats.org/officeDocument/2006/relationships/hyperlink" Target="https://educationendowmentfoundation.org.uk/education-evidence/teaching-learning-toolkit/feedback" TargetMode="External"/><Relationship Id="rId26" Type="http://schemas.openxmlformats.org/officeDocument/2006/relationships/hyperlink" Target="https://www.simplypsychology.org/qualitative-data-coding.html" TargetMode="External"/><Relationship Id="rId39" Type="http://schemas.openxmlformats.org/officeDocument/2006/relationships/hyperlink" Target="https://dera.ioe.ac.uk/id/eprint/24313/2/150814-effective-use-of-data-en_Redacted.pdf" TargetMode="External"/><Relationship Id="rId21" Type="http://schemas.openxmlformats.org/officeDocument/2006/relationships/hyperlink" Target="http://dx.doi.org/10.13140/RG.2.2.28213.28640" TargetMode="External"/><Relationship Id="rId34" Type="http://schemas.openxmlformats.org/officeDocument/2006/relationships/hyperlink" Target="https://researchbasics.education.uconn.edu/ethics-and-informed-consent/" TargetMode="External"/><Relationship Id="rId42" Type="http://schemas.openxmlformats.org/officeDocument/2006/relationships/theme" Target="theme/theme1.xml"/><Relationship Id="rId7" Type="http://schemas.openxmlformats.org/officeDocument/2006/relationships/hyperlink" Target="https://cms.bps.org.uk/sites/default/files/2022-06/BPS%20Code%20of%20Human%20Research%20Ethics%20%281%29.pdf" TargetMode="External"/><Relationship Id="rId2" Type="http://schemas.openxmlformats.org/officeDocument/2006/relationships/settings" Target="settings.xml"/><Relationship Id="rId16" Type="http://schemas.openxmlformats.org/officeDocument/2006/relationships/hyperlink" Target="https://doi.org/10.47175/rielsj.v2i3.308" TargetMode="External"/><Relationship Id="rId20" Type="http://schemas.openxmlformats.org/officeDocument/2006/relationships/hyperlink" Target="https://bsrlm.org.uk/wp-content/uploads/2016/02/BSRLM-IP-27-2-04.pdf" TargetMode="External"/><Relationship Id="rId29" Type="http://schemas.openxmlformats.org/officeDocument/2006/relationships/hyperlink" Target="https://pdfs.semanticscholar.org/161e/7826fbe09af93d59972fdd5a5201da5b7dc6.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x.doi.org/10.1177/003172171009200119" TargetMode="External"/><Relationship Id="rId11" Type="http://schemas.openxmlformats.org/officeDocument/2006/relationships/hyperlink" Target="https://ccea.org.uk/downloads/docs/ccea-asset/Assessment/Assessment%20for%20Learning%20for%20Key%20Stage%201%20%26amp%3B%202%20%28Guidance%20Booklet%29.pdf" TargetMode="External"/><Relationship Id="rId24" Type="http://schemas.openxmlformats.org/officeDocument/2006/relationships/hyperlink" Target="https://doi.org/10.1080/01411920701434136" TargetMode="External"/><Relationship Id="rId32" Type="http://schemas.openxmlformats.org/officeDocument/2006/relationships/hyperlink" Target="https://research.senedd.wales/research-articles/assessment-for-learning-or-accountability/" TargetMode="External"/><Relationship Id="rId37" Type="http://schemas.openxmlformats.org/officeDocument/2006/relationships/hyperlink" Target="https://doi.org/10.1080/14664200308668290" TargetMode="External"/><Relationship Id="rId40"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hyperlink" Target="https://www.bera.ac.uk/publication/ethical-guidelines-for-educational-research-fifth-edition-2024-online" TargetMode="External"/><Relationship Id="rId15" Type="http://schemas.openxmlformats.org/officeDocument/2006/relationships/hyperlink" Target="https://pmc.ncbi.nlm.nih.gov/articles/PMC2819460/pdf/nihms84222.pdf" TargetMode="External"/><Relationship Id="rId23" Type="http://schemas.openxmlformats.org/officeDocument/2006/relationships/hyperlink" Target="https://jacobian.org/2022/aug/12/interview-notes/" TargetMode="External"/><Relationship Id="rId28" Type="http://schemas.openxmlformats.org/officeDocument/2006/relationships/hyperlink" Target="https://pointerpro.com/blog/questionnaire-pros-and-cons/" TargetMode="External"/><Relationship Id="rId36" Type="http://schemas.openxmlformats.org/officeDocument/2006/relationships/hyperlink" Target="https://tips.uark.edu/using-blooms-taxonomy/#gsc.tab=0" TargetMode="External"/><Relationship Id="rId10" Type="http://schemas.openxmlformats.org/officeDocument/2006/relationships/hyperlink" Target="https://pmc.ncbi.nlm.nih.gov/articles/PMC7144253/pdf/TPPL_27_1687045.pdf" TargetMode="External"/><Relationship Id="rId19" Type="http://schemas.openxmlformats.org/officeDocument/2006/relationships/hyperlink" Target="https://www.estyn.gov.wales/documentpage/20508/contents" TargetMode="External"/><Relationship Id="rId31" Type="http://schemas.openxmlformats.org/officeDocument/2006/relationships/hyperlink" Target="https://researchschool.org.uk/durrington/news/how-effective-is-think-pair-share" TargetMode="External"/><Relationship Id="rId4" Type="http://schemas.openxmlformats.org/officeDocument/2006/relationships/hyperlink" Target="http://dx.doi.org/10.2139/ssrn.4887943" TargetMode="External"/><Relationship Id="rId9" Type="http://schemas.openxmlformats.org/officeDocument/2006/relationships/hyperlink" Target="https://dspace.stir.ac.uk/bitstream/1893/32458/1/Assessment%20for%20learning%2010%20principles%202002.pdf" TargetMode="External"/><Relationship Id="rId14" Type="http://schemas.openxmlformats.org/officeDocument/2006/relationships/hyperlink" Target="https://doi.org/10.1187/cbe.20-08-0200" TargetMode="External"/><Relationship Id="rId22" Type="http://schemas.openxmlformats.org/officeDocument/2006/relationships/hyperlink" Target="https://journals.sagepub.com/doi/pdf/10.1177/0033688214546962" TargetMode="External"/><Relationship Id="rId27" Type="http://schemas.openxmlformats.org/officeDocument/2006/relationships/hyperlink" Target="https://www.nngroup.com/articles/open-ended-questions/" TargetMode="External"/><Relationship Id="rId30" Type="http://schemas.openxmlformats.org/officeDocument/2006/relationships/hyperlink" Target="https://doi.org/10.1177/1609406919840516" TargetMode="External"/><Relationship Id="rId35" Type="http://schemas.openxmlformats.org/officeDocument/2006/relationships/hyperlink" Target="https://www.smartsurvey.co.uk/blog/advantages-of-questionnaires-in-online-research" TargetMode="External"/><Relationship Id="rId43" Type="http://schemas.microsoft.com/office/2020/10/relationships/intelligence" Target="intelligence2.xml"/><Relationship Id="rId8" Type="http://schemas.openxmlformats.org/officeDocument/2006/relationships/hyperlink" Target="https://cms.bps.org.uk/sites/default/files/2024-03/Teachers%20Toolkit%20-%20The%20Art%20of%20Questioning.pdf" TargetMode="External"/><Relationship Id="rId3" Type="http://schemas.openxmlformats.org/officeDocument/2006/relationships/webSettings" Target="webSettings.xml"/><Relationship Id="rId12" Type="http://schemas.openxmlformats.org/officeDocument/2006/relationships/hyperlink" Target="https://doi.org/10.3390/healthcare9070871" TargetMode="External"/><Relationship Id="rId17" Type="http://schemas.openxmlformats.org/officeDocument/2006/relationships/hyperlink" Target="https://files.eric.ed.gov/fulltext/ED611786.pdf" TargetMode="External"/><Relationship Id="rId25" Type="http://schemas.openxmlformats.org/officeDocument/2006/relationships/hyperlink" Target="http://dx.doi.org/10.13140/RG.2.2.15334.64325" TargetMode="External"/><Relationship Id="rId33" Type="http://schemas.openxmlformats.org/officeDocument/2006/relationships/hyperlink" Target="https://pmc.ncbi.nlm.nih.gov/articles/PMC8846243/pdf/SJA-16-65.pdf" TargetMode="External"/><Relationship Id="rId38" Type="http://schemas.openxmlformats.org/officeDocument/2006/relationships/hyperlink" Target="https://hwb.gov.wales/api/storage/b447d1fe-5463-4382-9726-e68623a05dd2/assessment-for-learning-and-the-national-literacy-and-numeracy-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4965</Words>
  <Characters>28304</Characters>
  <Application>Microsoft Office Word</Application>
  <DocSecurity>0</DocSecurity>
  <Lines>235</Lines>
  <Paragraphs>66</Paragraphs>
  <ScaleCrop>false</ScaleCrop>
  <Company/>
  <LinksUpToDate>false</LinksUpToDate>
  <CharactersWithSpaces>33203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Bowen (2304274)</dc:creator>
  <cp:keywords/>
  <dc:description/>
  <cp:lastModifiedBy>Jacob Bowen (2304274)</cp:lastModifiedBy>
  <cp:revision>3</cp:revision>
  <dcterms:created xsi:type="dcterms:W3CDTF">2025-04-07T12:30:00Z</dcterms:created>
  <dcterms:modified xsi:type="dcterms:W3CDTF">2025-04-07T12:35:00Z</dcterms:modified>
</cp:coreProperties>
</file>