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16C95" w:rsidRDefault="00316C95">
      <w:pPr>
        <w:spacing w:line="480" w:lineRule="auto"/>
        <w:jc w:val="center"/>
        <w:rPr>
          <w:rFonts w:ascii="Times New Roman" w:eastAsia="Times New Roman" w:hAnsi="Times New Roman" w:cs="Times New Roman"/>
          <w:b/>
          <w:sz w:val="24"/>
          <w:szCs w:val="24"/>
        </w:rPr>
      </w:pPr>
    </w:p>
    <w:p w14:paraId="7C51CC19" w14:textId="77777777" w:rsidR="00B21642" w:rsidRDefault="00B21642" w:rsidP="00B21642">
      <w:pPr>
        <w:jc w:val="center"/>
        <w:rPr>
          <w:b/>
          <w:sz w:val="36"/>
        </w:rPr>
      </w:pPr>
      <w:r>
        <w:rPr>
          <w:noProof/>
        </w:rPr>
        <w:drawing>
          <wp:inline distT="0" distB="0" distL="0" distR="0" wp14:anchorId="09C1387A" wp14:editId="54A050A6">
            <wp:extent cx="3040380" cy="12877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040380" cy="1287780"/>
                    </a:xfrm>
                    <a:prstGeom prst="rect">
                      <a:avLst/>
                    </a:prstGeom>
                  </pic:spPr>
                </pic:pic>
              </a:graphicData>
            </a:graphic>
          </wp:inline>
        </w:drawing>
      </w:r>
    </w:p>
    <w:p w14:paraId="690FDB82" w14:textId="77777777" w:rsidR="00B21642" w:rsidRPr="00C74421" w:rsidRDefault="00B21642" w:rsidP="00B21642">
      <w:pPr>
        <w:jc w:val="center"/>
        <w:rPr>
          <w:b/>
          <w:sz w:val="36"/>
        </w:rPr>
      </w:pPr>
    </w:p>
    <w:p w14:paraId="2064F0F5" w14:textId="77777777" w:rsidR="00B21642" w:rsidRPr="00C74421" w:rsidRDefault="00B21642" w:rsidP="00B21642">
      <w:pPr>
        <w:spacing w:before="200" w:after="200" w:line="360" w:lineRule="auto"/>
        <w:jc w:val="center"/>
        <w:rPr>
          <w:b/>
          <w:sz w:val="36"/>
        </w:rPr>
      </w:pPr>
      <w:r>
        <w:rPr>
          <w:b/>
          <w:sz w:val="36"/>
        </w:rPr>
        <w:t>LCBB5004 Managing People</w:t>
      </w:r>
    </w:p>
    <w:p w14:paraId="5B7C9B9A" w14:textId="77777777" w:rsidR="00B21642" w:rsidRPr="00C74421" w:rsidRDefault="00B21642" w:rsidP="00B21642">
      <w:pPr>
        <w:spacing w:before="200" w:after="200" w:line="360" w:lineRule="auto"/>
        <w:jc w:val="center"/>
        <w:rPr>
          <w:b/>
          <w:sz w:val="36"/>
        </w:rPr>
      </w:pPr>
      <w:r w:rsidRPr="00C74421">
        <w:rPr>
          <w:b/>
          <w:sz w:val="36"/>
        </w:rPr>
        <w:t>BA Business Management</w:t>
      </w:r>
    </w:p>
    <w:p w14:paraId="566A506A" w14:textId="1FB6E1BE" w:rsidR="00B21642" w:rsidRDefault="00B21642" w:rsidP="00B21642">
      <w:pPr>
        <w:spacing w:before="200" w:after="200" w:line="360" w:lineRule="auto"/>
        <w:jc w:val="center"/>
        <w:rPr>
          <w:b/>
          <w:sz w:val="36"/>
        </w:rPr>
      </w:pPr>
      <w:r>
        <w:rPr>
          <w:b/>
          <w:sz w:val="36"/>
        </w:rPr>
        <w:t>Assessment 2</w:t>
      </w:r>
      <w:bookmarkStart w:id="0" w:name="_GoBack"/>
      <w:bookmarkEnd w:id="0"/>
    </w:p>
    <w:p w14:paraId="479BDACF" w14:textId="6DEB973A" w:rsidR="00B21642" w:rsidRPr="00C74421" w:rsidRDefault="00B21642" w:rsidP="00B21642">
      <w:pPr>
        <w:spacing w:before="200" w:after="200" w:line="360" w:lineRule="auto"/>
        <w:jc w:val="center"/>
        <w:rPr>
          <w:b/>
          <w:sz w:val="36"/>
        </w:rPr>
      </w:pPr>
      <w:r>
        <w:rPr>
          <w:b/>
          <w:sz w:val="36"/>
        </w:rPr>
        <w:t xml:space="preserve">Module leader: </w:t>
      </w:r>
      <w:r>
        <w:rPr>
          <w:b/>
          <w:sz w:val="36"/>
        </w:rPr>
        <w:t xml:space="preserve">Charles </w:t>
      </w:r>
      <w:proofErr w:type="spellStart"/>
      <w:r>
        <w:rPr>
          <w:b/>
          <w:sz w:val="36"/>
        </w:rPr>
        <w:t>Oham</w:t>
      </w:r>
      <w:proofErr w:type="spellEnd"/>
    </w:p>
    <w:p w14:paraId="41260B0B" w14:textId="77777777" w:rsidR="00B21642" w:rsidRDefault="00B21642" w:rsidP="00B21642">
      <w:pPr>
        <w:spacing w:before="200" w:after="200" w:line="360" w:lineRule="auto"/>
        <w:jc w:val="center"/>
        <w:rPr>
          <w:b/>
          <w:sz w:val="36"/>
        </w:rPr>
      </w:pPr>
      <w:r w:rsidRPr="00C74421">
        <w:rPr>
          <w:b/>
          <w:sz w:val="36"/>
        </w:rPr>
        <w:t>Student ID:</w:t>
      </w:r>
      <w:r>
        <w:rPr>
          <w:b/>
          <w:sz w:val="36"/>
        </w:rPr>
        <w:t xml:space="preserve"> 2013038</w:t>
      </w:r>
    </w:p>
    <w:p w14:paraId="6B8288A6" w14:textId="77777777" w:rsidR="00B21642" w:rsidRDefault="00B21642" w:rsidP="00B21642">
      <w:pPr>
        <w:spacing w:before="100" w:beforeAutospacing="1" w:after="100" w:afterAutospacing="1"/>
        <w:ind w:left="-57" w:right="-227"/>
        <w:jc w:val="center"/>
        <w:rPr>
          <w:b/>
          <w:sz w:val="36"/>
          <w:szCs w:val="36"/>
        </w:rPr>
      </w:pPr>
      <w:r>
        <w:rPr>
          <w:b/>
          <w:sz w:val="36"/>
        </w:rPr>
        <w:t xml:space="preserve">Student Name: </w:t>
      </w:r>
      <w:proofErr w:type="spellStart"/>
      <w:r>
        <w:rPr>
          <w:b/>
          <w:sz w:val="36"/>
        </w:rPr>
        <w:t>Beatricia</w:t>
      </w:r>
      <w:proofErr w:type="spellEnd"/>
      <w:r>
        <w:rPr>
          <w:b/>
          <w:sz w:val="36"/>
        </w:rPr>
        <w:t xml:space="preserve"> </w:t>
      </w:r>
      <w:proofErr w:type="spellStart"/>
      <w:r>
        <w:rPr>
          <w:b/>
          <w:sz w:val="36"/>
        </w:rPr>
        <w:t>Corsan</w:t>
      </w:r>
      <w:proofErr w:type="spellEnd"/>
    </w:p>
    <w:p w14:paraId="00000009" w14:textId="2EBBB574" w:rsidR="00316C95" w:rsidRDefault="00F84BA6" w:rsidP="00B21642">
      <w:pPr>
        <w:spacing w:line="480" w:lineRule="auto"/>
        <w:rPr>
          <w:rFonts w:ascii="Times New Roman" w:eastAsia="Times New Roman" w:hAnsi="Times New Roman" w:cs="Times New Roman"/>
          <w:b/>
          <w:sz w:val="32"/>
          <w:szCs w:val="32"/>
        </w:rPr>
      </w:pPr>
      <w:r>
        <w:br w:type="page"/>
      </w:r>
    </w:p>
    <w:p w14:paraId="0000000A" w14:textId="77777777" w:rsidR="00316C95" w:rsidRDefault="00F84BA6">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Executive Summary </w:t>
      </w:r>
    </w:p>
    <w:p w14:paraId="0000000B" w14:textId="77777777" w:rsidR="00316C95" w:rsidRDefault="00F84BA6">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management of people is important for any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maintain the quality of production and work culture. Tesco is a popular retail chain in the UK which concentrates on employee engagement for increasing productivity. This report portrays concepts and drivers of employee engagement in Tesco and how they conduct business by engaging them.  From maintaining balance in the workplace to engaging the leaders to take more responsibilities. This report discusses the role of employees to have their opinions and how Tesco management is supporting them to educate themselves and think about progress.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report highlights the diagnostic tools for determining the engagement level of the employees and Tesco applies the diagnostic tools to enhance the productivity of the company. This report had also adopted several strategies that can keep up the potential of the company in making their employees engaged in their roles and responsibilities. The implementation of these strategies can enhance the performance quality of the employees as well as the productivity rate of Tesco.</w:t>
      </w:r>
      <w:r>
        <w:br w:type="page"/>
      </w:r>
    </w:p>
    <w:bookmarkStart w:id="1" w:name="_sds9i675hie1" w:colFirst="0" w:colLast="0" w:displacedByCustomXml="next"/>
    <w:bookmarkEnd w:id="1" w:displacedByCustomXml="next"/>
    <w:sdt>
      <w:sdtPr>
        <w:rPr>
          <w:rFonts w:ascii="Arial" w:eastAsia="Arial" w:hAnsi="Arial" w:cs="Arial"/>
          <w:color w:val="auto"/>
          <w:sz w:val="22"/>
          <w:szCs w:val="22"/>
          <w:lang w:val="en"/>
        </w:rPr>
        <w:id w:val="1363395803"/>
        <w:docPartObj>
          <w:docPartGallery w:val="Table of Contents"/>
          <w:docPartUnique/>
        </w:docPartObj>
      </w:sdtPr>
      <w:sdtEndPr>
        <w:rPr>
          <w:b/>
          <w:bCs/>
          <w:noProof/>
        </w:rPr>
      </w:sdtEndPr>
      <w:sdtContent>
        <w:p w14:paraId="6179A670" w14:textId="5B8C18D7" w:rsidR="007744AF" w:rsidRPr="00981733" w:rsidRDefault="007744AF" w:rsidP="00981733">
          <w:pPr>
            <w:pStyle w:val="TOCHeading"/>
            <w:spacing w:line="480" w:lineRule="auto"/>
            <w:jc w:val="center"/>
            <w:rPr>
              <w:rFonts w:ascii="Times New Roman" w:hAnsi="Times New Roman" w:cs="Times New Roman"/>
              <w:b/>
              <w:bCs/>
              <w:color w:val="auto"/>
              <w:sz w:val="24"/>
              <w:szCs w:val="24"/>
            </w:rPr>
          </w:pPr>
          <w:r w:rsidRPr="00981733">
            <w:rPr>
              <w:rFonts w:ascii="Times New Roman" w:hAnsi="Times New Roman" w:cs="Times New Roman"/>
              <w:b/>
              <w:bCs/>
              <w:color w:val="auto"/>
              <w:sz w:val="24"/>
              <w:szCs w:val="24"/>
            </w:rPr>
            <w:t>Table of Contents</w:t>
          </w:r>
        </w:p>
        <w:p w14:paraId="7B88B28C" w14:textId="49DE4D75" w:rsidR="007744AF" w:rsidRPr="00981733" w:rsidRDefault="007744AF" w:rsidP="00981733">
          <w:pPr>
            <w:pStyle w:val="TOC1"/>
            <w:tabs>
              <w:tab w:val="right" w:leader="dot" w:pos="9350"/>
            </w:tabs>
            <w:spacing w:line="480" w:lineRule="auto"/>
            <w:jc w:val="both"/>
            <w:rPr>
              <w:rFonts w:ascii="Times New Roman" w:hAnsi="Times New Roman" w:cs="Times New Roman"/>
              <w:noProof/>
              <w:sz w:val="24"/>
              <w:szCs w:val="24"/>
            </w:rPr>
          </w:pPr>
          <w:r w:rsidRPr="00981733">
            <w:rPr>
              <w:rFonts w:ascii="Times New Roman" w:hAnsi="Times New Roman" w:cs="Times New Roman"/>
              <w:sz w:val="24"/>
              <w:szCs w:val="24"/>
            </w:rPr>
            <w:fldChar w:fldCharType="begin"/>
          </w:r>
          <w:r w:rsidRPr="00981733">
            <w:rPr>
              <w:rFonts w:ascii="Times New Roman" w:hAnsi="Times New Roman" w:cs="Times New Roman"/>
              <w:sz w:val="24"/>
              <w:szCs w:val="24"/>
            </w:rPr>
            <w:instrText xml:space="preserve"> TOC \o "1-3" \h \z \u </w:instrText>
          </w:r>
          <w:r w:rsidRPr="00981733">
            <w:rPr>
              <w:rFonts w:ascii="Times New Roman" w:hAnsi="Times New Roman" w:cs="Times New Roman"/>
              <w:sz w:val="24"/>
              <w:szCs w:val="24"/>
            </w:rPr>
            <w:fldChar w:fldCharType="separate"/>
          </w:r>
          <w:hyperlink w:anchor="_Toc102773819" w:history="1">
            <w:r w:rsidRPr="00981733">
              <w:rPr>
                <w:rStyle w:val="Hyperlink"/>
                <w:rFonts w:ascii="Times New Roman" w:hAnsi="Times New Roman" w:cs="Times New Roman"/>
                <w:noProof/>
                <w:sz w:val="24"/>
                <w:szCs w:val="24"/>
              </w:rPr>
              <w:t>1. Introduction</w:t>
            </w:r>
            <w:r w:rsidRPr="00981733">
              <w:rPr>
                <w:rFonts w:ascii="Times New Roman" w:hAnsi="Times New Roman" w:cs="Times New Roman"/>
                <w:noProof/>
                <w:webHidden/>
                <w:sz w:val="24"/>
                <w:szCs w:val="24"/>
              </w:rPr>
              <w:tab/>
            </w:r>
            <w:r w:rsidRPr="00981733">
              <w:rPr>
                <w:rFonts w:ascii="Times New Roman" w:hAnsi="Times New Roman" w:cs="Times New Roman"/>
                <w:noProof/>
                <w:webHidden/>
                <w:sz w:val="24"/>
                <w:szCs w:val="24"/>
              </w:rPr>
              <w:fldChar w:fldCharType="begin"/>
            </w:r>
            <w:r w:rsidRPr="00981733">
              <w:rPr>
                <w:rFonts w:ascii="Times New Roman" w:hAnsi="Times New Roman" w:cs="Times New Roman"/>
                <w:noProof/>
                <w:webHidden/>
                <w:sz w:val="24"/>
                <w:szCs w:val="24"/>
              </w:rPr>
              <w:instrText xml:space="preserve"> PAGEREF _Toc102773819 \h </w:instrText>
            </w:r>
            <w:r w:rsidRPr="00981733">
              <w:rPr>
                <w:rFonts w:ascii="Times New Roman" w:hAnsi="Times New Roman" w:cs="Times New Roman"/>
                <w:noProof/>
                <w:webHidden/>
                <w:sz w:val="24"/>
                <w:szCs w:val="24"/>
              </w:rPr>
            </w:r>
            <w:r w:rsidRPr="00981733">
              <w:rPr>
                <w:rFonts w:ascii="Times New Roman" w:hAnsi="Times New Roman" w:cs="Times New Roman"/>
                <w:noProof/>
                <w:webHidden/>
                <w:sz w:val="24"/>
                <w:szCs w:val="24"/>
              </w:rPr>
              <w:fldChar w:fldCharType="separate"/>
            </w:r>
            <w:r w:rsidRPr="00981733">
              <w:rPr>
                <w:rFonts w:ascii="Times New Roman" w:hAnsi="Times New Roman" w:cs="Times New Roman"/>
                <w:noProof/>
                <w:webHidden/>
                <w:sz w:val="24"/>
                <w:szCs w:val="24"/>
              </w:rPr>
              <w:t>4</w:t>
            </w:r>
            <w:r w:rsidRPr="00981733">
              <w:rPr>
                <w:rFonts w:ascii="Times New Roman" w:hAnsi="Times New Roman" w:cs="Times New Roman"/>
                <w:noProof/>
                <w:webHidden/>
                <w:sz w:val="24"/>
                <w:szCs w:val="24"/>
              </w:rPr>
              <w:fldChar w:fldCharType="end"/>
            </w:r>
          </w:hyperlink>
        </w:p>
        <w:p w14:paraId="4636AD01" w14:textId="39C8ABB4" w:rsidR="007744AF" w:rsidRPr="00981733" w:rsidRDefault="004841FB" w:rsidP="00981733">
          <w:pPr>
            <w:pStyle w:val="TOC1"/>
            <w:tabs>
              <w:tab w:val="right" w:leader="dot" w:pos="9350"/>
            </w:tabs>
            <w:spacing w:line="480" w:lineRule="auto"/>
            <w:jc w:val="both"/>
            <w:rPr>
              <w:rFonts w:ascii="Times New Roman" w:hAnsi="Times New Roman" w:cs="Times New Roman"/>
              <w:noProof/>
              <w:sz w:val="24"/>
              <w:szCs w:val="24"/>
            </w:rPr>
          </w:pPr>
          <w:hyperlink w:anchor="_Toc102773820" w:history="1">
            <w:r w:rsidR="007744AF" w:rsidRPr="00981733">
              <w:rPr>
                <w:rStyle w:val="Hyperlink"/>
                <w:rFonts w:ascii="Times New Roman" w:hAnsi="Times New Roman" w:cs="Times New Roman"/>
                <w:noProof/>
                <w:sz w:val="24"/>
                <w:szCs w:val="24"/>
              </w:rPr>
              <w:t>2. Reviews the concept and drivers of employee engagement</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_Toc102773820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4</w:t>
            </w:r>
            <w:r w:rsidR="007744AF" w:rsidRPr="00981733">
              <w:rPr>
                <w:rFonts w:ascii="Times New Roman" w:hAnsi="Times New Roman" w:cs="Times New Roman"/>
                <w:noProof/>
                <w:webHidden/>
                <w:sz w:val="24"/>
                <w:szCs w:val="24"/>
              </w:rPr>
              <w:fldChar w:fldCharType="end"/>
            </w:r>
          </w:hyperlink>
        </w:p>
        <w:p w14:paraId="3A97DADA" w14:textId="08D03ED4" w:rsidR="007744AF" w:rsidRPr="00981733" w:rsidRDefault="004841FB" w:rsidP="00981733">
          <w:pPr>
            <w:pStyle w:val="TOC1"/>
            <w:tabs>
              <w:tab w:val="right" w:leader="dot" w:pos="9350"/>
            </w:tabs>
            <w:spacing w:line="480" w:lineRule="auto"/>
            <w:jc w:val="both"/>
            <w:rPr>
              <w:rFonts w:ascii="Times New Roman" w:hAnsi="Times New Roman" w:cs="Times New Roman"/>
              <w:noProof/>
              <w:sz w:val="24"/>
              <w:szCs w:val="24"/>
            </w:rPr>
          </w:pPr>
          <w:hyperlink w:anchor="_Toc102773821" w:history="1">
            <w:r w:rsidR="007744AF" w:rsidRPr="00981733">
              <w:rPr>
                <w:rStyle w:val="Hyperlink"/>
                <w:rFonts w:ascii="Times New Roman" w:hAnsi="Times New Roman" w:cs="Times New Roman"/>
                <w:noProof/>
                <w:sz w:val="24"/>
                <w:szCs w:val="24"/>
              </w:rPr>
              <w:t>3. Evaluating diagnostic tools to determine engagement</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_Toc102773821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6</w:t>
            </w:r>
            <w:r w:rsidR="007744AF" w:rsidRPr="00981733">
              <w:rPr>
                <w:rFonts w:ascii="Times New Roman" w:hAnsi="Times New Roman" w:cs="Times New Roman"/>
                <w:noProof/>
                <w:webHidden/>
                <w:sz w:val="24"/>
                <w:szCs w:val="24"/>
              </w:rPr>
              <w:fldChar w:fldCharType="end"/>
            </w:r>
          </w:hyperlink>
        </w:p>
        <w:p w14:paraId="6EB3AEB7" w14:textId="0CC0DA0A" w:rsidR="007744AF" w:rsidRPr="00981733" w:rsidRDefault="004841FB" w:rsidP="00981733">
          <w:pPr>
            <w:pStyle w:val="TOC1"/>
            <w:tabs>
              <w:tab w:val="right" w:leader="dot" w:pos="9350"/>
            </w:tabs>
            <w:spacing w:line="480" w:lineRule="auto"/>
            <w:jc w:val="both"/>
            <w:rPr>
              <w:rFonts w:ascii="Times New Roman" w:hAnsi="Times New Roman" w:cs="Times New Roman"/>
              <w:noProof/>
              <w:sz w:val="24"/>
              <w:szCs w:val="24"/>
            </w:rPr>
          </w:pPr>
          <w:hyperlink w:anchor="_Toc102773822" w:history="1">
            <w:r w:rsidR="007744AF" w:rsidRPr="00981733">
              <w:rPr>
                <w:rStyle w:val="Hyperlink"/>
                <w:rFonts w:ascii="Times New Roman" w:hAnsi="Times New Roman" w:cs="Times New Roman"/>
                <w:noProof/>
                <w:sz w:val="24"/>
                <w:szCs w:val="24"/>
              </w:rPr>
              <w:t>4. Constructing the value proposition of the employees from the ideas and analysing strategies to raise levels of engagement</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_Toc102773822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8</w:t>
            </w:r>
            <w:r w:rsidR="007744AF" w:rsidRPr="00981733">
              <w:rPr>
                <w:rFonts w:ascii="Times New Roman" w:hAnsi="Times New Roman" w:cs="Times New Roman"/>
                <w:noProof/>
                <w:webHidden/>
                <w:sz w:val="24"/>
                <w:szCs w:val="24"/>
              </w:rPr>
              <w:fldChar w:fldCharType="end"/>
            </w:r>
          </w:hyperlink>
        </w:p>
        <w:p w14:paraId="7E42944B" w14:textId="67D5D4C7" w:rsidR="007744AF" w:rsidRPr="00981733" w:rsidRDefault="004841FB" w:rsidP="00981733">
          <w:pPr>
            <w:pStyle w:val="TOC1"/>
            <w:tabs>
              <w:tab w:val="right" w:leader="dot" w:pos="9350"/>
            </w:tabs>
            <w:spacing w:line="480" w:lineRule="auto"/>
            <w:jc w:val="both"/>
            <w:rPr>
              <w:rFonts w:ascii="Times New Roman" w:hAnsi="Times New Roman" w:cs="Times New Roman"/>
              <w:noProof/>
              <w:sz w:val="24"/>
              <w:szCs w:val="24"/>
            </w:rPr>
          </w:pPr>
          <w:hyperlink w:anchor="_Toc102773823" w:history="1">
            <w:r w:rsidR="007744AF" w:rsidRPr="00981733">
              <w:rPr>
                <w:rStyle w:val="Hyperlink"/>
                <w:rFonts w:ascii="Times New Roman" w:hAnsi="Times New Roman" w:cs="Times New Roman"/>
                <w:noProof/>
                <w:sz w:val="24"/>
                <w:szCs w:val="24"/>
              </w:rPr>
              <w:t>5. Conclusion</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_Toc102773823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10</w:t>
            </w:r>
            <w:r w:rsidR="007744AF" w:rsidRPr="00981733">
              <w:rPr>
                <w:rFonts w:ascii="Times New Roman" w:hAnsi="Times New Roman" w:cs="Times New Roman"/>
                <w:noProof/>
                <w:webHidden/>
                <w:sz w:val="24"/>
                <w:szCs w:val="24"/>
              </w:rPr>
              <w:fldChar w:fldCharType="end"/>
            </w:r>
          </w:hyperlink>
        </w:p>
        <w:p w14:paraId="5B3FFE26" w14:textId="1E89EE55" w:rsidR="007744AF" w:rsidRPr="00981733" w:rsidRDefault="004841FB" w:rsidP="00981733">
          <w:pPr>
            <w:pStyle w:val="TOC1"/>
            <w:tabs>
              <w:tab w:val="right" w:leader="dot" w:pos="9350"/>
            </w:tabs>
            <w:spacing w:line="480" w:lineRule="auto"/>
            <w:jc w:val="both"/>
            <w:rPr>
              <w:rFonts w:ascii="Times New Roman" w:hAnsi="Times New Roman" w:cs="Times New Roman"/>
              <w:noProof/>
              <w:sz w:val="24"/>
              <w:szCs w:val="24"/>
            </w:rPr>
          </w:pPr>
          <w:hyperlink w:anchor="_Toc102773824" w:history="1">
            <w:r w:rsidR="007744AF" w:rsidRPr="00981733">
              <w:rPr>
                <w:rStyle w:val="Hyperlink"/>
                <w:rFonts w:ascii="Times New Roman" w:hAnsi="Times New Roman" w:cs="Times New Roman"/>
                <w:noProof/>
                <w:sz w:val="24"/>
                <w:szCs w:val="24"/>
              </w:rPr>
              <w:t>References</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_Toc102773824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11</w:t>
            </w:r>
            <w:r w:rsidR="007744AF" w:rsidRPr="00981733">
              <w:rPr>
                <w:rFonts w:ascii="Times New Roman" w:hAnsi="Times New Roman" w:cs="Times New Roman"/>
                <w:noProof/>
                <w:webHidden/>
                <w:sz w:val="24"/>
                <w:szCs w:val="24"/>
              </w:rPr>
              <w:fldChar w:fldCharType="end"/>
            </w:r>
          </w:hyperlink>
        </w:p>
        <w:p w14:paraId="4105F037" w14:textId="6CF77F96" w:rsidR="007744AF" w:rsidRPr="00981733" w:rsidRDefault="004841FB" w:rsidP="00981733">
          <w:pPr>
            <w:pStyle w:val="TOC2"/>
            <w:tabs>
              <w:tab w:val="right" w:leader="dot" w:pos="9350"/>
            </w:tabs>
            <w:spacing w:line="480" w:lineRule="auto"/>
            <w:jc w:val="both"/>
            <w:rPr>
              <w:rFonts w:ascii="Times New Roman" w:hAnsi="Times New Roman" w:cs="Times New Roman"/>
              <w:noProof/>
              <w:sz w:val="24"/>
              <w:szCs w:val="24"/>
            </w:rPr>
          </w:pPr>
          <w:hyperlink w:anchor="_Toc102773825" w:history="1">
            <w:r w:rsidR="007744AF" w:rsidRPr="00981733">
              <w:rPr>
                <w:rStyle w:val="Hyperlink"/>
                <w:rFonts w:ascii="Times New Roman" w:eastAsia="Times New Roman" w:hAnsi="Times New Roman" w:cs="Times New Roman"/>
                <w:b/>
                <w:noProof/>
                <w:sz w:val="24"/>
                <w:szCs w:val="24"/>
              </w:rPr>
              <w:t>Journals and Books</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_Toc102773825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11</w:t>
            </w:r>
            <w:r w:rsidR="007744AF" w:rsidRPr="00981733">
              <w:rPr>
                <w:rFonts w:ascii="Times New Roman" w:hAnsi="Times New Roman" w:cs="Times New Roman"/>
                <w:noProof/>
                <w:webHidden/>
                <w:sz w:val="24"/>
                <w:szCs w:val="24"/>
              </w:rPr>
              <w:fldChar w:fldCharType="end"/>
            </w:r>
          </w:hyperlink>
        </w:p>
        <w:p w14:paraId="1BDD43DA" w14:textId="2288E6BD" w:rsidR="007744AF" w:rsidRPr="00981733" w:rsidRDefault="004841FB" w:rsidP="00981733">
          <w:pPr>
            <w:pStyle w:val="TOC2"/>
            <w:tabs>
              <w:tab w:val="right" w:leader="dot" w:pos="9350"/>
            </w:tabs>
            <w:spacing w:line="480" w:lineRule="auto"/>
            <w:jc w:val="both"/>
            <w:rPr>
              <w:rFonts w:ascii="Times New Roman" w:hAnsi="Times New Roman" w:cs="Times New Roman"/>
              <w:noProof/>
              <w:sz w:val="24"/>
              <w:szCs w:val="24"/>
            </w:rPr>
          </w:pPr>
          <w:hyperlink w:anchor="_Toc102773826" w:history="1">
            <w:r w:rsidR="007744AF" w:rsidRPr="00981733">
              <w:rPr>
                <w:rStyle w:val="Hyperlink"/>
                <w:rFonts w:ascii="Times New Roman" w:eastAsia="Times New Roman" w:hAnsi="Times New Roman" w:cs="Times New Roman"/>
                <w:b/>
                <w:noProof/>
                <w:sz w:val="24"/>
                <w:szCs w:val="24"/>
              </w:rPr>
              <w:t>Websites</w:t>
            </w:r>
            <w:r w:rsidR="007744AF" w:rsidRPr="00981733">
              <w:rPr>
                <w:rFonts w:ascii="Times New Roman" w:hAnsi="Times New Roman" w:cs="Times New Roman"/>
                <w:noProof/>
                <w:webHidden/>
                <w:sz w:val="24"/>
                <w:szCs w:val="24"/>
              </w:rPr>
              <w:tab/>
            </w:r>
            <w:r w:rsidR="007744AF" w:rsidRPr="00981733">
              <w:rPr>
                <w:rFonts w:ascii="Times New Roman" w:hAnsi="Times New Roman" w:cs="Times New Roman"/>
                <w:noProof/>
                <w:webHidden/>
                <w:sz w:val="24"/>
                <w:szCs w:val="24"/>
              </w:rPr>
              <w:fldChar w:fldCharType="begin"/>
            </w:r>
            <w:r w:rsidR="007744AF" w:rsidRPr="00981733">
              <w:rPr>
                <w:rFonts w:ascii="Times New Roman" w:hAnsi="Times New Roman" w:cs="Times New Roman"/>
                <w:noProof/>
                <w:webHidden/>
                <w:sz w:val="24"/>
                <w:szCs w:val="24"/>
              </w:rPr>
              <w:instrText xml:space="preserve"> PAGEREF _Toc102773826 \h </w:instrText>
            </w:r>
            <w:r w:rsidR="007744AF" w:rsidRPr="00981733">
              <w:rPr>
                <w:rFonts w:ascii="Times New Roman" w:hAnsi="Times New Roman" w:cs="Times New Roman"/>
                <w:noProof/>
                <w:webHidden/>
                <w:sz w:val="24"/>
                <w:szCs w:val="24"/>
              </w:rPr>
            </w:r>
            <w:r w:rsidR="007744AF" w:rsidRPr="00981733">
              <w:rPr>
                <w:rFonts w:ascii="Times New Roman" w:hAnsi="Times New Roman" w:cs="Times New Roman"/>
                <w:noProof/>
                <w:webHidden/>
                <w:sz w:val="24"/>
                <w:szCs w:val="24"/>
              </w:rPr>
              <w:fldChar w:fldCharType="separate"/>
            </w:r>
            <w:r w:rsidR="007744AF" w:rsidRPr="00981733">
              <w:rPr>
                <w:rFonts w:ascii="Times New Roman" w:hAnsi="Times New Roman" w:cs="Times New Roman"/>
                <w:noProof/>
                <w:webHidden/>
                <w:sz w:val="24"/>
                <w:szCs w:val="24"/>
              </w:rPr>
              <w:t>12</w:t>
            </w:r>
            <w:r w:rsidR="007744AF" w:rsidRPr="00981733">
              <w:rPr>
                <w:rFonts w:ascii="Times New Roman" w:hAnsi="Times New Roman" w:cs="Times New Roman"/>
                <w:noProof/>
                <w:webHidden/>
                <w:sz w:val="24"/>
                <w:szCs w:val="24"/>
              </w:rPr>
              <w:fldChar w:fldCharType="end"/>
            </w:r>
          </w:hyperlink>
        </w:p>
        <w:p w14:paraId="12F30775" w14:textId="7908A418" w:rsidR="007744AF" w:rsidRDefault="007744AF" w:rsidP="00981733">
          <w:pPr>
            <w:spacing w:line="480" w:lineRule="auto"/>
            <w:jc w:val="both"/>
          </w:pPr>
          <w:r w:rsidRPr="00981733">
            <w:rPr>
              <w:rFonts w:ascii="Times New Roman" w:hAnsi="Times New Roman" w:cs="Times New Roman"/>
              <w:b/>
              <w:bCs/>
              <w:noProof/>
              <w:sz w:val="24"/>
              <w:szCs w:val="24"/>
            </w:rPr>
            <w:fldChar w:fldCharType="end"/>
          </w:r>
        </w:p>
      </w:sdtContent>
    </w:sdt>
    <w:p w14:paraId="0000000C" w14:textId="77777777" w:rsidR="00316C95" w:rsidRDefault="00F84BA6">
      <w:pPr>
        <w:pStyle w:val="Heading1"/>
      </w:pPr>
      <w:r>
        <w:br w:type="page"/>
      </w:r>
    </w:p>
    <w:p w14:paraId="0000000D" w14:textId="77777777" w:rsidR="00316C95" w:rsidRDefault="00F84BA6">
      <w:pPr>
        <w:pStyle w:val="Heading1"/>
      </w:pPr>
      <w:bookmarkStart w:id="2" w:name="_4ccg0zxddnpa" w:colFirst="0" w:colLast="0"/>
      <w:bookmarkStart w:id="3" w:name="_Toc102773819"/>
      <w:bookmarkEnd w:id="2"/>
      <w:r>
        <w:lastRenderedPageBreak/>
        <w:t>1. Introduction</w:t>
      </w:r>
      <w:bookmarkEnd w:id="3"/>
      <w:r>
        <w:t xml:space="preserve"> </w:t>
      </w:r>
    </w:p>
    <w:p w14:paraId="0000000E" w14:textId="77777777" w:rsidR="00316C95" w:rsidRDefault="00F84BA6">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report concentrates on managing people's perception of Tesco which is a renowned retail company in the UK. Tesco has 28% of the market share in the UK market and the company employs 367,321 employees. The mission of Tesco is to change the meaning of retail shopping and bring maximum customer satisfaction. The report sheds light on the concepts and drivers to engage the employees to enhance its productivity and market share. The diagnostic tools are evaluated to measure the engagement of the employees. The report explains the value proposition of the employees from the ideas and analyses the strategies for increasing the level of employee engagement. </w:t>
      </w:r>
    </w:p>
    <w:p w14:paraId="0000000F" w14:textId="77777777" w:rsidR="00316C95" w:rsidRDefault="00F84BA6">
      <w:pPr>
        <w:pStyle w:val="Heading1"/>
      </w:pPr>
      <w:bookmarkStart w:id="4" w:name="_xb5yat1loz6u" w:colFirst="0" w:colLast="0"/>
      <w:bookmarkStart w:id="5" w:name="_Toc102773820"/>
      <w:bookmarkEnd w:id="4"/>
      <w:r>
        <w:t>2. Reviews the concept and drivers of employee engagement</w:t>
      </w:r>
      <w:bookmarkEnd w:id="5"/>
      <w:r>
        <w:t xml:space="preserve"> </w:t>
      </w:r>
    </w:p>
    <w:p w14:paraId="00000010"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easy way to get success in managing the employees, Employee management is a concept of Human resources that defines the motivation and dedication of employees towards their work. The employees who are engaged in their work think about the performance of the company too </w:t>
      </w:r>
      <w:r>
        <w:rPr>
          <w:rFonts w:ascii="Times New Roman" w:eastAsia="Times New Roman" w:hAnsi="Times New Roman" w:cs="Times New Roman"/>
          <w:color w:val="222222"/>
          <w:sz w:val="24"/>
          <w:szCs w:val="24"/>
          <w:highlight w:val="white"/>
        </w:rPr>
        <w:t xml:space="preserve">(Lamberti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p.1)</w:t>
      </w:r>
      <w:r>
        <w:rPr>
          <w:rFonts w:ascii="Times New Roman" w:eastAsia="Times New Roman" w:hAnsi="Times New Roman" w:cs="Times New Roman"/>
          <w:sz w:val="24"/>
          <w:szCs w:val="24"/>
        </w:rPr>
        <w:t xml:space="preserve">. The management of Tesco takes good care of their employees to engage them more in their work and make them instrumental in the success of the company. The management of Tesco has seen the level of engagement increase in the tough times of the company. Companies that were not good at maintaining good employee management has seen their employees leave their job </w:t>
      </w:r>
      <w:r>
        <w:rPr>
          <w:rFonts w:ascii="Times New Roman" w:eastAsia="Times New Roman" w:hAnsi="Times New Roman" w:cs="Times New Roman"/>
          <w:color w:val="222222"/>
          <w:sz w:val="24"/>
          <w:szCs w:val="24"/>
          <w:highlight w:val="white"/>
        </w:rPr>
        <w:t xml:space="preserve">(Lamberti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 p.1)</w:t>
      </w:r>
      <w:r>
        <w:rPr>
          <w:rFonts w:ascii="Times New Roman" w:eastAsia="Times New Roman" w:hAnsi="Times New Roman" w:cs="Times New Roman"/>
          <w:sz w:val="24"/>
          <w:szCs w:val="24"/>
        </w:rPr>
        <w:t xml:space="preserve">. </w:t>
      </w:r>
    </w:p>
    <w:p w14:paraId="00000011"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 engagement analysis has identified that there are many drivers of employee engagement and the management of Tesco follows five main drivers of employee engagement such as strategic Management, Engaging Leaders, developing workplace relationships, Employee Voice and Integrity. </w:t>
      </w:r>
    </w:p>
    <w:p w14:paraId="00000012"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Strategic Management or Leadership:</w:t>
      </w:r>
      <w:r>
        <w:rPr>
          <w:rFonts w:ascii="Times New Roman" w:eastAsia="Times New Roman" w:hAnsi="Times New Roman" w:cs="Times New Roman"/>
          <w:sz w:val="24"/>
          <w:szCs w:val="24"/>
        </w:rPr>
        <w:t xml:space="preserve"> The influence of leadership is agreed upon widely all over the world, the leaders of Tesco maintain two things, they always engage the workers. They are leading and maintaining the engagements with the idea of maintaining trust, clarity, and system alignment and unleashing talent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Alrowwad</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 p.12)</w:t>
      </w:r>
      <w:r>
        <w:rPr>
          <w:rFonts w:ascii="Times New Roman" w:eastAsia="Times New Roman" w:hAnsi="Times New Roman" w:cs="Times New Roman"/>
          <w:sz w:val="24"/>
          <w:szCs w:val="24"/>
        </w:rPr>
        <w:t>. The leaders of Tesco know where the company has come from and their current position in the market so that can articulate their vision to the employees. Tesco has expanded its business and now it is operating in 11 countries and listed on the London Stock Exchange.</w:t>
      </w:r>
    </w:p>
    <w:p w14:paraId="00000013"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Engaging Line Managers: </w:t>
      </w:r>
      <w:r>
        <w:rPr>
          <w:rFonts w:ascii="Times New Roman" w:eastAsia="Times New Roman" w:hAnsi="Times New Roman" w:cs="Times New Roman"/>
          <w:sz w:val="24"/>
          <w:szCs w:val="24"/>
        </w:rPr>
        <w:t xml:space="preserve">Most of the variation in engagement level is dependent upon the Line Manager. Lots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do not give well directions to their employees, Tesco has maintained this idea of giving line managers more responsibilities. They treat employees respectfully, support them in all conditions and look after them </w:t>
      </w:r>
      <w:r>
        <w:rPr>
          <w:rFonts w:ascii="Times New Roman" w:eastAsia="Times New Roman" w:hAnsi="Times New Roman" w:cs="Times New Roman"/>
          <w:color w:val="222222"/>
          <w:sz w:val="24"/>
          <w:szCs w:val="24"/>
          <w:highlight w:val="white"/>
        </w:rPr>
        <w:t>(Walsh and Magley, 2020, p.2165)</w:t>
      </w:r>
      <w:r>
        <w:rPr>
          <w:rFonts w:ascii="Times New Roman" w:eastAsia="Times New Roman" w:hAnsi="Times New Roman" w:cs="Times New Roman"/>
          <w:sz w:val="24"/>
          <w:szCs w:val="24"/>
        </w:rPr>
        <w:t>. The management of Tesco communicates with their employees through texts, voicemails, and the internet and sometimes leaders respond through in-store communications. Tesco has owned more than 3000 shops and as of 2013, There were 200 Tesco express sites in the UK.</w:t>
      </w:r>
    </w:p>
    <w:p w14:paraId="00000014"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Voices</w:t>
      </w:r>
      <w:r>
        <w:rPr>
          <w:rFonts w:ascii="Times New Roman" w:eastAsia="Times New Roman" w:hAnsi="Times New Roman" w:cs="Times New Roman"/>
          <w:sz w:val="24"/>
          <w:szCs w:val="24"/>
        </w:rPr>
        <w:t xml:space="preserve">: The management of Tesco has empowered its employees and empowered employees will always state their views and opinions. Engaging them will make them think about the successes of the company and Tesco has given them the right platform to give their opinions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Kurdi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2020, p.3981)</w:t>
      </w:r>
      <w:r>
        <w:rPr>
          <w:rFonts w:ascii="Times New Roman" w:eastAsia="Times New Roman" w:hAnsi="Times New Roman" w:cs="Times New Roman"/>
          <w:sz w:val="24"/>
          <w:szCs w:val="24"/>
        </w:rPr>
        <w:t xml:space="preserve">. Tesco Mobile set a target of becoming top in giving satisfaction to the customers in the UK and they initiated the Voice of the Employees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to drive employee engagement. </w:t>
      </w:r>
    </w:p>
    <w:p w14:paraId="00000015"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Integrity: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is very important in maintaining a good environment in the workplace, and the relationship between management and employees is also important to have trust. The gap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more between them and the management of Tesco has always maintained its integrity, the </w:t>
      </w:r>
      <w:r>
        <w:rPr>
          <w:rFonts w:ascii="Times New Roman" w:eastAsia="Times New Roman" w:hAnsi="Times New Roman" w:cs="Times New Roman"/>
          <w:sz w:val="24"/>
          <w:szCs w:val="24"/>
        </w:rPr>
        <w:lastRenderedPageBreak/>
        <w:t xml:space="preserve">employees must know the value of their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Tesco as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trying to close the gap. It has 367,321 employees in 2021 and has a revenue of 57 billion dollars in 2021. The way they manage employees reflects in their profits every year (Tesco, 2021, p.2). </w:t>
      </w:r>
    </w:p>
    <w:p w14:paraId="00000016" w14:textId="77777777" w:rsidR="00316C95" w:rsidRDefault="00F84BA6">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Workplace relationship maintaining- </w:t>
      </w:r>
      <w:r>
        <w:rPr>
          <w:rFonts w:ascii="Times New Roman" w:eastAsia="Times New Roman" w:hAnsi="Times New Roman" w:cs="Times New Roman"/>
          <w:sz w:val="24"/>
          <w:szCs w:val="24"/>
        </w:rPr>
        <w:t xml:space="preserve">Tesco provides job security to the employees by making a legal contract with them. The employee relationship is a significant aspect to keep the employees informed regarding the general matters influencing their job roles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Kurdi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2020, p.3981)</w:t>
      </w:r>
      <w:r>
        <w:rPr>
          <w:rFonts w:ascii="Times New Roman" w:eastAsia="Times New Roman" w:hAnsi="Times New Roman" w:cs="Times New Roman"/>
          <w:sz w:val="24"/>
          <w:szCs w:val="24"/>
        </w:rPr>
        <w:t xml:space="preserve">. Tesco provides incentives, medical facilities, bonuses, benefits and compensation to the employees. It helps the company to increase the relationship between the employees and employers. Tesco management promotes the employees each year based on their talents and skills. Tesco increases its sales by 10% in recent years due to having a better workplace relationship with the employees (Tesco, 2021, p.2). </w:t>
      </w:r>
    </w:p>
    <w:p w14:paraId="00000017" w14:textId="77777777" w:rsidR="00316C95" w:rsidRDefault="00316C95">
      <w:pPr>
        <w:spacing w:line="480" w:lineRule="auto"/>
        <w:jc w:val="both"/>
        <w:rPr>
          <w:rFonts w:ascii="Times New Roman" w:eastAsia="Times New Roman" w:hAnsi="Times New Roman" w:cs="Times New Roman"/>
          <w:sz w:val="24"/>
          <w:szCs w:val="24"/>
        </w:rPr>
      </w:pPr>
    </w:p>
    <w:p w14:paraId="00000018" w14:textId="77777777" w:rsidR="00316C95" w:rsidRDefault="00F84BA6">
      <w:pPr>
        <w:pStyle w:val="Heading1"/>
      </w:pPr>
      <w:bookmarkStart w:id="6" w:name="_1kb1z7nescvp" w:colFirst="0" w:colLast="0"/>
      <w:bookmarkStart w:id="7" w:name="_Toc102773821"/>
      <w:bookmarkEnd w:id="6"/>
      <w:r>
        <w:t>3. Evaluating diagnostic tools to determine engagement</w:t>
      </w:r>
      <w:bookmarkEnd w:id="7"/>
      <w:r>
        <w:t xml:space="preserve"> </w:t>
      </w:r>
    </w:p>
    <w:p w14:paraId="00000019"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concentrate on the way for monitoring and measuring the engagement level of the employees for attaining higher employee success. The diagnostic tools of employee engagement are explained below. </w:t>
      </w:r>
    </w:p>
    <w:p w14:paraId="0000001A"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Employee surveys- </w:t>
      </w:r>
      <w:r>
        <w:rPr>
          <w:rFonts w:ascii="Times New Roman" w:eastAsia="Times New Roman" w:hAnsi="Times New Roman" w:cs="Times New Roman"/>
          <w:sz w:val="24"/>
          <w:szCs w:val="24"/>
        </w:rPr>
        <w:t xml:space="preserve">The employee survey is the most useful tool to measure the engagement level of the employees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Prasilowati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 p.2)</w:t>
      </w:r>
      <w:r>
        <w:rPr>
          <w:rFonts w:ascii="Times New Roman" w:eastAsia="Times New Roman" w:hAnsi="Times New Roman" w:cs="Times New Roman"/>
          <w:sz w:val="24"/>
          <w:szCs w:val="24"/>
        </w:rPr>
        <w:t xml:space="preserve">. Employee survey tools are important for Tesco to get feedback on the feelings and attitudes of the employees </w:t>
      </w:r>
      <w:r>
        <w:rPr>
          <w:rFonts w:ascii="Times New Roman" w:eastAsia="Times New Roman" w:hAnsi="Times New Roman" w:cs="Times New Roman"/>
          <w:color w:val="222222"/>
          <w:sz w:val="24"/>
          <w:szCs w:val="24"/>
          <w:highlight w:val="white"/>
        </w:rPr>
        <w:t>(Negros, 2022, p.67)</w:t>
      </w:r>
      <w:r>
        <w:rPr>
          <w:rFonts w:ascii="Times New Roman" w:eastAsia="Times New Roman" w:hAnsi="Times New Roman" w:cs="Times New Roman"/>
          <w:sz w:val="24"/>
          <w:szCs w:val="24"/>
        </w:rPr>
        <w:t xml:space="preserve">. The most effective surveys are filled out anonymously for increasing the participation rates of Tesco. The employees provide honest responses that help Tesco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needs of the employees. Tesco usually uses a third-party administrator for increasing the comfort level of the employees and enhance the participation rate of the employees to attend the survey. The managers get a pulse on </w:t>
      </w:r>
      <w:r>
        <w:rPr>
          <w:rFonts w:ascii="Times New Roman" w:eastAsia="Times New Roman" w:hAnsi="Times New Roman" w:cs="Times New Roman"/>
          <w:sz w:val="24"/>
          <w:szCs w:val="24"/>
        </w:rPr>
        <w:lastRenderedPageBreak/>
        <w:t xml:space="preserve">the workforce engagement level and understand the motivation level of the employees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Prasilowati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 p.2)</w:t>
      </w:r>
      <w:r>
        <w:rPr>
          <w:rFonts w:ascii="Times New Roman" w:eastAsia="Times New Roman" w:hAnsi="Times New Roman" w:cs="Times New Roman"/>
          <w:sz w:val="24"/>
          <w:szCs w:val="24"/>
        </w:rPr>
        <w:t xml:space="preserve">. Employee surveys demonstrate an effective tool for understanding the concerns of the employees. Employee surveys help Tesco to reveal the employment issues faced by the employees. The critical data is leveraged for developing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motivating the employees to increase their participation </w:t>
      </w:r>
      <w:r>
        <w:rPr>
          <w:rFonts w:ascii="Times New Roman" w:eastAsia="Times New Roman" w:hAnsi="Times New Roman" w:cs="Times New Roman"/>
          <w:color w:val="222222"/>
          <w:sz w:val="24"/>
          <w:szCs w:val="24"/>
          <w:highlight w:val="white"/>
        </w:rPr>
        <w:t>(Negros, 2022, p.67)</w:t>
      </w:r>
      <w:r>
        <w:rPr>
          <w:rFonts w:ascii="Times New Roman" w:eastAsia="Times New Roman" w:hAnsi="Times New Roman" w:cs="Times New Roman"/>
          <w:sz w:val="24"/>
          <w:szCs w:val="24"/>
        </w:rPr>
        <w:t xml:space="preserve">. </w:t>
      </w:r>
    </w:p>
    <w:p w14:paraId="0000001B"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HR tools- The </w:t>
      </w:r>
      <w:r>
        <w:rPr>
          <w:rFonts w:ascii="Times New Roman" w:eastAsia="Times New Roman" w:hAnsi="Times New Roman" w:cs="Times New Roman"/>
          <w:sz w:val="24"/>
          <w:szCs w:val="24"/>
        </w:rPr>
        <w:t xml:space="preserve">HR platform is an important tool to collect the feedback of the employees and measure the level of employee satisfaction. It allows Tesco to manage 367,321 employees and their data (Tesco, 2021, p.2). The HR manager of Tesco stores the survey results in a specific location to develop the engagement level of the employees. The modern HR tools are most frequently used to develop the conversations between the employees and managers. It helps Tesco to maintain a diverse and happy workplace. The HR tools are important to ensure higher employee engagement and it helps the company to increase its productivity level </w:t>
      </w:r>
      <w:r>
        <w:rPr>
          <w:rFonts w:ascii="Times New Roman" w:eastAsia="Times New Roman" w:hAnsi="Times New Roman" w:cs="Times New Roman"/>
          <w:color w:val="222222"/>
          <w:sz w:val="24"/>
          <w:szCs w:val="24"/>
          <w:highlight w:val="white"/>
        </w:rPr>
        <w:t>(Negros, 2022, p.67)</w:t>
      </w:r>
      <w:r>
        <w:rPr>
          <w:rFonts w:ascii="Times New Roman" w:eastAsia="Times New Roman" w:hAnsi="Times New Roman" w:cs="Times New Roman"/>
          <w:sz w:val="24"/>
          <w:szCs w:val="24"/>
        </w:rPr>
        <w:t xml:space="preserve">. The HR tools develop the efficiency of the HR managers of Tesco to improve the employee experience. The HR management of Tesco improves the regulatory compliances to hold the data security. The HR software helps Tesco to manage people, processes, and information. Tesco management designs the software to help both employees and managers to work more efficiently. It helps the HR manager of Tesco to reduce errors and increase the productivity level of the company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Siswanto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 p.625)</w:t>
      </w:r>
      <w:r>
        <w:rPr>
          <w:rFonts w:ascii="Times New Roman" w:eastAsia="Times New Roman" w:hAnsi="Times New Roman" w:cs="Times New Roman"/>
          <w:sz w:val="24"/>
          <w:szCs w:val="24"/>
        </w:rPr>
        <w:t>.</w:t>
      </w:r>
    </w:p>
    <w:p w14:paraId="0000001C"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Measuring productivity metrics and the retention rate- </w:t>
      </w:r>
      <w:r>
        <w:rPr>
          <w:rFonts w:ascii="Times New Roman" w:eastAsia="Times New Roman" w:hAnsi="Times New Roman" w:cs="Times New Roman"/>
          <w:sz w:val="24"/>
          <w:szCs w:val="24"/>
        </w:rPr>
        <w:t xml:space="preserve">The productivity metrics and retention rate of the employees help Tesco to determine the level of employee engagement. The retention rate of Tesco is increased by 15% in recent years to mitigate the challenges faced by the company during Covid-19. Employee engagement directly affects productivity metrics and employee retention rates </w:t>
      </w:r>
      <w:r>
        <w:rPr>
          <w:rFonts w:ascii="Times New Roman" w:eastAsia="Times New Roman" w:hAnsi="Times New Roman" w:cs="Times New Roman"/>
          <w:color w:val="222222"/>
          <w:sz w:val="24"/>
          <w:szCs w:val="24"/>
          <w:highlight w:val="white"/>
        </w:rPr>
        <w:t>(Ruiz-Pérez, 2020, p.2)</w:t>
      </w:r>
      <w:r>
        <w:rPr>
          <w:rFonts w:ascii="Times New Roman" w:eastAsia="Times New Roman" w:hAnsi="Times New Roman" w:cs="Times New Roman"/>
          <w:sz w:val="24"/>
          <w:szCs w:val="24"/>
        </w:rPr>
        <w:t xml:space="preserve">. The productivity metrics are applied for tracking the </w:t>
      </w:r>
      <w:r>
        <w:rPr>
          <w:rFonts w:ascii="Times New Roman" w:eastAsia="Times New Roman" w:hAnsi="Times New Roman" w:cs="Times New Roman"/>
          <w:sz w:val="24"/>
          <w:szCs w:val="24"/>
        </w:rPr>
        <w:lastRenderedPageBreak/>
        <w:t xml:space="preserve">efficiency of the team members. Tesco measures the performance level of the employees and highlights the improvement areas. The productivity metrics and the retention rate of Tesco concentrate on profits and monitoring the employee progress </w:t>
      </w:r>
      <w:r>
        <w:rPr>
          <w:rFonts w:ascii="Times New Roman" w:eastAsia="Times New Roman" w:hAnsi="Times New Roman" w:cs="Times New Roman"/>
          <w:color w:val="222222"/>
          <w:sz w:val="24"/>
          <w:szCs w:val="24"/>
          <w:highlight w:val="white"/>
        </w:rPr>
        <w:t>(Ruiz-Pérez, 2020, p.2)</w:t>
      </w:r>
      <w:r>
        <w:rPr>
          <w:rFonts w:ascii="Times New Roman" w:eastAsia="Times New Roman" w:hAnsi="Times New Roman" w:cs="Times New Roman"/>
          <w:sz w:val="24"/>
          <w:szCs w:val="24"/>
        </w:rPr>
        <w:t xml:space="preserve">. The productivity metrics assist Tesco to conduct efficient operations and proper allocation of resources. The productivity metrics identify the weak areas of the employees and Tesco provides training to the employees for enhancing their productivity. </w:t>
      </w:r>
    </w:p>
    <w:p w14:paraId="0000001D"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Small focus groups- </w:t>
      </w:r>
      <w:r>
        <w:rPr>
          <w:rFonts w:ascii="Times New Roman" w:eastAsia="Times New Roman" w:hAnsi="Times New Roman" w:cs="Times New Roman"/>
          <w:sz w:val="24"/>
          <w:szCs w:val="24"/>
        </w:rPr>
        <w:t xml:space="preserve">Tesco has 4,673 stores in the UK and it is the largest retail chain in the UK. Being a large retail company, Tesco faces difficulties to conduct one-to-one meetings with its employees. The focus group is necessary to form that helps Tesco group different diverse teams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Moyo</w:t>
      </w:r>
      <w:proofErr w:type="spellEnd"/>
      <w:r>
        <w:rPr>
          <w:rFonts w:ascii="Times New Roman" w:eastAsia="Times New Roman" w:hAnsi="Times New Roman" w:cs="Times New Roman"/>
          <w:color w:val="222222"/>
          <w:sz w:val="24"/>
          <w:szCs w:val="24"/>
          <w:highlight w:val="white"/>
        </w:rPr>
        <w:t>, 2019, p.270)</w:t>
      </w:r>
      <w:r>
        <w:rPr>
          <w:rFonts w:ascii="Times New Roman" w:eastAsia="Times New Roman" w:hAnsi="Times New Roman" w:cs="Times New Roman"/>
          <w:sz w:val="24"/>
          <w:szCs w:val="24"/>
        </w:rPr>
        <w:t xml:space="preserve">. Generally, the HR managers of Tesco prepare a set of 5- 8 questions based on the situation. The HR managers notice the engagement of the employees and their participation to answer the question. Tesco management analyses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employees and develops the participation of the employees. The employees are participating in the small group discussion to project their performance level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Moyo</w:t>
      </w:r>
      <w:proofErr w:type="spellEnd"/>
      <w:r>
        <w:rPr>
          <w:rFonts w:ascii="Times New Roman" w:eastAsia="Times New Roman" w:hAnsi="Times New Roman" w:cs="Times New Roman"/>
          <w:color w:val="222222"/>
          <w:sz w:val="24"/>
          <w:szCs w:val="24"/>
          <w:highlight w:val="white"/>
        </w:rPr>
        <w:t>, 2019, p.270)</w:t>
      </w:r>
      <w:r>
        <w:rPr>
          <w:rFonts w:ascii="Times New Roman" w:eastAsia="Times New Roman" w:hAnsi="Times New Roman" w:cs="Times New Roman"/>
          <w:sz w:val="24"/>
          <w:szCs w:val="24"/>
        </w:rPr>
        <w:t xml:space="preserve">. The small focus group understands the met and unmet needs of the customers. The HR managers hear the employee feedback and discover the decision-making process of the company. </w:t>
      </w:r>
    </w:p>
    <w:p w14:paraId="0000001E" w14:textId="77777777" w:rsidR="00316C95" w:rsidRDefault="00316C95">
      <w:pPr>
        <w:shd w:val="clear" w:color="auto" w:fill="FFFFFF"/>
        <w:spacing w:after="60" w:line="480" w:lineRule="auto"/>
        <w:rPr>
          <w:sz w:val="24"/>
          <w:szCs w:val="24"/>
        </w:rPr>
      </w:pPr>
    </w:p>
    <w:p w14:paraId="0000001F" w14:textId="77777777" w:rsidR="00316C95" w:rsidRDefault="00F84BA6">
      <w:pPr>
        <w:pStyle w:val="Heading1"/>
      </w:pPr>
      <w:bookmarkStart w:id="8" w:name="_xp7tig1lk971" w:colFirst="0" w:colLast="0"/>
      <w:bookmarkStart w:id="9" w:name="_Toc102773822"/>
      <w:bookmarkEnd w:id="8"/>
      <w:r>
        <w:t xml:space="preserve">4. Constructing the value proposition of the employees from the ideas and </w:t>
      </w:r>
      <w:proofErr w:type="spellStart"/>
      <w:r>
        <w:t>analysing</w:t>
      </w:r>
      <w:proofErr w:type="spellEnd"/>
      <w:r>
        <w:t xml:space="preserve"> strategies to raise levels of engagement</w:t>
      </w:r>
      <w:bookmarkEnd w:id="9"/>
    </w:p>
    <w:p w14:paraId="00000020"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responsibility of the company to keep up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activities within the competitive business world and the implementation of effective strategies can keep up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operations significantly. However, these strategies are also associated with the </w:t>
      </w:r>
      <w:r>
        <w:rPr>
          <w:rFonts w:ascii="Times New Roman" w:eastAsia="Times New Roman" w:hAnsi="Times New Roman" w:cs="Times New Roman"/>
          <w:sz w:val="24"/>
          <w:szCs w:val="24"/>
        </w:rPr>
        <w:lastRenderedPageBreak/>
        <w:t>enhancement of the comfortability of the employees within the company. Here, several strategies have been produced to keep up the working process and employee value within the company.</w:t>
      </w:r>
    </w:p>
    <w:p w14:paraId="00000021"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Implementation of the flexible working process: </w:t>
      </w:r>
      <w:r>
        <w:rPr>
          <w:rFonts w:ascii="Times New Roman" w:eastAsia="Times New Roman" w:hAnsi="Times New Roman" w:cs="Times New Roman"/>
          <w:sz w:val="24"/>
          <w:szCs w:val="24"/>
        </w:rPr>
        <w:t xml:space="preserve">The outbreak of the Covid-19 pandemic has generated various problematic situations for the companies to continue their work. The pandemic situation has created an enhanced communication gap among the employees and the company needs to keep up with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within the business environment. Moreover, the implementation of a flexible working process within the company can generate a flexible working process within the business environment. However, the HR manager has the responsibility to keep up the satisfaction level of the employees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world. The flexible working process has been able to foster the comfort level of the employees within the highly competitive business world and also generate enhanced satisfaction levels within the company.</w:t>
      </w:r>
    </w:p>
    <w:p w14:paraId="00000022"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Enhancement of diversity and inclusive working process: </w:t>
      </w:r>
      <w:r>
        <w:rPr>
          <w:rFonts w:ascii="Times New Roman" w:eastAsia="Times New Roman" w:hAnsi="Times New Roman" w:cs="Times New Roman"/>
          <w:sz w:val="24"/>
          <w:szCs w:val="24"/>
        </w:rPr>
        <w:t xml:space="preserve">The company imposes various types of employees within the company so a company is </w:t>
      </w:r>
      <w:proofErr w:type="gramStart"/>
      <w:r>
        <w:rPr>
          <w:rFonts w:ascii="Times New Roman" w:eastAsia="Times New Roman" w:hAnsi="Times New Roman" w:cs="Times New Roman"/>
          <w:sz w:val="24"/>
          <w:szCs w:val="24"/>
        </w:rPr>
        <w:t>consist</w:t>
      </w:r>
      <w:proofErr w:type="gramEnd"/>
      <w:r>
        <w:rPr>
          <w:rFonts w:ascii="Times New Roman" w:eastAsia="Times New Roman" w:hAnsi="Times New Roman" w:cs="Times New Roman"/>
          <w:sz w:val="24"/>
          <w:szCs w:val="24"/>
        </w:rPr>
        <w:t xml:space="preserve"> of diversified workplace culture particularly. It should be mentioned that the development of an inclusive working process can generate an effective teamwork spirit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world. Tesco will be able to produce effective working culture within the company so that they can positively accept diversity. Diversity within the workplace has several advantages and the acknowledgement of these advantages can make the working culture convenient for every type of employee. The development of an inclusive working process is able to generate a cooperative working attitude among the employees significantly. It will help the employees to get equal opportunities within the company and the acknowledgement regarding the responsibilities can also be fostered particularly.</w:t>
      </w:r>
    </w:p>
    <w:p w14:paraId="00000023"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Equal opportunities and training process for the employees: </w:t>
      </w:r>
      <w:r>
        <w:rPr>
          <w:rFonts w:ascii="Times New Roman" w:eastAsia="Times New Roman" w:hAnsi="Times New Roman" w:cs="Times New Roman"/>
          <w:sz w:val="24"/>
          <w:szCs w:val="24"/>
        </w:rPr>
        <w:t xml:space="preserve">The HR of Tesco has the responsibility to keep up the continuous learning process for the employees. Here, it needs to be highlighted that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is changing on a daily basis and making the employees compatible with the changing environment is an essential factor for the company. However, there are various opportunities present 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world and every employee needs to obtain these opportunities to foster the competitiveness the employees. The implementation of the training and development process is able to enhance the potential and knowledge of the employees regarding their responsibilities. While the employees can get effective skill-developing opportunities, they can keep up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operations as well. Moreover, it should be mentioned that while the employees will be able to facilitate themselves and obtain enhanced promotion. The engagement rate of the employees can also be developed with the help of these opportunities and the performance rate of the employees can also be enhanced.</w:t>
      </w:r>
    </w:p>
    <w:p w14:paraId="00000024" w14:textId="77777777" w:rsidR="00316C95" w:rsidRDefault="00F84BA6">
      <w:pPr>
        <w:pStyle w:val="Heading1"/>
      </w:pPr>
      <w:bookmarkStart w:id="10" w:name="_xrtfkz7s6bjz" w:colFirst="0" w:colLast="0"/>
      <w:bookmarkStart w:id="11" w:name="_Toc102773823"/>
      <w:bookmarkEnd w:id="10"/>
      <w:r>
        <w:t>5. Conclusion</w:t>
      </w:r>
      <w:bookmarkEnd w:id="11"/>
      <w:r>
        <w:t xml:space="preserve"> </w:t>
      </w:r>
    </w:p>
    <w:p w14:paraId="00000025" w14:textId="77777777" w:rsidR="00316C95" w:rsidRDefault="00F84BA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above assessment, it is clarified that employee engagement is important for Tesco to increase its overall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efficiency. The management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people is important for Tesco to enhance the attachment of the employees. The report discussed the concept of employee engagement and the drivers of employee engagement. The diagnostic tools are evaluated that manage and develop employee engagement. The employee survey, HR tools, measuring productivity metrics, and small focus groups are the main diagnostic tools used by Tesco to hold employee engagement. The report highlighted the strategies for Tesco to improve the productivity level of the employees. </w:t>
      </w:r>
    </w:p>
    <w:p w14:paraId="00000026" w14:textId="77777777" w:rsidR="00316C95" w:rsidRDefault="00F84BA6">
      <w:pPr>
        <w:spacing w:line="480" w:lineRule="auto"/>
        <w:jc w:val="both"/>
        <w:rPr>
          <w:rFonts w:ascii="Times New Roman" w:eastAsia="Times New Roman" w:hAnsi="Times New Roman" w:cs="Times New Roman"/>
          <w:sz w:val="24"/>
          <w:szCs w:val="24"/>
        </w:rPr>
      </w:pPr>
      <w:r>
        <w:br w:type="page"/>
      </w:r>
    </w:p>
    <w:p w14:paraId="00000027" w14:textId="77777777" w:rsidR="00316C95" w:rsidRDefault="00F84BA6">
      <w:pPr>
        <w:pStyle w:val="Heading1"/>
      </w:pPr>
      <w:bookmarkStart w:id="12" w:name="_gxvh0wqgqhkv" w:colFirst="0" w:colLast="0"/>
      <w:bookmarkStart w:id="13" w:name="_Toc102773824"/>
      <w:bookmarkEnd w:id="12"/>
      <w:r>
        <w:lastRenderedPageBreak/>
        <w:t>References</w:t>
      </w:r>
      <w:bookmarkEnd w:id="13"/>
      <w:r>
        <w:t xml:space="preserve"> </w:t>
      </w:r>
    </w:p>
    <w:p w14:paraId="00000028" w14:textId="77777777" w:rsidR="00316C95" w:rsidRDefault="00F84BA6">
      <w:pPr>
        <w:pStyle w:val="Heading2"/>
        <w:spacing w:line="480" w:lineRule="auto"/>
        <w:jc w:val="both"/>
        <w:rPr>
          <w:rFonts w:ascii="Times New Roman" w:eastAsia="Times New Roman" w:hAnsi="Times New Roman" w:cs="Times New Roman"/>
          <w:b/>
          <w:sz w:val="26"/>
          <w:szCs w:val="26"/>
        </w:rPr>
      </w:pPr>
      <w:bookmarkStart w:id="14" w:name="_an00tgzcbhg8" w:colFirst="0" w:colLast="0"/>
      <w:bookmarkStart w:id="15" w:name="_Toc102773825"/>
      <w:bookmarkEnd w:id="14"/>
      <w:r>
        <w:rPr>
          <w:rFonts w:ascii="Times New Roman" w:eastAsia="Times New Roman" w:hAnsi="Times New Roman" w:cs="Times New Roman"/>
          <w:b/>
          <w:sz w:val="26"/>
          <w:szCs w:val="26"/>
        </w:rPr>
        <w:t>Journals and Books</w:t>
      </w:r>
      <w:bookmarkEnd w:id="15"/>
      <w:r>
        <w:rPr>
          <w:rFonts w:ascii="Times New Roman" w:eastAsia="Times New Roman" w:hAnsi="Times New Roman" w:cs="Times New Roman"/>
          <w:b/>
          <w:sz w:val="26"/>
          <w:szCs w:val="26"/>
        </w:rPr>
        <w:t xml:space="preserve"> </w:t>
      </w:r>
    </w:p>
    <w:p w14:paraId="773637A3"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Alrowwad</w:t>
      </w:r>
      <w:proofErr w:type="spellEnd"/>
      <w:r>
        <w:rPr>
          <w:rFonts w:ascii="Times New Roman" w:eastAsia="Times New Roman" w:hAnsi="Times New Roman" w:cs="Times New Roman"/>
          <w:color w:val="222222"/>
          <w:sz w:val="24"/>
          <w:szCs w:val="24"/>
          <w:highlight w:val="white"/>
        </w:rPr>
        <w:t xml:space="preserve">, A.A., </w:t>
      </w:r>
      <w:proofErr w:type="spellStart"/>
      <w:r>
        <w:rPr>
          <w:rFonts w:ascii="Times New Roman" w:eastAsia="Times New Roman" w:hAnsi="Times New Roman" w:cs="Times New Roman"/>
          <w:color w:val="222222"/>
          <w:sz w:val="24"/>
          <w:szCs w:val="24"/>
          <w:highlight w:val="white"/>
        </w:rPr>
        <w:t>Obeidat</w:t>
      </w:r>
      <w:proofErr w:type="spellEnd"/>
      <w:r>
        <w:rPr>
          <w:rFonts w:ascii="Times New Roman" w:eastAsia="Times New Roman" w:hAnsi="Times New Roman" w:cs="Times New Roman"/>
          <w:color w:val="222222"/>
          <w:sz w:val="24"/>
          <w:szCs w:val="24"/>
          <w:highlight w:val="white"/>
        </w:rPr>
        <w:t>, D., Yousef, B., Al-</w:t>
      </w:r>
      <w:proofErr w:type="spellStart"/>
      <w:r>
        <w:rPr>
          <w:rFonts w:ascii="Times New Roman" w:eastAsia="Times New Roman" w:hAnsi="Times New Roman" w:cs="Times New Roman"/>
          <w:color w:val="222222"/>
          <w:sz w:val="24"/>
          <w:szCs w:val="24"/>
          <w:highlight w:val="white"/>
        </w:rPr>
        <w:t>Khateeb</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Masa'deh</w:t>
      </w:r>
      <w:proofErr w:type="spellEnd"/>
      <w:r>
        <w:rPr>
          <w:rFonts w:ascii="Times New Roman" w:eastAsia="Times New Roman" w:hAnsi="Times New Roman" w:cs="Times New Roman"/>
          <w:color w:val="222222"/>
          <w:sz w:val="24"/>
          <w:szCs w:val="24"/>
          <w:highlight w:val="white"/>
        </w:rPr>
        <w:t xml:space="preserve">, R.E., (2018). The role of work/life balance and motivational drivers of employee engagement on the relationship between talent management and organization performance: a developing country perspective. </w:t>
      </w:r>
      <w:r>
        <w:rPr>
          <w:rFonts w:ascii="Times New Roman" w:eastAsia="Times New Roman" w:hAnsi="Times New Roman" w:cs="Times New Roman"/>
          <w:i/>
          <w:color w:val="222222"/>
          <w:sz w:val="24"/>
          <w:szCs w:val="24"/>
          <w:highlight w:val="white"/>
        </w:rPr>
        <w:t>Modern Applied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(11).</w:t>
      </w:r>
    </w:p>
    <w:p w14:paraId="76014F77"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Kurdi, B. and </w:t>
      </w:r>
      <w:proofErr w:type="spellStart"/>
      <w:r>
        <w:rPr>
          <w:rFonts w:ascii="Times New Roman" w:eastAsia="Times New Roman" w:hAnsi="Times New Roman" w:cs="Times New Roman"/>
          <w:color w:val="222222"/>
          <w:sz w:val="24"/>
          <w:szCs w:val="24"/>
          <w:highlight w:val="white"/>
        </w:rPr>
        <w:t>Alshurideh</w:t>
      </w:r>
      <w:proofErr w:type="spellEnd"/>
      <w:r>
        <w:rPr>
          <w:rFonts w:ascii="Times New Roman" w:eastAsia="Times New Roman" w:hAnsi="Times New Roman" w:cs="Times New Roman"/>
          <w:color w:val="222222"/>
          <w:sz w:val="24"/>
          <w:szCs w:val="24"/>
          <w:highlight w:val="white"/>
        </w:rPr>
        <w:t xml:space="preserve">, M., (2020). Employee retention and organizational performance: Evidence from banking industry. </w:t>
      </w:r>
      <w:r>
        <w:rPr>
          <w:rFonts w:ascii="Times New Roman" w:eastAsia="Times New Roman" w:hAnsi="Times New Roman" w:cs="Times New Roman"/>
          <w:i/>
          <w:color w:val="222222"/>
          <w:sz w:val="24"/>
          <w:szCs w:val="24"/>
          <w:highlight w:val="white"/>
        </w:rPr>
        <w:t>Management Science Letters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(16), pp.3981-3990.</w:t>
      </w:r>
    </w:p>
    <w:p w14:paraId="2B526DC3"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Lamberti, G., </w:t>
      </w:r>
      <w:proofErr w:type="spellStart"/>
      <w:r>
        <w:rPr>
          <w:rFonts w:ascii="Times New Roman" w:eastAsia="Times New Roman" w:hAnsi="Times New Roman" w:cs="Times New Roman"/>
          <w:color w:val="222222"/>
          <w:sz w:val="24"/>
          <w:szCs w:val="24"/>
          <w:highlight w:val="white"/>
        </w:rPr>
        <w:t>Aluja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Banet</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Rialp</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Criado</w:t>
      </w:r>
      <w:proofErr w:type="spellEnd"/>
      <w:r>
        <w:rPr>
          <w:rFonts w:ascii="Times New Roman" w:eastAsia="Times New Roman" w:hAnsi="Times New Roman" w:cs="Times New Roman"/>
          <w:color w:val="222222"/>
          <w:sz w:val="24"/>
          <w:szCs w:val="24"/>
          <w:highlight w:val="white"/>
        </w:rPr>
        <w:t xml:space="preserve">, J., (2020). Work climate drivers and employee heterogeneity.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pp.1-33.</w:t>
      </w:r>
    </w:p>
    <w:p w14:paraId="14498A1D"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Moyo</w:t>
      </w:r>
      <w:proofErr w:type="spellEnd"/>
      <w:r>
        <w:rPr>
          <w:rFonts w:ascii="Times New Roman" w:eastAsia="Times New Roman" w:hAnsi="Times New Roman" w:cs="Times New Roman"/>
          <w:color w:val="222222"/>
          <w:sz w:val="24"/>
          <w:szCs w:val="24"/>
          <w:highlight w:val="white"/>
        </w:rPr>
        <w:t xml:space="preserve">, N., (2019). Testing the Effect of Employee Engagement, Transformational Leadership and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Communication on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Commitment. </w:t>
      </w:r>
      <w:r>
        <w:rPr>
          <w:rFonts w:ascii="Times New Roman" w:eastAsia="Times New Roman" w:hAnsi="Times New Roman" w:cs="Times New Roman"/>
          <w:i/>
          <w:color w:val="222222"/>
          <w:sz w:val="24"/>
          <w:szCs w:val="24"/>
          <w:highlight w:val="white"/>
        </w:rPr>
        <w:t>J. Mgt. Mkt.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(4), pp.270-278.</w:t>
      </w:r>
    </w:p>
    <w:p w14:paraId="64443DD2"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Negros, J., (2022). Factors that Leverage the Key Drivers of Creating a Culture of Employee Engagement in the Business Process Outsourcing Company: A Qualitative Inquiry. </w:t>
      </w:r>
      <w:r>
        <w:rPr>
          <w:rFonts w:ascii="Times New Roman" w:eastAsia="Times New Roman" w:hAnsi="Times New Roman" w:cs="Times New Roman"/>
          <w:i/>
          <w:color w:val="222222"/>
          <w:sz w:val="24"/>
          <w:szCs w:val="24"/>
          <w:highlight w:val="white"/>
        </w:rPr>
        <w:t>Journal of Education, Management and Development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pp.67-75.</w:t>
      </w:r>
    </w:p>
    <w:p w14:paraId="29047F7A"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Prasilowati</w:t>
      </w:r>
      <w:proofErr w:type="spellEnd"/>
      <w:r>
        <w:rPr>
          <w:rFonts w:ascii="Times New Roman" w:eastAsia="Times New Roman" w:hAnsi="Times New Roman" w:cs="Times New Roman"/>
          <w:color w:val="222222"/>
          <w:sz w:val="24"/>
          <w:szCs w:val="24"/>
          <w:highlight w:val="white"/>
        </w:rPr>
        <w:t xml:space="preserve">, S.L., Farouk, F. and Ahmadi, S., (2021). Determination of Employee Contribution on Employee Engagement with Employee Motivation as an Intervening Variable. </w:t>
      </w:r>
      <w:r>
        <w:rPr>
          <w:rFonts w:ascii="Times New Roman" w:eastAsia="Times New Roman" w:hAnsi="Times New Roman" w:cs="Times New Roman"/>
          <w:i/>
          <w:color w:val="222222"/>
          <w:sz w:val="24"/>
          <w:szCs w:val="24"/>
          <w:highlight w:val="white"/>
        </w:rPr>
        <w:t>Journal of Hunan University Natural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(7).</w:t>
      </w:r>
    </w:p>
    <w:p w14:paraId="2C9B2B29"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Ruiz-Pérez, F., </w:t>
      </w:r>
      <w:proofErr w:type="spellStart"/>
      <w:r>
        <w:rPr>
          <w:rFonts w:ascii="Times New Roman" w:eastAsia="Times New Roman" w:hAnsi="Times New Roman" w:cs="Times New Roman"/>
          <w:color w:val="222222"/>
          <w:sz w:val="24"/>
          <w:szCs w:val="24"/>
          <w:highlight w:val="white"/>
        </w:rPr>
        <w:t>Lleó</w:t>
      </w:r>
      <w:proofErr w:type="spellEnd"/>
      <w:r>
        <w:rPr>
          <w:rFonts w:ascii="Times New Roman" w:eastAsia="Times New Roman" w:hAnsi="Times New Roman" w:cs="Times New Roman"/>
          <w:color w:val="222222"/>
          <w:sz w:val="24"/>
          <w:szCs w:val="24"/>
          <w:highlight w:val="white"/>
        </w:rPr>
        <w:t xml:space="preserve">, Á., </w:t>
      </w:r>
      <w:proofErr w:type="spellStart"/>
      <w:r>
        <w:rPr>
          <w:rFonts w:ascii="Times New Roman" w:eastAsia="Times New Roman" w:hAnsi="Times New Roman" w:cs="Times New Roman"/>
          <w:color w:val="222222"/>
          <w:sz w:val="24"/>
          <w:szCs w:val="24"/>
          <w:highlight w:val="white"/>
        </w:rPr>
        <w:t>Viles</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Jurburg</w:t>
      </w:r>
      <w:proofErr w:type="spellEnd"/>
      <w:r>
        <w:rPr>
          <w:rFonts w:ascii="Times New Roman" w:eastAsia="Times New Roman" w:hAnsi="Times New Roman" w:cs="Times New Roman"/>
          <w:color w:val="222222"/>
          <w:sz w:val="24"/>
          <w:szCs w:val="24"/>
          <w:highlight w:val="white"/>
        </w:rPr>
        <w:t xml:space="preserve">, D., (2020). Enhancing participation through organizational drivers. </w:t>
      </w:r>
      <w:r>
        <w:rPr>
          <w:rFonts w:ascii="Times New Roman" w:eastAsia="Times New Roman" w:hAnsi="Times New Roman" w:cs="Times New Roman"/>
          <w:i/>
          <w:color w:val="222222"/>
          <w:sz w:val="24"/>
          <w:szCs w:val="24"/>
          <w:highlight w:val="white"/>
        </w:rPr>
        <w:t>The TQM Journal</w:t>
      </w:r>
      <w:r>
        <w:rPr>
          <w:rFonts w:ascii="Times New Roman" w:eastAsia="Times New Roman" w:hAnsi="Times New Roman" w:cs="Times New Roman"/>
          <w:color w:val="222222"/>
          <w:sz w:val="24"/>
          <w:szCs w:val="24"/>
          <w:highlight w:val="white"/>
        </w:rPr>
        <w:t>.</w:t>
      </w:r>
    </w:p>
    <w:p w14:paraId="57D39471"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Siswanto</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Maulidiyah</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Masyhuri</w:t>
      </w:r>
      <w:proofErr w:type="spellEnd"/>
      <w:r>
        <w:rPr>
          <w:rFonts w:ascii="Times New Roman" w:eastAsia="Times New Roman" w:hAnsi="Times New Roman" w:cs="Times New Roman"/>
          <w:color w:val="222222"/>
          <w:sz w:val="24"/>
          <w:szCs w:val="24"/>
          <w:highlight w:val="white"/>
        </w:rPr>
        <w:t xml:space="preserve">, M., (2021). Employee engagement and motivation as mediators between the linkage of reward with employee performance. </w:t>
      </w:r>
      <w:r>
        <w:rPr>
          <w:rFonts w:ascii="Times New Roman" w:eastAsia="Times New Roman" w:hAnsi="Times New Roman" w:cs="Times New Roman"/>
          <w:i/>
          <w:color w:val="222222"/>
          <w:sz w:val="24"/>
          <w:szCs w:val="24"/>
          <w:highlight w:val="white"/>
        </w:rPr>
        <w:t>The Journal of Asian Finance, Economics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 pp.625-633.</w:t>
      </w:r>
    </w:p>
    <w:p w14:paraId="6AF29701" w14:textId="77777777" w:rsidR="00981733" w:rsidRDefault="0098173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Walsh, B.M. and Magley, V.J., (2020). Workplace civility training: Understanding drivers of motivation to learn.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(17), pp.2165-2187.</w:t>
      </w:r>
    </w:p>
    <w:p w14:paraId="00000032" w14:textId="77777777" w:rsidR="00316C95" w:rsidRDefault="00F84BA6">
      <w:pPr>
        <w:pStyle w:val="Heading2"/>
        <w:spacing w:line="480" w:lineRule="auto"/>
        <w:jc w:val="both"/>
        <w:rPr>
          <w:rFonts w:ascii="Times New Roman" w:eastAsia="Times New Roman" w:hAnsi="Times New Roman" w:cs="Times New Roman"/>
          <w:b/>
          <w:sz w:val="26"/>
          <w:szCs w:val="26"/>
        </w:rPr>
      </w:pPr>
      <w:bookmarkStart w:id="16" w:name="_vyibdy6dkowf" w:colFirst="0" w:colLast="0"/>
      <w:bookmarkStart w:id="17" w:name="_Toc102773826"/>
      <w:bookmarkEnd w:id="16"/>
      <w:r>
        <w:rPr>
          <w:rFonts w:ascii="Times New Roman" w:eastAsia="Times New Roman" w:hAnsi="Times New Roman" w:cs="Times New Roman"/>
          <w:b/>
          <w:sz w:val="26"/>
          <w:szCs w:val="26"/>
        </w:rPr>
        <w:t>Websites</w:t>
      </w:r>
      <w:bookmarkEnd w:id="17"/>
      <w:r>
        <w:rPr>
          <w:rFonts w:ascii="Times New Roman" w:eastAsia="Times New Roman" w:hAnsi="Times New Roman" w:cs="Times New Roman"/>
          <w:b/>
          <w:sz w:val="26"/>
          <w:szCs w:val="26"/>
        </w:rPr>
        <w:t xml:space="preserve"> </w:t>
      </w:r>
    </w:p>
    <w:p w14:paraId="2B7E20BE" w14:textId="77777777" w:rsidR="00981733" w:rsidRDefault="0098173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CIPD (2021). </w:t>
      </w:r>
      <w:r>
        <w:rPr>
          <w:rFonts w:ascii="Times New Roman" w:eastAsia="Times New Roman" w:hAnsi="Times New Roman" w:cs="Times New Roman"/>
          <w:i/>
          <w:sz w:val="24"/>
          <w:szCs w:val="24"/>
        </w:rPr>
        <w:t xml:space="preserve">Employee engagement and motivation </w:t>
      </w:r>
      <w:r>
        <w:rPr>
          <w:rFonts w:ascii="Times New Roman" w:eastAsia="Times New Roman" w:hAnsi="Times New Roman" w:cs="Times New Roman"/>
          <w:sz w:val="24"/>
          <w:szCs w:val="24"/>
        </w:rPr>
        <w:t xml:space="preserve">Available at: </w:t>
      </w:r>
      <w:hyperlink r:id="rId8" w:anchor="gref" w:history="1">
        <w:r>
          <w:rPr>
            <w:rFonts w:ascii="Times New Roman" w:eastAsia="Times New Roman" w:hAnsi="Times New Roman" w:cs="Times New Roman"/>
            <w:color w:val="1155CC"/>
            <w:sz w:val="24"/>
            <w:szCs w:val="24"/>
            <w:u w:val="single"/>
          </w:rPr>
          <w:t>https://www.cipd.co.uk/knowledge/fundamentals/relations/engagement/factsheet#gref</w:t>
        </w:r>
      </w:hyperlink>
      <w:r>
        <w:rPr>
          <w:rFonts w:ascii="Times New Roman" w:eastAsia="Times New Roman" w:hAnsi="Times New Roman" w:cs="Times New Roman"/>
          <w:sz w:val="24"/>
          <w:szCs w:val="24"/>
        </w:rPr>
        <w:t xml:space="preserve"> [Accessed 06 May 2022] </w:t>
      </w:r>
    </w:p>
    <w:p w14:paraId="20BAD797" w14:textId="77777777" w:rsidR="00981733" w:rsidRDefault="0098173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Muller-</w:t>
      </w:r>
      <w:proofErr w:type="spellStart"/>
      <w:r>
        <w:rPr>
          <w:rFonts w:ascii="Times New Roman" w:eastAsia="Times New Roman" w:hAnsi="Times New Roman" w:cs="Times New Roman"/>
          <w:sz w:val="24"/>
          <w:szCs w:val="24"/>
        </w:rPr>
        <w:t>Heyndyk</w:t>
      </w:r>
      <w:proofErr w:type="spellEnd"/>
      <w:r>
        <w:rPr>
          <w:rFonts w:ascii="Times New Roman" w:eastAsia="Times New Roman" w:hAnsi="Times New Roman" w:cs="Times New Roman"/>
          <w:sz w:val="24"/>
          <w:szCs w:val="24"/>
        </w:rPr>
        <w:t xml:space="preserve">-R. (2018). </w:t>
      </w:r>
      <w:r>
        <w:rPr>
          <w:rFonts w:ascii="Times New Roman" w:eastAsia="Times New Roman" w:hAnsi="Times New Roman" w:cs="Times New Roman"/>
          <w:i/>
          <w:sz w:val="24"/>
          <w:szCs w:val="24"/>
        </w:rPr>
        <w:t xml:space="preserve">UK workers more motivated by pay </w:t>
      </w:r>
      <w:r>
        <w:rPr>
          <w:rFonts w:ascii="Times New Roman" w:eastAsia="Times New Roman" w:hAnsi="Times New Roman" w:cs="Times New Roman"/>
          <w:sz w:val="24"/>
          <w:szCs w:val="24"/>
        </w:rPr>
        <w:t xml:space="preserve">Available at: </w:t>
      </w:r>
      <w:hyperlink r:id="rId9" w:history="1">
        <w:r>
          <w:rPr>
            <w:rFonts w:ascii="Times New Roman" w:eastAsia="Times New Roman" w:hAnsi="Times New Roman" w:cs="Times New Roman"/>
            <w:color w:val="1155CC"/>
            <w:sz w:val="24"/>
            <w:szCs w:val="24"/>
            <w:u w:val="single"/>
          </w:rPr>
          <w:t>https://www.hrmagazine.co.uk/content/news/uk-workers-more-motivated-by-pay</w:t>
        </w:r>
      </w:hyperlink>
      <w:r>
        <w:rPr>
          <w:rFonts w:ascii="Times New Roman" w:eastAsia="Times New Roman" w:hAnsi="Times New Roman" w:cs="Times New Roman"/>
          <w:sz w:val="24"/>
          <w:szCs w:val="24"/>
        </w:rPr>
        <w:t xml:space="preserve"> [Accessed 06 May 2022] </w:t>
      </w:r>
    </w:p>
    <w:p w14:paraId="3AED8908" w14:textId="77777777" w:rsidR="00981733" w:rsidRDefault="0098173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6"/>
          <w:szCs w:val="26"/>
        </w:rPr>
        <w:t xml:space="preserve">Tesco (2021). </w:t>
      </w:r>
      <w:r>
        <w:rPr>
          <w:rFonts w:ascii="Times New Roman" w:eastAsia="Times New Roman" w:hAnsi="Times New Roman" w:cs="Times New Roman"/>
          <w:i/>
          <w:sz w:val="26"/>
          <w:szCs w:val="26"/>
        </w:rPr>
        <w:t xml:space="preserve">Tesco </w:t>
      </w:r>
      <w:r>
        <w:rPr>
          <w:rFonts w:ascii="Times New Roman" w:eastAsia="Times New Roman" w:hAnsi="Times New Roman" w:cs="Times New Roman"/>
          <w:sz w:val="26"/>
          <w:szCs w:val="26"/>
        </w:rPr>
        <w:t xml:space="preserve">Available at: </w:t>
      </w:r>
      <w:hyperlink r:id="rId10" w:history="1">
        <w:r>
          <w:rPr>
            <w:rFonts w:ascii="Times New Roman" w:eastAsia="Times New Roman" w:hAnsi="Times New Roman" w:cs="Times New Roman"/>
            <w:color w:val="1155CC"/>
            <w:sz w:val="24"/>
            <w:szCs w:val="24"/>
            <w:u w:val="single"/>
          </w:rPr>
          <w:t>https://www.tesco.com/</w:t>
        </w:r>
      </w:hyperlink>
      <w:r>
        <w:rPr>
          <w:rFonts w:ascii="Times New Roman" w:eastAsia="Times New Roman" w:hAnsi="Times New Roman" w:cs="Times New Roman"/>
          <w:sz w:val="24"/>
          <w:szCs w:val="24"/>
        </w:rPr>
        <w:t xml:space="preserve"> [Accessed 06 May 2022] </w:t>
      </w:r>
    </w:p>
    <w:p w14:paraId="00000036" w14:textId="77777777" w:rsidR="00316C95" w:rsidRDefault="00316C95">
      <w:pPr>
        <w:spacing w:line="480" w:lineRule="auto"/>
        <w:jc w:val="both"/>
        <w:rPr>
          <w:rFonts w:ascii="Times New Roman" w:eastAsia="Times New Roman" w:hAnsi="Times New Roman" w:cs="Times New Roman"/>
          <w:sz w:val="24"/>
          <w:szCs w:val="24"/>
        </w:rPr>
      </w:pPr>
    </w:p>
    <w:p w14:paraId="00000037" w14:textId="77777777" w:rsidR="00316C95" w:rsidRDefault="00316C95">
      <w:pPr>
        <w:spacing w:line="480" w:lineRule="auto"/>
        <w:jc w:val="both"/>
        <w:rPr>
          <w:rFonts w:ascii="Times New Roman" w:eastAsia="Times New Roman" w:hAnsi="Times New Roman" w:cs="Times New Roman"/>
          <w:sz w:val="24"/>
          <w:szCs w:val="24"/>
        </w:rPr>
      </w:pPr>
    </w:p>
    <w:sectPr w:rsidR="00316C95">
      <w:headerReference w:type="default" r:id="rId11"/>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C2C69" w14:textId="77777777" w:rsidR="004841FB" w:rsidRDefault="004841FB">
      <w:pPr>
        <w:spacing w:line="240" w:lineRule="auto"/>
      </w:pPr>
      <w:r>
        <w:separator/>
      </w:r>
    </w:p>
  </w:endnote>
  <w:endnote w:type="continuationSeparator" w:id="0">
    <w:p w14:paraId="1B5FEC2E" w14:textId="77777777" w:rsidR="004841FB" w:rsidRDefault="00484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9" w14:textId="6C15529C" w:rsidR="00316C95" w:rsidRDefault="00F84BA6">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21642">
      <w:rPr>
        <w:rFonts w:ascii="Times New Roman" w:eastAsia="Times New Roman" w:hAnsi="Times New Roman" w:cs="Times New Roman"/>
        <w:noProof/>
        <w:sz w:val="24"/>
        <w:szCs w:val="24"/>
      </w:rPr>
      <w:t>12</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6C807" w14:textId="77777777" w:rsidR="004841FB" w:rsidRDefault="004841FB">
      <w:pPr>
        <w:spacing w:line="240" w:lineRule="auto"/>
      </w:pPr>
      <w:r>
        <w:separator/>
      </w:r>
    </w:p>
  </w:footnote>
  <w:footnote w:type="continuationSeparator" w:id="0">
    <w:p w14:paraId="541BCDC7" w14:textId="77777777" w:rsidR="004841FB" w:rsidRDefault="004841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8" w14:textId="77777777" w:rsidR="00316C95" w:rsidRDefault="00F84BA6">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People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C95"/>
    <w:rsid w:val="00316C95"/>
    <w:rsid w:val="004841FB"/>
    <w:rsid w:val="006A798E"/>
    <w:rsid w:val="007744AF"/>
    <w:rsid w:val="00981733"/>
    <w:rsid w:val="00B21642"/>
    <w:rsid w:val="00F84B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D422D"/>
  <w15:docId w15:val="{B24A0D25-101B-4E5B-83E3-5417B000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7744A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44AF"/>
    <w:pPr>
      <w:spacing w:after="100"/>
    </w:pPr>
  </w:style>
  <w:style w:type="paragraph" w:styleId="TOC2">
    <w:name w:val="toc 2"/>
    <w:basedOn w:val="Normal"/>
    <w:next w:val="Normal"/>
    <w:autoRedefine/>
    <w:uiPriority w:val="39"/>
    <w:unhideWhenUsed/>
    <w:rsid w:val="007744AF"/>
    <w:pPr>
      <w:spacing w:after="100"/>
      <w:ind w:left="220"/>
    </w:pPr>
  </w:style>
  <w:style w:type="character" w:styleId="Hyperlink">
    <w:name w:val="Hyperlink"/>
    <w:basedOn w:val="DefaultParagraphFont"/>
    <w:uiPriority w:val="99"/>
    <w:unhideWhenUsed/>
    <w:rsid w:val="007744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esco.com/" TargetMode="External"/><Relationship Id="rId4" Type="http://schemas.openxmlformats.org/officeDocument/2006/relationships/webSettings" Target="webSettings.xml"/><Relationship Id="rId9" Type="http://schemas.openxmlformats.org/officeDocument/2006/relationships/hyperlink" Target="https://www.hrmagazine.co.uk/content/news/uk-workers-more-motivated-by-p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578C0-57A7-411A-916F-C3D85E2F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2692</Words>
  <Characters>15350</Characters>
  <Application>Microsoft Office Word</Application>
  <DocSecurity>0</DocSecurity>
  <Lines>127</Lines>
  <Paragraphs>36</Paragraphs>
  <ScaleCrop>false</ScaleCrop>
  <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Vutcarau</cp:lastModifiedBy>
  <cp:revision>3</cp:revision>
  <dcterms:created xsi:type="dcterms:W3CDTF">2022-05-06T18:27:00Z</dcterms:created>
  <dcterms:modified xsi:type="dcterms:W3CDTF">2022-05-09T19:37:00Z</dcterms:modified>
</cp:coreProperties>
</file>