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211938" w14:textId="77777777" w:rsidR="003442D3" w:rsidRDefault="003442D3" w:rsidP="003442D3">
      <w:pPr>
        <w:jc w:val="center"/>
      </w:pPr>
      <w:r>
        <w:rPr>
          <w:noProof/>
        </w:rPr>
        <w:drawing>
          <wp:inline distT="0" distB="0" distL="0" distR="0" wp14:anchorId="017BB873" wp14:editId="025FD14C">
            <wp:extent cx="3921760" cy="1960880"/>
            <wp:effectExtent l="0" t="0" r="2540" b="127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921760" cy="1960880"/>
                    </a:xfrm>
                    <a:prstGeom prst="rect">
                      <a:avLst/>
                    </a:prstGeom>
                  </pic:spPr>
                </pic:pic>
              </a:graphicData>
            </a:graphic>
          </wp:inline>
        </w:drawing>
      </w:r>
    </w:p>
    <w:p w14:paraId="1A1D7BFD" w14:textId="20901D49" w:rsidR="003442D3" w:rsidRDefault="003442D3" w:rsidP="003442D3">
      <w:pPr>
        <w:jc w:val="both"/>
        <w:rPr>
          <w:b/>
          <w:bCs/>
          <w:sz w:val="40"/>
          <w:szCs w:val="40"/>
        </w:rPr>
      </w:pPr>
    </w:p>
    <w:p w14:paraId="53C02CC5" w14:textId="77777777" w:rsidR="00C00D8A" w:rsidRPr="00EF094A" w:rsidRDefault="00C00D8A" w:rsidP="003442D3">
      <w:pPr>
        <w:jc w:val="both"/>
        <w:rPr>
          <w:b/>
          <w:bCs/>
          <w:sz w:val="40"/>
          <w:szCs w:val="40"/>
        </w:rPr>
      </w:pPr>
    </w:p>
    <w:p w14:paraId="782A6136" w14:textId="77777777" w:rsidR="003442D3" w:rsidRPr="00785D3A" w:rsidRDefault="003442D3" w:rsidP="003442D3">
      <w:pPr>
        <w:spacing w:line="360" w:lineRule="auto"/>
        <w:jc w:val="both"/>
        <w:rPr>
          <w:sz w:val="28"/>
          <w:szCs w:val="28"/>
        </w:rPr>
      </w:pPr>
      <w:r w:rsidRPr="00785D3A">
        <w:rPr>
          <w:sz w:val="28"/>
          <w:szCs w:val="28"/>
        </w:rPr>
        <w:t>Module Name: International Financial Management</w:t>
      </w:r>
    </w:p>
    <w:p w14:paraId="0CE05FB0" w14:textId="77777777" w:rsidR="003442D3" w:rsidRPr="00785D3A" w:rsidRDefault="003442D3" w:rsidP="003442D3">
      <w:pPr>
        <w:spacing w:line="360" w:lineRule="auto"/>
        <w:jc w:val="both"/>
        <w:rPr>
          <w:sz w:val="28"/>
          <w:szCs w:val="28"/>
        </w:rPr>
      </w:pPr>
      <w:r w:rsidRPr="00785D3A">
        <w:rPr>
          <w:sz w:val="28"/>
          <w:szCs w:val="28"/>
        </w:rPr>
        <w:t>Module Number: LCBB6002</w:t>
      </w:r>
    </w:p>
    <w:p w14:paraId="00EBAE5A" w14:textId="60CB3C92" w:rsidR="00C22565" w:rsidRDefault="003442D3" w:rsidP="003442D3">
      <w:pPr>
        <w:spacing w:line="360" w:lineRule="auto"/>
        <w:jc w:val="both"/>
        <w:rPr>
          <w:sz w:val="28"/>
          <w:szCs w:val="28"/>
        </w:rPr>
      </w:pPr>
      <w:r w:rsidRPr="00785D3A">
        <w:rPr>
          <w:sz w:val="28"/>
          <w:szCs w:val="28"/>
        </w:rPr>
        <w:t xml:space="preserve">Name of the Lecturer: Taye </w:t>
      </w:r>
      <w:proofErr w:type="spellStart"/>
      <w:r w:rsidRPr="00785D3A">
        <w:rPr>
          <w:sz w:val="28"/>
          <w:szCs w:val="28"/>
        </w:rPr>
        <w:t>Osadiya</w:t>
      </w:r>
      <w:proofErr w:type="spellEnd"/>
    </w:p>
    <w:p w14:paraId="6FDF951D" w14:textId="77777777" w:rsidR="00C22565" w:rsidRPr="00785D3A" w:rsidRDefault="00C22565" w:rsidP="003442D3">
      <w:pPr>
        <w:spacing w:line="360" w:lineRule="auto"/>
        <w:jc w:val="both"/>
        <w:rPr>
          <w:sz w:val="28"/>
          <w:szCs w:val="28"/>
        </w:rPr>
      </w:pPr>
    </w:p>
    <w:p w14:paraId="59F408A5" w14:textId="6F685ED6" w:rsidR="003442D3" w:rsidRDefault="003442D3" w:rsidP="003442D3">
      <w:pPr>
        <w:spacing w:line="360" w:lineRule="auto"/>
        <w:jc w:val="both"/>
        <w:rPr>
          <w:sz w:val="28"/>
          <w:szCs w:val="28"/>
        </w:rPr>
      </w:pPr>
      <w:r w:rsidRPr="00785D3A">
        <w:rPr>
          <w:sz w:val="28"/>
          <w:szCs w:val="28"/>
        </w:rPr>
        <w:t xml:space="preserve">Title of the Assignment: Assessment 2 – Group Report </w:t>
      </w:r>
    </w:p>
    <w:p w14:paraId="120B27C3" w14:textId="77777777" w:rsidR="00C22565" w:rsidRPr="00C22565" w:rsidRDefault="00C22565" w:rsidP="003442D3">
      <w:pPr>
        <w:spacing w:line="360" w:lineRule="auto"/>
        <w:jc w:val="both"/>
        <w:rPr>
          <w:sz w:val="28"/>
          <w:szCs w:val="28"/>
        </w:rPr>
      </w:pPr>
    </w:p>
    <w:p w14:paraId="13B7D71F" w14:textId="4F756789" w:rsidR="003442D3" w:rsidRPr="00DD5BAD" w:rsidRDefault="003442D3" w:rsidP="003442D3">
      <w:pPr>
        <w:spacing w:line="240" w:lineRule="auto"/>
        <w:jc w:val="both"/>
        <w:rPr>
          <w:sz w:val="28"/>
          <w:szCs w:val="28"/>
        </w:rPr>
      </w:pPr>
      <w:r w:rsidRPr="00DD5BAD">
        <w:rPr>
          <w:sz w:val="28"/>
          <w:szCs w:val="28"/>
        </w:rPr>
        <w:t>Student</w:t>
      </w:r>
      <w:r w:rsidR="00BE4826" w:rsidRPr="00DD5BAD">
        <w:rPr>
          <w:sz w:val="28"/>
          <w:szCs w:val="28"/>
        </w:rPr>
        <w:t>’s</w:t>
      </w:r>
      <w:r w:rsidRPr="00DD5BAD">
        <w:rPr>
          <w:sz w:val="28"/>
          <w:szCs w:val="28"/>
        </w:rPr>
        <w:t xml:space="preserve"> Names</w:t>
      </w:r>
      <w:r w:rsidR="00D63E95">
        <w:rPr>
          <w:sz w:val="28"/>
          <w:szCs w:val="28"/>
        </w:rPr>
        <w:t>:</w:t>
      </w:r>
    </w:p>
    <w:p w14:paraId="08191203" w14:textId="0A01CECB" w:rsidR="00C22565" w:rsidRPr="00785D3A" w:rsidRDefault="003442D3" w:rsidP="003442D3">
      <w:pPr>
        <w:spacing w:line="240" w:lineRule="auto"/>
        <w:jc w:val="both"/>
        <w:rPr>
          <w:i/>
          <w:iCs/>
          <w:sz w:val="28"/>
          <w:szCs w:val="28"/>
        </w:rPr>
      </w:pPr>
      <w:r w:rsidRPr="00C00D8A">
        <w:rPr>
          <w:b/>
          <w:bCs/>
          <w:sz w:val="28"/>
          <w:szCs w:val="28"/>
        </w:rPr>
        <w:t>Desislava Nankova (1913488</w:t>
      </w:r>
      <w:r w:rsidR="00DD5BAD" w:rsidRPr="00C00D8A">
        <w:rPr>
          <w:b/>
          <w:bCs/>
          <w:sz w:val="28"/>
          <w:szCs w:val="28"/>
        </w:rPr>
        <w:t>)</w:t>
      </w:r>
      <w:r w:rsidR="00DD5BAD">
        <w:rPr>
          <w:sz w:val="28"/>
          <w:szCs w:val="28"/>
        </w:rPr>
        <w:t xml:space="preserve"> – </w:t>
      </w:r>
      <w:r w:rsidR="00DD5BAD" w:rsidRPr="00785D3A">
        <w:rPr>
          <w:i/>
          <w:iCs/>
          <w:sz w:val="28"/>
          <w:szCs w:val="28"/>
        </w:rPr>
        <w:t>Reasons why BP Corporation internationalised</w:t>
      </w:r>
    </w:p>
    <w:p w14:paraId="07564B8B" w14:textId="1C3BB3F3" w:rsidR="00C22565" w:rsidRPr="00C00D8A" w:rsidRDefault="003442D3" w:rsidP="003442D3">
      <w:pPr>
        <w:spacing w:line="240" w:lineRule="auto"/>
        <w:jc w:val="both"/>
        <w:rPr>
          <w:i/>
          <w:iCs/>
          <w:sz w:val="28"/>
          <w:szCs w:val="28"/>
        </w:rPr>
      </w:pPr>
      <w:proofErr w:type="spellStart"/>
      <w:r w:rsidRPr="00C00D8A">
        <w:rPr>
          <w:b/>
          <w:bCs/>
          <w:sz w:val="28"/>
          <w:szCs w:val="28"/>
        </w:rPr>
        <w:t>Rumyan</w:t>
      </w:r>
      <w:proofErr w:type="spellEnd"/>
      <w:r w:rsidRPr="00C00D8A">
        <w:rPr>
          <w:b/>
          <w:bCs/>
          <w:sz w:val="28"/>
          <w:szCs w:val="28"/>
        </w:rPr>
        <w:t xml:space="preserve"> </w:t>
      </w:r>
      <w:proofErr w:type="spellStart"/>
      <w:r w:rsidRPr="00C00D8A">
        <w:rPr>
          <w:b/>
          <w:bCs/>
          <w:sz w:val="28"/>
          <w:szCs w:val="28"/>
        </w:rPr>
        <w:t>Zarankov</w:t>
      </w:r>
      <w:proofErr w:type="spellEnd"/>
      <w:r w:rsidRPr="00C00D8A">
        <w:rPr>
          <w:b/>
          <w:bCs/>
          <w:sz w:val="28"/>
          <w:szCs w:val="28"/>
        </w:rPr>
        <w:t xml:space="preserve"> (1913489)</w:t>
      </w:r>
      <w:r w:rsidR="00DD5BAD">
        <w:rPr>
          <w:sz w:val="28"/>
          <w:szCs w:val="28"/>
        </w:rPr>
        <w:t xml:space="preserve"> – </w:t>
      </w:r>
      <w:r w:rsidR="00DD5BAD" w:rsidRPr="00785D3A">
        <w:rPr>
          <w:i/>
          <w:iCs/>
          <w:sz w:val="28"/>
          <w:szCs w:val="28"/>
        </w:rPr>
        <w:t>BP Corporation’s sources of finance</w:t>
      </w:r>
    </w:p>
    <w:p w14:paraId="5C95BB1F" w14:textId="1BEADD62" w:rsidR="00C22565" w:rsidRPr="00C00D8A" w:rsidRDefault="003442D3" w:rsidP="003442D3">
      <w:pPr>
        <w:spacing w:line="240" w:lineRule="auto"/>
        <w:jc w:val="both"/>
        <w:rPr>
          <w:i/>
          <w:iCs/>
          <w:sz w:val="28"/>
          <w:szCs w:val="28"/>
        </w:rPr>
      </w:pPr>
      <w:r w:rsidRPr="00C00D8A">
        <w:rPr>
          <w:b/>
          <w:bCs/>
          <w:sz w:val="28"/>
          <w:szCs w:val="28"/>
        </w:rPr>
        <w:t xml:space="preserve">Grigor </w:t>
      </w:r>
      <w:proofErr w:type="spellStart"/>
      <w:r w:rsidRPr="00C00D8A">
        <w:rPr>
          <w:b/>
          <w:bCs/>
          <w:sz w:val="28"/>
          <w:szCs w:val="28"/>
        </w:rPr>
        <w:t>Zarankov</w:t>
      </w:r>
      <w:proofErr w:type="spellEnd"/>
      <w:r w:rsidRPr="00C00D8A">
        <w:rPr>
          <w:b/>
          <w:bCs/>
          <w:sz w:val="28"/>
          <w:szCs w:val="28"/>
        </w:rPr>
        <w:t xml:space="preserve"> (1914055</w:t>
      </w:r>
      <w:r w:rsidRPr="00DD5BAD">
        <w:rPr>
          <w:sz w:val="28"/>
          <w:szCs w:val="28"/>
        </w:rPr>
        <w:t>)</w:t>
      </w:r>
      <w:r w:rsidR="00DD5BAD">
        <w:rPr>
          <w:sz w:val="28"/>
          <w:szCs w:val="28"/>
        </w:rPr>
        <w:t xml:space="preserve"> – </w:t>
      </w:r>
      <w:r w:rsidR="00DD5BAD" w:rsidRPr="00785D3A">
        <w:rPr>
          <w:i/>
          <w:iCs/>
          <w:sz w:val="28"/>
          <w:szCs w:val="28"/>
        </w:rPr>
        <w:t>BP Corporation’s capital structure</w:t>
      </w:r>
    </w:p>
    <w:p w14:paraId="16FAC46F" w14:textId="446A1D28" w:rsidR="003442D3" w:rsidRDefault="003442D3" w:rsidP="003442D3">
      <w:pPr>
        <w:spacing w:line="240" w:lineRule="auto"/>
        <w:jc w:val="both"/>
        <w:rPr>
          <w:i/>
          <w:iCs/>
          <w:sz w:val="28"/>
          <w:szCs w:val="28"/>
        </w:rPr>
      </w:pPr>
      <w:r w:rsidRPr="00C00D8A">
        <w:rPr>
          <w:b/>
          <w:bCs/>
          <w:sz w:val="28"/>
          <w:szCs w:val="28"/>
        </w:rPr>
        <w:t xml:space="preserve">Nadya </w:t>
      </w:r>
      <w:proofErr w:type="spellStart"/>
      <w:r w:rsidRPr="00C00D8A">
        <w:rPr>
          <w:b/>
          <w:bCs/>
          <w:sz w:val="28"/>
          <w:szCs w:val="28"/>
        </w:rPr>
        <w:t>Zarankova</w:t>
      </w:r>
      <w:proofErr w:type="spellEnd"/>
      <w:r w:rsidRPr="00C00D8A">
        <w:rPr>
          <w:b/>
          <w:bCs/>
          <w:sz w:val="28"/>
          <w:szCs w:val="28"/>
        </w:rPr>
        <w:t xml:space="preserve"> (1914056)</w:t>
      </w:r>
      <w:r w:rsidR="00785D3A">
        <w:rPr>
          <w:sz w:val="28"/>
          <w:szCs w:val="28"/>
        </w:rPr>
        <w:t xml:space="preserve"> – </w:t>
      </w:r>
      <w:r w:rsidR="00785D3A" w:rsidRPr="00785D3A">
        <w:rPr>
          <w:i/>
          <w:iCs/>
          <w:sz w:val="28"/>
          <w:szCs w:val="28"/>
        </w:rPr>
        <w:t>How BP Corporation manages and controls their working capital</w:t>
      </w:r>
    </w:p>
    <w:p w14:paraId="35ED56CE" w14:textId="3231D0E2" w:rsidR="00D3774A" w:rsidRDefault="00D3774A" w:rsidP="003442D3">
      <w:pPr>
        <w:spacing w:line="240" w:lineRule="auto"/>
        <w:jc w:val="both"/>
        <w:rPr>
          <w:i/>
          <w:iCs/>
          <w:sz w:val="28"/>
          <w:szCs w:val="28"/>
        </w:rPr>
      </w:pPr>
      <w:r w:rsidRPr="00C00D8A">
        <w:rPr>
          <w:b/>
          <w:bCs/>
          <w:sz w:val="28"/>
          <w:szCs w:val="28"/>
        </w:rPr>
        <w:t xml:space="preserve">Ion </w:t>
      </w:r>
      <w:proofErr w:type="spellStart"/>
      <w:r w:rsidRPr="00C00D8A">
        <w:rPr>
          <w:b/>
          <w:bCs/>
          <w:sz w:val="28"/>
          <w:szCs w:val="28"/>
        </w:rPr>
        <w:t>Duluman</w:t>
      </w:r>
      <w:proofErr w:type="spellEnd"/>
      <w:r w:rsidRPr="00C00D8A">
        <w:rPr>
          <w:b/>
          <w:bCs/>
          <w:sz w:val="28"/>
          <w:szCs w:val="28"/>
        </w:rPr>
        <w:t xml:space="preserve"> (1917721)</w:t>
      </w:r>
      <w:r>
        <w:rPr>
          <w:sz w:val="28"/>
          <w:szCs w:val="28"/>
        </w:rPr>
        <w:t xml:space="preserve"> – </w:t>
      </w:r>
      <w:r w:rsidRPr="00785D3A">
        <w:rPr>
          <w:i/>
          <w:iCs/>
          <w:sz w:val="28"/>
          <w:szCs w:val="28"/>
        </w:rPr>
        <w:t>How country risks may affect BP’s investments opportunities in host countries</w:t>
      </w:r>
    </w:p>
    <w:p w14:paraId="1086DB1A" w14:textId="77777777" w:rsidR="00C00D8A" w:rsidRPr="00DD5BAD" w:rsidRDefault="00C00D8A" w:rsidP="003442D3">
      <w:pPr>
        <w:spacing w:line="240" w:lineRule="auto"/>
        <w:jc w:val="both"/>
        <w:rPr>
          <w:sz w:val="28"/>
          <w:szCs w:val="28"/>
        </w:rPr>
      </w:pPr>
    </w:p>
    <w:p w14:paraId="4910CAD1" w14:textId="40ACB678" w:rsidR="003442D3" w:rsidRDefault="003442D3" w:rsidP="003442D3">
      <w:pPr>
        <w:spacing w:line="276" w:lineRule="auto"/>
        <w:jc w:val="both"/>
        <w:rPr>
          <w:sz w:val="32"/>
          <w:szCs w:val="32"/>
        </w:rPr>
      </w:pPr>
    </w:p>
    <w:p w14:paraId="3CE0ECD8" w14:textId="77777777" w:rsidR="00C00D8A" w:rsidRDefault="00C00D8A" w:rsidP="003442D3">
      <w:pPr>
        <w:spacing w:line="276" w:lineRule="auto"/>
        <w:jc w:val="both"/>
        <w:rPr>
          <w:sz w:val="32"/>
          <w:szCs w:val="32"/>
        </w:rPr>
      </w:pPr>
    </w:p>
    <w:sdt>
      <w:sdtPr>
        <w:rPr>
          <w:rFonts w:ascii="Arial" w:eastAsiaTheme="minorHAnsi" w:hAnsi="Arial" w:cstheme="minorBidi"/>
          <w:color w:val="auto"/>
          <w:sz w:val="22"/>
          <w:szCs w:val="22"/>
          <w:lang w:val="en-GB"/>
        </w:rPr>
        <w:id w:val="-1850018693"/>
        <w:docPartObj>
          <w:docPartGallery w:val="Table of Contents"/>
          <w:docPartUnique/>
        </w:docPartObj>
      </w:sdtPr>
      <w:sdtEndPr>
        <w:rPr>
          <w:b/>
          <w:bCs/>
          <w:noProof/>
        </w:rPr>
      </w:sdtEndPr>
      <w:sdtContent>
        <w:p w14:paraId="6450677C" w14:textId="00798B39" w:rsidR="00022C55" w:rsidRDefault="00022C55">
          <w:pPr>
            <w:pStyle w:val="TOCHeading"/>
          </w:pPr>
          <w:r>
            <w:t>Table of Contents</w:t>
          </w:r>
        </w:p>
        <w:p w14:paraId="6529425D" w14:textId="18E8E69E" w:rsidR="00E26380" w:rsidRDefault="00022C55">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02912885" w:history="1">
            <w:r w:rsidR="00E26380" w:rsidRPr="00713401">
              <w:rPr>
                <w:rStyle w:val="Hyperlink"/>
                <w:noProof/>
              </w:rPr>
              <w:t>Introduction</w:t>
            </w:r>
            <w:r w:rsidR="00E26380">
              <w:rPr>
                <w:noProof/>
                <w:webHidden/>
              </w:rPr>
              <w:tab/>
            </w:r>
            <w:r w:rsidR="00E26380">
              <w:rPr>
                <w:noProof/>
                <w:webHidden/>
              </w:rPr>
              <w:fldChar w:fldCharType="begin"/>
            </w:r>
            <w:r w:rsidR="00E26380">
              <w:rPr>
                <w:noProof/>
                <w:webHidden/>
              </w:rPr>
              <w:instrText xml:space="preserve"> PAGEREF _Toc102912885 \h </w:instrText>
            </w:r>
            <w:r w:rsidR="00E26380">
              <w:rPr>
                <w:noProof/>
                <w:webHidden/>
              </w:rPr>
            </w:r>
            <w:r w:rsidR="00E26380">
              <w:rPr>
                <w:noProof/>
                <w:webHidden/>
              </w:rPr>
              <w:fldChar w:fldCharType="separate"/>
            </w:r>
            <w:r w:rsidR="00E26380">
              <w:rPr>
                <w:noProof/>
                <w:webHidden/>
              </w:rPr>
              <w:t>3</w:t>
            </w:r>
            <w:r w:rsidR="00E26380">
              <w:rPr>
                <w:noProof/>
                <w:webHidden/>
              </w:rPr>
              <w:fldChar w:fldCharType="end"/>
            </w:r>
          </w:hyperlink>
        </w:p>
        <w:p w14:paraId="7AE3DB4C" w14:textId="31957C5A" w:rsidR="00E26380" w:rsidRDefault="00E26380">
          <w:pPr>
            <w:pStyle w:val="TOC1"/>
            <w:tabs>
              <w:tab w:val="right" w:leader="dot" w:pos="9016"/>
            </w:tabs>
            <w:rPr>
              <w:rFonts w:asciiTheme="minorHAnsi" w:eastAsiaTheme="minorEastAsia" w:hAnsiTheme="minorHAnsi"/>
              <w:noProof/>
              <w:lang w:eastAsia="en-GB"/>
            </w:rPr>
          </w:pPr>
          <w:hyperlink w:anchor="_Toc102912886" w:history="1">
            <w:r w:rsidRPr="00713401">
              <w:rPr>
                <w:rStyle w:val="Hyperlink"/>
                <w:noProof/>
              </w:rPr>
              <w:t>Reasons why British Petroleum (BP) Corporation internationalised – Desislava Nankova (1913488)</w:t>
            </w:r>
            <w:r>
              <w:rPr>
                <w:noProof/>
                <w:webHidden/>
              </w:rPr>
              <w:tab/>
            </w:r>
            <w:r>
              <w:rPr>
                <w:noProof/>
                <w:webHidden/>
              </w:rPr>
              <w:fldChar w:fldCharType="begin"/>
            </w:r>
            <w:r>
              <w:rPr>
                <w:noProof/>
                <w:webHidden/>
              </w:rPr>
              <w:instrText xml:space="preserve"> PAGEREF _Toc102912886 \h </w:instrText>
            </w:r>
            <w:r>
              <w:rPr>
                <w:noProof/>
                <w:webHidden/>
              </w:rPr>
            </w:r>
            <w:r>
              <w:rPr>
                <w:noProof/>
                <w:webHidden/>
              </w:rPr>
              <w:fldChar w:fldCharType="separate"/>
            </w:r>
            <w:r>
              <w:rPr>
                <w:noProof/>
                <w:webHidden/>
              </w:rPr>
              <w:t>3</w:t>
            </w:r>
            <w:r>
              <w:rPr>
                <w:noProof/>
                <w:webHidden/>
              </w:rPr>
              <w:fldChar w:fldCharType="end"/>
            </w:r>
          </w:hyperlink>
        </w:p>
        <w:p w14:paraId="1260F9EF" w14:textId="41D9E786" w:rsidR="00E26380" w:rsidRDefault="00E26380">
          <w:pPr>
            <w:pStyle w:val="TOC1"/>
            <w:tabs>
              <w:tab w:val="right" w:leader="dot" w:pos="9016"/>
            </w:tabs>
            <w:rPr>
              <w:rFonts w:asciiTheme="minorHAnsi" w:eastAsiaTheme="minorEastAsia" w:hAnsiTheme="minorHAnsi"/>
              <w:noProof/>
              <w:lang w:eastAsia="en-GB"/>
            </w:rPr>
          </w:pPr>
          <w:hyperlink w:anchor="_Toc102912887" w:history="1">
            <w:r w:rsidRPr="00713401">
              <w:rPr>
                <w:rStyle w:val="Hyperlink"/>
                <w:noProof/>
              </w:rPr>
              <w:t>BP Corporation’s sources of finance – Rumyan Zarankov (1913489)</w:t>
            </w:r>
            <w:r>
              <w:rPr>
                <w:noProof/>
                <w:webHidden/>
              </w:rPr>
              <w:tab/>
            </w:r>
            <w:r>
              <w:rPr>
                <w:noProof/>
                <w:webHidden/>
              </w:rPr>
              <w:fldChar w:fldCharType="begin"/>
            </w:r>
            <w:r>
              <w:rPr>
                <w:noProof/>
                <w:webHidden/>
              </w:rPr>
              <w:instrText xml:space="preserve"> PAGEREF _Toc102912887 \h </w:instrText>
            </w:r>
            <w:r>
              <w:rPr>
                <w:noProof/>
                <w:webHidden/>
              </w:rPr>
            </w:r>
            <w:r>
              <w:rPr>
                <w:noProof/>
                <w:webHidden/>
              </w:rPr>
              <w:fldChar w:fldCharType="separate"/>
            </w:r>
            <w:r>
              <w:rPr>
                <w:noProof/>
                <w:webHidden/>
              </w:rPr>
              <w:t>5</w:t>
            </w:r>
            <w:r>
              <w:rPr>
                <w:noProof/>
                <w:webHidden/>
              </w:rPr>
              <w:fldChar w:fldCharType="end"/>
            </w:r>
          </w:hyperlink>
        </w:p>
        <w:p w14:paraId="2D60FB1A" w14:textId="35626F81" w:rsidR="00E26380" w:rsidRDefault="00E26380">
          <w:pPr>
            <w:pStyle w:val="TOC1"/>
            <w:tabs>
              <w:tab w:val="right" w:leader="dot" w:pos="9016"/>
            </w:tabs>
            <w:rPr>
              <w:rFonts w:asciiTheme="minorHAnsi" w:eastAsiaTheme="minorEastAsia" w:hAnsiTheme="minorHAnsi"/>
              <w:noProof/>
              <w:lang w:eastAsia="en-GB"/>
            </w:rPr>
          </w:pPr>
          <w:hyperlink w:anchor="_Toc102912888" w:history="1">
            <w:r w:rsidRPr="00713401">
              <w:rPr>
                <w:rStyle w:val="Hyperlink"/>
                <w:noProof/>
              </w:rPr>
              <w:t>BP Corporation’s capital structure – Grigor Zarankov (1914055)</w:t>
            </w:r>
            <w:r>
              <w:rPr>
                <w:noProof/>
                <w:webHidden/>
              </w:rPr>
              <w:tab/>
            </w:r>
            <w:r>
              <w:rPr>
                <w:noProof/>
                <w:webHidden/>
              </w:rPr>
              <w:fldChar w:fldCharType="begin"/>
            </w:r>
            <w:r>
              <w:rPr>
                <w:noProof/>
                <w:webHidden/>
              </w:rPr>
              <w:instrText xml:space="preserve"> PAGEREF _Toc102912888 \h </w:instrText>
            </w:r>
            <w:r>
              <w:rPr>
                <w:noProof/>
                <w:webHidden/>
              </w:rPr>
            </w:r>
            <w:r>
              <w:rPr>
                <w:noProof/>
                <w:webHidden/>
              </w:rPr>
              <w:fldChar w:fldCharType="separate"/>
            </w:r>
            <w:r>
              <w:rPr>
                <w:noProof/>
                <w:webHidden/>
              </w:rPr>
              <w:t>7</w:t>
            </w:r>
            <w:r>
              <w:rPr>
                <w:noProof/>
                <w:webHidden/>
              </w:rPr>
              <w:fldChar w:fldCharType="end"/>
            </w:r>
          </w:hyperlink>
        </w:p>
        <w:p w14:paraId="7C8DCD8A" w14:textId="3C647A81" w:rsidR="00E26380" w:rsidRDefault="00E26380">
          <w:pPr>
            <w:pStyle w:val="TOC1"/>
            <w:tabs>
              <w:tab w:val="right" w:leader="dot" w:pos="9016"/>
            </w:tabs>
            <w:rPr>
              <w:rFonts w:asciiTheme="minorHAnsi" w:eastAsiaTheme="minorEastAsia" w:hAnsiTheme="minorHAnsi"/>
              <w:noProof/>
              <w:lang w:eastAsia="en-GB"/>
            </w:rPr>
          </w:pPr>
          <w:hyperlink w:anchor="_Toc102912889" w:history="1">
            <w:r w:rsidRPr="00713401">
              <w:rPr>
                <w:rStyle w:val="Hyperlink"/>
                <w:noProof/>
              </w:rPr>
              <w:t>How BP Corporation manages and controls their working capital – Nadya Zarankova (1914056)</w:t>
            </w:r>
            <w:r>
              <w:rPr>
                <w:noProof/>
                <w:webHidden/>
              </w:rPr>
              <w:tab/>
            </w:r>
            <w:r>
              <w:rPr>
                <w:noProof/>
                <w:webHidden/>
              </w:rPr>
              <w:fldChar w:fldCharType="begin"/>
            </w:r>
            <w:r>
              <w:rPr>
                <w:noProof/>
                <w:webHidden/>
              </w:rPr>
              <w:instrText xml:space="preserve"> PAGEREF _Toc102912889 \h </w:instrText>
            </w:r>
            <w:r>
              <w:rPr>
                <w:noProof/>
                <w:webHidden/>
              </w:rPr>
            </w:r>
            <w:r>
              <w:rPr>
                <w:noProof/>
                <w:webHidden/>
              </w:rPr>
              <w:fldChar w:fldCharType="separate"/>
            </w:r>
            <w:r>
              <w:rPr>
                <w:noProof/>
                <w:webHidden/>
              </w:rPr>
              <w:t>10</w:t>
            </w:r>
            <w:r>
              <w:rPr>
                <w:noProof/>
                <w:webHidden/>
              </w:rPr>
              <w:fldChar w:fldCharType="end"/>
            </w:r>
          </w:hyperlink>
        </w:p>
        <w:p w14:paraId="671310B4" w14:textId="710936CC" w:rsidR="00E26380" w:rsidRDefault="00E26380">
          <w:pPr>
            <w:pStyle w:val="TOC1"/>
            <w:tabs>
              <w:tab w:val="right" w:leader="dot" w:pos="9016"/>
            </w:tabs>
            <w:rPr>
              <w:rFonts w:asciiTheme="minorHAnsi" w:eastAsiaTheme="minorEastAsia" w:hAnsiTheme="minorHAnsi"/>
              <w:noProof/>
              <w:lang w:eastAsia="en-GB"/>
            </w:rPr>
          </w:pPr>
          <w:hyperlink w:anchor="_Toc102912890" w:history="1">
            <w:r w:rsidRPr="00713401">
              <w:rPr>
                <w:rStyle w:val="Hyperlink"/>
                <w:noProof/>
              </w:rPr>
              <w:t>How country risks may affect BP’s investment opportunities in host countries – Ion Duluman (1917721)</w:t>
            </w:r>
            <w:r>
              <w:rPr>
                <w:noProof/>
                <w:webHidden/>
              </w:rPr>
              <w:tab/>
            </w:r>
            <w:r>
              <w:rPr>
                <w:noProof/>
                <w:webHidden/>
              </w:rPr>
              <w:fldChar w:fldCharType="begin"/>
            </w:r>
            <w:r>
              <w:rPr>
                <w:noProof/>
                <w:webHidden/>
              </w:rPr>
              <w:instrText xml:space="preserve"> PAGEREF _Toc102912890 \h </w:instrText>
            </w:r>
            <w:r>
              <w:rPr>
                <w:noProof/>
                <w:webHidden/>
              </w:rPr>
            </w:r>
            <w:r>
              <w:rPr>
                <w:noProof/>
                <w:webHidden/>
              </w:rPr>
              <w:fldChar w:fldCharType="separate"/>
            </w:r>
            <w:r>
              <w:rPr>
                <w:noProof/>
                <w:webHidden/>
              </w:rPr>
              <w:t>12</w:t>
            </w:r>
            <w:r>
              <w:rPr>
                <w:noProof/>
                <w:webHidden/>
              </w:rPr>
              <w:fldChar w:fldCharType="end"/>
            </w:r>
          </w:hyperlink>
        </w:p>
        <w:p w14:paraId="6174C70B" w14:textId="1606EB36" w:rsidR="00E26380" w:rsidRDefault="00E26380">
          <w:pPr>
            <w:pStyle w:val="TOC1"/>
            <w:tabs>
              <w:tab w:val="right" w:leader="dot" w:pos="9016"/>
            </w:tabs>
            <w:rPr>
              <w:rFonts w:asciiTheme="minorHAnsi" w:eastAsiaTheme="minorEastAsia" w:hAnsiTheme="minorHAnsi"/>
              <w:noProof/>
              <w:lang w:eastAsia="en-GB"/>
            </w:rPr>
          </w:pPr>
          <w:hyperlink w:anchor="_Toc102912891" w:history="1">
            <w:r w:rsidRPr="00713401">
              <w:rPr>
                <w:rStyle w:val="Hyperlink"/>
                <w:noProof/>
                <w:lang w:eastAsia="en-GB"/>
              </w:rPr>
              <w:t>Recommendations</w:t>
            </w:r>
            <w:r>
              <w:rPr>
                <w:noProof/>
                <w:webHidden/>
              </w:rPr>
              <w:tab/>
            </w:r>
            <w:r>
              <w:rPr>
                <w:noProof/>
                <w:webHidden/>
              </w:rPr>
              <w:fldChar w:fldCharType="begin"/>
            </w:r>
            <w:r>
              <w:rPr>
                <w:noProof/>
                <w:webHidden/>
              </w:rPr>
              <w:instrText xml:space="preserve"> PAGEREF _Toc102912891 \h </w:instrText>
            </w:r>
            <w:r>
              <w:rPr>
                <w:noProof/>
                <w:webHidden/>
              </w:rPr>
            </w:r>
            <w:r>
              <w:rPr>
                <w:noProof/>
                <w:webHidden/>
              </w:rPr>
              <w:fldChar w:fldCharType="separate"/>
            </w:r>
            <w:r>
              <w:rPr>
                <w:noProof/>
                <w:webHidden/>
              </w:rPr>
              <w:t>13</w:t>
            </w:r>
            <w:r>
              <w:rPr>
                <w:noProof/>
                <w:webHidden/>
              </w:rPr>
              <w:fldChar w:fldCharType="end"/>
            </w:r>
          </w:hyperlink>
        </w:p>
        <w:p w14:paraId="5804E249" w14:textId="687CF087" w:rsidR="00E26380" w:rsidRDefault="00E26380">
          <w:pPr>
            <w:pStyle w:val="TOC1"/>
            <w:tabs>
              <w:tab w:val="right" w:leader="dot" w:pos="9016"/>
            </w:tabs>
            <w:rPr>
              <w:rFonts w:asciiTheme="minorHAnsi" w:eastAsiaTheme="minorEastAsia" w:hAnsiTheme="minorHAnsi"/>
              <w:noProof/>
              <w:lang w:eastAsia="en-GB"/>
            </w:rPr>
          </w:pPr>
          <w:hyperlink w:anchor="_Toc102912892" w:history="1">
            <w:r w:rsidRPr="00713401">
              <w:rPr>
                <w:rStyle w:val="Hyperlink"/>
                <w:noProof/>
                <w:lang w:eastAsia="en-GB"/>
              </w:rPr>
              <w:t>Conclusion</w:t>
            </w:r>
            <w:r>
              <w:rPr>
                <w:noProof/>
                <w:webHidden/>
              </w:rPr>
              <w:tab/>
            </w:r>
            <w:r>
              <w:rPr>
                <w:noProof/>
                <w:webHidden/>
              </w:rPr>
              <w:fldChar w:fldCharType="begin"/>
            </w:r>
            <w:r>
              <w:rPr>
                <w:noProof/>
                <w:webHidden/>
              </w:rPr>
              <w:instrText xml:space="preserve"> PAGEREF _Toc102912892 \h </w:instrText>
            </w:r>
            <w:r>
              <w:rPr>
                <w:noProof/>
                <w:webHidden/>
              </w:rPr>
            </w:r>
            <w:r>
              <w:rPr>
                <w:noProof/>
                <w:webHidden/>
              </w:rPr>
              <w:fldChar w:fldCharType="separate"/>
            </w:r>
            <w:r>
              <w:rPr>
                <w:noProof/>
                <w:webHidden/>
              </w:rPr>
              <w:t>14</w:t>
            </w:r>
            <w:r>
              <w:rPr>
                <w:noProof/>
                <w:webHidden/>
              </w:rPr>
              <w:fldChar w:fldCharType="end"/>
            </w:r>
          </w:hyperlink>
        </w:p>
        <w:p w14:paraId="4E69FCEF" w14:textId="6FED0507" w:rsidR="00E26380" w:rsidRDefault="00E26380">
          <w:pPr>
            <w:pStyle w:val="TOC1"/>
            <w:tabs>
              <w:tab w:val="right" w:leader="dot" w:pos="9016"/>
            </w:tabs>
            <w:rPr>
              <w:rFonts w:asciiTheme="minorHAnsi" w:eastAsiaTheme="minorEastAsia" w:hAnsiTheme="minorHAnsi"/>
              <w:noProof/>
              <w:lang w:eastAsia="en-GB"/>
            </w:rPr>
          </w:pPr>
          <w:hyperlink w:anchor="_Toc102912893" w:history="1">
            <w:r w:rsidRPr="00713401">
              <w:rPr>
                <w:rStyle w:val="Hyperlink"/>
                <w:noProof/>
              </w:rPr>
              <w:t>Reference list</w:t>
            </w:r>
            <w:r>
              <w:rPr>
                <w:noProof/>
                <w:webHidden/>
              </w:rPr>
              <w:tab/>
            </w:r>
            <w:r>
              <w:rPr>
                <w:noProof/>
                <w:webHidden/>
              </w:rPr>
              <w:fldChar w:fldCharType="begin"/>
            </w:r>
            <w:r>
              <w:rPr>
                <w:noProof/>
                <w:webHidden/>
              </w:rPr>
              <w:instrText xml:space="preserve"> PAGEREF _Toc102912893 \h </w:instrText>
            </w:r>
            <w:r>
              <w:rPr>
                <w:noProof/>
                <w:webHidden/>
              </w:rPr>
            </w:r>
            <w:r>
              <w:rPr>
                <w:noProof/>
                <w:webHidden/>
              </w:rPr>
              <w:fldChar w:fldCharType="separate"/>
            </w:r>
            <w:r>
              <w:rPr>
                <w:noProof/>
                <w:webHidden/>
              </w:rPr>
              <w:t>15</w:t>
            </w:r>
            <w:r>
              <w:rPr>
                <w:noProof/>
                <w:webHidden/>
              </w:rPr>
              <w:fldChar w:fldCharType="end"/>
            </w:r>
          </w:hyperlink>
        </w:p>
        <w:p w14:paraId="7B9EFEE6" w14:textId="531944AD" w:rsidR="00022C55" w:rsidRDefault="00022C55">
          <w:r>
            <w:rPr>
              <w:b/>
              <w:bCs/>
              <w:noProof/>
            </w:rPr>
            <w:fldChar w:fldCharType="end"/>
          </w:r>
        </w:p>
      </w:sdtContent>
    </w:sdt>
    <w:p w14:paraId="6F55012A" w14:textId="77777777" w:rsidR="003442D3" w:rsidRPr="003442D3" w:rsidRDefault="003442D3" w:rsidP="003442D3">
      <w:pPr>
        <w:spacing w:line="360" w:lineRule="auto"/>
        <w:jc w:val="both"/>
        <w:rPr>
          <w:sz w:val="32"/>
          <w:szCs w:val="32"/>
        </w:rPr>
      </w:pPr>
    </w:p>
    <w:p w14:paraId="3164E27C" w14:textId="77777777" w:rsidR="003442D3" w:rsidRPr="003442D3" w:rsidRDefault="003442D3" w:rsidP="003442D3">
      <w:pPr>
        <w:spacing w:line="360" w:lineRule="auto"/>
        <w:jc w:val="both"/>
        <w:rPr>
          <w:sz w:val="32"/>
          <w:szCs w:val="32"/>
        </w:rPr>
      </w:pPr>
    </w:p>
    <w:p w14:paraId="0D4A69FE" w14:textId="29DE4C37" w:rsidR="00C22565" w:rsidRDefault="00C22565" w:rsidP="003442D3">
      <w:pPr>
        <w:spacing w:line="360" w:lineRule="auto"/>
        <w:jc w:val="both"/>
        <w:rPr>
          <w:sz w:val="32"/>
          <w:szCs w:val="32"/>
        </w:rPr>
      </w:pPr>
    </w:p>
    <w:p w14:paraId="501EAC40" w14:textId="77777777" w:rsidR="00C22565" w:rsidRDefault="00C22565">
      <w:pPr>
        <w:rPr>
          <w:sz w:val="32"/>
          <w:szCs w:val="32"/>
        </w:rPr>
      </w:pPr>
      <w:r>
        <w:rPr>
          <w:sz w:val="32"/>
          <w:szCs w:val="32"/>
        </w:rPr>
        <w:br w:type="page"/>
      </w:r>
    </w:p>
    <w:p w14:paraId="31BCF0CF" w14:textId="3CBD6833" w:rsidR="00C22565" w:rsidRDefault="00C22565" w:rsidP="00C22565">
      <w:pPr>
        <w:pStyle w:val="Heading1"/>
      </w:pPr>
      <w:bookmarkStart w:id="0" w:name="_Toc102145598"/>
      <w:bookmarkStart w:id="1" w:name="_Toc102912885"/>
      <w:r>
        <w:lastRenderedPageBreak/>
        <w:t>Introduction</w:t>
      </w:r>
      <w:bookmarkEnd w:id="1"/>
    </w:p>
    <w:p w14:paraId="495342FF" w14:textId="7F13D8D9" w:rsidR="00457249" w:rsidRPr="00457249" w:rsidRDefault="00457249" w:rsidP="00457249">
      <w:pPr>
        <w:spacing w:line="360" w:lineRule="auto"/>
        <w:jc w:val="both"/>
        <w:rPr>
          <w:lang w:val="bg-BG"/>
        </w:rPr>
      </w:pPr>
      <w:r w:rsidRPr="00457249">
        <w:rPr>
          <w:lang w:val="bg-BG"/>
        </w:rPr>
        <w:t xml:space="preserve">The report presents an analysis of the reasons for the internationalisation of one of the largest and oldest companies for production and trade in petroleum products - </w:t>
      </w:r>
      <w:r w:rsidRPr="00457249">
        <w:t>BP</w:t>
      </w:r>
      <w:r w:rsidRPr="00457249">
        <w:rPr>
          <w:lang w:val="bg-BG"/>
        </w:rPr>
        <w:t xml:space="preserve"> Plc. Only some of these reasons have been analy</w:t>
      </w:r>
      <w:r w:rsidRPr="00457249">
        <w:t>s</w:t>
      </w:r>
      <w:r w:rsidRPr="00457249">
        <w:rPr>
          <w:lang w:val="bg-BG"/>
        </w:rPr>
        <w:t>ed. The company's finance sources are analysed, and the capital structure. According to the authors, this reveals the possible potential for financial investment. In support of this statement, the state of the company's working capital was critically analysed, and finally, the report ends with a definition and analysis of the risk factors determining the company's environment. Basic recommendations for dealing with these risks have been made.</w:t>
      </w:r>
    </w:p>
    <w:p w14:paraId="0E6E61EB" w14:textId="648A0E90" w:rsidR="00C22565" w:rsidRPr="00C22565" w:rsidRDefault="00C22565" w:rsidP="00C22565">
      <w:pPr>
        <w:pStyle w:val="Heading1"/>
      </w:pPr>
      <w:bookmarkStart w:id="2" w:name="_Toc102912886"/>
      <w:r>
        <w:t>R</w:t>
      </w:r>
      <w:r w:rsidRPr="00C22565">
        <w:t>easons why</w:t>
      </w:r>
      <w:r w:rsidR="00001E7C">
        <w:t xml:space="preserve"> </w:t>
      </w:r>
      <w:r w:rsidR="00022C55">
        <w:t>British</w:t>
      </w:r>
      <w:r w:rsidR="00001E7C">
        <w:t xml:space="preserve"> Petroleum (BP) Corporation</w:t>
      </w:r>
      <w:r w:rsidRPr="00C22565">
        <w:t xml:space="preserve"> internationalised</w:t>
      </w:r>
      <w:bookmarkEnd w:id="0"/>
      <w:r w:rsidRPr="00C22565">
        <w:t xml:space="preserve"> </w:t>
      </w:r>
      <w:r>
        <w:t>– Desislava Nankova</w:t>
      </w:r>
      <w:r w:rsidR="006E6905">
        <w:t xml:space="preserve"> (1913488)</w:t>
      </w:r>
      <w:bookmarkEnd w:id="2"/>
    </w:p>
    <w:p w14:paraId="3BAF2633" w14:textId="77777777" w:rsidR="00C22565" w:rsidRPr="00C22565" w:rsidRDefault="00C22565" w:rsidP="0072629E">
      <w:pPr>
        <w:spacing w:after="0" w:line="360" w:lineRule="auto"/>
        <w:jc w:val="both"/>
        <w:rPr>
          <w:rFonts w:eastAsia="Times New Roman" w:cs="Arial"/>
          <w:color w:val="000000"/>
          <w:lang w:eastAsia="en-GB"/>
        </w:rPr>
      </w:pPr>
      <w:r w:rsidRPr="00C22565">
        <w:rPr>
          <w:rFonts w:cs="Arial"/>
          <w:lang w:val="bg-BG"/>
        </w:rPr>
        <w:t>It is interesting to note that internationalisation as a process is overcoming the physical borders of a country with a specific goal</w:t>
      </w:r>
      <w:r w:rsidRPr="00C22565">
        <w:rPr>
          <w:rFonts w:cs="Arial"/>
        </w:rPr>
        <w:t xml:space="preserve"> </w:t>
      </w:r>
      <w:r w:rsidRPr="00C22565">
        <w:rPr>
          <w:rFonts w:eastAsia="Times New Roman" w:cs="Arial"/>
          <w:color w:val="000000"/>
          <w:lang w:eastAsia="en-GB"/>
        </w:rPr>
        <w:t>(Knight, 2015)</w:t>
      </w:r>
      <w:r w:rsidRPr="00C22565">
        <w:rPr>
          <w:rFonts w:cs="Arial"/>
          <w:lang w:val="bg-BG"/>
        </w:rPr>
        <w:t xml:space="preserve">. This process is often associated with the unity of three main components: internationality, globalisation, and interculturality. In this case, the international company British Petroleum </w:t>
      </w:r>
      <w:r w:rsidRPr="00C22565">
        <w:rPr>
          <w:rFonts w:eastAsia="Times New Roman" w:cs="Arial"/>
          <w:color w:val="000000"/>
          <w:lang w:eastAsia="en-GB"/>
        </w:rPr>
        <w:t xml:space="preserve">(BP global, 2018) </w:t>
      </w:r>
      <w:r w:rsidRPr="00C22565">
        <w:rPr>
          <w:rFonts w:cs="Arial"/>
          <w:lang w:val="bg-BG"/>
        </w:rPr>
        <w:t xml:space="preserve">can be said to transcend the country's physical boundaries in which it was established to produce and trade petroleum products. It is obvious that this is a process that covers not only territorial but also cultural and even legal borders. For example, the country must totally comply with the political system of Great Britain and the countries of Asia, in which it had a wide representation. An example is the political system of Iran - at the time when the </w:t>
      </w:r>
      <w:r w:rsidRPr="00C22565">
        <w:rPr>
          <w:rFonts w:cs="Arial"/>
        </w:rPr>
        <w:t>company</w:t>
      </w:r>
      <w:r w:rsidRPr="00C22565">
        <w:rPr>
          <w:rFonts w:cs="Arial"/>
          <w:lang w:val="bg-BG"/>
        </w:rPr>
        <w:t xml:space="preserve"> had economic relations, the system was a totalitarian regime</w:t>
      </w:r>
      <w:r w:rsidRPr="00C22565">
        <w:rPr>
          <w:rFonts w:cs="Arial"/>
          <w:color w:val="000000"/>
        </w:rPr>
        <w:t xml:space="preserve"> </w:t>
      </w:r>
      <w:r w:rsidRPr="00C22565">
        <w:rPr>
          <w:rFonts w:eastAsia="Times New Roman" w:cs="Arial"/>
          <w:color w:val="000000"/>
          <w:lang w:eastAsia="en-GB"/>
        </w:rPr>
        <w:t>(</w:t>
      </w:r>
      <w:proofErr w:type="spellStart"/>
      <w:r w:rsidRPr="00C22565">
        <w:rPr>
          <w:rFonts w:eastAsia="Times New Roman" w:cs="Arial"/>
          <w:color w:val="000000"/>
          <w:lang w:eastAsia="en-GB"/>
        </w:rPr>
        <w:t>Chehabi</w:t>
      </w:r>
      <w:proofErr w:type="spellEnd"/>
      <w:r w:rsidRPr="00C22565">
        <w:rPr>
          <w:rFonts w:eastAsia="Times New Roman" w:cs="Arial"/>
          <w:color w:val="000000"/>
          <w:lang w:eastAsia="en-GB"/>
        </w:rPr>
        <w:t>, 2001)</w:t>
      </w:r>
      <w:r w:rsidRPr="00C22565">
        <w:rPr>
          <w:rFonts w:cs="Arial"/>
          <w:lang w:val="bg-BG"/>
        </w:rPr>
        <w:t>, and Britain - a constitutional monarchy</w:t>
      </w:r>
      <w:r w:rsidRPr="00C22565">
        <w:rPr>
          <w:rFonts w:cs="Arial"/>
        </w:rPr>
        <w:t xml:space="preserve"> </w:t>
      </w:r>
      <w:r w:rsidRPr="00C22565">
        <w:rPr>
          <w:rFonts w:eastAsia="Times New Roman" w:cs="Arial"/>
          <w:color w:val="000000"/>
          <w:lang w:eastAsia="en-GB"/>
        </w:rPr>
        <w:t>(Gordon, 2015)</w:t>
      </w:r>
      <w:r w:rsidRPr="00C22565">
        <w:rPr>
          <w:rFonts w:cs="Arial"/>
          <w:lang w:val="bg-BG"/>
        </w:rPr>
        <w:t xml:space="preserve">. This creates a number of obstacles for a company such as BP. For example, there are many religious holidays and customs that do not allow work on certain days of the year. Despite these obstacles, the company has managed to financially penetrate many countries and grow to its current scale thanks to globalisation </w:t>
      </w:r>
      <w:r w:rsidRPr="00C22565">
        <w:rPr>
          <w:rFonts w:eastAsia="Times New Roman" w:cs="Arial"/>
          <w:color w:val="000000"/>
          <w:lang w:eastAsia="en-GB"/>
        </w:rPr>
        <w:t>(</w:t>
      </w:r>
      <w:proofErr w:type="spellStart"/>
      <w:r w:rsidRPr="00C22565">
        <w:rPr>
          <w:rFonts w:eastAsia="Times New Roman" w:cs="Arial"/>
          <w:color w:val="000000"/>
          <w:lang w:eastAsia="en-GB"/>
        </w:rPr>
        <w:t>Cnuced</w:t>
      </w:r>
      <w:proofErr w:type="spellEnd"/>
      <w:r w:rsidRPr="00C22565">
        <w:rPr>
          <w:rFonts w:eastAsia="Times New Roman" w:cs="Arial"/>
          <w:color w:val="000000"/>
          <w:lang w:eastAsia="en-GB"/>
        </w:rPr>
        <w:t>, 2008)</w:t>
      </w:r>
      <w:r w:rsidRPr="00C22565">
        <w:rPr>
          <w:rFonts w:cs="Arial"/>
          <w:lang w:val="bg-BG"/>
        </w:rPr>
        <w:t>.</w:t>
      </w:r>
    </w:p>
    <w:p w14:paraId="49594459" w14:textId="77777777" w:rsidR="00C22565" w:rsidRPr="00C22565" w:rsidRDefault="00C22565" w:rsidP="0072629E">
      <w:pPr>
        <w:spacing w:after="0" w:line="360" w:lineRule="auto"/>
        <w:jc w:val="both"/>
        <w:rPr>
          <w:rFonts w:cs="Arial"/>
          <w:noProof/>
        </w:rPr>
      </w:pPr>
      <w:r w:rsidRPr="00C22565">
        <w:rPr>
          <w:rFonts w:cs="Arial"/>
          <w:lang w:val="bg-BG"/>
        </w:rPr>
        <w:t>Another important reason that affects the activities of the oil services company is the specifics of the resource the company works with. It is well known that petroleum products are made from crude oil. Currently, the largest producers in the world can be seen in Figure 1.</w:t>
      </w:r>
      <w:r w:rsidRPr="00C22565">
        <w:rPr>
          <w:rFonts w:cs="Arial"/>
          <w:noProof/>
        </w:rPr>
        <w:t xml:space="preserve"> </w:t>
      </w:r>
    </w:p>
    <w:p w14:paraId="009FF1AA" w14:textId="77777777" w:rsidR="00C22565" w:rsidRPr="00C22565" w:rsidRDefault="00C22565" w:rsidP="00C22565">
      <w:pPr>
        <w:spacing w:line="360" w:lineRule="auto"/>
        <w:jc w:val="both"/>
        <w:rPr>
          <w:rFonts w:cs="Arial"/>
          <w:noProof/>
        </w:rPr>
      </w:pPr>
      <w:r w:rsidRPr="00C22565">
        <w:rPr>
          <w:rFonts w:cs="Arial"/>
          <w:noProof/>
        </w:rPr>
        <w:lastRenderedPageBreak/>
        <w:drawing>
          <wp:inline distT="0" distB="0" distL="0" distR="0" wp14:anchorId="4012B04D" wp14:editId="28025430">
            <wp:extent cx="4836160" cy="2633847"/>
            <wp:effectExtent l="133350" t="114300" r="116840" b="167005"/>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rotWithShape="1">
                    <a:blip r:embed="rId9"/>
                    <a:srcRect l="15954" t="31514" r="55240" b="40595"/>
                    <a:stretch/>
                  </pic:blipFill>
                  <pic:spPr bwMode="auto">
                    <a:xfrm>
                      <a:off x="0" y="0"/>
                      <a:ext cx="4855932" cy="264461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0129A3BF" w14:textId="206ED2F8" w:rsidR="00C22565" w:rsidRPr="00B15C3C" w:rsidRDefault="00C22565" w:rsidP="00C22565">
      <w:pPr>
        <w:spacing w:line="360" w:lineRule="auto"/>
        <w:jc w:val="both"/>
        <w:rPr>
          <w:rFonts w:cs="Arial"/>
          <w:b/>
          <w:bCs/>
        </w:rPr>
      </w:pPr>
      <w:r w:rsidRPr="00C22565">
        <w:rPr>
          <w:rFonts w:cs="Arial"/>
          <w:b/>
          <w:bCs/>
        </w:rPr>
        <w:t>Figure 1. Top 10 Countries with the Highest Oil Production (barrels per day)</w:t>
      </w:r>
      <w:r w:rsidR="00B15C3C">
        <w:rPr>
          <w:rFonts w:cs="Arial"/>
          <w:b/>
          <w:bCs/>
        </w:rPr>
        <w:t xml:space="preserve"> </w:t>
      </w:r>
      <w:r w:rsidRPr="00C22565">
        <w:rPr>
          <w:rFonts w:cs="Arial"/>
          <w:lang w:eastAsia="en-GB"/>
        </w:rPr>
        <w:t>(World Population Review, 2022)</w:t>
      </w:r>
    </w:p>
    <w:p w14:paraId="357B8076" w14:textId="77777777" w:rsidR="00C22565" w:rsidRPr="00C22565" w:rsidRDefault="00C22565" w:rsidP="0072629E">
      <w:pPr>
        <w:spacing w:after="0" w:line="360" w:lineRule="auto"/>
        <w:jc w:val="both"/>
        <w:rPr>
          <w:rFonts w:eastAsia="Times New Roman" w:cs="Arial"/>
          <w:color w:val="000000"/>
          <w:lang w:eastAsia="en-GB"/>
        </w:rPr>
      </w:pPr>
      <w:r w:rsidRPr="00C22565">
        <w:rPr>
          <w:rFonts w:cs="Arial"/>
          <w:lang w:val="bg-BG"/>
        </w:rPr>
        <w:t>The specificity of the resource requires the company to communicate and conduct trade transactions with countries that are often totally opposite political and economic views. This is currently the case with the European Union after Brexit. British Petroleum sells on the mass market in Europe but has been heavily influenced by economic and political decisions since Britain withdrew from the union. Another factor playing a strong role in the company's internationalisation stems from the transformation of economies from national to private companies. An example is a period of Margaret Thatcher's rule</w:t>
      </w:r>
      <w:r w:rsidRPr="00C22565">
        <w:rPr>
          <w:rFonts w:cs="Arial"/>
        </w:rPr>
        <w:t xml:space="preserve"> </w:t>
      </w:r>
      <w:r w:rsidRPr="00C22565">
        <w:rPr>
          <w:rFonts w:eastAsia="Times New Roman" w:cs="Arial"/>
          <w:color w:val="000000"/>
          <w:lang w:eastAsia="en-GB"/>
        </w:rPr>
        <w:t>(BBC, 2013)</w:t>
      </w:r>
      <w:r w:rsidRPr="00C22565">
        <w:rPr>
          <w:rFonts w:cs="Arial"/>
          <w:lang w:val="bg-BG"/>
        </w:rPr>
        <w:t>, which carried out mass privatisations of a number of strategic national companies. This saves the British economy from total collapse and, at the same time, gives new impetus and impetus to companies such as British Petroleum. On the other hand, in Asia and a number of African countries, such as Libya, there is a completely opposite process of maintaining the private property. This plays a significant role in the life of the company by drastically reducing access to local markets and, most importantly, reducing access to valuable raw materials - crude oil.</w:t>
      </w:r>
    </w:p>
    <w:p w14:paraId="5DFBF530" w14:textId="77777777" w:rsidR="00C22565" w:rsidRPr="00C22565" w:rsidRDefault="00C22565" w:rsidP="0072629E">
      <w:pPr>
        <w:spacing w:after="0" w:line="360" w:lineRule="auto"/>
        <w:jc w:val="both"/>
        <w:rPr>
          <w:rFonts w:cs="Arial"/>
          <w:lang w:val="bg-BG"/>
        </w:rPr>
      </w:pPr>
      <w:r w:rsidRPr="00C22565">
        <w:rPr>
          <w:rFonts w:cs="Arial"/>
          <w:lang w:val="bg-BG"/>
        </w:rPr>
        <w:t>Based on the importance of the crude oil resource and its importance for the company's main activity, we must take into account the fact that internationality arises from the presence of different countries in which there are deposits. Not surprisingly, the company has American involvement, as many deposits have been discovered in Alaska. The difficulty for the company arises from the fact that each US state has its own governance policy. Alaska is no exception.</w:t>
      </w:r>
    </w:p>
    <w:p w14:paraId="7E862C0F" w14:textId="6D516B5F" w:rsidR="006E6905" w:rsidRPr="00457249" w:rsidRDefault="00C22565" w:rsidP="00457249">
      <w:pPr>
        <w:spacing w:line="360" w:lineRule="auto"/>
        <w:jc w:val="both"/>
        <w:rPr>
          <w:rFonts w:cs="Arial"/>
        </w:rPr>
      </w:pPr>
      <w:r w:rsidRPr="00C22565">
        <w:rPr>
          <w:rFonts w:cs="Arial"/>
        </w:rPr>
        <w:t xml:space="preserve">In general, it can be said that the company BP Plc is international in nature, as a large part of its structure is scattered literally around the world. However, the company itself manages to </w:t>
      </w:r>
      <w:r w:rsidRPr="00C22565">
        <w:rPr>
          <w:rFonts w:cs="Arial"/>
        </w:rPr>
        <w:lastRenderedPageBreak/>
        <w:t>manage its assets in a very successful way, and its presence is noticeable and recognisable around the world.</w:t>
      </w:r>
    </w:p>
    <w:p w14:paraId="4026B088" w14:textId="7C554A7C" w:rsidR="00C22565" w:rsidRPr="00ED6C38" w:rsidRDefault="00C22565" w:rsidP="00ED6C38">
      <w:pPr>
        <w:pStyle w:val="Heading1"/>
      </w:pPr>
      <w:bookmarkStart w:id="3" w:name="_Toc102145599"/>
      <w:bookmarkStart w:id="4" w:name="_Toc102912887"/>
      <w:r w:rsidRPr="00ED6C38">
        <w:t>BP Corporation’s sources of finance</w:t>
      </w:r>
      <w:bookmarkEnd w:id="3"/>
      <w:r w:rsidR="00ED6C38">
        <w:t xml:space="preserve"> – </w:t>
      </w:r>
      <w:proofErr w:type="spellStart"/>
      <w:r w:rsidR="00ED6C38">
        <w:t>Rumyan</w:t>
      </w:r>
      <w:proofErr w:type="spellEnd"/>
      <w:r w:rsidR="00ED6C38">
        <w:t xml:space="preserve"> </w:t>
      </w:r>
      <w:proofErr w:type="spellStart"/>
      <w:r w:rsidR="00ED6C38">
        <w:t>Zarankov</w:t>
      </w:r>
      <w:proofErr w:type="spellEnd"/>
      <w:r w:rsidR="00ED6C38">
        <w:t xml:space="preserve"> (1913489)</w:t>
      </w:r>
      <w:bookmarkEnd w:id="4"/>
    </w:p>
    <w:p w14:paraId="237CFE96" w14:textId="58CA96AA" w:rsidR="00C22565" w:rsidRPr="00C22565" w:rsidRDefault="00C22565" w:rsidP="00C22565">
      <w:pPr>
        <w:spacing w:line="360" w:lineRule="auto"/>
        <w:jc w:val="both"/>
        <w:rPr>
          <w:rFonts w:eastAsia="Times New Roman" w:cs="Arial"/>
          <w:color w:val="000000"/>
          <w:lang w:eastAsia="en-GB"/>
        </w:rPr>
      </w:pPr>
      <w:r w:rsidRPr="00C22565">
        <w:rPr>
          <w:rFonts w:cs="Arial"/>
        </w:rPr>
        <w:t>It has already become clear that BP Plc is a Multinational Company. This suggests that its sources of finance stem from many different financial flows</w:t>
      </w:r>
      <w:r w:rsidRPr="00C22565">
        <w:rPr>
          <w:rFonts w:cs="Arial"/>
          <w:lang w:val="bg-BG"/>
        </w:rPr>
        <w:t xml:space="preserve"> </w:t>
      </w:r>
      <w:r w:rsidRPr="00C22565">
        <w:rPr>
          <w:rFonts w:eastAsia="Times New Roman" w:cs="Arial"/>
          <w:color w:val="000000"/>
          <w:lang w:eastAsia="en-GB"/>
        </w:rPr>
        <w:t>(</w:t>
      </w:r>
      <w:proofErr w:type="spellStart"/>
      <w:r w:rsidRPr="00C22565">
        <w:rPr>
          <w:rFonts w:eastAsia="Times New Roman" w:cs="Arial"/>
          <w:color w:val="000000"/>
          <w:lang w:eastAsia="en-GB"/>
        </w:rPr>
        <w:t>Eun</w:t>
      </w:r>
      <w:proofErr w:type="spellEnd"/>
      <w:r w:rsidRPr="00C22565">
        <w:rPr>
          <w:rFonts w:eastAsia="Times New Roman" w:cs="Arial"/>
          <w:color w:val="000000"/>
          <w:lang w:eastAsia="en-GB"/>
        </w:rPr>
        <w:t xml:space="preserve"> and Resnick, 2015)</w:t>
      </w:r>
      <w:r w:rsidRPr="00C22565">
        <w:rPr>
          <w:rFonts w:cs="Arial"/>
        </w:rPr>
        <w:t>.</w:t>
      </w:r>
      <w:r w:rsidRPr="00C22565">
        <w:rPr>
          <w:rFonts w:cs="Arial"/>
          <w:lang w:val="bg-BG"/>
        </w:rPr>
        <w:t xml:space="preserve"> Conditionally, the sources of financing of the company can be divided into two main groups. The first is related to the origin of the share capital and in particular, to the amount of equity formed by investors and owners of the company. After all, BP Plc is a joint-stock company built by owners. The company is public and its shares are traded on the London Stock Exchange. Currently, the company's market price can be seen in Figure 2.</w:t>
      </w:r>
      <w:r w:rsidRPr="00C22565">
        <w:rPr>
          <w:rFonts w:cs="Arial"/>
        </w:rPr>
        <w:t xml:space="preserve"> The figure clearly shows that the company's GBS has grown by 28.49% in one year. This is an extremely drastic increase in the capital structure. Especially in a global pandemic. The reasons can be many, but the price of the stock market is directly related to the capital increase of the company's revenues. One GBX is one </w:t>
      </w:r>
      <w:r w:rsidR="00762389" w:rsidRPr="00C22565">
        <w:rPr>
          <w:rFonts w:cs="Arial"/>
        </w:rPr>
        <w:t>penny</w:t>
      </w:r>
      <w:r w:rsidRPr="00C22565">
        <w:rPr>
          <w:rFonts w:cs="Arial"/>
        </w:rPr>
        <w:t xml:space="preserve"> - </w:t>
      </w:r>
      <w:r w:rsidR="00B15C3C" w:rsidRPr="00C22565">
        <w:rPr>
          <w:rFonts w:cs="Arial"/>
        </w:rPr>
        <w:t>i.e.,</w:t>
      </w:r>
      <w:r w:rsidRPr="00C22565">
        <w:rPr>
          <w:rFonts w:cs="Arial"/>
        </w:rPr>
        <w:t xml:space="preserve"> 1/100th of a pound (GBP)</w:t>
      </w:r>
      <w:r w:rsidRPr="00C22565">
        <w:rPr>
          <w:rFonts w:cs="Arial"/>
          <w:color w:val="000000"/>
        </w:rPr>
        <w:t xml:space="preserve"> </w:t>
      </w:r>
      <w:r w:rsidRPr="00C22565">
        <w:rPr>
          <w:rFonts w:eastAsia="Times New Roman" w:cs="Arial"/>
          <w:color w:val="000000"/>
          <w:lang w:eastAsia="en-GB"/>
        </w:rPr>
        <w:t>(</w:t>
      </w:r>
      <w:proofErr w:type="spellStart"/>
      <w:r w:rsidRPr="00C22565">
        <w:rPr>
          <w:rFonts w:eastAsia="Times New Roman" w:cs="Arial"/>
          <w:color w:val="000000"/>
          <w:lang w:eastAsia="en-GB"/>
        </w:rPr>
        <w:t>Tawnsend</w:t>
      </w:r>
      <w:proofErr w:type="spellEnd"/>
      <w:r w:rsidRPr="00C22565">
        <w:rPr>
          <w:rFonts w:eastAsia="Times New Roman" w:cs="Arial"/>
          <w:color w:val="000000"/>
          <w:lang w:eastAsia="en-GB"/>
        </w:rPr>
        <w:t>, 2021)</w:t>
      </w:r>
      <w:r w:rsidRPr="00C22565">
        <w:rPr>
          <w:rFonts w:cs="Arial"/>
        </w:rPr>
        <w:t>. By definition “In</w:t>
      </w:r>
      <w:r w:rsidR="00762389">
        <w:rPr>
          <w:rFonts w:cs="Arial"/>
        </w:rPr>
        <w:t xml:space="preserve"> </w:t>
      </w:r>
      <w:r w:rsidR="00762389">
        <w:t>stocks</w:t>
      </w:r>
      <w:r w:rsidRPr="00C22565">
        <w:rPr>
          <w:rFonts w:cs="Arial"/>
        </w:rPr>
        <w:t xml:space="preserve">, a notation used to indicate that a </w:t>
      </w:r>
      <w:r w:rsidR="00762389">
        <w:t xml:space="preserve">price </w:t>
      </w:r>
      <w:r w:rsidRPr="00C22565">
        <w:rPr>
          <w:rFonts w:cs="Arial"/>
        </w:rPr>
        <w:t xml:space="preserve">is </w:t>
      </w:r>
      <w:r w:rsidR="00762389">
        <w:t xml:space="preserve">quoted </w:t>
      </w:r>
      <w:r w:rsidRPr="00C22565">
        <w:rPr>
          <w:rFonts w:cs="Arial"/>
        </w:rPr>
        <w:t xml:space="preserve">in terms of </w:t>
      </w:r>
      <w:r w:rsidR="00762389">
        <w:t xml:space="preserve">pence </w:t>
      </w:r>
      <w:r w:rsidRPr="00C22565">
        <w:rPr>
          <w:rFonts w:cs="Arial"/>
        </w:rPr>
        <w:t>instead of</w:t>
      </w:r>
      <w:r w:rsidR="00762389">
        <w:t xml:space="preserve"> British pounds</w:t>
      </w:r>
      <w:r w:rsidRPr="00C22565">
        <w:rPr>
          <w:rFonts w:cs="Arial"/>
        </w:rPr>
        <w:t xml:space="preserve">” </w:t>
      </w:r>
      <w:r w:rsidRPr="00C22565">
        <w:rPr>
          <w:rFonts w:eastAsia="Times New Roman" w:cs="Arial"/>
          <w:color w:val="000000"/>
          <w:lang w:eastAsia="en-GB"/>
        </w:rPr>
        <w:t>(Farlex, Inc, 2003).</w:t>
      </w:r>
    </w:p>
    <w:p w14:paraId="0D3F87D4" w14:textId="77777777" w:rsidR="00C22565" w:rsidRPr="00C22565" w:rsidRDefault="00C22565" w:rsidP="00C22565">
      <w:pPr>
        <w:spacing w:line="360" w:lineRule="auto"/>
        <w:jc w:val="both"/>
        <w:rPr>
          <w:rFonts w:eastAsia="Times New Roman" w:cs="Arial"/>
          <w:lang w:eastAsia="en-GB"/>
        </w:rPr>
      </w:pPr>
    </w:p>
    <w:p w14:paraId="594A807E" w14:textId="77777777" w:rsidR="00C22565" w:rsidRPr="00C22565" w:rsidRDefault="00C22565" w:rsidP="00C22565">
      <w:pPr>
        <w:spacing w:line="360" w:lineRule="auto"/>
        <w:jc w:val="both"/>
        <w:rPr>
          <w:rFonts w:cs="Arial"/>
          <w:lang w:val="bg-BG"/>
        </w:rPr>
      </w:pPr>
      <w:r w:rsidRPr="00C22565">
        <w:rPr>
          <w:rFonts w:cs="Arial"/>
          <w:noProof/>
        </w:rPr>
        <w:drawing>
          <wp:inline distT="0" distB="0" distL="0" distR="0" wp14:anchorId="7C648396" wp14:editId="3718FCA4">
            <wp:extent cx="4954807" cy="2976880"/>
            <wp:effectExtent l="133350" t="114300" r="151130" b="16637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rotWithShape="1">
                    <a:blip r:embed="rId10"/>
                    <a:srcRect l="15511" t="41914" r="40527" b="11128"/>
                    <a:stretch/>
                  </pic:blipFill>
                  <pic:spPr bwMode="auto">
                    <a:xfrm>
                      <a:off x="0" y="0"/>
                      <a:ext cx="4964013" cy="298241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1049B4F4" w14:textId="2FC1FC3C" w:rsidR="00C22565" w:rsidRPr="00B15C3C" w:rsidRDefault="00C22565" w:rsidP="00C22565">
      <w:pPr>
        <w:spacing w:line="360" w:lineRule="auto"/>
        <w:jc w:val="both"/>
        <w:rPr>
          <w:rFonts w:cs="Arial"/>
          <w:b/>
          <w:bCs/>
        </w:rPr>
      </w:pPr>
      <w:r w:rsidRPr="00C22565">
        <w:rPr>
          <w:rFonts w:cs="Arial"/>
          <w:b/>
          <w:bCs/>
        </w:rPr>
        <w:t>Figure 2. Presentation of the company on the London Financial Exchange</w:t>
      </w:r>
      <w:r w:rsidRPr="00C22565">
        <w:rPr>
          <w:rFonts w:cs="Arial"/>
        </w:rPr>
        <w:t xml:space="preserve"> </w:t>
      </w:r>
      <w:r w:rsidRPr="00C22565">
        <w:rPr>
          <w:rFonts w:cs="Arial"/>
          <w:lang w:eastAsia="en-GB"/>
        </w:rPr>
        <w:t>(Google Finance, 2022)</w:t>
      </w:r>
    </w:p>
    <w:p w14:paraId="76AFB3CD" w14:textId="77777777" w:rsidR="00C22565" w:rsidRPr="00C22565" w:rsidRDefault="00C22565" w:rsidP="0072629E">
      <w:pPr>
        <w:spacing w:after="0" w:line="360" w:lineRule="auto"/>
        <w:jc w:val="both"/>
        <w:rPr>
          <w:rFonts w:cs="Arial"/>
          <w:lang w:val="bg-BG"/>
        </w:rPr>
      </w:pPr>
      <w:r w:rsidRPr="00C22565">
        <w:rPr>
          <w:rFonts w:cs="Arial"/>
          <w:lang w:val="bg-BG"/>
        </w:rPr>
        <w:lastRenderedPageBreak/>
        <w:t xml:space="preserve">The second major flow of funds that the company uses for its own needs comes from sales revenue and all revenue in general. Figure 3 shows the main sources of funding for the last three years - 2019, 2020, 2021. From the budget presented in this way can be made a number of conclusions about the welfare of the company </w:t>
      </w:r>
      <w:r w:rsidRPr="00C22565">
        <w:rPr>
          <w:rFonts w:cs="Arial"/>
          <w:lang w:eastAsia="en-GB"/>
        </w:rPr>
        <w:t xml:space="preserve">(BP </w:t>
      </w:r>
      <w:proofErr w:type="spellStart"/>
      <w:r w:rsidRPr="00C22565">
        <w:rPr>
          <w:rFonts w:cs="Arial"/>
          <w:lang w:eastAsia="en-GB"/>
        </w:rPr>
        <w:t>p.l.c</w:t>
      </w:r>
      <w:proofErr w:type="spellEnd"/>
      <w:r w:rsidRPr="00C22565">
        <w:rPr>
          <w:rFonts w:cs="Arial"/>
          <w:lang w:eastAsia="en-GB"/>
        </w:rPr>
        <w:t>, 2022)</w:t>
      </w:r>
      <w:r w:rsidRPr="00C22565">
        <w:rPr>
          <w:rFonts w:cs="Arial"/>
          <w:lang w:val="bg-BG"/>
        </w:rPr>
        <w:t xml:space="preserve">. </w:t>
      </w:r>
    </w:p>
    <w:p w14:paraId="4D91C465" w14:textId="77777777" w:rsidR="00C22565" w:rsidRPr="00C22565" w:rsidRDefault="00C22565" w:rsidP="0072629E">
      <w:pPr>
        <w:spacing w:after="0" w:line="360" w:lineRule="auto"/>
        <w:jc w:val="both"/>
        <w:rPr>
          <w:rFonts w:cs="Arial"/>
          <w:lang w:eastAsia="en-GB"/>
        </w:rPr>
      </w:pPr>
      <w:r w:rsidRPr="00C22565">
        <w:rPr>
          <w:rFonts w:cs="Arial"/>
          <w:lang w:eastAsia="en-GB"/>
        </w:rPr>
        <w:t xml:space="preserve">First, </w:t>
      </w:r>
      <w:proofErr w:type="gramStart"/>
      <w:r w:rsidRPr="00C22565">
        <w:rPr>
          <w:rFonts w:cs="Arial"/>
          <w:lang w:eastAsia="en-GB"/>
        </w:rPr>
        <w:t>it is clear that the</w:t>
      </w:r>
      <w:proofErr w:type="gramEnd"/>
      <w:r w:rsidRPr="00C22565">
        <w:rPr>
          <w:rFonts w:cs="Arial"/>
          <w:lang w:eastAsia="en-GB"/>
        </w:rPr>
        <w:t xml:space="preserve"> company has generated for 2021 turnover from sales of its products 157,739 pounds. This looks very good compared to the previous year. For 2020, the company will sell products for 105,944. The difference is 51, 795. The reasons here can be many. In particular, the opinion is maintained that in 2021 the trade in products directly related to transport, such as fuels and lubricants, manages to regain its position from before the start of the pandemic. This becomes clear when we compare 2021 with 2019, which forms a turnover of 159,307 - only 1,568 more for the same indicator.</w:t>
      </w:r>
    </w:p>
    <w:p w14:paraId="6C283985" w14:textId="77777777" w:rsidR="00C22565" w:rsidRPr="00C22565" w:rsidRDefault="00C22565" w:rsidP="00C22565">
      <w:pPr>
        <w:spacing w:line="360" w:lineRule="auto"/>
        <w:jc w:val="both"/>
        <w:rPr>
          <w:rFonts w:cs="Arial"/>
          <w:lang w:eastAsia="en-GB"/>
        </w:rPr>
      </w:pPr>
      <w:r w:rsidRPr="00C22565">
        <w:rPr>
          <w:rFonts w:cs="Arial"/>
          <w:lang w:eastAsia="en-GB"/>
        </w:rPr>
        <w:t xml:space="preserve">In the end, the world was locked, and transport reduced its volumes in 2020 due to the global pandemic of COVID-19, affecting all countries in which the company operates. The rapid recovery is </w:t>
      </w:r>
      <w:proofErr w:type="gramStart"/>
      <w:r w:rsidRPr="00C22565">
        <w:rPr>
          <w:rFonts w:cs="Arial"/>
          <w:lang w:eastAsia="en-GB"/>
        </w:rPr>
        <w:t>due to the fact that</w:t>
      </w:r>
      <w:proofErr w:type="gramEnd"/>
      <w:r w:rsidRPr="00C22565">
        <w:rPr>
          <w:rFonts w:cs="Arial"/>
          <w:lang w:eastAsia="en-GB"/>
        </w:rPr>
        <w:t xml:space="preserve"> transport companies, incl. logistics companies have dramatically increased their turnover. It was literally delivered to every customer's home, and this largely saved the business from a fatal end.</w:t>
      </w:r>
    </w:p>
    <w:p w14:paraId="5E33938F" w14:textId="77777777" w:rsidR="00C22565" w:rsidRPr="00C22565" w:rsidRDefault="00C22565" w:rsidP="00C22565">
      <w:pPr>
        <w:spacing w:line="360" w:lineRule="auto"/>
        <w:jc w:val="both"/>
        <w:rPr>
          <w:rFonts w:cs="Arial"/>
          <w:lang w:val="bg-BG"/>
        </w:rPr>
      </w:pPr>
      <w:r w:rsidRPr="00C22565">
        <w:rPr>
          <w:rFonts w:cs="Arial"/>
          <w:noProof/>
        </w:rPr>
        <w:drawing>
          <wp:inline distT="0" distB="0" distL="0" distR="0" wp14:anchorId="54A0EFD3" wp14:editId="3D1D6019">
            <wp:extent cx="5267960" cy="4080087"/>
            <wp:effectExtent l="133350" t="114300" r="142240" b="168275"/>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rotWithShape="1">
                    <a:blip r:embed="rId11"/>
                    <a:srcRect l="42366" t="16861" r="3391" b="8450"/>
                    <a:stretch/>
                  </pic:blipFill>
                  <pic:spPr bwMode="auto">
                    <a:xfrm>
                      <a:off x="0" y="0"/>
                      <a:ext cx="5272169" cy="408334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259C6DF1" w14:textId="2CDEBC83" w:rsidR="00C22565" w:rsidRPr="00B15C3C" w:rsidRDefault="00C22565" w:rsidP="00B15C3C">
      <w:pPr>
        <w:spacing w:line="360" w:lineRule="auto"/>
        <w:jc w:val="both"/>
        <w:rPr>
          <w:rFonts w:eastAsia="Times New Roman" w:cs="Arial"/>
          <w:b/>
          <w:bCs/>
          <w:color w:val="000000"/>
          <w:lang w:eastAsia="en-GB"/>
        </w:rPr>
      </w:pPr>
      <w:r w:rsidRPr="00C22565">
        <w:rPr>
          <w:rFonts w:eastAsia="Times New Roman" w:cs="Arial"/>
          <w:b/>
          <w:bCs/>
          <w:color w:val="000000"/>
          <w:lang w:eastAsia="en-GB"/>
        </w:rPr>
        <w:t>Figure 3. Group Income Statement</w:t>
      </w:r>
      <w:r w:rsidR="00B15C3C">
        <w:rPr>
          <w:rFonts w:eastAsia="Times New Roman" w:cs="Arial"/>
          <w:b/>
          <w:bCs/>
          <w:color w:val="000000"/>
          <w:lang w:eastAsia="en-GB"/>
        </w:rPr>
        <w:t xml:space="preserve"> </w:t>
      </w:r>
      <w:r w:rsidRPr="00C22565">
        <w:rPr>
          <w:rFonts w:eastAsia="Times New Roman" w:cs="Arial"/>
          <w:color w:val="000000"/>
          <w:lang w:eastAsia="en-GB"/>
        </w:rPr>
        <w:t xml:space="preserve">(BP </w:t>
      </w:r>
      <w:proofErr w:type="spellStart"/>
      <w:r w:rsidRPr="00C22565">
        <w:rPr>
          <w:rFonts w:eastAsia="Times New Roman" w:cs="Arial"/>
          <w:color w:val="000000"/>
          <w:lang w:eastAsia="en-GB"/>
        </w:rPr>
        <w:t>p.l.c</w:t>
      </w:r>
      <w:proofErr w:type="spellEnd"/>
      <w:r w:rsidRPr="00C22565">
        <w:rPr>
          <w:rFonts w:eastAsia="Times New Roman" w:cs="Arial"/>
          <w:color w:val="000000"/>
          <w:lang w:eastAsia="en-GB"/>
        </w:rPr>
        <w:t>, 2022)</w:t>
      </w:r>
    </w:p>
    <w:p w14:paraId="7D327FD4" w14:textId="77777777" w:rsidR="00C22565" w:rsidRPr="00C22565" w:rsidRDefault="00C22565" w:rsidP="006708A9">
      <w:pPr>
        <w:spacing w:after="0" w:line="360" w:lineRule="auto"/>
        <w:jc w:val="both"/>
        <w:rPr>
          <w:rFonts w:cs="Arial"/>
          <w:lang w:val="bg-BG" w:eastAsia="en-GB"/>
        </w:rPr>
      </w:pPr>
      <w:r w:rsidRPr="00C22565">
        <w:rPr>
          <w:rFonts w:cs="Arial"/>
          <w:lang w:val="bg-BG" w:eastAsia="en-GB"/>
        </w:rPr>
        <w:lastRenderedPageBreak/>
        <w:t>The second indicator that should be commented on and made an impression is the amount of total income. It is again evident that in 2021. the company has a total profitability of 164,195, which compared to the previous year, gives an increase of 55, 117 - for 2020. the total profitability of the company was 109,078. The specific reason also hides the growing circumstance that in 2021 the intensified movement of people will begin and the restrictive measures imposed by the Ministry of Health of the United Kingdom, again related to the Covid-19 virus, will be thawed to some extent. Another major reason for this fact is the drastic increase in Earnings from associates - after interest and tax, from a loss in 2019 of - (101) to reach 3,456 in 2021.</w:t>
      </w:r>
    </w:p>
    <w:p w14:paraId="155EDA95" w14:textId="77777777" w:rsidR="00C22565" w:rsidRPr="00C22565" w:rsidRDefault="00C22565" w:rsidP="006708A9">
      <w:pPr>
        <w:spacing w:after="0" w:line="360" w:lineRule="auto"/>
        <w:jc w:val="both"/>
        <w:rPr>
          <w:rFonts w:cs="Arial"/>
          <w:lang w:val="bg-BG" w:eastAsia="en-GB"/>
        </w:rPr>
      </w:pPr>
      <w:r w:rsidRPr="00C22565">
        <w:rPr>
          <w:rFonts w:cs="Arial"/>
          <w:lang w:val="bg-BG" w:eastAsia="en-GB"/>
        </w:rPr>
        <w:t>It is surprising that despite lower sales in 2021 compared to 2019, the company managed to generate a total profit before taxes and interest of 18,082 for 2021. Compared to 2019 where this figure is 11,706. Possible reasons lie in the increased revenue again from Earnings from associates - after interest and tax. It is generally established that despite the crises in recent years - the company remains a leading leader in the production of its products and fully manages to maintain its profit levels.</w:t>
      </w:r>
    </w:p>
    <w:p w14:paraId="2285D09D" w14:textId="1F5DA26D" w:rsidR="00C22565" w:rsidRPr="00ED6C38" w:rsidRDefault="00C22565" w:rsidP="00ED6C38">
      <w:pPr>
        <w:pStyle w:val="Heading1"/>
      </w:pPr>
      <w:bookmarkStart w:id="5" w:name="_Toc102145600"/>
      <w:bookmarkStart w:id="6" w:name="_Toc102912888"/>
      <w:r w:rsidRPr="00ED6C38">
        <w:t>BP Corporation’s capital structure</w:t>
      </w:r>
      <w:bookmarkEnd w:id="5"/>
      <w:r w:rsidRPr="00ED6C38">
        <w:t xml:space="preserve"> </w:t>
      </w:r>
      <w:r w:rsidR="00ED6C38">
        <w:t xml:space="preserve">– Grigor </w:t>
      </w:r>
      <w:proofErr w:type="spellStart"/>
      <w:r w:rsidR="00ED6C38">
        <w:t>Zarankov</w:t>
      </w:r>
      <w:proofErr w:type="spellEnd"/>
      <w:r w:rsidR="00ED6C38">
        <w:t xml:space="preserve"> (1914055)</w:t>
      </w:r>
      <w:bookmarkEnd w:id="6"/>
    </w:p>
    <w:p w14:paraId="02A0E9AF" w14:textId="77777777" w:rsidR="00C22565" w:rsidRPr="00C22565" w:rsidRDefault="00C22565" w:rsidP="00C22565">
      <w:pPr>
        <w:spacing w:line="360" w:lineRule="auto"/>
        <w:jc w:val="both"/>
        <w:rPr>
          <w:rFonts w:cs="Arial"/>
          <w:lang w:val="bg-BG"/>
        </w:rPr>
      </w:pPr>
      <w:r w:rsidRPr="00C22565">
        <w:rPr>
          <w:rFonts w:cs="Arial"/>
        </w:rPr>
        <w:t xml:space="preserve">The sources of financing are usually presented as a capital structure in the balance sheet positions of the company. For example, if a company's debt increases, then that debt will play a significant role in the capital structure. Again, as a rule, the company's equity is a set of share capital - quite often, it is called share capital, reserves that are set aside for future periods and the nature of the financial result expressed as profit or loss from the current year </w:t>
      </w:r>
      <w:r w:rsidRPr="00C22565">
        <w:rPr>
          <w:rFonts w:eastAsia="Times New Roman" w:cs="Arial"/>
          <w:color w:val="000000"/>
          <w:lang w:eastAsia="en-GB"/>
        </w:rPr>
        <w:t>(CFI, 2015)</w:t>
      </w:r>
      <w:r w:rsidRPr="00C22565">
        <w:rPr>
          <w:rFonts w:cs="Arial"/>
        </w:rPr>
        <w:t>.</w:t>
      </w:r>
      <w:r w:rsidRPr="00C22565">
        <w:rPr>
          <w:rFonts w:cs="Arial"/>
          <w:lang w:val="bg-BG"/>
        </w:rPr>
        <w:t xml:space="preserve"> The overall idea of the capital structure can be seen in Figure 4. The figure presents the content side of the capital structure, and in order to reveal the content, its elements must be considered in detail. </w:t>
      </w:r>
    </w:p>
    <w:p w14:paraId="72319F76" w14:textId="77777777" w:rsidR="00C22565" w:rsidRPr="00C22565" w:rsidRDefault="00C22565" w:rsidP="00C22565">
      <w:pPr>
        <w:spacing w:line="360" w:lineRule="auto"/>
        <w:jc w:val="both"/>
        <w:rPr>
          <w:rFonts w:eastAsia="Times New Roman" w:cs="Arial"/>
          <w:color w:val="000000"/>
          <w:lang w:eastAsia="en-GB"/>
        </w:rPr>
      </w:pPr>
      <w:r w:rsidRPr="00C22565">
        <w:rPr>
          <w:rFonts w:cs="Arial"/>
          <w:noProof/>
        </w:rPr>
        <w:drawing>
          <wp:inline distT="0" distB="0" distL="0" distR="0" wp14:anchorId="2AFC6EE2" wp14:editId="313698BD">
            <wp:extent cx="3053080" cy="1935480"/>
            <wp:effectExtent l="152400" t="114300" r="128270" b="160020"/>
            <wp:docPr id="6" name="Picture 6"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treemap chart&#10;&#10;Description automatically generated"/>
                    <pic:cNvPicPr/>
                  </pic:nvPicPr>
                  <pic:blipFill rotWithShape="1">
                    <a:blip r:embed="rId12"/>
                    <a:srcRect l="23310" t="31829" r="23421" b="8136"/>
                    <a:stretch/>
                  </pic:blipFill>
                  <pic:spPr bwMode="auto">
                    <a:xfrm>
                      <a:off x="0" y="0"/>
                      <a:ext cx="3053080" cy="19354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19C4CA86" w14:textId="74F62394" w:rsidR="00C22565" w:rsidRPr="00B15C3C" w:rsidRDefault="00C22565" w:rsidP="00B15C3C">
      <w:pPr>
        <w:spacing w:line="360" w:lineRule="auto"/>
        <w:jc w:val="both"/>
        <w:rPr>
          <w:rFonts w:cs="Arial"/>
          <w:b/>
          <w:bCs/>
        </w:rPr>
      </w:pPr>
      <w:r w:rsidRPr="00C22565">
        <w:rPr>
          <w:rFonts w:cs="Arial"/>
          <w:b/>
          <w:bCs/>
        </w:rPr>
        <w:t>Figure 4. Capital Structure</w:t>
      </w:r>
      <w:r w:rsidR="00B15C3C">
        <w:rPr>
          <w:rFonts w:cs="Arial"/>
          <w:b/>
          <w:bCs/>
        </w:rPr>
        <w:t xml:space="preserve"> </w:t>
      </w:r>
      <w:r w:rsidRPr="00C22565">
        <w:rPr>
          <w:rFonts w:eastAsia="Times New Roman" w:cs="Arial"/>
          <w:color w:val="000000"/>
          <w:lang w:eastAsia="en-GB"/>
        </w:rPr>
        <w:t>(CFI, 2015)</w:t>
      </w:r>
    </w:p>
    <w:p w14:paraId="2D9A39BE" w14:textId="77777777" w:rsidR="00C22565" w:rsidRPr="00C22565" w:rsidRDefault="00C22565" w:rsidP="006708A9">
      <w:pPr>
        <w:spacing w:after="0" w:line="360" w:lineRule="auto"/>
        <w:jc w:val="both"/>
        <w:rPr>
          <w:rFonts w:cs="Arial"/>
          <w:lang w:eastAsia="en-GB"/>
        </w:rPr>
      </w:pPr>
      <w:r w:rsidRPr="00C22565">
        <w:rPr>
          <w:rFonts w:cs="Arial"/>
          <w:lang w:val="bg-BG" w:eastAsia="en-GB"/>
        </w:rPr>
        <w:lastRenderedPageBreak/>
        <w:t xml:space="preserve">The ratio between equity and debt capital forms the appearance of the capital structure. If the equity increases, its ratio to the borrowed capital decreases, which often leads to an increase in interest rates on loans. If we look at the figure we will understand how things are in more detail in </w:t>
      </w:r>
      <w:r w:rsidRPr="00C22565">
        <w:rPr>
          <w:rFonts w:cs="Arial"/>
          <w:lang w:eastAsia="en-GB"/>
        </w:rPr>
        <w:t>BP</w:t>
      </w:r>
      <w:r w:rsidRPr="00C22565">
        <w:rPr>
          <w:rFonts w:cs="Arial"/>
          <w:lang w:val="bg-BG" w:eastAsia="en-GB"/>
        </w:rPr>
        <w:t xml:space="preserve"> Plc.</w:t>
      </w:r>
      <w:r w:rsidRPr="00C22565">
        <w:rPr>
          <w:rFonts w:cs="Arial"/>
          <w:lang w:eastAsia="en-GB"/>
        </w:rPr>
        <w:t xml:space="preserve"> The figure presents a report for three consecutive years - 2019, 2020, 2021, and was again published in millions of dollars.</w:t>
      </w:r>
    </w:p>
    <w:p w14:paraId="10A5F74E" w14:textId="77777777" w:rsidR="00C22565" w:rsidRPr="00C22565" w:rsidRDefault="00C22565" w:rsidP="006708A9">
      <w:pPr>
        <w:spacing w:after="0" w:line="360" w:lineRule="auto"/>
        <w:jc w:val="both"/>
        <w:rPr>
          <w:rFonts w:cs="Arial"/>
          <w:lang w:val="bg-BG" w:eastAsia="en-GB"/>
        </w:rPr>
      </w:pPr>
      <w:proofErr w:type="gramStart"/>
      <w:r w:rsidRPr="00C22565">
        <w:rPr>
          <w:rFonts w:cs="Arial"/>
          <w:lang w:eastAsia="en-GB"/>
        </w:rPr>
        <w:t>First of all</w:t>
      </w:r>
      <w:proofErr w:type="gramEnd"/>
      <w:r w:rsidRPr="00C22565">
        <w:rPr>
          <w:rFonts w:cs="Arial"/>
          <w:lang w:eastAsia="en-GB"/>
        </w:rPr>
        <w:t>, it is clear that the amount of liabilities, including sales is growing dramatically in 2021.</w:t>
      </w:r>
      <w:r w:rsidRPr="00C22565">
        <w:rPr>
          <w:rFonts w:cs="Arial"/>
          <w:lang w:val="bg-BG" w:eastAsia="en-GB"/>
        </w:rPr>
        <w:t xml:space="preserve"> On the other hand, profits are also growing due to the fact that in 2021 the so-called "Net impairment and losses on sale of businesses and fixed assets". Even this amount becomes a negative value – 1,121</w:t>
      </w:r>
      <w:r w:rsidRPr="00C22565">
        <w:rPr>
          <w:rFonts w:cs="Arial"/>
          <w:lang w:eastAsia="en-GB"/>
        </w:rPr>
        <w:t xml:space="preserve"> – see Figure 5</w:t>
      </w:r>
      <w:r w:rsidRPr="00C22565">
        <w:rPr>
          <w:rFonts w:cs="Arial"/>
          <w:lang w:val="bg-BG" w:eastAsia="en-GB"/>
        </w:rPr>
        <w:t>.</w:t>
      </w:r>
    </w:p>
    <w:p w14:paraId="4A0D378A" w14:textId="77777777" w:rsidR="00C22565" w:rsidRPr="00C22565" w:rsidRDefault="00C22565" w:rsidP="00C22565">
      <w:pPr>
        <w:spacing w:line="360" w:lineRule="auto"/>
        <w:jc w:val="both"/>
        <w:rPr>
          <w:rFonts w:cs="Arial"/>
          <w:lang w:eastAsia="en-GB"/>
        </w:rPr>
      </w:pPr>
      <w:r w:rsidRPr="00C22565">
        <w:rPr>
          <w:rFonts w:cs="Arial"/>
          <w:noProof/>
        </w:rPr>
        <w:drawing>
          <wp:inline distT="0" distB="0" distL="0" distR="0" wp14:anchorId="168E4CD3" wp14:editId="6C25FD09">
            <wp:extent cx="5342528" cy="3916680"/>
            <wp:effectExtent l="133350" t="114300" r="144145" b="16002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rotWithShape="1">
                    <a:blip r:embed="rId13"/>
                    <a:srcRect l="42809" t="20012" r="3391" b="9868"/>
                    <a:stretch/>
                  </pic:blipFill>
                  <pic:spPr bwMode="auto">
                    <a:xfrm>
                      <a:off x="0" y="0"/>
                      <a:ext cx="5350284" cy="392236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5DD5CE1B" w14:textId="13A52AA5" w:rsidR="00C22565" w:rsidRPr="00B15C3C" w:rsidRDefault="00C22565" w:rsidP="00B15C3C">
      <w:pPr>
        <w:spacing w:line="360" w:lineRule="auto"/>
        <w:jc w:val="both"/>
        <w:rPr>
          <w:rFonts w:cs="Arial"/>
          <w:b/>
          <w:bCs/>
        </w:rPr>
      </w:pPr>
      <w:r w:rsidRPr="00C22565">
        <w:rPr>
          <w:rFonts w:cs="Arial"/>
          <w:b/>
          <w:bCs/>
        </w:rPr>
        <w:t>Figure</w:t>
      </w:r>
      <w:r w:rsidRPr="00C22565">
        <w:rPr>
          <w:rFonts w:cs="Arial"/>
          <w:b/>
          <w:bCs/>
          <w:lang w:val="bg-BG"/>
        </w:rPr>
        <w:t xml:space="preserve"> 5</w:t>
      </w:r>
      <w:r w:rsidRPr="00C22565">
        <w:rPr>
          <w:rFonts w:cs="Arial"/>
          <w:b/>
          <w:bCs/>
        </w:rPr>
        <w:t>. Group Income Statement</w:t>
      </w:r>
      <w:r w:rsidR="00B15C3C">
        <w:rPr>
          <w:rFonts w:cs="Arial"/>
          <w:b/>
          <w:bCs/>
        </w:rPr>
        <w:t xml:space="preserve"> </w:t>
      </w:r>
      <w:r w:rsidRPr="00C22565">
        <w:rPr>
          <w:rFonts w:eastAsia="Times New Roman" w:cs="Arial"/>
          <w:color w:val="000000"/>
          <w:lang w:eastAsia="en-GB"/>
        </w:rPr>
        <w:t xml:space="preserve">(BP </w:t>
      </w:r>
      <w:proofErr w:type="spellStart"/>
      <w:r w:rsidRPr="00C22565">
        <w:rPr>
          <w:rFonts w:eastAsia="Times New Roman" w:cs="Arial"/>
          <w:color w:val="000000"/>
          <w:lang w:eastAsia="en-GB"/>
        </w:rPr>
        <w:t>p.l.c</w:t>
      </w:r>
      <w:proofErr w:type="spellEnd"/>
      <w:r w:rsidRPr="00C22565">
        <w:rPr>
          <w:rFonts w:eastAsia="Times New Roman" w:cs="Arial"/>
          <w:color w:val="000000"/>
          <w:lang w:eastAsia="en-GB"/>
        </w:rPr>
        <w:t>, 2022)</w:t>
      </w:r>
    </w:p>
    <w:p w14:paraId="6E50B8A6" w14:textId="675C978F" w:rsidR="00C22565" w:rsidRPr="00C22565" w:rsidRDefault="00C22565" w:rsidP="006708A9">
      <w:pPr>
        <w:spacing w:after="0" w:line="360" w:lineRule="auto"/>
        <w:jc w:val="both"/>
        <w:rPr>
          <w:rFonts w:eastAsia="Times New Roman" w:cs="Arial"/>
          <w:color w:val="000000"/>
          <w:lang w:val="bg-BG" w:eastAsia="en-GB"/>
        </w:rPr>
      </w:pPr>
      <w:r w:rsidRPr="00C22565">
        <w:rPr>
          <w:rFonts w:cs="Arial"/>
        </w:rPr>
        <w:t xml:space="preserve">One of broader used definition of this coefficient is “Solvency ratios indicate a company's </w:t>
      </w:r>
      <w:hyperlink r:id="rId14" w:history="1"/>
      <w:r w:rsidRPr="00C22565">
        <w:rPr>
          <w:rFonts w:cs="Arial"/>
        </w:rPr>
        <w:t xml:space="preserve"> in the context of its debt obligations” </w:t>
      </w:r>
      <w:r w:rsidRPr="00C22565">
        <w:rPr>
          <w:rFonts w:eastAsia="Times New Roman" w:cs="Arial"/>
          <w:color w:val="000000"/>
          <w:lang w:eastAsia="en-GB"/>
        </w:rPr>
        <w:t>(</w:t>
      </w:r>
      <w:proofErr w:type="spellStart"/>
      <w:r w:rsidRPr="00C22565">
        <w:rPr>
          <w:rFonts w:eastAsia="Times New Roman" w:cs="Arial"/>
          <w:color w:val="000000"/>
          <w:lang w:eastAsia="en-GB"/>
        </w:rPr>
        <w:t>Dotdash</w:t>
      </w:r>
      <w:proofErr w:type="spellEnd"/>
      <w:r w:rsidRPr="00C22565">
        <w:rPr>
          <w:rFonts w:eastAsia="Times New Roman" w:cs="Arial"/>
          <w:color w:val="000000"/>
          <w:lang w:eastAsia="en-GB"/>
        </w:rPr>
        <w:t xml:space="preserve"> Meredith, 2019). A relationship between long-term debt and equity is required </w:t>
      </w:r>
      <w:r w:rsidR="00762389" w:rsidRPr="00C22565">
        <w:rPr>
          <w:rFonts w:eastAsia="Times New Roman" w:cs="Arial"/>
          <w:color w:val="000000"/>
          <w:lang w:eastAsia="en-GB"/>
        </w:rPr>
        <w:t>in</w:t>
      </w:r>
      <w:r w:rsidRPr="00C22565">
        <w:rPr>
          <w:rFonts w:eastAsia="Times New Roman" w:cs="Arial"/>
          <w:color w:val="000000"/>
          <w:lang w:eastAsia="en-GB"/>
        </w:rPr>
        <w:t xml:space="preserve"> this case, the data in Figure 6 will be used.</w:t>
      </w:r>
      <w:r w:rsidRPr="00C22565">
        <w:rPr>
          <w:rFonts w:eastAsia="Times New Roman" w:cs="Arial"/>
          <w:color w:val="000000"/>
          <w:lang w:val="bg-BG" w:eastAsia="en-GB"/>
        </w:rPr>
        <w:t xml:space="preserve"> A quick look at the table shows that the long-term debt for 2021 was 55,619. For comparison, for the previous year it was 63,305. This reduction in debt shows that the company's overall financial health is increasing. Moreover, the amount of equity also increases from 85,568 in 2020. at 90,439 in 2021. Due to many factors such as increased profit from operating activities. It is logical to take into account that the calculation of the ratio between the two quantities will show the </w:t>
      </w:r>
      <w:r w:rsidRPr="00C22565">
        <w:rPr>
          <w:rFonts w:eastAsia="Times New Roman" w:cs="Arial"/>
          <w:color w:val="000000"/>
          <w:lang w:val="bg-BG" w:eastAsia="en-GB"/>
        </w:rPr>
        <w:lastRenderedPageBreak/>
        <w:t>following results. For 2021, the debt-to-equity ratio was 0.61, while the same ratio a year earlier was 0.73. The reduction of this indicator is a good indicator of the company's financial stability.</w:t>
      </w:r>
    </w:p>
    <w:p w14:paraId="29C8A627" w14:textId="77777777" w:rsidR="00C22565" w:rsidRPr="00C22565" w:rsidRDefault="00C22565" w:rsidP="006708A9">
      <w:pPr>
        <w:spacing w:after="0" w:line="360" w:lineRule="auto"/>
        <w:jc w:val="both"/>
        <w:rPr>
          <w:rFonts w:eastAsia="Times New Roman" w:cs="Arial"/>
          <w:color w:val="000000"/>
          <w:lang w:eastAsia="en-GB"/>
        </w:rPr>
      </w:pPr>
      <w:r w:rsidRPr="00C22565">
        <w:rPr>
          <w:rFonts w:cs="Arial"/>
          <w:lang w:val="bg-BG" w:eastAsia="en-GB"/>
        </w:rPr>
        <w:t>Another widely used indicator that reveals the capital structure is the ratio of costs to the company's assets</w:t>
      </w:r>
      <w:r w:rsidRPr="00C22565">
        <w:rPr>
          <w:rFonts w:cs="Arial"/>
          <w:lang w:eastAsia="en-GB"/>
        </w:rPr>
        <w:t xml:space="preserve"> (Velez-Pareja and </w:t>
      </w:r>
      <w:proofErr w:type="spellStart"/>
      <w:r w:rsidRPr="00C22565">
        <w:rPr>
          <w:rFonts w:cs="Arial"/>
          <w:lang w:eastAsia="en-GB"/>
        </w:rPr>
        <w:t>Tham</w:t>
      </w:r>
      <w:proofErr w:type="spellEnd"/>
      <w:r w:rsidRPr="00C22565">
        <w:rPr>
          <w:rFonts w:cs="Arial"/>
          <w:lang w:eastAsia="en-GB"/>
        </w:rPr>
        <w:t>, 2010)</w:t>
      </w:r>
      <w:r w:rsidRPr="00C22565">
        <w:rPr>
          <w:rFonts w:cs="Arial"/>
          <w:lang w:val="bg-BG" w:eastAsia="en-GB"/>
        </w:rPr>
        <w:t>. This is an indicator that is calculated directly in percentages. For 2021, the company had 2.03% after taxes</w:t>
      </w:r>
      <w:r w:rsidRPr="00C22565">
        <w:rPr>
          <w:rFonts w:cs="Arial"/>
          <w:lang w:eastAsia="en-GB"/>
        </w:rPr>
        <w:t xml:space="preserve"> </w:t>
      </w:r>
      <w:r w:rsidRPr="00C22565">
        <w:rPr>
          <w:rFonts w:eastAsia="Times New Roman" w:cs="Arial"/>
          <w:color w:val="000000"/>
          <w:lang w:eastAsia="en-GB"/>
        </w:rPr>
        <w:t xml:space="preserve">(Financial </w:t>
      </w:r>
      <w:proofErr w:type="spellStart"/>
      <w:r w:rsidRPr="00C22565">
        <w:rPr>
          <w:rFonts w:eastAsia="Times New Roman" w:cs="Arial"/>
          <w:color w:val="000000"/>
          <w:lang w:eastAsia="en-GB"/>
        </w:rPr>
        <w:t>Modeling</w:t>
      </w:r>
      <w:proofErr w:type="spellEnd"/>
      <w:r w:rsidRPr="00C22565">
        <w:rPr>
          <w:rFonts w:eastAsia="Times New Roman" w:cs="Arial"/>
          <w:color w:val="000000"/>
          <w:lang w:eastAsia="en-GB"/>
        </w:rPr>
        <w:t xml:space="preserve"> Prep, 2022)</w:t>
      </w:r>
      <w:r w:rsidRPr="00C22565">
        <w:rPr>
          <w:rFonts w:cs="Arial"/>
          <w:lang w:val="bg-BG" w:eastAsia="en-GB"/>
        </w:rPr>
        <w:t>. This means that</w:t>
      </w:r>
      <w:r w:rsidRPr="00C22565">
        <w:rPr>
          <w:rFonts w:cs="Arial"/>
          <w:lang w:eastAsia="en-GB"/>
        </w:rPr>
        <w:t xml:space="preserve"> investors will receive nearly two percent return on their investment in 2021.</w:t>
      </w:r>
    </w:p>
    <w:p w14:paraId="119AE4BC" w14:textId="77777777" w:rsidR="00C22565" w:rsidRPr="00C22565" w:rsidRDefault="00C22565" w:rsidP="00C22565">
      <w:pPr>
        <w:spacing w:line="360" w:lineRule="auto"/>
        <w:jc w:val="both"/>
        <w:rPr>
          <w:rFonts w:eastAsia="Times New Roman" w:cs="Arial"/>
          <w:color w:val="000000"/>
          <w:lang w:val="bg-BG" w:eastAsia="en-GB"/>
        </w:rPr>
      </w:pPr>
      <w:r w:rsidRPr="00C22565">
        <w:rPr>
          <w:rFonts w:cs="Arial"/>
          <w:noProof/>
        </w:rPr>
        <w:drawing>
          <wp:inline distT="0" distB="0" distL="0" distR="0" wp14:anchorId="08693FEE" wp14:editId="48C6321A">
            <wp:extent cx="5461000" cy="6389370"/>
            <wp:effectExtent l="133350" t="114300" r="139700" b="16383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rotWithShape="1">
                    <a:blip r:embed="rId15"/>
                    <a:srcRect l="19765" t="20170" r="44782" b="6086"/>
                    <a:stretch/>
                  </pic:blipFill>
                  <pic:spPr bwMode="auto">
                    <a:xfrm>
                      <a:off x="0" y="0"/>
                      <a:ext cx="5464690" cy="639368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56E8783E" w14:textId="7F7FCF48" w:rsidR="00C22565" w:rsidRPr="00B15C3C" w:rsidRDefault="00C22565" w:rsidP="00C22565">
      <w:pPr>
        <w:spacing w:line="360" w:lineRule="auto"/>
        <w:jc w:val="both"/>
        <w:rPr>
          <w:rFonts w:cs="Arial"/>
          <w:b/>
          <w:bCs/>
        </w:rPr>
      </w:pPr>
      <w:r w:rsidRPr="00C22565">
        <w:rPr>
          <w:rFonts w:cs="Arial"/>
          <w:b/>
          <w:bCs/>
        </w:rPr>
        <w:lastRenderedPageBreak/>
        <w:t xml:space="preserve">Figure 6. Group Balance </w:t>
      </w:r>
      <w:proofErr w:type="gramStart"/>
      <w:r w:rsidRPr="00C22565">
        <w:rPr>
          <w:rFonts w:cs="Arial"/>
          <w:b/>
          <w:bCs/>
        </w:rPr>
        <w:t>Sheet</w:t>
      </w:r>
      <w:r w:rsidR="00B15C3C">
        <w:rPr>
          <w:rFonts w:cs="Arial"/>
          <w:b/>
          <w:bCs/>
        </w:rPr>
        <w:t xml:space="preserve"> </w:t>
      </w:r>
      <w:r w:rsidRPr="00C22565">
        <w:rPr>
          <w:rFonts w:cs="Arial"/>
        </w:rPr>
        <w:t xml:space="preserve"> </w:t>
      </w:r>
      <w:r w:rsidRPr="00C22565">
        <w:rPr>
          <w:rFonts w:eastAsia="Times New Roman" w:cs="Arial"/>
          <w:color w:val="000000"/>
          <w:lang w:eastAsia="en-GB"/>
        </w:rPr>
        <w:t>(</w:t>
      </w:r>
      <w:proofErr w:type="gramEnd"/>
      <w:r w:rsidRPr="00C22565">
        <w:rPr>
          <w:rFonts w:eastAsia="Times New Roman" w:cs="Arial"/>
          <w:color w:val="000000"/>
          <w:lang w:eastAsia="en-GB"/>
        </w:rPr>
        <w:t xml:space="preserve">BP </w:t>
      </w:r>
      <w:proofErr w:type="spellStart"/>
      <w:r w:rsidRPr="00C22565">
        <w:rPr>
          <w:rFonts w:eastAsia="Times New Roman" w:cs="Arial"/>
          <w:color w:val="000000"/>
          <w:lang w:eastAsia="en-GB"/>
        </w:rPr>
        <w:t>p.l.c</w:t>
      </w:r>
      <w:proofErr w:type="spellEnd"/>
      <w:r w:rsidRPr="00C22565">
        <w:rPr>
          <w:rFonts w:eastAsia="Times New Roman" w:cs="Arial"/>
          <w:color w:val="000000"/>
          <w:lang w:eastAsia="en-GB"/>
        </w:rPr>
        <w:t>, 2022)</w:t>
      </w:r>
    </w:p>
    <w:p w14:paraId="2170C3E4" w14:textId="041B3BC1" w:rsidR="00C22565" w:rsidRPr="00C22565" w:rsidRDefault="00C22565" w:rsidP="006E6905">
      <w:pPr>
        <w:spacing w:line="360" w:lineRule="auto"/>
        <w:jc w:val="both"/>
        <w:rPr>
          <w:rFonts w:cs="Arial"/>
          <w:lang w:eastAsia="en-GB"/>
        </w:rPr>
      </w:pPr>
      <w:r w:rsidRPr="00C22565">
        <w:rPr>
          <w:rFonts w:cs="Arial"/>
          <w:lang w:eastAsia="en-GB"/>
        </w:rPr>
        <w:t>Another main indicator of the enterprise's capital structure is the ratio of equity to total liabilities. This ratio is called the solvency ratio. For 2021 the amount of equity was 90,439, while for the same indicator the previous year the figures show 85,568. The total amount of liabilities for 2021 of the company amounted to 196,833 and in 2020 were 182,086. The following data is obtained by calculating the solvency ratio. For 2021 - 0.46% or this represents the ratio of 90.439 / 196.833. For 2020 - 0.47 or this represents the ratio between 85,568 / 182,086. The figures show that the situation is almost the same and the company covers less than half of its liabilities.</w:t>
      </w:r>
    </w:p>
    <w:p w14:paraId="7E17B6CD" w14:textId="19E3CFD1" w:rsidR="00C22565" w:rsidRPr="006E6905" w:rsidRDefault="006E6905" w:rsidP="006E6905">
      <w:pPr>
        <w:pStyle w:val="Heading1"/>
      </w:pPr>
      <w:bookmarkStart w:id="7" w:name="_Toc102145601"/>
      <w:bookmarkStart w:id="8" w:name="_Toc102912889"/>
      <w:r>
        <w:t>H</w:t>
      </w:r>
      <w:r w:rsidR="00C22565" w:rsidRPr="006E6905">
        <w:t>ow BP Corporation manages and controls their working capital</w:t>
      </w:r>
      <w:bookmarkEnd w:id="7"/>
      <w:r>
        <w:t xml:space="preserve"> – Nadya </w:t>
      </w:r>
      <w:proofErr w:type="spellStart"/>
      <w:r>
        <w:t>Zarankova</w:t>
      </w:r>
      <w:proofErr w:type="spellEnd"/>
      <w:r>
        <w:t xml:space="preserve"> (1914056)</w:t>
      </w:r>
      <w:bookmarkEnd w:id="8"/>
    </w:p>
    <w:p w14:paraId="3FFEC314" w14:textId="77777777" w:rsidR="00C22565" w:rsidRPr="00C22565" w:rsidRDefault="00C22565" w:rsidP="00C22565">
      <w:pPr>
        <w:spacing w:line="360" w:lineRule="auto"/>
        <w:jc w:val="both"/>
        <w:rPr>
          <w:rFonts w:cs="Arial"/>
        </w:rPr>
      </w:pPr>
      <w:r w:rsidRPr="00C22565">
        <w:rPr>
          <w:rFonts w:cs="Arial"/>
          <w:lang w:val="bg-BG"/>
        </w:rPr>
        <w:t>In the scientific literature, working capital is often borrowed from the current assets of the enterprise. In order to understand the nature of working capital, it is necessary</w:t>
      </w:r>
      <w:r w:rsidRPr="00C22565">
        <w:rPr>
          <w:rFonts w:cs="Arial"/>
        </w:rPr>
        <w:t xml:space="preserve"> firstly</w:t>
      </w:r>
      <w:r w:rsidRPr="00C22565">
        <w:rPr>
          <w:rFonts w:cs="Arial"/>
          <w:lang w:val="bg-BG"/>
        </w:rPr>
        <w:t xml:space="preserve"> to characterise these assets of the enterprise and then calculate the Net amount of current capital. </w:t>
      </w:r>
      <w:r w:rsidRPr="00C22565">
        <w:rPr>
          <w:rFonts w:eastAsia="Times New Roman" w:cs="Arial"/>
          <w:color w:val="000000"/>
          <w:lang w:eastAsia="en-GB"/>
        </w:rPr>
        <w:t>(Brigham and Houston, 2009)</w:t>
      </w:r>
      <w:r w:rsidRPr="00C22565">
        <w:rPr>
          <w:rFonts w:cs="Arial"/>
          <w:lang w:val="bg-BG"/>
        </w:rPr>
        <w:t>.</w:t>
      </w:r>
      <w:r w:rsidRPr="00C22565">
        <w:rPr>
          <w:rFonts w:cs="Arial"/>
        </w:rPr>
        <w:t xml:space="preserve"> Starting with the structure of current assets. Current assets are those assets whose life is within one year. They could be seen in Figure 7. </w:t>
      </w:r>
    </w:p>
    <w:p w14:paraId="2B8EB9FF" w14:textId="77777777" w:rsidR="00C22565" w:rsidRPr="00C22565" w:rsidRDefault="00C22565" w:rsidP="00C22565">
      <w:pPr>
        <w:spacing w:line="360" w:lineRule="auto"/>
        <w:jc w:val="both"/>
        <w:rPr>
          <w:rFonts w:eastAsia="Times New Roman" w:cs="Arial"/>
          <w:color w:val="000000"/>
          <w:lang w:val="bg-BG" w:eastAsia="en-GB"/>
        </w:rPr>
      </w:pPr>
      <w:r w:rsidRPr="00C22565">
        <w:rPr>
          <w:rFonts w:cs="Arial"/>
          <w:noProof/>
        </w:rPr>
        <w:drawing>
          <wp:inline distT="0" distB="0" distL="0" distR="0" wp14:anchorId="767CE276" wp14:editId="3008D2F6">
            <wp:extent cx="5668084" cy="1164590"/>
            <wp:effectExtent l="171450" t="171450" r="370840" b="35941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rotWithShape="1">
                    <a:blip r:embed="rId16"/>
                    <a:srcRect l="16219" t="60352" r="2682" b="10025"/>
                    <a:stretch/>
                  </pic:blipFill>
                  <pic:spPr bwMode="auto">
                    <a:xfrm>
                      <a:off x="0" y="0"/>
                      <a:ext cx="5673122" cy="1165625"/>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28545AA4" w14:textId="1CB5116A" w:rsidR="00C22565" w:rsidRPr="00B15C3C" w:rsidRDefault="00C22565" w:rsidP="00B15C3C">
      <w:pPr>
        <w:spacing w:line="360" w:lineRule="auto"/>
        <w:jc w:val="both"/>
        <w:rPr>
          <w:rFonts w:eastAsia="Times New Roman" w:cs="Arial"/>
          <w:b/>
          <w:bCs/>
          <w:color w:val="000000"/>
          <w:lang w:eastAsia="en-GB"/>
        </w:rPr>
      </w:pPr>
      <w:r w:rsidRPr="00C22565">
        <w:rPr>
          <w:rFonts w:eastAsia="Times New Roman" w:cs="Arial"/>
          <w:b/>
          <w:bCs/>
          <w:color w:val="000000"/>
          <w:lang w:eastAsia="en-GB"/>
        </w:rPr>
        <w:t>Figure 7. Current assets of BP Plc</w:t>
      </w:r>
      <w:r w:rsidR="00B15C3C">
        <w:rPr>
          <w:rFonts w:eastAsia="Times New Roman" w:cs="Arial"/>
          <w:b/>
          <w:bCs/>
          <w:color w:val="000000"/>
          <w:lang w:eastAsia="en-GB"/>
        </w:rPr>
        <w:t xml:space="preserve"> </w:t>
      </w:r>
      <w:r w:rsidRPr="00C22565">
        <w:rPr>
          <w:rFonts w:eastAsia="Times New Roman" w:cs="Arial"/>
          <w:color w:val="000000"/>
          <w:lang w:eastAsia="en-GB"/>
        </w:rPr>
        <w:t xml:space="preserve">(BP </w:t>
      </w:r>
      <w:proofErr w:type="spellStart"/>
      <w:r w:rsidRPr="00C22565">
        <w:rPr>
          <w:rFonts w:eastAsia="Times New Roman" w:cs="Arial"/>
          <w:color w:val="000000"/>
          <w:lang w:eastAsia="en-GB"/>
        </w:rPr>
        <w:t>p.l.c</w:t>
      </w:r>
      <w:proofErr w:type="spellEnd"/>
      <w:r w:rsidRPr="00C22565">
        <w:rPr>
          <w:rFonts w:eastAsia="Times New Roman" w:cs="Arial"/>
          <w:color w:val="000000"/>
          <w:lang w:eastAsia="en-GB"/>
        </w:rPr>
        <w:t>, 2022)</w:t>
      </w:r>
    </w:p>
    <w:p w14:paraId="47261EE4" w14:textId="77777777" w:rsidR="00C22565" w:rsidRPr="00C22565" w:rsidRDefault="00C22565" w:rsidP="00C22565">
      <w:pPr>
        <w:spacing w:line="360" w:lineRule="auto"/>
        <w:jc w:val="both"/>
        <w:rPr>
          <w:rFonts w:cs="Arial"/>
          <w:lang w:val="bg-BG" w:eastAsia="en-GB"/>
        </w:rPr>
      </w:pPr>
      <w:r w:rsidRPr="00C22565">
        <w:rPr>
          <w:rFonts w:cs="Arial"/>
          <w:lang w:val="bg-BG" w:eastAsia="en-GB"/>
        </w:rPr>
        <w:t>As can be seen from Figure 7, the company's current assets are presented for 2021 and 2021. The following is noted:</w:t>
      </w:r>
    </w:p>
    <w:p w14:paraId="1C7BFE73" w14:textId="48EADAB7" w:rsidR="00C22565" w:rsidRPr="006E6905" w:rsidRDefault="006E6905" w:rsidP="006E6905">
      <w:pPr>
        <w:pStyle w:val="ListParagraph"/>
        <w:numPr>
          <w:ilvl w:val="0"/>
          <w:numId w:val="1"/>
        </w:numPr>
        <w:spacing w:line="360" w:lineRule="auto"/>
        <w:jc w:val="both"/>
        <w:rPr>
          <w:rFonts w:cs="Arial"/>
          <w:lang w:val="bg-BG" w:eastAsia="en-GB"/>
        </w:rPr>
      </w:pPr>
      <w:r>
        <w:rPr>
          <w:rFonts w:cs="Arial"/>
          <w:lang w:eastAsia="en-GB"/>
        </w:rPr>
        <w:t>T</w:t>
      </w:r>
      <w:r w:rsidR="00C22565" w:rsidRPr="006E6905">
        <w:rPr>
          <w:rFonts w:cs="Arial"/>
          <w:lang w:val="bg-BG" w:eastAsia="en-GB"/>
        </w:rPr>
        <w:t>here is a reduction in the amount of short-term loans. In principle, loans are in the liabilities section of the balance sheet, but in this case, they are perceived as short-term assets because they are in nature a quick liquid asset to invest and cover losses when needed.</w:t>
      </w:r>
    </w:p>
    <w:p w14:paraId="5BDD51A6" w14:textId="3FA32EDD" w:rsidR="00C22565" w:rsidRPr="006E6905" w:rsidRDefault="006E6905" w:rsidP="006E6905">
      <w:pPr>
        <w:pStyle w:val="ListParagraph"/>
        <w:numPr>
          <w:ilvl w:val="0"/>
          <w:numId w:val="1"/>
        </w:numPr>
        <w:spacing w:line="360" w:lineRule="auto"/>
        <w:jc w:val="both"/>
        <w:rPr>
          <w:rFonts w:cs="Arial"/>
          <w:lang w:val="bg-BG" w:eastAsia="en-GB"/>
        </w:rPr>
      </w:pPr>
      <w:r>
        <w:rPr>
          <w:rFonts w:cs="Arial"/>
          <w:lang w:eastAsia="en-GB"/>
        </w:rPr>
        <w:t>T</w:t>
      </w:r>
      <w:r w:rsidR="00C22565" w:rsidRPr="006E6905">
        <w:rPr>
          <w:rFonts w:cs="Arial"/>
          <w:lang w:val="bg-BG" w:eastAsia="en-GB"/>
        </w:rPr>
        <w:t xml:space="preserve">he volume of available inventory has increased and the reasons for this can be many. For example, it may be a work of new products that have not been marketed. Another </w:t>
      </w:r>
      <w:r w:rsidR="00C22565" w:rsidRPr="006E6905">
        <w:rPr>
          <w:rFonts w:cs="Arial"/>
          <w:lang w:val="bg-BG" w:eastAsia="en-GB"/>
        </w:rPr>
        <w:lastRenderedPageBreak/>
        <w:t>reason for the increase is the reduced sales of the company's products in the previous year due to the global pandemic.</w:t>
      </w:r>
    </w:p>
    <w:p w14:paraId="54923F45" w14:textId="5D88E5E3" w:rsidR="00C22565" w:rsidRPr="006E6905" w:rsidRDefault="00C22565" w:rsidP="006E6905">
      <w:pPr>
        <w:pStyle w:val="ListParagraph"/>
        <w:numPr>
          <w:ilvl w:val="0"/>
          <w:numId w:val="1"/>
        </w:numPr>
        <w:spacing w:line="360" w:lineRule="auto"/>
        <w:jc w:val="both"/>
        <w:rPr>
          <w:rFonts w:cs="Arial"/>
          <w:lang w:val="bg-BG" w:eastAsia="en-GB"/>
        </w:rPr>
      </w:pPr>
      <w:r w:rsidRPr="006E6905">
        <w:rPr>
          <w:rFonts w:cs="Arial"/>
          <w:lang w:val="bg-BG" w:eastAsia="en-GB"/>
        </w:rPr>
        <w:t>It is good news to state the fact that money has been collected from prepaid goods. This increases the company's reputation as a reliable partner in the trade of petroleum products.</w:t>
      </w:r>
    </w:p>
    <w:p w14:paraId="09921E79" w14:textId="716CD7A4" w:rsidR="00C22565" w:rsidRPr="006E6905" w:rsidRDefault="006E6905" w:rsidP="006E6905">
      <w:pPr>
        <w:pStyle w:val="ListParagraph"/>
        <w:numPr>
          <w:ilvl w:val="0"/>
          <w:numId w:val="1"/>
        </w:numPr>
        <w:spacing w:line="360" w:lineRule="auto"/>
        <w:jc w:val="both"/>
        <w:rPr>
          <w:rFonts w:cs="Arial"/>
          <w:lang w:val="bg-BG" w:eastAsia="en-GB"/>
        </w:rPr>
      </w:pPr>
      <w:r>
        <w:rPr>
          <w:rFonts w:cs="Arial"/>
          <w:lang w:eastAsia="en-GB"/>
        </w:rPr>
        <w:t>It</w:t>
      </w:r>
      <w:r w:rsidR="00C22565" w:rsidRPr="006E6905">
        <w:rPr>
          <w:rFonts w:cs="Arial"/>
          <w:lang w:val="bg-BG" w:eastAsia="en-GB"/>
        </w:rPr>
        <w:t xml:space="preserve"> is observed that cash payments have decreased. The main reason for this is the fact that during the pandemic, the world's population was literally warned to use as little cash as possible in terms of payments. Card payment services were stimulated and there was a rise in a number of non-banking institutions.</w:t>
      </w:r>
    </w:p>
    <w:p w14:paraId="45A7CAB8" w14:textId="77777777" w:rsidR="00C22565" w:rsidRPr="00C22565" w:rsidRDefault="00C22565" w:rsidP="00C22565">
      <w:pPr>
        <w:spacing w:line="360" w:lineRule="auto"/>
        <w:jc w:val="both"/>
        <w:rPr>
          <w:rFonts w:cs="Arial"/>
          <w:lang w:eastAsia="en-GB"/>
        </w:rPr>
      </w:pPr>
      <w:r w:rsidRPr="00C22565">
        <w:rPr>
          <w:rFonts w:cs="Arial"/>
          <w:lang w:eastAsia="en-GB"/>
        </w:rPr>
        <w:t>Secondly, the result between current assets and current liabilities should be calculated. The result can be two-way:</w:t>
      </w:r>
    </w:p>
    <w:p w14:paraId="5118C89D" w14:textId="6154322F" w:rsidR="00C22565" w:rsidRPr="006E6905" w:rsidRDefault="006E6905" w:rsidP="006E6905">
      <w:pPr>
        <w:pStyle w:val="ListParagraph"/>
        <w:numPr>
          <w:ilvl w:val="0"/>
          <w:numId w:val="3"/>
        </w:numPr>
        <w:spacing w:line="360" w:lineRule="auto"/>
        <w:jc w:val="both"/>
        <w:rPr>
          <w:rFonts w:cs="Arial"/>
          <w:lang w:eastAsia="en-GB"/>
        </w:rPr>
      </w:pPr>
      <w:r>
        <w:rPr>
          <w:rFonts w:cs="Arial"/>
          <w:lang w:eastAsia="en-GB"/>
        </w:rPr>
        <w:t>T</w:t>
      </w:r>
      <w:r w:rsidR="00C22565" w:rsidRPr="006E6905">
        <w:rPr>
          <w:rFonts w:cs="Arial"/>
          <w:lang w:eastAsia="en-GB"/>
        </w:rPr>
        <w:t xml:space="preserve">he first option - is we have a positive value. This means that current assets exceed current liabilities, and the company can cover its short-term </w:t>
      </w:r>
      <w:r w:rsidRPr="006E6905">
        <w:rPr>
          <w:rFonts w:cs="Arial"/>
          <w:lang w:eastAsia="en-GB"/>
        </w:rPr>
        <w:t>liabilities.</w:t>
      </w:r>
    </w:p>
    <w:p w14:paraId="3ED50BB9" w14:textId="14E0F8AD" w:rsidR="00C22565" w:rsidRPr="006E6905" w:rsidRDefault="006E6905" w:rsidP="006E6905">
      <w:pPr>
        <w:pStyle w:val="ListParagraph"/>
        <w:numPr>
          <w:ilvl w:val="0"/>
          <w:numId w:val="3"/>
        </w:numPr>
        <w:spacing w:line="360" w:lineRule="auto"/>
        <w:jc w:val="both"/>
        <w:rPr>
          <w:rFonts w:cs="Arial"/>
          <w:lang w:eastAsia="en-GB"/>
        </w:rPr>
      </w:pPr>
      <w:r>
        <w:rPr>
          <w:rFonts w:cs="Arial"/>
          <w:lang w:eastAsia="en-GB"/>
        </w:rPr>
        <w:t>T</w:t>
      </w:r>
      <w:r w:rsidR="00C22565" w:rsidRPr="006E6905">
        <w:rPr>
          <w:rFonts w:cs="Arial"/>
          <w:lang w:eastAsia="en-GB"/>
        </w:rPr>
        <w:t xml:space="preserve">he second option - we have a negative value. This means that current liabilities exceed current </w:t>
      </w:r>
      <w:r w:rsidRPr="006E6905">
        <w:rPr>
          <w:rFonts w:cs="Arial"/>
          <w:lang w:eastAsia="en-GB"/>
        </w:rPr>
        <w:t>assets,</w:t>
      </w:r>
      <w:r w:rsidR="00C22565" w:rsidRPr="006E6905">
        <w:rPr>
          <w:rFonts w:cs="Arial"/>
          <w:lang w:eastAsia="en-GB"/>
        </w:rPr>
        <w:t xml:space="preserve"> and the company cannot repay its short-term liabilities for a certain </w:t>
      </w:r>
      <w:proofErr w:type="gramStart"/>
      <w:r w:rsidR="00C22565" w:rsidRPr="006E6905">
        <w:rPr>
          <w:rFonts w:cs="Arial"/>
          <w:lang w:eastAsia="en-GB"/>
        </w:rPr>
        <w:t>period of time</w:t>
      </w:r>
      <w:proofErr w:type="gramEnd"/>
      <w:r w:rsidR="00C22565" w:rsidRPr="006E6905">
        <w:rPr>
          <w:rFonts w:cs="Arial"/>
          <w:lang w:eastAsia="en-GB"/>
        </w:rPr>
        <w:t>.</w:t>
      </w:r>
    </w:p>
    <w:p w14:paraId="0E2F8623" w14:textId="77777777" w:rsidR="00C22565" w:rsidRPr="00C22565" w:rsidRDefault="00C22565" w:rsidP="00C22565">
      <w:pPr>
        <w:spacing w:line="360" w:lineRule="auto"/>
        <w:jc w:val="both"/>
        <w:rPr>
          <w:rFonts w:cs="Arial"/>
          <w:lang w:eastAsia="en-GB"/>
        </w:rPr>
      </w:pPr>
      <w:proofErr w:type="gramStart"/>
      <w:r w:rsidRPr="00C22565">
        <w:rPr>
          <w:rFonts w:cs="Arial"/>
          <w:lang w:eastAsia="en-GB"/>
        </w:rPr>
        <w:t>In order to</w:t>
      </w:r>
      <w:proofErr w:type="gramEnd"/>
      <w:r w:rsidRPr="00C22565">
        <w:rPr>
          <w:rFonts w:cs="Arial"/>
          <w:lang w:eastAsia="en-GB"/>
        </w:rPr>
        <w:t xml:space="preserve"> calculate this ratio, the structure of current liabilities must be presented. This structure is presented in Figure 8.</w:t>
      </w:r>
    </w:p>
    <w:p w14:paraId="50399C98" w14:textId="77777777" w:rsidR="00C22565" w:rsidRPr="00C22565" w:rsidRDefault="00C22565" w:rsidP="00C22565">
      <w:pPr>
        <w:spacing w:line="360" w:lineRule="auto"/>
        <w:jc w:val="both"/>
        <w:rPr>
          <w:rFonts w:cs="Arial"/>
          <w:lang w:eastAsia="en-GB"/>
        </w:rPr>
      </w:pPr>
      <w:r w:rsidRPr="00C22565">
        <w:rPr>
          <w:rFonts w:cs="Arial"/>
          <w:noProof/>
        </w:rPr>
        <w:drawing>
          <wp:inline distT="0" distB="0" distL="0" distR="0" wp14:anchorId="5D91F837" wp14:editId="43EC2F72">
            <wp:extent cx="5843039" cy="1122680"/>
            <wp:effectExtent l="0" t="0" r="5715" b="127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rotWithShape="1">
                    <a:blip r:embed="rId17"/>
                    <a:srcRect l="16309" t="43490" r="2503" b="30190"/>
                    <a:stretch/>
                  </pic:blipFill>
                  <pic:spPr bwMode="auto">
                    <a:xfrm>
                      <a:off x="0" y="0"/>
                      <a:ext cx="5851796" cy="1124362"/>
                    </a:xfrm>
                    <a:prstGeom prst="rect">
                      <a:avLst/>
                    </a:prstGeom>
                    <a:ln>
                      <a:noFill/>
                    </a:ln>
                    <a:extLst>
                      <a:ext uri="{53640926-AAD7-44D8-BBD7-CCE9431645EC}">
                        <a14:shadowObscured xmlns:a14="http://schemas.microsoft.com/office/drawing/2010/main"/>
                      </a:ext>
                    </a:extLst>
                  </pic:spPr>
                </pic:pic>
              </a:graphicData>
            </a:graphic>
          </wp:inline>
        </w:drawing>
      </w:r>
    </w:p>
    <w:p w14:paraId="2AB2A599" w14:textId="2467FEFE" w:rsidR="00C22565" w:rsidRPr="00B15C3C" w:rsidRDefault="00C22565" w:rsidP="00C22565">
      <w:pPr>
        <w:spacing w:line="360" w:lineRule="auto"/>
        <w:jc w:val="both"/>
        <w:rPr>
          <w:rFonts w:cs="Arial"/>
          <w:b/>
          <w:bCs/>
          <w:lang w:eastAsia="en-GB"/>
        </w:rPr>
      </w:pPr>
      <w:r w:rsidRPr="00C22565">
        <w:rPr>
          <w:rFonts w:cs="Arial"/>
          <w:b/>
          <w:bCs/>
          <w:lang w:eastAsia="en-GB"/>
        </w:rPr>
        <w:t>Figure 8. Current liabilities</w:t>
      </w:r>
      <w:r w:rsidR="00B15C3C">
        <w:rPr>
          <w:rFonts w:cs="Arial"/>
          <w:b/>
          <w:bCs/>
          <w:lang w:eastAsia="en-GB"/>
        </w:rPr>
        <w:t xml:space="preserve"> </w:t>
      </w:r>
      <w:r w:rsidRPr="00C22565">
        <w:rPr>
          <w:rFonts w:eastAsia="Times New Roman" w:cs="Arial"/>
          <w:color w:val="000000"/>
          <w:lang w:eastAsia="en-GB"/>
        </w:rPr>
        <w:t xml:space="preserve">(BP </w:t>
      </w:r>
      <w:proofErr w:type="spellStart"/>
      <w:r w:rsidRPr="00C22565">
        <w:rPr>
          <w:rFonts w:eastAsia="Times New Roman" w:cs="Arial"/>
          <w:color w:val="000000"/>
          <w:lang w:eastAsia="en-GB"/>
        </w:rPr>
        <w:t>p.l.c</w:t>
      </w:r>
      <w:proofErr w:type="spellEnd"/>
      <w:r w:rsidRPr="00C22565">
        <w:rPr>
          <w:rFonts w:eastAsia="Times New Roman" w:cs="Arial"/>
          <w:color w:val="000000"/>
          <w:lang w:eastAsia="en-GB"/>
        </w:rPr>
        <w:t>, 2022)</w:t>
      </w:r>
    </w:p>
    <w:p w14:paraId="22879AD4" w14:textId="77777777" w:rsidR="00C22565" w:rsidRPr="00C22565" w:rsidRDefault="00C22565" w:rsidP="00C22565">
      <w:pPr>
        <w:spacing w:line="360" w:lineRule="auto"/>
        <w:jc w:val="both"/>
        <w:rPr>
          <w:rFonts w:cs="Arial"/>
          <w:lang w:val="bg-BG" w:eastAsia="en-GB"/>
        </w:rPr>
      </w:pPr>
      <w:r w:rsidRPr="00C22565">
        <w:rPr>
          <w:rFonts w:cs="Arial"/>
          <w:lang w:val="bg-BG" w:eastAsia="en-GB"/>
        </w:rPr>
        <w:t>For 2021, the calculations show the following result: current assets (90,938) minus current liabilities (79,928) is equal to 10,010. This means that the value obtained is a positive number and the company in 2021 can cover its short-term liabilities. For 2020, the calculations show the following result: current assets (71,656) minus current liabilities (59,753) is equal to 11,903. This means that the value obtained is a positive number and the company in 2021 can cover its short-term liabilities. Compared in absolute terms, the two years show that despite the increase in short-term assets, the rate of increase in short-term liabilities is such that the absolute value in 2020 is higher. In other words, in 2020, there were more short-term funds available in the company. This is largely due to the global Pavid-19 pandemic and the ensuing recession.</w:t>
      </w:r>
    </w:p>
    <w:p w14:paraId="474B6BFD" w14:textId="77777777" w:rsidR="00C22565" w:rsidRPr="00C22565" w:rsidRDefault="00C22565" w:rsidP="00C22565">
      <w:pPr>
        <w:spacing w:line="360" w:lineRule="auto"/>
        <w:jc w:val="both"/>
        <w:rPr>
          <w:rFonts w:cs="Arial"/>
          <w:lang w:val="bg-BG" w:eastAsia="en-GB"/>
        </w:rPr>
      </w:pPr>
      <w:r w:rsidRPr="00C22565">
        <w:rPr>
          <w:rFonts w:cs="Arial"/>
          <w:lang w:val="bg-BG" w:eastAsia="en-GB"/>
        </w:rPr>
        <w:lastRenderedPageBreak/>
        <w:t>Usually, when there is such a availability of short-term assets, it is possible for the company's management to make several decisions about how to spend these funds. The possible options are:</w:t>
      </w:r>
    </w:p>
    <w:p w14:paraId="337AB2DC" w14:textId="0D7FDA4A" w:rsidR="00C22565" w:rsidRPr="006E6905" w:rsidRDefault="00C22565" w:rsidP="006E6905">
      <w:pPr>
        <w:pStyle w:val="ListParagraph"/>
        <w:numPr>
          <w:ilvl w:val="1"/>
          <w:numId w:val="6"/>
        </w:numPr>
        <w:spacing w:line="360" w:lineRule="auto"/>
        <w:jc w:val="both"/>
        <w:rPr>
          <w:rFonts w:cs="Arial"/>
          <w:lang w:val="bg-BG" w:eastAsia="en-GB"/>
        </w:rPr>
      </w:pPr>
      <w:r w:rsidRPr="006E6905">
        <w:rPr>
          <w:rFonts w:cs="Arial"/>
          <w:lang w:val="bg-BG" w:eastAsia="en-GB"/>
        </w:rPr>
        <w:t>investing in new products or upgrading services;</w:t>
      </w:r>
    </w:p>
    <w:p w14:paraId="052C759F" w14:textId="2E90D7B7" w:rsidR="00C22565" w:rsidRPr="006E6905" w:rsidRDefault="00C22565" w:rsidP="006E6905">
      <w:pPr>
        <w:pStyle w:val="ListParagraph"/>
        <w:numPr>
          <w:ilvl w:val="1"/>
          <w:numId w:val="6"/>
        </w:numPr>
        <w:spacing w:line="360" w:lineRule="auto"/>
        <w:jc w:val="both"/>
        <w:rPr>
          <w:rFonts w:cs="Arial"/>
          <w:lang w:val="bg-BG" w:eastAsia="en-GB"/>
        </w:rPr>
      </w:pPr>
      <w:r w:rsidRPr="006E6905">
        <w:rPr>
          <w:rFonts w:cs="Arial"/>
          <w:lang w:val="bg-BG" w:eastAsia="en-GB"/>
        </w:rPr>
        <w:t>production of additional production to generate profit at a later stage;</w:t>
      </w:r>
    </w:p>
    <w:p w14:paraId="15A9041F" w14:textId="56BB4CD2" w:rsidR="00C22565" w:rsidRPr="006E6905" w:rsidRDefault="00C22565" w:rsidP="006E6905">
      <w:pPr>
        <w:pStyle w:val="ListParagraph"/>
        <w:numPr>
          <w:ilvl w:val="1"/>
          <w:numId w:val="6"/>
        </w:numPr>
        <w:spacing w:line="360" w:lineRule="auto"/>
        <w:jc w:val="both"/>
        <w:rPr>
          <w:rFonts w:cs="Arial"/>
          <w:lang w:val="bg-BG" w:eastAsia="en-GB"/>
        </w:rPr>
      </w:pPr>
      <w:r w:rsidRPr="006E6905">
        <w:rPr>
          <w:rFonts w:cs="Arial"/>
          <w:lang w:val="bg-BG" w:eastAsia="en-GB"/>
        </w:rPr>
        <w:t>covering other liabilities, such as interest on loans, etc .;</w:t>
      </w:r>
    </w:p>
    <w:p w14:paraId="100FC4F3" w14:textId="67910CBA" w:rsidR="00C22565" w:rsidRDefault="00C22565" w:rsidP="006E6905">
      <w:pPr>
        <w:pStyle w:val="ListParagraph"/>
        <w:numPr>
          <w:ilvl w:val="1"/>
          <w:numId w:val="6"/>
        </w:numPr>
        <w:spacing w:line="360" w:lineRule="auto"/>
        <w:jc w:val="both"/>
        <w:rPr>
          <w:rFonts w:cs="Arial"/>
          <w:lang w:val="bg-BG" w:eastAsia="en-GB"/>
        </w:rPr>
      </w:pPr>
      <w:r w:rsidRPr="006E6905">
        <w:rPr>
          <w:rFonts w:cs="Arial"/>
          <w:lang w:val="bg-BG" w:eastAsia="en-GB"/>
        </w:rPr>
        <w:t>distribution of one-time bonuses and rewards.</w:t>
      </w:r>
    </w:p>
    <w:p w14:paraId="06727E1A" w14:textId="77777777" w:rsidR="00457249" w:rsidRDefault="00457249" w:rsidP="00457249">
      <w:pPr>
        <w:pStyle w:val="Heading1"/>
      </w:pPr>
      <w:bookmarkStart w:id="9" w:name="_Toc102912890"/>
      <w:r>
        <w:t xml:space="preserve">How country risks may affect BP’s investment opportunities in host countries – Ion </w:t>
      </w:r>
      <w:proofErr w:type="spellStart"/>
      <w:r>
        <w:t>Duluman</w:t>
      </w:r>
      <w:proofErr w:type="spellEnd"/>
      <w:r>
        <w:t xml:space="preserve"> (1917721)</w:t>
      </w:r>
      <w:bookmarkEnd w:id="9"/>
    </w:p>
    <w:p w14:paraId="715C6224" w14:textId="77777777" w:rsidR="00457249" w:rsidRPr="00E271D8" w:rsidRDefault="00457249" w:rsidP="00560E6D">
      <w:pPr>
        <w:rPr>
          <w:rFonts w:cs="Arial"/>
          <w:b/>
          <w:bCs/>
          <w:i/>
          <w:iCs/>
        </w:rPr>
      </w:pPr>
      <w:bookmarkStart w:id="10" w:name="_Toc101694414"/>
      <w:bookmarkStart w:id="11" w:name="_Toc102722594"/>
      <w:r w:rsidRPr="00E271D8">
        <w:rPr>
          <w:rFonts w:cs="Arial"/>
          <w:b/>
          <w:bCs/>
          <w:i/>
          <w:iCs/>
        </w:rPr>
        <w:t>Range of business at BP</w:t>
      </w:r>
      <w:bookmarkEnd w:id="10"/>
      <w:bookmarkEnd w:id="11"/>
    </w:p>
    <w:p w14:paraId="7D57198A" w14:textId="3A3C8AA5" w:rsidR="00457249" w:rsidRDefault="00457249" w:rsidP="00606E99">
      <w:pPr>
        <w:pStyle w:val="Normal1"/>
        <w:spacing w:line="360" w:lineRule="auto"/>
        <w:jc w:val="both"/>
        <w:rPr>
          <w:rFonts w:ascii="Times New Roman" w:eastAsia="Times New Roman" w:hAnsi="Times New Roman" w:cs="Times New Roman"/>
          <w:sz w:val="24"/>
          <w:szCs w:val="24"/>
          <w:lang w:val="en-GB"/>
        </w:rPr>
      </w:pPr>
      <w:r w:rsidRPr="008A3B4A">
        <w:rPr>
          <w:rFonts w:ascii="Times New Roman" w:eastAsia="Times New Roman" w:hAnsi="Times New Roman" w:cs="Times New Roman"/>
          <w:sz w:val="24"/>
          <w:szCs w:val="24"/>
          <w:lang w:val="en-GB"/>
        </w:rPr>
        <w:t>BP has a range of 4300 miles of p</w:t>
      </w:r>
      <w:r>
        <w:rPr>
          <w:rFonts w:ascii="Times New Roman" w:eastAsia="Times New Roman" w:hAnsi="Times New Roman" w:cs="Times New Roman"/>
          <w:sz w:val="24"/>
          <w:szCs w:val="24"/>
          <w:lang w:val="en-GB"/>
        </w:rPr>
        <w:t>etroleum products pipeline</w:t>
      </w:r>
      <w:r w:rsidRPr="008A3B4A">
        <w:rPr>
          <w:rFonts w:ascii="Times New Roman" w:eastAsia="Times New Roman" w:hAnsi="Times New Roman" w:cs="Times New Roman"/>
          <w:sz w:val="24"/>
          <w:szCs w:val="24"/>
          <w:lang w:val="en-GB"/>
        </w:rPr>
        <w:t xml:space="preserve">s and has extended from Chicago to London with a capacity of 1.1 million barrels of hydrocarbon reserve daily. </w:t>
      </w:r>
      <w:r w:rsidRPr="00606E99">
        <w:rPr>
          <w:rFonts w:ascii="Times New Roman" w:eastAsia="Times New Roman" w:hAnsi="Times New Roman" w:cs="Times New Roman"/>
          <w:sz w:val="24"/>
          <w:szCs w:val="24"/>
          <w:lang w:val="en-GB"/>
        </w:rPr>
        <w:t xml:space="preserve">According to Lu </w:t>
      </w:r>
      <w:r w:rsidRPr="00606E99">
        <w:rPr>
          <w:rFonts w:ascii="Times New Roman" w:eastAsia="Times New Roman" w:hAnsi="Times New Roman" w:cs="Times New Roman"/>
          <w:i/>
          <w:sz w:val="24"/>
          <w:szCs w:val="24"/>
          <w:lang w:val="en-GB"/>
        </w:rPr>
        <w:t xml:space="preserve">et al. </w:t>
      </w:r>
      <w:r w:rsidRPr="00606E99">
        <w:rPr>
          <w:rFonts w:ascii="Times New Roman" w:eastAsia="Times New Roman" w:hAnsi="Times New Roman" w:cs="Times New Roman"/>
          <w:sz w:val="24"/>
          <w:szCs w:val="24"/>
          <w:lang w:val="en-GB"/>
        </w:rPr>
        <w:t>(2019),</w:t>
      </w:r>
      <w:r w:rsidRPr="008A3B4A">
        <w:rPr>
          <w:rFonts w:ascii="Times New Roman" w:eastAsia="Times New Roman" w:hAnsi="Times New Roman" w:cs="Times New Roman"/>
          <w:sz w:val="24"/>
          <w:szCs w:val="24"/>
          <w:lang w:val="en-GB"/>
        </w:rPr>
        <w:t xml:space="preserve"> the company has developed several modern refineries for petroleum products in different regions of the US at Whiting in Indiana</w:t>
      </w:r>
      <w:r>
        <w:rPr>
          <w:rFonts w:ascii="Times New Roman" w:eastAsia="Times New Roman" w:hAnsi="Times New Roman" w:cs="Times New Roman"/>
          <w:sz w:val="24"/>
          <w:szCs w:val="24"/>
          <w:lang w:val="en-GB"/>
        </w:rPr>
        <w:t>,</w:t>
      </w:r>
      <w:r w:rsidRPr="008A3B4A">
        <w:rPr>
          <w:rFonts w:ascii="Times New Roman" w:eastAsia="Times New Roman" w:hAnsi="Times New Roman" w:cs="Times New Roman"/>
          <w:sz w:val="24"/>
          <w:szCs w:val="24"/>
          <w:lang w:val="en-GB"/>
        </w:rPr>
        <w:t xml:space="preserve"> Toledo in </w:t>
      </w:r>
      <w:proofErr w:type="gramStart"/>
      <w:r w:rsidRPr="008A3B4A">
        <w:rPr>
          <w:rFonts w:ascii="Times New Roman" w:eastAsia="Times New Roman" w:hAnsi="Times New Roman" w:cs="Times New Roman"/>
          <w:sz w:val="24"/>
          <w:szCs w:val="24"/>
          <w:lang w:val="en-GB"/>
        </w:rPr>
        <w:t>Ohio</w:t>
      </w:r>
      <w:proofErr w:type="gramEnd"/>
      <w:r w:rsidRPr="008A3B4A">
        <w:rPr>
          <w:rFonts w:ascii="Times New Roman" w:eastAsia="Times New Roman" w:hAnsi="Times New Roman" w:cs="Times New Roman"/>
          <w:sz w:val="24"/>
          <w:szCs w:val="24"/>
          <w:lang w:val="en-GB"/>
        </w:rPr>
        <w:t xml:space="preserve"> and Cherry Point in Washington. It is also in worldwide projects in around eighty countries in Africa and Asia. Their present headquarter is situated in London. </w:t>
      </w:r>
    </w:p>
    <w:p w14:paraId="3F9FBF4C" w14:textId="6E7A9AE7" w:rsidR="00606E99" w:rsidRDefault="00606E99" w:rsidP="00606E99">
      <w:pPr>
        <w:pStyle w:val="Normal1"/>
        <w:spacing w:line="360" w:lineRule="auto"/>
        <w:jc w:val="both"/>
        <w:rPr>
          <w:rFonts w:ascii="Times New Roman" w:eastAsia="Times New Roman" w:hAnsi="Times New Roman" w:cs="Times New Roman"/>
          <w:sz w:val="24"/>
          <w:szCs w:val="24"/>
          <w:lang w:val="en-GB"/>
        </w:rPr>
      </w:pPr>
    </w:p>
    <w:p w14:paraId="61E8E3E5" w14:textId="77777777" w:rsidR="00E271D8" w:rsidRDefault="00606E99" w:rsidP="00E271D8">
      <w:pPr>
        <w:pStyle w:val="Normal1"/>
        <w:spacing w:line="360" w:lineRule="auto"/>
        <w:jc w:val="both"/>
        <w:rPr>
          <w:rFonts w:eastAsia="Times New Roman"/>
          <w:b/>
          <w:bCs/>
          <w:i/>
          <w:iCs/>
          <w:lang w:val="en-GB"/>
        </w:rPr>
      </w:pPr>
      <w:r w:rsidRPr="00E271D8">
        <w:rPr>
          <w:rFonts w:eastAsia="Times New Roman"/>
          <w:b/>
          <w:bCs/>
          <w:i/>
          <w:iCs/>
          <w:lang w:val="en-GB"/>
        </w:rPr>
        <w:t>Risk factors at BP</w:t>
      </w:r>
    </w:p>
    <w:p w14:paraId="567E27FD" w14:textId="2C415865" w:rsidR="00457249" w:rsidRPr="00E271D8" w:rsidRDefault="00457249" w:rsidP="00E271D8">
      <w:pPr>
        <w:pStyle w:val="Normal1"/>
        <w:spacing w:line="360" w:lineRule="auto"/>
        <w:jc w:val="both"/>
        <w:rPr>
          <w:rFonts w:eastAsia="Times New Roman"/>
          <w:b/>
          <w:bCs/>
          <w:i/>
          <w:iCs/>
          <w:lang w:val="en-GB"/>
        </w:rPr>
      </w:pPr>
      <w:r w:rsidRPr="008A3B4A">
        <w:rPr>
          <w:rFonts w:ascii="Times New Roman" w:eastAsia="Times New Roman" w:hAnsi="Times New Roman" w:cs="Times New Roman"/>
          <w:sz w:val="24"/>
          <w:szCs w:val="24"/>
          <w:lang w:val="en-GB"/>
        </w:rPr>
        <w:t xml:space="preserve">There are various risk factors included for the business development of BP. As per </w:t>
      </w:r>
      <w:r w:rsidRPr="00606E99">
        <w:rPr>
          <w:rFonts w:ascii="Times New Roman" w:eastAsia="Times New Roman" w:hAnsi="Times New Roman" w:cs="Times New Roman"/>
          <w:sz w:val="24"/>
          <w:szCs w:val="24"/>
          <w:lang w:val="en-GB"/>
        </w:rPr>
        <w:t>Schwing et al. (2020),</w:t>
      </w:r>
      <w:r>
        <w:rPr>
          <w:rFonts w:ascii="Times New Roman" w:eastAsia="Times New Roman" w:hAnsi="Times New Roman" w:cs="Times New Roman"/>
          <w:sz w:val="24"/>
          <w:szCs w:val="24"/>
          <w:lang w:val="en-GB"/>
        </w:rPr>
        <w:t xml:space="preserve"> the Deepwater Horizon oil spill is a </w:t>
      </w:r>
      <w:r w:rsidR="00E47572">
        <w:rPr>
          <w:rFonts w:ascii="Times New Roman" w:eastAsia="Times New Roman" w:hAnsi="Times New Roman" w:cs="Times New Roman"/>
          <w:sz w:val="24"/>
          <w:szCs w:val="24"/>
          <w:lang w:val="en-GB"/>
        </w:rPr>
        <w:t>record set</w:t>
      </w:r>
      <w:r>
        <w:rPr>
          <w:rFonts w:ascii="Times New Roman" w:eastAsia="Times New Roman" w:hAnsi="Times New Roman" w:cs="Times New Roman"/>
          <w:sz w:val="24"/>
          <w:szCs w:val="24"/>
          <w:lang w:val="en-GB"/>
        </w:rPr>
        <w:t xml:space="preserve"> of an oil spill that</w:t>
      </w:r>
      <w:r w:rsidRPr="008A3B4A">
        <w:rPr>
          <w:rFonts w:ascii="Times New Roman" w:eastAsia="Times New Roman" w:hAnsi="Times New Roman" w:cs="Times New Roman"/>
          <w:sz w:val="24"/>
          <w:szCs w:val="24"/>
          <w:lang w:val="en-GB"/>
        </w:rPr>
        <w:t xml:space="preserve"> caused over 4.9 million barrels to spill in the Gulf of Mexico</w:t>
      </w:r>
      <w:r>
        <w:rPr>
          <w:rFonts w:ascii="Times New Roman" w:eastAsia="Times New Roman" w:hAnsi="Times New Roman" w:cs="Times New Roman"/>
          <w:sz w:val="24"/>
          <w:szCs w:val="24"/>
          <w:lang w:val="en-GB"/>
        </w:rPr>
        <w:t xml:space="preserve"> an</w:t>
      </w:r>
      <w:r w:rsidRPr="008A3B4A">
        <w:rPr>
          <w:rFonts w:ascii="Times New Roman" w:eastAsia="Times New Roman" w:hAnsi="Times New Roman" w:cs="Times New Roman"/>
          <w:sz w:val="24"/>
          <w:szCs w:val="24"/>
          <w:lang w:val="en-GB"/>
        </w:rPr>
        <w:t xml:space="preserve">d has made a significant impact on the economic aspect of the country. It has also affected the ecosystem of the country to a greater extent. </w:t>
      </w:r>
      <w:r w:rsidR="00E47572" w:rsidRPr="008A3B4A">
        <w:rPr>
          <w:rFonts w:ascii="Times New Roman" w:eastAsia="Times New Roman" w:hAnsi="Times New Roman" w:cs="Times New Roman"/>
          <w:sz w:val="24"/>
          <w:szCs w:val="24"/>
          <w:lang w:val="en-GB"/>
        </w:rPr>
        <w:t>BP has</w:t>
      </w:r>
      <w:r w:rsidRPr="008A3B4A">
        <w:rPr>
          <w:rFonts w:ascii="Times New Roman" w:eastAsia="Times New Roman" w:hAnsi="Times New Roman" w:cs="Times New Roman"/>
          <w:sz w:val="24"/>
          <w:szCs w:val="24"/>
          <w:lang w:val="en-GB"/>
        </w:rPr>
        <w:t xml:space="preserve"> taken responsibility for the big blunder caused and initiated to invest heavily in </w:t>
      </w:r>
      <w:r>
        <w:rPr>
          <w:rFonts w:ascii="Times New Roman" w:eastAsia="Times New Roman" w:hAnsi="Times New Roman" w:cs="Times New Roman"/>
          <w:sz w:val="24"/>
          <w:szCs w:val="24"/>
          <w:lang w:val="en-GB"/>
        </w:rPr>
        <w:t>restoring</w:t>
      </w:r>
      <w:r w:rsidRPr="008A3B4A">
        <w:rPr>
          <w:rFonts w:ascii="Times New Roman" w:eastAsia="Times New Roman" w:hAnsi="Times New Roman" w:cs="Times New Roman"/>
          <w:sz w:val="24"/>
          <w:szCs w:val="24"/>
          <w:lang w:val="en-GB"/>
        </w:rPr>
        <w:t xml:space="preserve"> the Gulf of Mexico (</w:t>
      </w:r>
      <w:proofErr w:type="spellStart"/>
      <w:r w:rsidRPr="00606E99">
        <w:rPr>
          <w:rFonts w:ascii="Times New Roman" w:eastAsia="Times New Roman" w:hAnsi="Times New Roman" w:cs="Times New Roman"/>
          <w:sz w:val="24"/>
          <w:szCs w:val="24"/>
          <w:lang w:val="en-GB"/>
        </w:rPr>
        <w:t>Marietou</w:t>
      </w:r>
      <w:proofErr w:type="spellEnd"/>
      <w:r w:rsidRPr="00606E99">
        <w:rPr>
          <w:rFonts w:ascii="Times New Roman" w:eastAsia="Times New Roman" w:hAnsi="Times New Roman" w:cs="Times New Roman"/>
          <w:sz w:val="24"/>
          <w:szCs w:val="24"/>
          <w:lang w:val="en-GB"/>
        </w:rPr>
        <w:t xml:space="preserve"> </w:t>
      </w:r>
      <w:r w:rsidRPr="00606E99">
        <w:rPr>
          <w:rFonts w:ascii="Times New Roman" w:eastAsia="Times New Roman" w:hAnsi="Times New Roman" w:cs="Times New Roman"/>
          <w:i/>
          <w:sz w:val="24"/>
          <w:szCs w:val="24"/>
          <w:lang w:val="en-GB"/>
        </w:rPr>
        <w:t xml:space="preserve">et al. </w:t>
      </w:r>
      <w:r w:rsidRPr="00606E99">
        <w:rPr>
          <w:rFonts w:ascii="Times New Roman" w:eastAsia="Times New Roman" w:hAnsi="Times New Roman" w:cs="Times New Roman"/>
          <w:sz w:val="24"/>
          <w:szCs w:val="24"/>
          <w:lang w:val="en-GB"/>
        </w:rPr>
        <w:t>2018).</w:t>
      </w:r>
      <w:r w:rsidRPr="008A3B4A">
        <w:rPr>
          <w:rFonts w:ascii="Times New Roman" w:eastAsia="Times New Roman" w:hAnsi="Times New Roman" w:cs="Times New Roman"/>
          <w:sz w:val="24"/>
          <w:szCs w:val="24"/>
          <w:lang w:val="en-GB"/>
        </w:rPr>
        <w:t xml:space="preserve"> The shore area of the Gulf has been impacted largely and has accounted for over 18 per cent </w:t>
      </w:r>
      <w:r>
        <w:rPr>
          <w:rFonts w:ascii="Times New Roman" w:eastAsia="Times New Roman" w:hAnsi="Times New Roman" w:cs="Times New Roman"/>
          <w:sz w:val="24"/>
          <w:szCs w:val="24"/>
          <w:lang w:val="en-GB"/>
        </w:rPr>
        <w:t xml:space="preserve">of the </w:t>
      </w:r>
      <w:r w:rsidRPr="008A3B4A">
        <w:rPr>
          <w:rFonts w:ascii="Times New Roman" w:eastAsia="Times New Roman" w:hAnsi="Times New Roman" w:cs="Times New Roman"/>
          <w:sz w:val="24"/>
          <w:szCs w:val="24"/>
          <w:lang w:val="en-GB"/>
        </w:rPr>
        <w:t>loss of commercial seafood in the United States and other countries. The impact on the local area had been huge worth 5.5 billion dollars and a loss of 213,000 jobs. Many kinds of seafood like menhaden, oysters, blue crab</w:t>
      </w:r>
      <w:r>
        <w:rPr>
          <w:rFonts w:ascii="Times New Roman" w:eastAsia="Times New Roman" w:hAnsi="Times New Roman" w:cs="Times New Roman"/>
          <w:sz w:val="24"/>
          <w:szCs w:val="24"/>
          <w:lang w:val="en-GB"/>
        </w:rPr>
        <w:t>, and shrimp</w:t>
      </w:r>
      <w:r w:rsidRPr="008A3B4A">
        <w:rPr>
          <w:rFonts w:ascii="Times New Roman" w:eastAsia="Times New Roman" w:hAnsi="Times New Roman" w:cs="Times New Roman"/>
          <w:sz w:val="24"/>
          <w:szCs w:val="24"/>
          <w:lang w:val="en-GB"/>
        </w:rPr>
        <w:t xml:space="preserve"> have suffered around 550 million dollars. Though BP has taken the initiative in this context, still it has not been enough </w:t>
      </w:r>
      <w:r>
        <w:rPr>
          <w:rFonts w:ascii="Times New Roman" w:eastAsia="Times New Roman" w:hAnsi="Times New Roman" w:cs="Times New Roman"/>
          <w:sz w:val="24"/>
          <w:szCs w:val="24"/>
          <w:lang w:val="en-GB"/>
        </w:rPr>
        <w:t>to restore</w:t>
      </w:r>
      <w:r w:rsidRPr="008A3B4A">
        <w:rPr>
          <w:rFonts w:ascii="Times New Roman" w:eastAsia="Times New Roman" w:hAnsi="Times New Roman" w:cs="Times New Roman"/>
          <w:sz w:val="24"/>
          <w:szCs w:val="24"/>
          <w:lang w:val="en-GB"/>
        </w:rPr>
        <w:t xml:space="preserve"> it to its original state. Several local states have blamed BP for the event and the huge loss of revenue and jobs in the tourism and seafood industry. There have been various impacts on the ecosystem </w:t>
      </w:r>
      <w:r>
        <w:rPr>
          <w:rFonts w:ascii="Times New Roman" w:eastAsia="Times New Roman" w:hAnsi="Times New Roman" w:cs="Times New Roman"/>
          <w:sz w:val="24"/>
          <w:szCs w:val="24"/>
          <w:lang w:val="en-GB"/>
        </w:rPr>
        <w:t>that have degraded and poisoned the seafood by mixing</w:t>
      </w:r>
      <w:r w:rsidRPr="008A3B4A">
        <w:rPr>
          <w:rFonts w:ascii="Times New Roman" w:eastAsia="Times New Roman" w:hAnsi="Times New Roman" w:cs="Times New Roman"/>
          <w:sz w:val="24"/>
          <w:szCs w:val="24"/>
          <w:lang w:val="en-GB"/>
        </w:rPr>
        <w:t xml:space="preserve"> polycyclic hydrocarbons (</w:t>
      </w:r>
      <w:r w:rsidRPr="00606E99">
        <w:rPr>
          <w:rFonts w:ascii="Times New Roman" w:eastAsia="Times New Roman" w:hAnsi="Times New Roman" w:cs="Times New Roman"/>
          <w:sz w:val="24"/>
          <w:szCs w:val="24"/>
          <w:lang w:val="en-GB"/>
        </w:rPr>
        <w:t xml:space="preserve">Sun </w:t>
      </w:r>
      <w:r w:rsidRPr="00606E99">
        <w:rPr>
          <w:rFonts w:ascii="Times New Roman" w:eastAsia="Times New Roman" w:hAnsi="Times New Roman" w:cs="Times New Roman"/>
          <w:i/>
          <w:sz w:val="24"/>
          <w:szCs w:val="24"/>
          <w:lang w:val="en-GB"/>
        </w:rPr>
        <w:t xml:space="preserve">et al., </w:t>
      </w:r>
      <w:r w:rsidRPr="00606E99">
        <w:rPr>
          <w:rFonts w:ascii="Times New Roman" w:eastAsia="Times New Roman" w:hAnsi="Times New Roman" w:cs="Times New Roman"/>
          <w:sz w:val="24"/>
          <w:szCs w:val="24"/>
          <w:lang w:val="en-GB"/>
        </w:rPr>
        <w:t>2018).</w:t>
      </w:r>
      <w:r w:rsidRPr="008A3B4A">
        <w:rPr>
          <w:rFonts w:ascii="Times New Roman" w:eastAsia="Times New Roman" w:hAnsi="Times New Roman" w:cs="Times New Roman"/>
          <w:sz w:val="24"/>
          <w:szCs w:val="24"/>
          <w:lang w:val="en-GB"/>
        </w:rPr>
        <w:t xml:space="preserve"> This accumulation has made </w:t>
      </w:r>
      <w:r w:rsidRPr="008A3B4A">
        <w:rPr>
          <w:rFonts w:ascii="Times New Roman" w:eastAsia="Times New Roman" w:hAnsi="Times New Roman" w:cs="Times New Roman"/>
          <w:sz w:val="24"/>
          <w:szCs w:val="24"/>
          <w:lang w:val="en-GB"/>
        </w:rPr>
        <w:lastRenderedPageBreak/>
        <w:t>marine life inappropriate</w:t>
      </w:r>
      <w:r>
        <w:rPr>
          <w:rFonts w:ascii="Times New Roman" w:eastAsia="Times New Roman" w:hAnsi="Times New Roman" w:cs="Times New Roman"/>
          <w:sz w:val="24"/>
          <w:szCs w:val="24"/>
          <w:lang w:val="en-GB"/>
        </w:rPr>
        <w:t>,</w:t>
      </w:r>
      <w:r w:rsidRPr="008A3B4A">
        <w:rPr>
          <w:rFonts w:ascii="Times New Roman" w:eastAsia="Times New Roman" w:hAnsi="Times New Roman" w:cs="Times New Roman"/>
          <w:sz w:val="24"/>
          <w:szCs w:val="24"/>
          <w:lang w:val="en-GB"/>
        </w:rPr>
        <w:t xml:space="preserve"> and risks are there for various businesses to grow in this region. Many species in the marine region have been affected badly</w:t>
      </w:r>
      <w:r>
        <w:rPr>
          <w:rFonts w:ascii="Times New Roman" w:eastAsia="Times New Roman" w:hAnsi="Times New Roman" w:cs="Times New Roman"/>
          <w:sz w:val="24"/>
          <w:szCs w:val="24"/>
          <w:lang w:val="en-GB"/>
        </w:rPr>
        <w:t>, putting their future lives</w:t>
      </w:r>
      <w:r w:rsidRPr="008A3B4A">
        <w:rPr>
          <w:rFonts w:ascii="Times New Roman" w:eastAsia="Times New Roman" w:hAnsi="Times New Roman" w:cs="Times New Roman"/>
          <w:sz w:val="24"/>
          <w:szCs w:val="24"/>
          <w:lang w:val="en-GB"/>
        </w:rPr>
        <w:t xml:space="preserve"> in danger. There are also issues related to the scarcity of water. Various operations such as hydrofracturing, drilling, cooling, and oil sand manufacturing require freshwater availability</w:t>
      </w:r>
      <w:r>
        <w:rPr>
          <w:rFonts w:ascii="Times New Roman" w:eastAsia="Times New Roman" w:hAnsi="Times New Roman" w:cs="Times New Roman"/>
          <w:sz w:val="24"/>
          <w:szCs w:val="24"/>
          <w:lang w:val="en-GB"/>
        </w:rPr>
        <w:t>,</w:t>
      </w:r>
      <w:r w:rsidRPr="008A3B4A">
        <w:rPr>
          <w:rFonts w:ascii="Times New Roman" w:eastAsia="Times New Roman" w:hAnsi="Times New Roman" w:cs="Times New Roman"/>
          <w:sz w:val="24"/>
          <w:szCs w:val="24"/>
          <w:lang w:val="en-GB"/>
        </w:rPr>
        <w:t xml:space="preserve"> and that prospect has been hampered. The making of various pipelines across the country has also violated administration norms. </w:t>
      </w:r>
    </w:p>
    <w:p w14:paraId="4D7281F9" w14:textId="6832DBB5" w:rsidR="004733E0" w:rsidRPr="00457249" w:rsidRDefault="004733E0" w:rsidP="00DE0AD6">
      <w:pPr>
        <w:pStyle w:val="Normal1"/>
        <w:spacing w:before="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w:t>
      </w:r>
      <w:r w:rsidRPr="00306D62">
        <w:rPr>
          <w:rFonts w:ascii="Times New Roman" w:eastAsia="Times New Roman" w:hAnsi="Times New Roman" w:cs="Times New Roman"/>
          <w:sz w:val="24"/>
          <w:szCs w:val="24"/>
          <w:lang w:val="en-GB"/>
        </w:rPr>
        <w:t xml:space="preserve">e have seen the various risk factors that are involved in the prospect of BP.  Many species of the coastal region have been affected badly and have put their lives in danger. The economic and environmental effect has been huge regarding the scenario. Loss of jobs and revenue fluctuation has damaged the economic aspect of the country. There has been a big impact of hydrocarbons and petroleum-related products on the economic growth of the country.  Therefore, the administration of the country must look at this matter and help in the country's economic and environmental aspects.  </w:t>
      </w:r>
    </w:p>
    <w:p w14:paraId="46BBA007" w14:textId="29CB786B" w:rsidR="008430B0" w:rsidRDefault="00117037" w:rsidP="00117037">
      <w:pPr>
        <w:pStyle w:val="Heading1"/>
        <w:rPr>
          <w:lang w:eastAsia="en-GB"/>
        </w:rPr>
      </w:pPr>
      <w:bookmarkStart w:id="12" w:name="_Toc102912891"/>
      <w:r>
        <w:rPr>
          <w:lang w:eastAsia="en-GB"/>
        </w:rPr>
        <w:t>Recommendations</w:t>
      </w:r>
      <w:bookmarkEnd w:id="12"/>
    </w:p>
    <w:p w14:paraId="49CB807E" w14:textId="42A14E53" w:rsidR="00E47572" w:rsidRPr="00E47572" w:rsidRDefault="00E47572" w:rsidP="00E47572">
      <w:pPr>
        <w:widowControl w:val="0"/>
        <w:autoSpaceDE w:val="0"/>
        <w:autoSpaceDN w:val="0"/>
        <w:adjustRightInd w:val="0"/>
        <w:spacing w:after="240" w:line="360" w:lineRule="auto"/>
        <w:jc w:val="both"/>
        <w:rPr>
          <w:rFonts w:cs="Times New Roman"/>
          <w:lang w:val="en-US"/>
        </w:rPr>
      </w:pPr>
      <w:r w:rsidRPr="00E47572">
        <w:rPr>
          <w:rFonts w:cs="Times New Roman"/>
          <w:lang w:val="en-US"/>
        </w:rPr>
        <w:t xml:space="preserve">It would be difficult to make recommendations to the company's management, </w:t>
      </w:r>
      <w:r w:rsidRPr="00E47572">
        <w:rPr>
          <w:rFonts w:cs="Times New Roman"/>
          <w:lang w:val="en-US"/>
        </w:rPr>
        <w:t>considering</w:t>
      </w:r>
      <w:r w:rsidRPr="00E47572">
        <w:rPr>
          <w:rFonts w:cs="Times New Roman"/>
          <w:lang w:val="en-US"/>
        </w:rPr>
        <w:t xml:space="preserve"> the experience and qualifications of the management, but still, the guidelines are in the following direction:</w:t>
      </w:r>
    </w:p>
    <w:p w14:paraId="1F0D4C19" w14:textId="290EF6C3" w:rsidR="00E47572" w:rsidRPr="00E47572" w:rsidRDefault="00E47572" w:rsidP="00E47572">
      <w:pPr>
        <w:pStyle w:val="ListParagraph"/>
        <w:widowControl w:val="0"/>
        <w:numPr>
          <w:ilvl w:val="0"/>
          <w:numId w:val="8"/>
        </w:numPr>
        <w:autoSpaceDE w:val="0"/>
        <w:autoSpaceDN w:val="0"/>
        <w:adjustRightInd w:val="0"/>
        <w:spacing w:after="240" w:line="360" w:lineRule="auto"/>
        <w:jc w:val="both"/>
        <w:rPr>
          <w:rFonts w:cs="Times New Roman"/>
          <w:lang w:val="en-US"/>
        </w:rPr>
      </w:pPr>
      <w:r w:rsidRPr="00E47572">
        <w:rPr>
          <w:rFonts w:cs="Times New Roman"/>
          <w:lang w:val="en-US"/>
        </w:rPr>
        <w:t xml:space="preserve">The </w:t>
      </w:r>
      <w:r w:rsidR="004733E0" w:rsidRPr="00E47572">
        <w:rPr>
          <w:rFonts w:cs="Times New Roman"/>
          <w:lang w:val="en-US"/>
        </w:rPr>
        <w:t>internationalization</w:t>
      </w:r>
      <w:r w:rsidRPr="00E47572">
        <w:rPr>
          <w:rFonts w:cs="Times New Roman"/>
          <w:lang w:val="en-US"/>
        </w:rPr>
        <w:t xml:space="preserve"> of the company requires a good knowledge of the rules of international trade. Leadership must </w:t>
      </w:r>
      <w:r w:rsidRPr="00E47572">
        <w:rPr>
          <w:rFonts w:cs="Times New Roman"/>
          <w:lang w:val="en-US"/>
        </w:rPr>
        <w:t>consider</w:t>
      </w:r>
      <w:r w:rsidRPr="00E47572">
        <w:rPr>
          <w:rFonts w:cs="Times New Roman"/>
          <w:lang w:val="en-US"/>
        </w:rPr>
        <w:t xml:space="preserve"> intercultural, </w:t>
      </w:r>
      <w:r w:rsidRPr="00E47572">
        <w:rPr>
          <w:rFonts w:cs="Times New Roman"/>
          <w:lang w:val="en-US"/>
        </w:rPr>
        <w:t>geographical,</w:t>
      </w:r>
      <w:r w:rsidRPr="00E47572">
        <w:rPr>
          <w:rFonts w:cs="Times New Roman"/>
          <w:lang w:val="en-US"/>
        </w:rPr>
        <w:t xml:space="preserve"> and demographic differences. Success comes with the prepared ones; that is why the management if it wants to expand the zones of the company's market, must follow the rules of international trade </w:t>
      </w:r>
      <w:r w:rsidRPr="00E47572">
        <w:rPr>
          <w:rFonts w:cs="Times New Roman"/>
          <w:lang w:val="en-US"/>
        </w:rPr>
        <w:t>policy.</w:t>
      </w:r>
    </w:p>
    <w:p w14:paraId="5C2D2B41" w14:textId="7D5811AF" w:rsidR="00E47572" w:rsidRPr="00E47572" w:rsidRDefault="00E47572" w:rsidP="00E47572">
      <w:pPr>
        <w:pStyle w:val="ListParagraph"/>
        <w:widowControl w:val="0"/>
        <w:numPr>
          <w:ilvl w:val="0"/>
          <w:numId w:val="8"/>
        </w:numPr>
        <w:autoSpaceDE w:val="0"/>
        <w:autoSpaceDN w:val="0"/>
        <w:adjustRightInd w:val="0"/>
        <w:spacing w:after="240" w:line="360" w:lineRule="auto"/>
        <w:jc w:val="both"/>
        <w:rPr>
          <w:rFonts w:cs="Times New Roman"/>
          <w:lang w:val="en-US"/>
        </w:rPr>
      </w:pPr>
      <w:r w:rsidRPr="00E47572">
        <w:rPr>
          <w:rFonts w:cs="Times New Roman"/>
          <w:lang w:val="en-US"/>
        </w:rPr>
        <w:t xml:space="preserve">It is important to maintain the upward trend in finances coming mainly from product sales. However, the leadership must </w:t>
      </w:r>
      <w:proofErr w:type="gramStart"/>
      <w:r w:rsidRPr="00E47572">
        <w:rPr>
          <w:rFonts w:cs="Times New Roman"/>
          <w:lang w:val="en-US"/>
        </w:rPr>
        <w:t>take into account</w:t>
      </w:r>
      <w:proofErr w:type="gramEnd"/>
      <w:r w:rsidRPr="00E47572">
        <w:rPr>
          <w:rFonts w:cs="Times New Roman"/>
          <w:lang w:val="en-US"/>
        </w:rPr>
        <w:t xml:space="preserve"> the fact that some unforeseen economic situations such as Tsovid-19 and foreseen as Brexit have arisen worldwide. These factors are only a small part of the factors shaping the appearance of sales and hence the final vision of financial sources.</w:t>
      </w:r>
    </w:p>
    <w:p w14:paraId="4BE14417" w14:textId="2927A122" w:rsidR="00E47572" w:rsidRPr="00E47572" w:rsidRDefault="00E47572" w:rsidP="00E47572">
      <w:pPr>
        <w:pStyle w:val="ListParagraph"/>
        <w:widowControl w:val="0"/>
        <w:numPr>
          <w:ilvl w:val="0"/>
          <w:numId w:val="8"/>
        </w:numPr>
        <w:autoSpaceDE w:val="0"/>
        <w:autoSpaceDN w:val="0"/>
        <w:adjustRightInd w:val="0"/>
        <w:spacing w:after="240" w:line="360" w:lineRule="auto"/>
        <w:jc w:val="both"/>
        <w:rPr>
          <w:rFonts w:cs="Times New Roman"/>
          <w:lang w:val="en-US"/>
        </w:rPr>
      </w:pPr>
      <w:r>
        <w:rPr>
          <w:rFonts w:cs="Times New Roman"/>
          <w:lang w:val="en-US"/>
        </w:rPr>
        <w:t>T</w:t>
      </w:r>
      <w:r w:rsidRPr="00E47572">
        <w:rPr>
          <w:rFonts w:cs="Times New Roman"/>
          <w:lang w:val="en-US"/>
        </w:rPr>
        <w:t xml:space="preserve">he assessment of the financial condition of the company is positive in the analysis of the capital structure. This trend must be maintained in order for BP to continue its </w:t>
      </w:r>
      <w:proofErr w:type="gramStart"/>
      <w:r w:rsidRPr="00E47572">
        <w:rPr>
          <w:rFonts w:cs="Times New Roman"/>
          <w:lang w:val="en-US"/>
        </w:rPr>
        <w:t>rise;</w:t>
      </w:r>
      <w:proofErr w:type="gramEnd"/>
    </w:p>
    <w:p w14:paraId="1BFDFA47" w14:textId="3B97D2BE" w:rsidR="00E47572" w:rsidRPr="00E47572" w:rsidRDefault="00E47572" w:rsidP="00E47572">
      <w:pPr>
        <w:pStyle w:val="ListParagraph"/>
        <w:widowControl w:val="0"/>
        <w:numPr>
          <w:ilvl w:val="0"/>
          <w:numId w:val="8"/>
        </w:numPr>
        <w:autoSpaceDE w:val="0"/>
        <w:autoSpaceDN w:val="0"/>
        <w:adjustRightInd w:val="0"/>
        <w:spacing w:after="240" w:line="360" w:lineRule="auto"/>
        <w:jc w:val="both"/>
        <w:rPr>
          <w:rFonts w:cs="Times New Roman"/>
          <w:lang w:val="en-US"/>
        </w:rPr>
      </w:pPr>
      <w:r w:rsidRPr="00E47572">
        <w:rPr>
          <w:rFonts w:cs="Times New Roman"/>
          <w:lang w:val="en-US"/>
        </w:rPr>
        <w:t xml:space="preserve">There is also a positive trend in the structure of working capital. This increases the company's reputation for foreign investment, which leads to an increase in the price of shares and, ultimately, the profit of </w:t>
      </w:r>
      <w:r w:rsidRPr="00E47572">
        <w:rPr>
          <w:rFonts w:cs="Times New Roman"/>
          <w:lang w:val="en-US"/>
        </w:rPr>
        <w:t>BP.</w:t>
      </w:r>
    </w:p>
    <w:p w14:paraId="7DD75B03" w14:textId="45B579CE" w:rsidR="00E47572" w:rsidRPr="00E47572" w:rsidRDefault="00E47572" w:rsidP="00E47572">
      <w:pPr>
        <w:pStyle w:val="ListParagraph"/>
        <w:widowControl w:val="0"/>
        <w:numPr>
          <w:ilvl w:val="0"/>
          <w:numId w:val="8"/>
        </w:numPr>
        <w:autoSpaceDE w:val="0"/>
        <w:autoSpaceDN w:val="0"/>
        <w:adjustRightInd w:val="0"/>
        <w:spacing w:after="240" w:line="360" w:lineRule="auto"/>
        <w:jc w:val="both"/>
        <w:rPr>
          <w:rFonts w:cs="Times New Roman"/>
          <w:lang w:val="en-US"/>
        </w:rPr>
      </w:pPr>
      <w:r>
        <w:rPr>
          <w:rFonts w:cs="Times New Roman"/>
          <w:lang w:val="en-US"/>
        </w:rPr>
        <w:t>O</w:t>
      </w:r>
      <w:r w:rsidRPr="00E47572">
        <w:rPr>
          <w:rFonts w:cs="Times New Roman"/>
          <w:lang w:val="en-US"/>
        </w:rPr>
        <w:t xml:space="preserve">nly the most visible and </w:t>
      </w:r>
      <w:r w:rsidR="004733E0" w:rsidRPr="00E47572">
        <w:rPr>
          <w:rFonts w:cs="Times New Roman"/>
          <w:lang w:val="en-US"/>
        </w:rPr>
        <w:t>recognizable</w:t>
      </w:r>
      <w:r w:rsidRPr="00E47572">
        <w:rPr>
          <w:rFonts w:cs="Times New Roman"/>
          <w:lang w:val="en-US"/>
        </w:rPr>
        <w:t xml:space="preserve"> factors are </w:t>
      </w:r>
      <w:r w:rsidR="007A4C50" w:rsidRPr="00E47572">
        <w:rPr>
          <w:rFonts w:cs="Times New Roman"/>
          <w:lang w:val="en-US"/>
        </w:rPr>
        <w:t>considered</w:t>
      </w:r>
      <w:r w:rsidRPr="00E47572">
        <w:rPr>
          <w:rFonts w:cs="Times New Roman"/>
          <w:lang w:val="en-US"/>
        </w:rPr>
        <w:t xml:space="preserve"> in the risk analysis. </w:t>
      </w:r>
      <w:r w:rsidRPr="00E47572">
        <w:rPr>
          <w:rFonts w:cs="Times New Roman"/>
          <w:lang w:val="en-US"/>
        </w:rPr>
        <w:lastRenderedPageBreak/>
        <w:t>There may be many more potential threats that management needs to address.</w:t>
      </w:r>
    </w:p>
    <w:p w14:paraId="716D32CB" w14:textId="0A9DA108" w:rsidR="008430B0" w:rsidRPr="008430B0" w:rsidRDefault="008430B0" w:rsidP="008430B0">
      <w:pPr>
        <w:pStyle w:val="Heading1"/>
        <w:rPr>
          <w:lang w:eastAsia="en-GB"/>
        </w:rPr>
      </w:pPr>
      <w:bookmarkStart w:id="13" w:name="_Toc102912892"/>
      <w:r>
        <w:rPr>
          <w:lang w:eastAsia="en-GB"/>
        </w:rPr>
        <w:t>Conclusion</w:t>
      </w:r>
      <w:bookmarkEnd w:id="13"/>
    </w:p>
    <w:p w14:paraId="48034DC8" w14:textId="0A923234" w:rsidR="00C22565" w:rsidRDefault="007A4C50" w:rsidP="007A4C50">
      <w:pPr>
        <w:spacing w:line="360" w:lineRule="auto"/>
        <w:jc w:val="both"/>
        <w:rPr>
          <w:lang w:val="en-US"/>
        </w:rPr>
      </w:pPr>
      <w:r w:rsidRPr="007A4C50">
        <w:rPr>
          <w:lang w:val="en-US"/>
        </w:rPr>
        <w:t>After a critical analysis of one of the largest corporations for the production and trade of petroleum products, it becomes clear that the company is in a stable financial position. It is a condition that enables it to generate free financial resources for trade and investment. The global crisis and turbulence in the world market arose from many factors, such as the epidemic of the Covid-19 virus, Brexit, one of the largest trade unions, and others. Success lies behind the opportunity for investment, risk analysis and assessment. Thanks to its successful financial strategies, the company manages to maintain and increase its profitability.</w:t>
      </w:r>
    </w:p>
    <w:p w14:paraId="259CB8DA" w14:textId="086C535F" w:rsidR="00606E99" w:rsidRDefault="00606E99" w:rsidP="007A4C50">
      <w:pPr>
        <w:spacing w:line="360" w:lineRule="auto"/>
        <w:jc w:val="both"/>
        <w:rPr>
          <w:lang w:val="en-US"/>
        </w:rPr>
      </w:pPr>
    </w:p>
    <w:p w14:paraId="3EC724A0" w14:textId="40CE5B85" w:rsidR="00606E99" w:rsidRDefault="00606E99" w:rsidP="007A4C50">
      <w:pPr>
        <w:spacing w:line="360" w:lineRule="auto"/>
        <w:jc w:val="both"/>
        <w:rPr>
          <w:lang w:val="en-US"/>
        </w:rPr>
      </w:pPr>
    </w:p>
    <w:p w14:paraId="4799DB47" w14:textId="57A2EA88" w:rsidR="00606E99" w:rsidRDefault="00606E99" w:rsidP="007A4C50">
      <w:pPr>
        <w:spacing w:line="360" w:lineRule="auto"/>
        <w:jc w:val="both"/>
        <w:rPr>
          <w:lang w:val="en-US"/>
        </w:rPr>
      </w:pPr>
    </w:p>
    <w:p w14:paraId="200C53A7" w14:textId="4F525275" w:rsidR="00606E99" w:rsidRDefault="00606E99" w:rsidP="007A4C50">
      <w:pPr>
        <w:spacing w:line="360" w:lineRule="auto"/>
        <w:jc w:val="both"/>
        <w:rPr>
          <w:lang w:val="en-US"/>
        </w:rPr>
      </w:pPr>
    </w:p>
    <w:p w14:paraId="24323377" w14:textId="23A69C95" w:rsidR="00606E99" w:rsidRDefault="00606E99" w:rsidP="007A4C50">
      <w:pPr>
        <w:spacing w:line="360" w:lineRule="auto"/>
        <w:jc w:val="both"/>
        <w:rPr>
          <w:lang w:val="en-US"/>
        </w:rPr>
      </w:pPr>
    </w:p>
    <w:p w14:paraId="49D1D699" w14:textId="6C8E2451" w:rsidR="00606E99" w:rsidRDefault="00606E99" w:rsidP="007A4C50">
      <w:pPr>
        <w:spacing w:line="360" w:lineRule="auto"/>
        <w:jc w:val="both"/>
        <w:rPr>
          <w:lang w:val="en-US"/>
        </w:rPr>
      </w:pPr>
    </w:p>
    <w:p w14:paraId="24142E90" w14:textId="093604FF" w:rsidR="00606E99" w:rsidRDefault="00606E99" w:rsidP="007A4C50">
      <w:pPr>
        <w:spacing w:line="360" w:lineRule="auto"/>
        <w:jc w:val="both"/>
        <w:rPr>
          <w:lang w:val="en-US"/>
        </w:rPr>
      </w:pPr>
    </w:p>
    <w:p w14:paraId="786A54E5" w14:textId="22071119" w:rsidR="00606E99" w:rsidRDefault="00606E99" w:rsidP="007A4C50">
      <w:pPr>
        <w:spacing w:line="360" w:lineRule="auto"/>
        <w:jc w:val="both"/>
        <w:rPr>
          <w:lang w:val="en-US"/>
        </w:rPr>
      </w:pPr>
    </w:p>
    <w:p w14:paraId="0427BEE2" w14:textId="79130625" w:rsidR="00606E99" w:rsidRDefault="00606E99" w:rsidP="007A4C50">
      <w:pPr>
        <w:spacing w:line="360" w:lineRule="auto"/>
        <w:jc w:val="both"/>
        <w:rPr>
          <w:lang w:val="en-US"/>
        </w:rPr>
      </w:pPr>
    </w:p>
    <w:p w14:paraId="69DFC3AF" w14:textId="17CC28E3" w:rsidR="00606E99" w:rsidRDefault="00606E99" w:rsidP="007A4C50">
      <w:pPr>
        <w:spacing w:line="360" w:lineRule="auto"/>
        <w:jc w:val="both"/>
        <w:rPr>
          <w:lang w:val="en-US"/>
        </w:rPr>
      </w:pPr>
    </w:p>
    <w:p w14:paraId="0E494D0E" w14:textId="185D96CB" w:rsidR="00606E99" w:rsidRDefault="00606E99" w:rsidP="007A4C50">
      <w:pPr>
        <w:spacing w:line="360" w:lineRule="auto"/>
        <w:jc w:val="both"/>
        <w:rPr>
          <w:lang w:val="en-US"/>
        </w:rPr>
      </w:pPr>
    </w:p>
    <w:p w14:paraId="596EB31A" w14:textId="053150ED" w:rsidR="00606E99" w:rsidRDefault="00606E99" w:rsidP="007A4C50">
      <w:pPr>
        <w:spacing w:line="360" w:lineRule="auto"/>
        <w:jc w:val="both"/>
        <w:rPr>
          <w:lang w:val="en-US"/>
        </w:rPr>
      </w:pPr>
    </w:p>
    <w:p w14:paraId="4FFA40FB" w14:textId="2DE8E7A1" w:rsidR="00606E99" w:rsidRDefault="00606E99" w:rsidP="007A4C50">
      <w:pPr>
        <w:spacing w:line="360" w:lineRule="auto"/>
        <w:jc w:val="both"/>
        <w:rPr>
          <w:lang w:val="en-US"/>
        </w:rPr>
      </w:pPr>
    </w:p>
    <w:p w14:paraId="5B0ADA3D" w14:textId="2CAAF83C" w:rsidR="00606E99" w:rsidRDefault="00606E99" w:rsidP="007A4C50">
      <w:pPr>
        <w:spacing w:line="360" w:lineRule="auto"/>
        <w:jc w:val="both"/>
        <w:rPr>
          <w:lang w:val="en-US"/>
        </w:rPr>
      </w:pPr>
    </w:p>
    <w:p w14:paraId="3601D1AA" w14:textId="44AE25EC" w:rsidR="00606E99" w:rsidRDefault="00606E99" w:rsidP="007A4C50">
      <w:pPr>
        <w:spacing w:line="360" w:lineRule="auto"/>
        <w:jc w:val="both"/>
        <w:rPr>
          <w:lang w:val="en-US"/>
        </w:rPr>
      </w:pPr>
    </w:p>
    <w:p w14:paraId="67F1ABCB" w14:textId="3D587B83" w:rsidR="00B15C3C" w:rsidRDefault="00B15C3C" w:rsidP="007A4C50">
      <w:pPr>
        <w:spacing w:line="360" w:lineRule="auto"/>
        <w:jc w:val="both"/>
        <w:rPr>
          <w:lang w:val="en-US"/>
        </w:rPr>
      </w:pPr>
    </w:p>
    <w:p w14:paraId="06873898" w14:textId="0C92D732" w:rsidR="00B15C3C" w:rsidRDefault="00B15C3C" w:rsidP="007A4C50">
      <w:pPr>
        <w:spacing w:line="360" w:lineRule="auto"/>
        <w:jc w:val="both"/>
        <w:rPr>
          <w:lang w:val="en-US"/>
        </w:rPr>
      </w:pPr>
    </w:p>
    <w:p w14:paraId="4B5E35B6" w14:textId="77777777" w:rsidR="00606E99" w:rsidRPr="007A4C50" w:rsidRDefault="00606E99" w:rsidP="007A4C50">
      <w:pPr>
        <w:spacing w:line="360" w:lineRule="auto"/>
        <w:jc w:val="both"/>
        <w:rPr>
          <w:lang w:val="en-US"/>
        </w:rPr>
      </w:pPr>
    </w:p>
    <w:p w14:paraId="41CBD1A4" w14:textId="77777777" w:rsidR="00C22565" w:rsidRPr="006E6905" w:rsidRDefault="00C22565" w:rsidP="006E6905">
      <w:pPr>
        <w:pStyle w:val="Heading1"/>
      </w:pPr>
      <w:bookmarkStart w:id="14" w:name="_Toc102145602"/>
      <w:bookmarkStart w:id="15" w:name="_Toc102912893"/>
      <w:r w:rsidRPr="006E6905">
        <w:lastRenderedPageBreak/>
        <w:t>Reference list</w:t>
      </w:r>
      <w:bookmarkEnd w:id="14"/>
      <w:bookmarkEnd w:id="15"/>
    </w:p>
    <w:p w14:paraId="43364E34" w14:textId="77777777" w:rsidR="00C22565" w:rsidRPr="00C22565" w:rsidRDefault="00C22565" w:rsidP="00C22565">
      <w:pPr>
        <w:spacing w:line="360" w:lineRule="auto"/>
        <w:jc w:val="both"/>
        <w:rPr>
          <w:rFonts w:cs="Arial"/>
          <w:lang w:val="en-US"/>
        </w:rPr>
      </w:pPr>
      <w:r w:rsidRPr="00C22565">
        <w:rPr>
          <w:rFonts w:cs="Arial"/>
          <w:lang w:val="en-US"/>
        </w:rPr>
        <w:t xml:space="preserve">BBC (2013). What is Thatcherism? </w:t>
      </w:r>
      <w:r w:rsidRPr="00C22565">
        <w:rPr>
          <w:rFonts w:cs="Arial"/>
          <w:i/>
          <w:iCs/>
          <w:lang w:val="en-US"/>
        </w:rPr>
        <w:t>BBC News</w:t>
      </w:r>
      <w:r w:rsidRPr="00C22565">
        <w:rPr>
          <w:rFonts w:cs="Arial"/>
          <w:lang w:val="en-US"/>
        </w:rPr>
        <w:t xml:space="preserve">. [online] 10 Apr. Available at: </w:t>
      </w:r>
      <w:hyperlink r:id="rId18" w:history="1">
        <w:r w:rsidRPr="00C22565">
          <w:rPr>
            <w:rFonts w:cs="Arial"/>
            <w:lang w:val="en-US"/>
          </w:rPr>
          <w:t>https://www.bbc.co.uk/news/uk-politics-22079683</w:t>
        </w:r>
      </w:hyperlink>
      <w:r w:rsidRPr="00C22565">
        <w:rPr>
          <w:rFonts w:cs="Arial"/>
          <w:lang w:val="en-US"/>
        </w:rPr>
        <w:t>.</w:t>
      </w:r>
    </w:p>
    <w:p w14:paraId="156301A0" w14:textId="77777777" w:rsidR="00C22565" w:rsidRPr="00C22565" w:rsidRDefault="00C22565" w:rsidP="00C22565">
      <w:pPr>
        <w:spacing w:line="360" w:lineRule="auto"/>
        <w:jc w:val="both"/>
        <w:rPr>
          <w:rFonts w:cs="Arial"/>
          <w:lang w:val="en-US"/>
        </w:rPr>
      </w:pPr>
      <w:r w:rsidRPr="00C22565">
        <w:rPr>
          <w:rFonts w:cs="Arial"/>
          <w:lang w:val="en-US"/>
        </w:rPr>
        <w:t xml:space="preserve">BP global (2018). </w:t>
      </w:r>
      <w:r w:rsidRPr="00C22565">
        <w:rPr>
          <w:rFonts w:cs="Arial"/>
          <w:i/>
          <w:iCs/>
          <w:lang w:val="en-US"/>
        </w:rPr>
        <w:t>Home</w:t>
      </w:r>
      <w:r w:rsidRPr="00C22565">
        <w:rPr>
          <w:rFonts w:cs="Arial"/>
          <w:lang w:val="en-US"/>
        </w:rPr>
        <w:t xml:space="preserve">. [online] BP Global. Available at: </w:t>
      </w:r>
      <w:hyperlink r:id="rId19" w:history="1">
        <w:r w:rsidRPr="00C22565">
          <w:rPr>
            <w:rFonts w:cs="Arial"/>
            <w:lang w:val="en-US"/>
          </w:rPr>
          <w:t>https://www.bp.com</w:t>
        </w:r>
      </w:hyperlink>
      <w:r w:rsidRPr="00C22565">
        <w:rPr>
          <w:rFonts w:cs="Arial"/>
          <w:lang w:val="en-US"/>
        </w:rPr>
        <w:t>.</w:t>
      </w:r>
    </w:p>
    <w:p w14:paraId="12421DB6" w14:textId="77777777" w:rsidR="00C22565" w:rsidRPr="00C22565" w:rsidRDefault="00C22565" w:rsidP="00C22565">
      <w:pPr>
        <w:spacing w:line="360" w:lineRule="auto"/>
        <w:jc w:val="both"/>
        <w:rPr>
          <w:rFonts w:cs="Arial"/>
          <w:lang w:val="en-US"/>
        </w:rPr>
      </w:pPr>
      <w:r w:rsidRPr="00C22565">
        <w:rPr>
          <w:rFonts w:cs="Arial"/>
          <w:lang w:val="en-US"/>
        </w:rPr>
        <w:t xml:space="preserve">BP </w:t>
      </w:r>
      <w:proofErr w:type="spellStart"/>
      <w:r w:rsidRPr="00C22565">
        <w:rPr>
          <w:rFonts w:cs="Arial"/>
          <w:lang w:val="en-US"/>
        </w:rPr>
        <w:t>p.l.c</w:t>
      </w:r>
      <w:proofErr w:type="spellEnd"/>
      <w:r w:rsidRPr="00C22565">
        <w:rPr>
          <w:rFonts w:cs="Arial"/>
          <w:lang w:val="en-US"/>
        </w:rPr>
        <w:t xml:space="preserve"> (2022). </w:t>
      </w:r>
      <w:r w:rsidRPr="00C22565">
        <w:rPr>
          <w:rFonts w:cs="Arial"/>
          <w:i/>
          <w:iCs/>
          <w:lang w:val="en-US"/>
        </w:rPr>
        <w:t>while transforming</w:t>
      </w:r>
      <w:r w:rsidRPr="00C22565">
        <w:rPr>
          <w:rFonts w:cs="Arial"/>
          <w:lang w:val="en-US"/>
        </w:rPr>
        <w:t xml:space="preserve">. [online] Available at: </w:t>
      </w:r>
      <w:hyperlink r:id="rId20" w:history="1">
        <w:r w:rsidRPr="00C22565">
          <w:rPr>
            <w:rFonts w:cs="Arial"/>
            <w:lang w:val="en-US"/>
          </w:rPr>
          <w:t>https://www.bp.com/content/dam/bp/business-sites/en/global/corporate/pdfs/investors/bp-annual-report-and-form-20f-2021.pdf</w:t>
        </w:r>
      </w:hyperlink>
      <w:r w:rsidRPr="00C22565">
        <w:rPr>
          <w:rFonts w:cs="Arial"/>
          <w:lang w:val="en-US"/>
        </w:rPr>
        <w:t>.</w:t>
      </w:r>
    </w:p>
    <w:p w14:paraId="0D7A86A4" w14:textId="77777777" w:rsidR="00C22565" w:rsidRPr="00C22565" w:rsidRDefault="00C22565" w:rsidP="00C22565">
      <w:pPr>
        <w:spacing w:line="360" w:lineRule="auto"/>
        <w:jc w:val="both"/>
        <w:rPr>
          <w:rFonts w:cs="Arial"/>
          <w:lang w:val="en-US"/>
        </w:rPr>
      </w:pPr>
      <w:r w:rsidRPr="00C22565">
        <w:rPr>
          <w:rFonts w:cs="Arial"/>
          <w:lang w:val="en-US"/>
        </w:rPr>
        <w:t xml:space="preserve">Brigham, E.F. and Houston, J.F. (2009). </w:t>
      </w:r>
      <w:r w:rsidRPr="00C22565">
        <w:rPr>
          <w:rFonts w:cs="Arial"/>
          <w:i/>
          <w:iCs/>
          <w:lang w:val="en-US"/>
        </w:rPr>
        <w:t>Fundamentals of financial management</w:t>
      </w:r>
      <w:r w:rsidRPr="00C22565">
        <w:rPr>
          <w:rFonts w:cs="Arial"/>
          <w:lang w:val="en-US"/>
        </w:rPr>
        <w:t>. Mason (Ohio) Etc.: South-Western/Thomson Learning, Cop.</w:t>
      </w:r>
    </w:p>
    <w:p w14:paraId="308C0BE9" w14:textId="77777777" w:rsidR="00C22565" w:rsidRPr="00C22565" w:rsidRDefault="00C22565" w:rsidP="00C22565">
      <w:pPr>
        <w:spacing w:line="360" w:lineRule="auto"/>
        <w:jc w:val="both"/>
        <w:rPr>
          <w:rFonts w:cs="Arial"/>
          <w:lang w:val="en-US"/>
        </w:rPr>
      </w:pPr>
      <w:r w:rsidRPr="00C22565">
        <w:rPr>
          <w:rFonts w:cs="Arial"/>
          <w:lang w:val="en-US"/>
        </w:rPr>
        <w:t xml:space="preserve">CFI (2015). </w:t>
      </w:r>
      <w:r w:rsidRPr="00C22565">
        <w:rPr>
          <w:rFonts w:cs="Arial"/>
          <w:i/>
          <w:iCs/>
          <w:lang w:val="en-US"/>
        </w:rPr>
        <w:t>Capital Structure - What is Capital Structure &amp; Why Does it Matter?</w:t>
      </w:r>
      <w:r w:rsidRPr="00C22565">
        <w:rPr>
          <w:rFonts w:cs="Arial"/>
          <w:lang w:val="en-US"/>
        </w:rPr>
        <w:t xml:space="preserve"> [online] Corporate Finance Institute. Available at: </w:t>
      </w:r>
      <w:hyperlink r:id="rId21" w:history="1">
        <w:r w:rsidRPr="00C22565">
          <w:rPr>
            <w:rFonts w:cs="Arial"/>
            <w:lang w:val="en-US"/>
          </w:rPr>
          <w:t>https://corporatefinanceinstitute.com/resources/knowledge/finance/capital-structure-overview/</w:t>
        </w:r>
      </w:hyperlink>
      <w:r w:rsidRPr="00C22565">
        <w:rPr>
          <w:rFonts w:cs="Arial"/>
          <w:lang w:val="en-US"/>
        </w:rPr>
        <w:t>.</w:t>
      </w:r>
    </w:p>
    <w:p w14:paraId="07B1A451" w14:textId="77777777" w:rsidR="00C22565" w:rsidRPr="00C22565" w:rsidRDefault="00C22565" w:rsidP="00C22565">
      <w:pPr>
        <w:spacing w:line="360" w:lineRule="auto"/>
        <w:jc w:val="both"/>
        <w:rPr>
          <w:rFonts w:cs="Arial"/>
          <w:lang w:val="en-US"/>
        </w:rPr>
      </w:pPr>
      <w:proofErr w:type="spellStart"/>
      <w:r w:rsidRPr="00C22565">
        <w:rPr>
          <w:rFonts w:cs="Arial"/>
          <w:lang w:val="en-US"/>
        </w:rPr>
        <w:t>Chehabi</w:t>
      </w:r>
      <w:proofErr w:type="spellEnd"/>
      <w:r w:rsidRPr="00C22565">
        <w:rPr>
          <w:rFonts w:cs="Arial"/>
          <w:lang w:val="en-US"/>
        </w:rPr>
        <w:t xml:space="preserve">, H.E. (2001). The Political Regime of the Islamic Republic of Iran in Comparative Perspective. </w:t>
      </w:r>
      <w:r w:rsidRPr="00C22565">
        <w:rPr>
          <w:rFonts w:cs="Arial"/>
          <w:i/>
          <w:iCs/>
          <w:lang w:val="en-US"/>
        </w:rPr>
        <w:t>Government and Opposition</w:t>
      </w:r>
      <w:r w:rsidRPr="00C22565">
        <w:rPr>
          <w:rFonts w:cs="Arial"/>
          <w:lang w:val="en-US"/>
        </w:rPr>
        <w:t xml:space="preserve">, [online] 36(1), pp.48–70. Available at: </w:t>
      </w:r>
      <w:hyperlink r:id="rId22" w:history="1">
        <w:r w:rsidRPr="00C22565">
          <w:rPr>
            <w:rFonts w:cs="Arial"/>
            <w:lang w:val="en-US"/>
          </w:rPr>
          <w:t>https://www.jstor.org/stable/44482928</w:t>
        </w:r>
      </w:hyperlink>
      <w:r w:rsidRPr="00C22565">
        <w:rPr>
          <w:rFonts w:cs="Arial"/>
          <w:lang w:val="en-US"/>
        </w:rPr>
        <w:t xml:space="preserve"> [Accessed 28 Apr. 2022].</w:t>
      </w:r>
    </w:p>
    <w:p w14:paraId="44F97385" w14:textId="77777777" w:rsidR="00C22565" w:rsidRPr="00C22565" w:rsidRDefault="00C22565" w:rsidP="00C22565">
      <w:pPr>
        <w:spacing w:line="360" w:lineRule="auto"/>
        <w:jc w:val="both"/>
        <w:rPr>
          <w:rFonts w:cs="Arial"/>
          <w:lang w:val="en-US"/>
        </w:rPr>
      </w:pPr>
      <w:proofErr w:type="spellStart"/>
      <w:r w:rsidRPr="00C22565">
        <w:rPr>
          <w:rFonts w:cs="Arial"/>
          <w:lang w:val="en-US"/>
        </w:rPr>
        <w:t>Cnuced</w:t>
      </w:r>
      <w:proofErr w:type="spellEnd"/>
      <w:r w:rsidRPr="00C22565">
        <w:rPr>
          <w:rFonts w:cs="Arial"/>
          <w:lang w:val="en-US"/>
        </w:rPr>
        <w:t xml:space="preserve"> (2008). </w:t>
      </w:r>
      <w:r w:rsidRPr="00C22565">
        <w:rPr>
          <w:rFonts w:cs="Arial"/>
          <w:i/>
          <w:iCs/>
          <w:lang w:val="en-US"/>
        </w:rPr>
        <w:t xml:space="preserve">Development and </w:t>
      </w:r>
      <w:proofErr w:type="spellStart"/>
      <w:r w:rsidRPr="00C22565">
        <w:rPr>
          <w:rFonts w:cs="Arial"/>
          <w:i/>
          <w:iCs/>
          <w:lang w:val="en-US"/>
        </w:rPr>
        <w:t>globalisation</w:t>
      </w:r>
      <w:proofErr w:type="spellEnd"/>
      <w:r w:rsidRPr="00C22565">
        <w:rPr>
          <w:rFonts w:cs="Arial"/>
          <w:i/>
          <w:iCs/>
          <w:lang w:val="en-US"/>
        </w:rPr>
        <w:t>: facts and figures</w:t>
      </w:r>
      <w:r w:rsidRPr="00C22565">
        <w:rPr>
          <w:rFonts w:cs="Arial"/>
          <w:lang w:val="en-US"/>
        </w:rPr>
        <w:t xml:space="preserve">. New </w:t>
      </w:r>
      <w:proofErr w:type="gramStart"/>
      <w:r w:rsidRPr="00C22565">
        <w:rPr>
          <w:rFonts w:cs="Arial"/>
          <w:lang w:val="en-US"/>
        </w:rPr>
        <w:t>York ;</w:t>
      </w:r>
      <w:proofErr w:type="gramEnd"/>
      <w:r w:rsidRPr="00C22565">
        <w:rPr>
          <w:rFonts w:cs="Arial"/>
          <w:lang w:val="en-US"/>
        </w:rPr>
        <w:t xml:space="preserve"> Geneva: United Nations.</w:t>
      </w:r>
    </w:p>
    <w:p w14:paraId="30D182B8" w14:textId="77777777" w:rsidR="00C22565" w:rsidRPr="00C22565" w:rsidRDefault="00C22565" w:rsidP="00C22565">
      <w:pPr>
        <w:spacing w:line="360" w:lineRule="auto"/>
        <w:jc w:val="both"/>
        <w:rPr>
          <w:rFonts w:cs="Arial"/>
          <w:lang w:val="en-US"/>
        </w:rPr>
      </w:pPr>
      <w:proofErr w:type="spellStart"/>
      <w:r w:rsidRPr="00C22565">
        <w:rPr>
          <w:rFonts w:cs="Arial"/>
          <w:lang w:val="en-US"/>
        </w:rPr>
        <w:t>Dotdash</w:t>
      </w:r>
      <w:proofErr w:type="spellEnd"/>
      <w:r w:rsidRPr="00C22565">
        <w:rPr>
          <w:rFonts w:cs="Arial"/>
          <w:lang w:val="en-US"/>
        </w:rPr>
        <w:t xml:space="preserve"> Meredith (2019). </w:t>
      </w:r>
      <w:proofErr w:type="spellStart"/>
      <w:r w:rsidRPr="00C22565">
        <w:rPr>
          <w:rFonts w:cs="Arial"/>
          <w:i/>
          <w:iCs/>
          <w:lang w:val="en-US"/>
        </w:rPr>
        <w:t>Analysing</w:t>
      </w:r>
      <w:proofErr w:type="spellEnd"/>
      <w:r w:rsidRPr="00C22565">
        <w:rPr>
          <w:rFonts w:cs="Arial"/>
          <w:i/>
          <w:iCs/>
          <w:lang w:val="en-US"/>
        </w:rPr>
        <w:t xml:space="preserve"> Investments </w:t>
      </w:r>
      <w:proofErr w:type="gramStart"/>
      <w:r w:rsidRPr="00C22565">
        <w:rPr>
          <w:rFonts w:cs="Arial"/>
          <w:i/>
          <w:iCs/>
          <w:lang w:val="en-US"/>
        </w:rPr>
        <w:t>With</w:t>
      </w:r>
      <w:proofErr w:type="gramEnd"/>
      <w:r w:rsidRPr="00C22565">
        <w:rPr>
          <w:rFonts w:cs="Arial"/>
          <w:i/>
          <w:iCs/>
          <w:lang w:val="en-US"/>
        </w:rPr>
        <w:t xml:space="preserve"> Solvency Ratios</w:t>
      </w:r>
      <w:r w:rsidRPr="00C22565">
        <w:rPr>
          <w:rFonts w:cs="Arial"/>
          <w:lang w:val="en-US"/>
        </w:rPr>
        <w:t xml:space="preserve">. [online] Investopedia. Available at: </w:t>
      </w:r>
      <w:hyperlink r:id="rId23" w:history="1">
        <w:r w:rsidRPr="00C22565">
          <w:rPr>
            <w:rFonts w:cs="Arial"/>
            <w:lang w:val="en-US"/>
          </w:rPr>
          <w:t>https://www.investopedia.com/articles/investing/101613/analyzing-investments-solvency-ratios.asp</w:t>
        </w:r>
      </w:hyperlink>
      <w:r w:rsidRPr="00C22565">
        <w:rPr>
          <w:rFonts w:cs="Arial"/>
          <w:lang w:val="en-US"/>
        </w:rPr>
        <w:t>.</w:t>
      </w:r>
    </w:p>
    <w:p w14:paraId="709098AB" w14:textId="77777777" w:rsidR="00C22565" w:rsidRPr="00C22565" w:rsidRDefault="00C22565" w:rsidP="00C22565">
      <w:pPr>
        <w:spacing w:line="360" w:lineRule="auto"/>
        <w:jc w:val="both"/>
        <w:rPr>
          <w:rFonts w:cs="Arial"/>
          <w:lang w:val="en-US"/>
        </w:rPr>
      </w:pPr>
      <w:proofErr w:type="spellStart"/>
      <w:r w:rsidRPr="00C22565">
        <w:rPr>
          <w:rFonts w:cs="Arial"/>
          <w:lang w:val="en-US"/>
        </w:rPr>
        <w:t>Eun</w:t>
      </w:r>
      <w:proofErr w:type="spellEnd"/>
      <w:r w:rsidRPr="00C22565">
        <w:rPr>
          <w:rFonts w:cs="Arial"/>
          <w:lang w:val="en-US"/>
        </w:rPr>
        <w:t xml:space="preserve">, C.S. and Resnick, B.G. (2015). </w:t>
      </w:r>
      <w:r w:rsidRPr="00C22565">
        <w:rPr>
          <w:rFonts w:cs="Arial"/>
          <w:i/>
          <w:iCs/>
          <w:lang w:val="en-US"/>
        </w:rPr>
        <w:t>International financial management</w:t>
      </w:r>
      <w:r w:rsidRPr="00C22565">
        <w:rPr>
          <w:rFonts w:cs="Arial"/>
          <w:lang w:val="en-US"/>
        </w:rPr>
        <w:t xml:space="preserve">. New York, Ny: </w:t>
      </w:r>
      <w:proofErr w:type="spellStart"/>
      <w:r w:rsidRPr="00C22565">
        <w:rPr>
          <w:rFonts w:cs="Arial"/>
          <w:lang w:val="en-US"/>
        </w:rPr>
        <w:t>Mcgraw</w:t>
      </w:r>
      <w:proofErr w:type="spellEnd"/>
      <w:r w:rsidRPr="00C22565">
        <w:rPr>
          <w:rFonts w:cs="Arial"/>
          <w:lang w:val="en-US"/>
        </w:rPr>
        <w:t xml:space="preserve"> Hill Education.</w:t>
      </w:r>
    </w:p>
    <w:p w14:paraId="763DD16D" w14:textId="77777777" w:rsidR="00C22565" w:rsidRPr="00C22565" w:rsidRDefault="00C22565" w:rsidP="00C22565">
      <w:pPr>
        <w:spacing w:line="360" w:lineRule="auto"/>
        <w:jc w:val="both"/>
        <w:rPr>
          <w:rFonts w:cs="Arial"/>
          <w:lang w:val="en-US"/>
        </w:rPr>
      </w:pPr>
      <w:r w:rsidRPr="00C22565">
        <w:rPr>
          <w:rFonts w:cs="Arial"/>
          <w:lang w:val="en-US"/>
        </w:rPr>
        <w:t xml:space="preserve">Farlex, Inc (2003). </w:t>
      </w:r>
      <w:r w:rsidRPr="00C22565">
        <w:rPr>
          <w:rFonts w:cs="Arial"/>
          <w:i/>
          <w:iCs/>
          <w:lang w:val="en-US"/>
        </w:rPr>
        <w:t>GBX</w:t>
      </w:r>
      <w:r w:rsidRPr="00C22565">
        <w:rPr>
          <w:rFonts w:cs="Arial"/>
          <w:lang w:val="en-US"/>
        </w:rPr>
        <w:t xml:space="preserve">. [online] The Free Dictionary. Available at: </w:t>
      </w:r>
      <w:hyperlink r:id="rId24" w:history="1">
        <w:r w:rsidRPr="00C22565">
          <w:rPr>
            <w:rFonts w:cs="Arial"/>
            <w:lang w:val="en-US"/>
          </w:rPr>
          <w:t>https://financial-dictionary.thefreedictionary.com/GBX</w:t>
        </w:r>
      </w:hyperlink>
      <w:r w:rsidRPr="00C22565">
        <w:rPr>
          <w:rFonts w:cs="Arial"/>
          <w:lang w:val="en-US"/>
        </w:rPr>
        <w:t xml:space="preserve"> [Accessed 28 Apr. 2022].</w:t>
      </w:r>
    </w:p>
    <w:p w14:paraId="3C9845CC" w14:textId="77777777" w:rsidR="00C22565" w:rsidRPr="00C22565" w:rsidRDefault="00C22565" w:rsidP="00C22565">
      <w:pPr>
        <w:spacing w:line="360" w:lineRule="auto"/>
        <w:jc w:val="both"/>
        <w:rPr>
          <w:rFonts w:cs="Arial"/>
          <w:lang w:val="en-US"/>
        </w:rPr>
      </w:pPr>
      <w:r w:rsidRPr="00C22565">
        <w:rPr>
          <w:rFonts w:cs="Arial"/>
          <w:lang w:val="en-US"/>
        </w:rPr>
        <w:t xml:space="preserve">Financial Modeling Prep (2022). </w:t>
      </w:r>
      <w:r w:rsidRPr="00C22565">
        <w:rPr>
          <w:rFonts w:cs="Arial"/>
          <w:i/>
          <w:iCs/>
          <w:lang w:val="en-US"/>
        </w:rPr>
        <w:t xml:space="preserve">BP Weighted Average Cost </w:t>
      </w:r>
      <w:proofErr w:type="gramStart"/>
      <w:r w:rsidRPr="00C22565">
        <w:rPr>
          <w:rFonts w:cs="Arial"/>
          <w:i/>
          <w:iCs/>
          <w:lang w:val="en-US"/>
        </w:rPr>
        <w:t>Of</w:t>
      </w:r>
      <w:proofErr w:type="gramEnd"/>
      <w:r w:rsidRPr="00C22565">
        <w:rPr>
          <w:rFonts w:cs="Arial"/>
          <w:i/>
          <w:iCs/>
          <w:lang w:val="en-US"/>
        </w:rPr>
        <w:t xml:space="preserve"> Capital - </w:t>
      </w:r>
      <w:proofErr w:type="spellStart"/>
      <w:r w:rsidRPr="00C22565">
        <w:rPr>
          <w:rFonts w:cs="Arial"/>
          <w:i/>
          <w:iCs/>
          <w:lang w:val="en-US"/>
        </w:rPr>
        <w:t>FinancialModelingPrep</w:t>
      </w:r>
      <w:proofErr w:type="spellEnd"/>
      <w:r w:rsidRPr="00C22565">
        <w:rPr>
          <w:rFonts w:cs="Arial"/>
          <w:lang w:val="en-US"/>
        </w:rPr>
        <w:t xml:space="preserve">. [online] Financial Modeling Prep. Available at: </w:t>
      </w:r>
      <w:hyperlink r:id="rId25" w:history="1">
        <w:r w:rsidRPr="00C22565">
          <w:rPr>
            <w:rFonts w:cs="Arial"/>
            <w:lang w:val="en-US"/>
          </w:rPr>
          <w:t>https://site.financialmodelingprep.com/weighted-average-cost-of-capital/BP/</w:t>
        </w:r>
      </w:hyperlink>
      <w:r w:rsidRPr="00C22565">
        <w:rPr>
          <w:rFonts w:cs="Arial"/>
          <w:lang w:val="en-US"/>
        </w:rPr>
        <w:t>.</w:t>
      </w:r>
    </w:p>
    <w:p w14:paraId="38BA7F0C" w14:textId="77777777" w:rsidR="00C22565" w:rsidRPr="00C22565" w:rsidRDefault="00C22565" w:rsidP="00C22565">
      <w:pPr>
        <w:spacing w:line="360" w:lineRule="auto"/>
        <w:jc w:val="both"/>
        <w:rPr>
          <w:rFonts w:cs="Arial"/>
          <w:lang w:val="en-US"/>
        </w:rPr>
      </w:pPr>
      <w:r w:rsidRPr="00C22565">
        <w:rPr>
          <w:rFonts w:cs="Arial"/>
          <w:lang w:val="en-US"/>
        </w:rPr>
        <w:t xml:space="preserve">Google Finance (2022). </w:t>
      </w:r>
      <w:r w:rsidRPr="00C22565">
        <w:rPr>
          <w:rFonts w:cs="Arial"/>
          <w:i/>
          <w:iCs/>
          <w:lang w:val="en-US"/>
        </w:rPr>
        <w:t>BP plc (BP) Stock Price &amp; News - Google Finance</w:t>
      </w:r>
      <w:r w:rsidRPr="00C22565">
        <w:rPr>
          <w:rFonts w:cs="Arial"/>
          <w:lang w:val="en-US"/>
        </w:rPr>
        <w:t xml:space="preserve">. [online] www.google.com. Available at: </w:t>
      </w:r>
      <w:hyperlink r:id="rId26" w:history="1">
        <w:r w:rsidRPr="00C22565">
          <w:rPr>
            <w:rFonts w:cs="Arial"/>
            <w:lang w:val="en-US"/>
          </w:rPr>
          <w:t>https://www.google.com/finance/quote/BP:LON?window=1Y</w:t>
        </w:r>
      </w:hyperlink>
      <w:r w:rsidRPr="00C22565">
        <w:rPr>
          <w:rFonts w:cs="Arial"/>
          <w:lang w:val="en-US"/>
        </w:rPr>
        <w:t xml:space="preserve"> [Accessed 28 Apr. 2022].</w:t>
      </w:r>
    </w:p>
    <w:p w14:paraId="65A8C453" w14:textId="77777777" w:rsidR="00C22565" w:rsidRPr="00C22565" w:rsidRDefault="00C22565" w:rsidP="00C22565">
      <w:pPr>
        <w:spacing w:line="360" w:lineRule="auto"/>
        <w:jc w:val="both"/>
        <w:rPr>
          <w:rFonts w:cs="Arial"/>
          <w:lang w:val="en-US"/>
        </w:rPr>
      </w:pPr>
      <w:r w:rsidRPr="00C22565">
        <w:rPr>
          <w:rFonts w:cs="Arial"/>
          <w:lang w:val="en-US"/>
        </w:rPr>
        <w:lastRenderedPageBreak/>
        <w:t xml:space="preserve">Gordon, M.J. (2015). </w:t>
      </w:r>
      <w:r w:rsidRPr="00C22565">
        <w:rPr>
          <w:rFonts w:cs="Arial"/>
          <w:i/>
          <w:iCs/>
          <w:lang w:val="en-US"/>
        </w:rPr>
        <w:t xml:space="preserve">Parliamentary sovereignty in the UK </w:t>
      </w:r>
      <w:proofErr w:type="gramStart"/>
      <w:r w:rsidRPr="00C22565">
        <w:rPr>
          <w:rFonts w:cs="Arial"/>
          <w:i/>
          <w:iCs/>
          <w:lang w:val="en-US"/>
        </w:rPr>
        <w:t>constitution :</w:t>
      </w:r>
      <w:proofErr w:type="gramEnd"/>
      <w:r w:rsidRPr="00C22565">
        <w:rPr>
          <w:rFonts w:cs="Arial"/>
          <w:i/>
          <w:iCs/>
          <w:lang w:val="en-US"/>
        </w:rPr>
        <w:t xml:space="preserve"> process, politics and democracy</w:t>
      </w:r>
      <w:r w:rsidRPr="00C22565">
        <w:rPr>
          <w:rFonts w:cs="Arial"/>
          <w:lang w:val="en-US"/>
        </w:rPr>
        <w:t>. Oxford: Hart Publishing.</w:t>
      </w:r>
    </w:p>
    <w:p w14:paraId="1680A39C" w14:textId="41A08E6A" w:rsidR="00C22565" w:rsidRDefault="00C22565" w:rsidP="00C22565">
      <w:pPr>
        <w:spacing w:line="360" w:lineRule="auto"/>
        <w:jc w:val="both"/>
        <w:rPr>
          <w:rFonts w:cs="Arial"/>
          <w:lang w:val="en-US"/>
        </w:rPr>
      </w:pPr>
      <w:r w:rsidRPr="00C22565">
        <w:rPr>
          <w:rFonts w:cs="Arial"/>
          <w:lang w:val="en-US"/>
        </w:rPr>
        <w:t xml:space="preserve">Knight, J. (2015). Updated Definition of </w:t>
      </w:r>
      <w:proofErr w:type="spellStart"/>
      <w:r w:rsidRPr="00C22565">
        <w:rPr>
          <w:rFonts w:cs="Arial"/>
          <w:lang w:val="en-US"/>
        </w:rPr>
        <w:t>Internationalisation</w:t>
      </w:r>
      <w:proofErr w:type="spellEnd"/>
      <w:r w:rsidRPr="00C22565">
        <w:rPr>
          <w:rFonts w:cs="Arial"/>
          <w:lang w:val="en-US"/>
        </w:rPr>
        <w:t xml:space="preserve">. </w:t>
      </w:r>
      <w:r w:rsidRPr="00C22565">
        <w:rPr>
          <w:rFonts w:cs="Arial"/>
          <w:i/>
          <w:iCs/>
          <w:lang w:val="en-US"/>
        </w:rPr>
        <w:t>International Higher Education</w:t>
      </w:r>
      <w:r w:rsidRPr="00C22565">
        <w:rPr>
          <w:rFonts w:cs="Arial"/>
          <w:lang w:val="en-US"/>
        </w:rPr>
        <w:t>, 33(33).</w:t>
      </w:r>
    </w:p>
    <w:p w14:paraId="37303658" w14:textId="77777777" w:rsidR="004733E0" w:rsidRPr="004733E0" w:rsidRDefault="004733E0" w:rsidP="004733E0">
      <w:pPr>
        <w:shd w:val="clear" w:color="auto" w:fill="FFFFFF"/>
        <w:spacing w:after="240" w:line="360" w:lineRule="auto"/>
        <w:jc w:val="both"/>
        <w:rPr>
          <w:rFonts w:eastAsia="Times New Roman" w:cs="Times New Roman"/>
          <w:color w:val="000000"/>
          <w:lang w:eastAsia="en-GB"/>
        </w:rPr>
      </w:pPr>
      <w:r w:rsidRPr="004733E0">
        <w:rPr>
          <w:rFonts w:eastAsia="Times New Roman" w:cs="Times New Roman"/>
          <w:color w:val="000000"/>
          <w:lang w:eastAsia="en-GB"/>
        </w:rPr>
        <w:t xml:space="preserve">Lu, H., Guo, L. and Zhang, Y. (2019). Oil and gas companies' low-carbon emission transition to integrated energy companies. </w:t>
      </w:r>
      <w:r w:rsidRPr="004733E0">
        <w:rPr>
          <w:rFonts w:eastAsia="Times New Roman" w:cs="Times New Roman"/>
          <w:i/>
          <w:iCs/>
          <w:color w:val="000000"/>
          <w:lang w:eastAsia="en-GB"/>
        </w:rPr>
        <w:t>Science of The Total Environment</w:t>
      </w:r>
      <w:r w:rsidRPr="004733E0">
        <w:rPr>
          <w:rFonts w:eastAsia="Times New Roman" w:cs="Times New Roman"/>
          <w:color w:val="000000"/>
          <w:lang w:eastAsia="en-GB"/>
        </w:rPr>
        <w:t xml:space="preserve">, 686(5), pp.1202–1209. </w:t>
      </w:r>
      <w:proofErr w:type="gramStart"/>
      <w:r w:rsidRPr="004733E0">
        <w:rPr>
          <w:rFonts w:eastAsia="Times New Roman" w:cs="Times New Roman"/>
          <w:color w:val="000000"/>
          <w:lang w:eastAsia="en-GB"/>
        </w:rPr>
        <w:t>doi:10.1016/j.scitotenv</w:t>
      </w:r>
      <w:proofErr w:type="gramEnd"/>
      <w:r w:rsidRPr="004733E0">
        <w:rPr>
          <w:rFonts w:eastAsia="Times New Roman" w:cs="Times New Roman"/>
          <w:color w:val="000000"/>
          <w:lang w:eastAsia="en-GB"/>
        </w:rPr>
        <w:t>.2019.06.014.</w:t>
      </w:r>
    </w:p>
    <w:p w14:paraId="47843D4B" w14:textId="7E97999D" w:rsidR="004733E0" w:rsidRDefault="004733E0" w:rsidP="004733E0">
      <w:pPr>
        <w:spacing w:line="360" w:lineRule="auto"/>
        <w:jc w:val="both"/>
        <w:rPr>
          <w:rFonts w:eastAsia="Times New Roman" w:cs="Times New Roman"/>
          <w:color w:val="000000"/>
          <w:lang w:eastAsia="en-GB"/>
        </w:rPr>
      </w:pPr>
      <w:proofErr w:type="spellStart"/>
      <w:r w:rsidRPr="004733E0">
        <w:rPr>
          <w:rFonts w:eastAsia="Times New Roman" w:cs="Times New Roman"/>
          <w:color w:val="000000"/>
          <w:lang w:eastAsia="en-GB"/>
        </w:rPr>
        <w:t>Marietou</w:t>
      </w:r>
      <w:proofErr w:type="spellEnd"/>
      <w:r w:rsidRPr="004733E0">
        <w:rPr>
          <w:rFonts w:eastAsia="Times New Roman" w:cs="Times New Roman"/>
          <w:color w:val="000000"/>
          <w:lang w:eastAsia="en-GB"/>
        </w:rPr>
        <w:t xml:space="preserve">, A., Chastain, R., </w:t>
      </w:r>
      <w:proofErr w:type="spellStart"/>
      <w:r w:rsidRPr="004733E0">
        <w:rPr>
          <w:rFonts w:eastAsia="Times New Roman" w:cs="Times New Roman"/>
          <w:color w:val="000000"/>
          <w:lang w:eastAsia="en-GB"/>
        </w:rPr>
        <w:t>Beulig</w:t>
      </w:r>
      <w:proofErr w:type="spellEnd"/>
      <w:r w:rsidRPr="004733E0">
        <w:rPr>
          <w:rFonts w:eastAsia="Times New Roman" w:cs="Times New Roman"/>
          <w:color w:val="000000"/>
          <w:lang w:eastAsia="en-GB"/>
        </w:rPr>
        <w:t xml:space="preserve">, F., </w:t>
      </w:r>
      <w:proofErr w:type="spellStart"/>
      <w:r w:rsidRPr="004733E0">
        <w:rPr>
          <w:rFonts w:eastAsia="Times New Roman" w:cs="Times New Roman"/>
          <w:color w:val="000000"/>
          <w:lang w:eastAsia="en-GB"/>
        </w:rPr>
        <w:t>Scoma</w:t>
      </w:r>
      <w:proofErr w:type="spellEnd"/>
      <w:r w:rsidRPr="004733E0">
        <w:rPr>
          <w:rFonts w:eastAsia="Times New Roman" w:cs="Times New Roman"/>
          <w:color w:val="000000"/>
          <w:lang w:eastAsia="en-GB"/>
        </w:rPr>
        <w:t xml:space="preserve">, A., Hazen, T.C. and Bartlett, D.H. (2018). The Effect of Hydrostatic Pressure on Enrichments of Hydrocarbon Degrading Microbes </w:t>
      </w:r>
      <w:proofErr w:type="gramStart"/>
      <w:r w:rsidRPr="004733E0">
        <w:rPr>
          <w:rFonts w:eastAsia="Times New Roman" w:cs="Times New Roman"/>
          <w:color w:val="000000"/>
          <w:lang w:eastAsia="en-GB"/>
        </w:rPr>
        <w:t>From</w:t>
      </w:r>
      <w:proofErr w:type="gramEnd"/>
      <w:r w:rsidRPr="004733E0">
        <w:rPr>
          <w:rFonts w:eastAsia="Times New Roman" w:cs="Times New Roman"/>
          <w:color w:val="000000"/>
          <w:lang w:eastAsia="en-GB"/>
        </w:rPr>
        <w:t xml:space="preserve"> the Gulf of Mexico Following the Deepwater Horizon Oil Spill. </w:t>
      </w:r>
      <w:r w:rsidRPr="004733E0">
        <w:rPr>
          <w:rFonts w:eastAsia="Times New Roman" w:cs="Times New Roman"/>
          <w:i/>
          <w:iCs/>
          <w:color w:val="000000"/>
          <w:lang w:eastAsia="en-GB"/>
        </w:rPr>
        <w:t>Frontiers in Microbiology</w:t>
      </w:r>
      <w:r w:rsidRPr="004733E0">
        <w:rPr>
          <w:rFonts w:eastAsia="Times New Roman" w:cs="Times New Roman"/>
          <w:color w:val="000000"/>
          <w:lang w:eastAsia="en-GB"/>
        </w:rPr>
        <w:t>, 9(1). doi:10.3389/fmicb.2018.00808.</w:t>
      </w:r>
    </w:p>
    <w:p w14:paraId="593C1A88" w14:textId="77777777" w:rsidR="004733E0" w:rsidRPr="004733E0" w:rsidRDefault="004733E0" w:rsidP="004733E0">
      <w:pPr>
        <w:shd w:val="clear" w:color="auto" w:fill="FFFFFF"/>
        <w:spacing w:after="240" w:line="360" w:lineRule="auto"/>
        <w:jc w:val="both"/>
        <w:rPr>
          <w:rFonts w:eastAsia="Times New Roman" w:cs="Times New Roman"/>
          <w:color w:val="000000"/>
          <w:lang w:eastAsia="en-GB"/>
        </w:rPr>
      </w:pPr>
      <w:r w:rsidRPr="004733E0">
        <w:rPr>
          <w:rFonts w:eastAsia="Times New Roman" w:cs="Times New Roman"/>
          <w:color w:val="000000"/>
          <w:lang w:eastAsia="en-GB"/>
        </w:rPr>
        <w:t xml:space="preserve">Schwing, P.T., </w:t>
      </w:r>
      <w:proofErr w:type="spellStart"/>
      <w:r w:rsidRPr="004733E0">
        <w:rPr>
          <w:rFonts w:eastAsia="Times New Roman" w:cs="Times New Roman"/>
          <w:color w:val="000000"/>
          <w:lang w:eastAsia="en-GB"/>
        </w:rPr>
        <w:t>Montagna</w:t>
      </w:r>
      <w:proofErr w:type="spellEnd"/>
      <w:r w:rsidRPr="004733E0">
        <w:rPr>
          <w:rFonts w:eastAsia="Times New Roman" w:cs="Times New Roman"/>
          <w:color w:val="000000"/>
          <w:lang w:eastAsia="en-GB"/>
        </w:rPr>
        <w:t xml:space="preserve">, P.A., </w:t>
      </w:r>
      <w:proofErr w:type="spellStart"/>
      <w:r w:rsidRPr="004733E0">
        <w:rPr>
          <w:rFonts w:eastAsia="Times New Roman" w:cs="Times New Roman"/>
          <w:color w:val="000000"/>
          <w:lang w:eastAsia="en-GB"/>
        </w:rPr>
        <w:t>Joye</w:t>
      </w:r>
      <w:proofErr w:type="spellEnd"/>
      <w:r w:rsidRPr="004733E0">
        <w:rPr>
          <w:rFonts w:eastAsia="Times New Roman" w:cs="Times New Roman"/>
          <w:color w:val="000000"/>
          <w:lang w:eastAsia="en-GB"/>
        </w:rPr>
        <w:t xml:space="preserve">, S.B., Paris, C.B., Cordes, E.E., McClain, C.R., </w:t>
      </w:r>
      <w:proofErr w:type="spellStart"/>
      <w:r w:rsidRPr="004733E0">
        <w:rPr>
          <w:rFonts w:eastAsia="Times New Roman" w:cs="Times New Roman"/>
          <w:color w:val="000000"/>
          <w:lang w:eastAsia="en-GB"/>
        </w:rPr>
        <w:t>Kilborn</w:t>
      </w:r>
      <w:proofErr w:type="spellEnd"/>
      <w:r w:rsidRPr="004733E0">
        <w:rPr>
          <w:rFonts w:eastAsia="Times New Roman" w:cs="Times New Roman"/>
          <w:color w:val="000000"/>
          <w:lang w:eastAsia="en-GB"/>
        </w:rPr>
        <w:t xml:space="preserve">, J.P. and </w:t>
      </w:r>
      <w:proofErr w:type="spellStart"/>
      <w:r w:rsidRPr="004733E0">
        <w:rPr>
          <w:rFonts w:eastAsia="Times New Roman" w:cs="Times New Roman"/>
          <w:color w:val="000000"/>
          <w:lang w:eastAsia="en-GB"/>
        </w:rPr>
        <w:t>Murawski</w:t>
      </w:r>
      <w:proofErr w:type="spellEnd"/>
      <w:r w:rsidRPr="004733E0">
        <w:rPr>
          <w:rFonts w:eastAsia="Times New Roman" w:cs="Times New Roman"/>
          <w:color w:val="000000"/>
          <w:lang w:eastAsia="en-GB"/>
        </w:rPr>
        <w:t xml:space="preserve">, S.A. (2020). A Synthesis of Deep Benthic Faunal Impacts and Resilience Following the Deepwater Horizon Oil Spill. </w:t>
      </w:r>
      <w:r w:rsidRPr="004733E0">
        <w:rPr>
          <w:rFonts w:eastAsia="Times New Roman" w:cs="Times New Roman"/>
          <w:i/>
          <w:iCs/>
          <w:color w:val="000000"/>
          <w:lang w:eastAsia="en-GB"/>
        </w:rPr>
        <w:t>Frontiers in Marine Science</w:t>
      </w:r>
      <w:r w:rsidRPr="004733E0">
        <w:rPr>
          <w:rFonts w:eastAsia="Times New Roman" w:cs="Times New Roman"/>
          <w:color w:val="000000"/>
          <w:lang w:eastAsia="en-GB"/>
        </w:rPr>
        <w:t>, 7(1). doi:10.3389/fmars.2020.560012.</w:t>
      </w:r>
    </w:p>
    <w:p w14:paraId="18ED0DEE" w14:textId="51840F1E" w:rsidR="004733E0" w:rsidRPr="004733E0" w:rsidRDefault="004733E0" w:rsidP="004733E0">
      <w:pPr>
        <w:shd w:val="clear" w:color="auto" w:fill="FFFFFF"/>
        <w:spacing w:after="240" w:line="360" w:lineRule="auto"/>
        <w:jc w:val="both"/>
        <w:rPr>
          <w:rFonts w:eastAsia="Times New Roman" w:cs="Times New Roman"/>
          <w:color w:val="000000"/>
          <w:lang w:eastAsia="en-GB"/>
        </w:rPr>
      </w:pPr>
      <w:r w:rsidRPr="004733E0">
        <w:rPr>
          <w:rFonts w:eastAsia="Times New Roman" w:cs="Times New Roman"/>
          <w:color w:val="000000"/>
          <w:lang w:eastAsia="en-GB"/>
        </w:rPr>
        <w:t xml:space="preserve">Sun, S., Hu, C., Garcia-Pineda, O., </w:t>
      </w:r>
      <w:proofErr w:type="spellStart"/>
      <w:r w:rsidRPr="004733E0">
        <w:rPr>
          <w:rFonts w:eastAsia="Times New Roman" w:cs="Times New Roman"/>
          <w:color w:val="000000"/>
          <w:lang w:eastAsia="en-GB"/>
        </w:rPr>
        <w:t>Kourafalou</w:t>
      </w:r>
      <w:proofErr w:type="spellEnd"/>
      <w:r w:rsidRPr="004733E0">
        <w:rPr>
          <w:rFonts w:eastAsia="Times New Roman" w:cs="Times New Roman"/>
          <w:color w:val="000000"/>
          <w:lang w:eastAsia="en-GB"/>
        </w:rPr>
        <w:t xml:space="preserve">, V., Le </w:t>
      </w:r>
      <w:proofErr w:type="spellStart"/>
      <w:r w:rsidRPr="004733E0">
        <w:rPr>
          <w:rFonts w:eastAsia="Times New Roman" w:cs="Times New Roman"/>
          <w:color w:val="000000"/>
          <w:lang w:eastAsia="en-GB"/>
        </w:rPr>
        <w:t>Hénaff</w:t>
      </w:r>
      <w:proofErr w:type="spellEnd"/>
      <w:r w:rsidRPr="004733E0">
        <w:rPr>
          <w:rFonts w:eastAsia="Times New Roman" w:cs="Times New Roman"/>
          <w:color w:val="000000"/>
          <w:lang w:eastAsia="en-GB"/>
        </w:rPr>
        <w:t xml:space="preserve">, M. and </w:t>
      </w:r>
      <w:proofErr w:type="spellStart"/>
      <w:r w:rsidRPr="004733E0">
        <w:rPr>
          <w:rFonts w:eastAsia="Times New Roman" w:cs="Times New Roman"/>
          <w:color w:val="000000"/>
          <w:lang w:eastAsia="en-GB"/>
        </w:rPr>
        <w:t>Androulidakis</w:t>
      </w:r>
      <w:proofErr w:type="spellEnd"/>
      <w:r w:rsidRPr="004733E0">
        <w:rPr>
          <w:rFonts w:eastAsia="Times New Roman" w:cs="Times New Roman"/>
          <w:color w:val="000000"/>
          <w:lang w:eastAsia="en-GB"/>
        </w:rPr>
        <w:t xml:space="preserve">, Y. (2018). Remote sensing assessment of oil spills near a damaged platform in the Gulf of Mexico. </w:t>
      </w:r>
      <w:r w:rsidRPr="004733E0">
        <w:rPr>
          <w:rFonts w:eastAsia="Times New Roman" w:cs="Times New Roman"/>
          <w:i/>
          <w:iCs/>
          <w:color w:val="000000"/>
          <w:lang w:eastAsia="en-GB"/>
        </w:rPr>
        <w:t>Marine Pollution Bulletin</w:t>
      </w:r>
      <w:r w:rsidRPr="004733E0">
        <w:rPr>
          <w:rFonts w:eastAsia="Times New Roman" w:cs="Times New Roman"/>
          <w:color w:val="000000"/>
          <w:lang w:eastAsia="en-GB"/>
        </w:rPr>
        <w:t xml:space="preserve">, 136(2018), pp.141–151. </w:t>
      </w:r>
      <w:proofErr w:type="gramStart"/>
      <w:r w:rsidRPr="004733E0">
        <w:rPr>
          <w:rFonts w:eastAsia="Times New Roman" w:cs="Times New Roman"/>
          <w:color w:val="000000"/>
          <w:lang w:eastAsia="en-GB"/>
        </w:rPr>
        <w:t>doi:10.1016/j.marpolbul</w:t>
      </w:r>
      <w:proofErr w:type="gramEnd"/>
      <w:r w:rsidRPr="004733E0">
        <w:rPr>
          <w:rFonts w:eastAsia="Times New Roman" w:cs="Times New Roman"/>
          <w:color w:val="000000"/>
          <w:lang w:eastAsia="en-GB"/>
        </w:rPr>
        <w:t>.2018.09.004.</w:t>
      </w:r>
    </w:p>
    <w:p w14:paraId="60114A06" w14:textId="77777777" w:rsidR="00C22565" w:rsidRPr="00C22565" w:rsidRDefault="00C22565" w:rsidP="00C22565">
      <w:pPr>
        <w:spacing w:line="360" w:lineRule="auto"/>
        <w:jc w:val="both"/>
        <w:rPr>
          <w:rFonts w:cs="Arial"/>
          <w:lang w:val="en-US"/>
        </w:rPr>
      </w:pPr>
      <w:proofErr w:type="spellStart"/>
      <w:r w:rsidRPr="00C22565">
        <w:rPr>
          <w:rFonts w:cs="Arial"/>
          <w:lang w:val="en-US"/>
        </w:rPr>
        <w:t>Tawnsend</w:t>
      </w:r>
      <w:proofErr w:type="spellEnd"/>
      <w:r w:rsidRPr="00C22565">
        <w:rPr>
          <w:rFonts w:cs="Arial"/>
          <w:lang w:val="en-US"/>
        </w:rPr>
        <w:t xml:space="preserve">, D. (2021). </w:t>
      </w:r>
      <w:r w:rsidRPr="00C22565">
        <w:rPr>
          <w:rFonts w:cs="Arial"/>
          <w:i/>
          <w:iCs/>
          <w:lang w:val="en-US"/>
        </w:rPr>
        <w:t>GBX definition, Simple Investment Guide</w:t>
      </w:r>
      <w:r w:rsidRPr="00C22565">
        <w:rPr>
          <w:rFonts w:cs="Arial"/>
          <w:lang w:val="en-US"/>
        </w:rPr>
        <w:t xml:space="preserve">. [online] simpleinvestmentguide.com. Available at: </w:t>
      </w:r>
      <w:hyperlink r:id="rId27" w:history="1">
        <w:r w:rsidRPr="00C22565">
          <w:rPr>
            <w:rFonts w:cs="Arial"/>
            <w:lang w:val="en-US"/>
          </w:rPr>
          <w:t>https://simpleinvestmentguide.com/definition/gbx/</w:t>
        </w:r>
      </w:hyperlink>
      <w:r w:rsidRPr="00C22565">
        <w:rPr>
          <w:rFonts w:cs="Arial"/>
          <w:lang w:val="en-US"/>
        </w:rPr>
        <w:t xml:space="preserve"> [Accessed 28 Apr. 2022].</w:t>
      </w:r>
    </w:p>
    <w:p w14:paraId="1251A46B" w14:textId="77777777" w:rsidR="00C22565" w:rsidRPr="00C22565" w:rsidRDefault="00C22565" w:rsidP="00C22565">
      <w:pPr>
        <w:spacing w:line="360" w:lineRule="auto"/>
        <w:jc w:val="both"/>
        <w:rPr>
          <w:rFonts w:cs="Arial"/>
          <w:lang w:val="en-US"/>
        </w:rPr>
      </w:pPr>
      <w:r w:rsidRPr="00C22565">
        <w:rPr>
          <w:rFonts w:cs="Arial"/>
          <w:lang w:val="en-US"/>
        </w:rPr>
        <w:t xml:space="preserve">Velez-Pareja, I. and </w:t>
      </w:r>
      <w:proofErr w:type="spellStart"/>
      <w:r w:rsidRPr="00C22565">
        <w:rPr>
          <w:rFonts w:cs="Arial"/>
          <w:lang w:val="en-US"/>
        </w:rPr>
        <w:t>Tham</w:t>
      </w:r>
      <w:proofErr w:type="spellEnd"/>
      <w:r w:rsidRPr="00C22565">
        <w:rPr>
          <w:rFonts w:cs="Arial"/>
          <w:lang w:val="en-US"/>
        </w:rPr>
        <w:t xml:space="preserve">, J. (2010). An Introduction to the Cost of Capital. </w:t>
      </w:r>
      <w:r w:rsidRPr="00C22565">
        <w:rPr>
          <w:rFonts w:cs="Arial"/>
          <w:i/>
          <w:iCs/>
          <w:lang w:val="en-US"/>
        </w:rPr>
        <w:t>SSRN Electronic Journal</w:t>
      </w:r>
      <w:r w:rsidRPr="00C22565">
        <w:rPr>
          <w:rFonts w:cs="Arial"/>
          <w:lang w:val="en-US"/>
        </w:rPr>
        <w:t>, 1(1).</w:t>
      </w:r>
    </w:p>
    <w:p w14:paraId="3DDEDD58" w14:textId="0F143FB6" w:rsidR="00A430A5" w:rsidRPr="00C22565" w:rsidRDefault="00C22565" w:rsidP="00C22565">
      <w:pPr>
        <w:spacing w:line="360" w:lineRule="auto"/>
        <w:jc w:val="both"/>
        <w:rPr>
          <w:rFonts w:cs="Arial"/>
          <w:lang w:val="bg-BG" w:eastAsia="en-GB"/>
        </w:rPr>
      </w:pPr>
      <w:r w:rsidRPr="00C22565">
        <w:rPr>
          <w:rFonts w:cs="Arial"/>
          <w:lang w:val="en-US"/>
        </w:rPr>
        <w:t xml:space="preserve">World Population Review (2022). </w:t>
      </w:r>
      <w:r w:rsidRPr="00C22565">
        <w:rPr>
          <w:rFonts w:cs="Arial"/>
          <w:i/>
          <w:iCs/>
          <w:lang w:val="en-US"/>
        </w:rPr>
        <w:t xml:space="preserve">Oil Production </w:t>
      </w:r>
      <w:proofErr w:type="gramStart"/>
      <w:r w:rsidRPr="00C22565">
        <w:rPr>
          <w:rFonts w:cs="Arial"/>
          <w:i/>
          <w:iCs/>
          <w:lang w:val="en-US"/>
        </w:rPr>
        <w:t>By</w:t>
      </w:r>
      <w:proofErr w:type="gramEnd"/>
      <w:r w:rsidRPr="00C22565">
        <w:rPr>
          <w:rFonts w:cs="Arial"/>
          <w:i/>
          <w:iCs/>
          <w:lang w:val="en-US"/>
        </w:rPr>
        <w:t xml:space="preserve"> Country 2020</w:t>
      </w:r>
      <w:r w:rsidRPr="00C22565">
        <w:rPr>
          <w:rFonts w:cs="Arial"/>
          <w:lang w:val="en-US"/>
        </w:rPr>
        <w:t xml:space="preserve">. [online] worldpopulationreview.com. Available at: </w:t>
      </w:r>
      <w:hyperlink r:id="rId28" w:history="1">
        <w:r w:rsidRPr="00C22565">
          <w:rPr>
            <w:rFonts w:cs="Arial"/>
            <w:lang w:val="en-US"/>
          </w:rPr>
          <w:t>https://worldpopulationreview.com/country-rankings/oil-production-by-country</w:t>
        </w:r>
      </w:hyperlink>
    </w:p>
    <w:sectPr w:rsidR="00A430A5" w:rsidRPr="00C22565" w:rsidSect="00117037">
      <w:footerReference w:type="default" r:id="rId2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924218" w14:textId="77777777" w:rsidR="00497A97" w:rsidRDefault="00497A97" w:rsidP="00117037">
      <w:pPr>
        <w:spacing w:after="0" w:line="240" w:lineRule="auto"/>
      </w:pPr>
      <w:r>
        <w:separator/>
      </w:r>
    </w:p>
  </w:endnote>
  <w:endnote w:type="continuationSeparator" w:id="0">
    <w:p w14:paraId="5CF98E3E" w14:textId="77777777" w:rsidR="00497A97" w:rsidRDefault="00497A97" w:rsidP="001170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905430"/>
      <w:docPartObj>
        <w:docPartGallery w:val="Page Numbers (Bottom of Page)"/>
        <w:docPartUnique/>
      </w:docPartObj>
    </w:sdtPr>
    <w:sdtEndPr>
      <w:rPr>
        <w:noProof/>
      </w:rPr>
    </w:sdtEndPr>
    <w:sdtContent>
      <w:p w14:paraId="3877A82E" w14:textId="1F2C4D9F" w:rsidR="00117037" w:rsidRDefault="001170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448546" w14:textId="77777777" w:rsidR="00117037" w:rsidRDefault="001170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A24F55" w14:textId="77777777" w:rsidR="00497A97" w:rsidRDefault="00497A97" w:rsidP="00117037">
      <w:pPr>
        <w:spacing w:after="0" w:line="240" w:lineRule="auto"/>
      </w:pPr>
      <w:r>
        <w:separator/>
      </w:r>
    </w:p>
  </w:footnote>
  <w:footnote w:type="continuationSeparator" w:id="0">
    <w:p w14:paraId="44B15B8C" w14:textId="77777777" w:rsidR="00497A97" w:rsidRDefault="00497A97" w:rsidP="001170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67CD1"/>
    <w:multiLevelType w:val="hybridMultilevel"/>
    <w:tmpl w:val="849E3F18"/>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F31CE7"/>
    <w:multiLevelType w:val="hybridMultilevel"/>
    <w:tmpl w:val="BC9E89B8"/>
    <w:lvl w:ilvl="0" w:tplc="E9A62E4E">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 w15:restartNumberingAfterBreak="0">
    <w:nsid w:val="48897799"/>
    <w:multiLevelType w:val="hybridMultilevel"/>
    <w:tmpl w:val="D8BAF30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3959EE"/>
    <w:multiLevelType w:val="hybridMultilevel"/>
    <w:tmpl w:val="D094424E"/>
    <w:lvl w:ilvl="0" w:tplc="FFFFFFFF">
      <w:start w:val="1"/>
      <w:numFmt w:val="bullet"/>
      <w:lvlText w:val=""/>
      <w:lvlJc w:val="left"/>
      <w:pPr>
        <w:ind w:left="720" w:hanging="360"/>
      </w:pPr>
      <w:rPr>
        <w:rFonts w:ascii="Wingdings" w:hAnsi="Wingdings" w:hint="default"/>
      </w:rPr>
    </w:lvl>
    <w:lvl w:ilvl="1" w:tplc="08090005">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68B404AB"/>
    <w:multiLevelType w:val="hybridMultilevel"/>
    <w:tmpl w:val="F6AE2B1A"/>
    <w:lvl w:ilvl="0" w:tplc="08090005">
      <w:start w:val="1"/>
      <w:numFmt w:val="bullet"/>
      <w:lvlText w:val=""/>
      <w:lvlJc w:val="left"/>
      <w:pPr>
        <w:ind w:left="720" w:hanging="360"/>
      </w:pPr>
      <w:rPr>
        <w:rFonts w:ascii="Wingdings" w:hAnsi="Wingdings" w:hint="default"/>
      </w:rPr>
    </w:lvl>
    <w:lvl w:ilvl="1" w:tplc="0FB02668">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853E9C"/>
    <w:multiLevelType w:val="hybridMultilevel"/>
    <w:tmpl w:val="2A4639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4A4818"/>
    <w:multiLevelType w:val="hybridMultilevel"/>
    <w:tmpl w:val="6DD62528"/>
    <w:lvl w:ilvl="0" w:tplc="FFFFFFFF">
      <w:start w:val="1"/>
      <w:numFmt w:val="bullet"/>
      <w:lvlText w:val=""/>
      <w:lvlJc w:val="left"/>
      <w:pPr>
        <w:ind w:left="720" w:hanging="360"/>
      </w:pPr>
      <w:rPr>
        <w:rFonts w:ascii="Symbol" w:hAnsi="Symbol" w:hint="default"/>
      </w:rPr>
    </w:lvl>
    <w:lvl w:ilvl="1" w:tplc="0809000B">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78011F17"/>
    <w:multiLevelType w:val="hybridMultilevel"/>
    <w:tmpl w:val="53A08728"/>
    <w:lvl w:ilvl="0" w:tplc="39EA23F2">
      <w:numFmt w:val="bullet"/>
      <w:lvlText w:val="-"/>
      <w:lvlJc w:val="left"/>
      <w:pPr>
        <w:ind w:left="480" w:hanging="360"/>
      </w:pPr>
      <w:rPr>
        <w:rFonts w:ascii="Arial" w:eastAsiaTheme="minorHAnsi" w:hAnsi="Arial" w:cs="Arial" w:hint="default"/>
      </w:rPr>
    </w:lvl>
    <w:lvl w:ilvl="1" w:tplc="08090003" w:tentative="1">
      <w:start w:val="1"/>
      <w:numFmt w:val="bullet"/>
      <w:lvlText w:val="o"/>
      <w:lvlJc w:val="left"/>
      <w:pPr>
        <w:ind w:left="1200" w:hanging="360"/>
      </w:pPr>
      <w:rPr>
        <w:rFonts w:ascii="Courier New" w:hAnsi="Courier New" w:cs="Courier New" w:hint="default"/>
      </w:rPr>
    </w:lvl>
    <w:lvl w:ilvl="2" w:tplc="08090005" w:tentative="1">
      <w:start w:val="1"/>
      <w:numFmt w:val="bullet"/>
      <w:lvlText w:val=""/>
      <w:lvlJc w:val="left"/>
      <w:pPr>
        <w:ind w:left="1920" w:hanging="360"/>
      </w:pPr>
      <w:rPr>
        <w:rFonts w:ascii="Wingdings" w:hAnsi="Wingdings" w:hint="default"/>
      </w:rPr>
    </w:lvl>
    <w:lvl w:ilvl="3" w:tplc="08090001" w:tentative="1">
      <w:start w:val="1"/>
      <w:numFmt w:val="bullet"/>
      <w:lvlText w:val=""/>
      <w:lvlJc w:val="left"/>
      <w:pPr>
        <w:ind w:left="2640" w:hanging="360"/>
      </w:pPr>
      <w:rPr>
        <w:rFonts w:ascii="Symbol" w:hAnsi="Symbol" w:hint="default"/>
      </w:rPr>
    </w:lvl>
    <w:lvl w:ilvl="4" w:tplc="08090003" w:tentative="1">
      <w:start w:val="1"/>
      <w:numFmt w:val="bullet"/>
      <w:lvlText w:val="o"/>
      <w:lvlJc w:val="left"/>
      <w:pPr>
        <w:ind w:left="3360" w:hanging="360"/>
      </w:pPr>
      <w:rPr>
        <w:rFonts w:ascii="Courier New" w:hAnsi="Courier New" w:cs="Courier New" w:hint="default"/>
      </w:rPr>
    </w:lvl>
    <w:lvl w:ilvl="5" w:tplc="08090005" w:tentative="1">
      <w:start w:val="1"/>
      <w:numFmt w:val="bullet"/>
      <w:lvlText w:val=""/>
      <w:lvlJc w:val="left"/>
      <w:pPr>
        <w:ind w:left="4080" w:hanging="360"/>
      </w:pPr>
      <w:rPr>
        <w:rFonts w:ascii="Wingdings" w:hAnsi="Wingdings" w:hint="default"/>
      </w:rPr>
    </w:lvl>
    <w:lvl w:ilvl="6" w:tplc="08090001" w:tentative="1">
      <w:start w:val="1"/>
      <w:numFmt w:val="bullet"/>
      <w:lvlText w:val=""/>
      <w:lvlJc w:val="left"/>
      <w:pPr>
        <w:ind w:left="4800" w:hanging="360"/>
      </w:pPr>
      <w:rPr>
        <w:rFonts w:ascii="Symbol" w:hAnsi="Symbol" w:hint="default"/>
      </w:rPr>
    </w:lvl>
    <w:lvl w:ilvl="7" w:tplc="08090003" w:tentative="1">
      <w:start w:val="1"/>
      <w:numFmt w:val="bullet"/>
      <w:lvlText w:val="o"/>
      <w:lvlJc w:val="left"/>
      <w:pPr>
        <w:ind w:left="5520" w:hanging="360"/>
      </w:pPr>
      <w:rPr>
        <w:rFonts w:ascii="Courier New" w:hAnsi="Courier New" w:cs="Courier New" w:hint="default"/>
      </w:rPr>
    </w:lvl>
    <w:lvl w:ilvl="8" w:tplc="08090005" w:tentative="1">
      <w:start w:val="1"/>
      <w:numFmt w:val="bullet"/>
      <w:lvlText w:val=""/>
      <w:lvlJc w:val="left"/>
      <w:pPr>
        <w:ind w:left="6240" w:hanging="360"/>
      </w:pPr>
      <w:rPr>
        <w:rFonts w:ascii="Wingdings" w:hAnsi="Wingdings" w:hint="default"/>
      </w:rPr>
    </w:lvl>
  </w:abstractNum>
  <w:num w:numId="1" w16cid:durableId="212082959">
    <w:abstractNumId w:val="4"/>
  </w:num>
  <w:num w:numId="2" w16cid:durableId="1142190497">
    <w:abstractNumId w:val="1"/>
  </w:num>
  <w:num w:numId="3" w16cid:durableId="1549075914">
    <w:abstractNumId w:val="2"/>
  </w:num>
  <w:num w:numId="4" w16cid:durableId="44959400">
    <w:abstractNumId w:val="7"/>
  </w:num>
  <w:num w:numId="5" w16cid:durableId="471407453">
    <w:abstractNumId w:val="0"/>
  </w:num>
  <w:num w:numId="6" w16cid:durableId="928850521">
    <w:abstractNumId w:val="3"/>
  </w:num>
  <w:num w:numId="7" w16cid:durableId="1995140576">
    <w:abstractNumId w:val="5"/>
  </w:num>
  <w:num w:numId="8" w16cid:durableId="206394574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E85"/>
    <w:rsid w:val="00001E7C"/>
    <w:rsid w:val="00022C55"/>
    <w:rsid w:val="00117037"/>
    <w:rsid w:val="003442D3"/>
    <w:rsid w:val="00457249"/>
    <w:rsid w:val="004733E0"/>
    <w:rsid w:val="00497A97"/>
    <w:rsid w:val="00560E6D"/>
    <w:rsid w:val="00595B69"/>
    <w:rsid w:val="00606E99"/>
    <w:rsid w:val="006708A9"/>
    <w:rsid w:val="006E6905"/>
    <w:rsid w:val="0072629E"/>
    <w:rsid w:val="00762389"/>
    <w:rsid w:val="00785D3A"/>
    <w:rsid w:val="007A4C50"/>
    <w:rsid w:val="007F167C"/>
    <w:rsid w:val="008430B0"/>
    <w:rsid w:val="00895927"/>
    <w:rsid w:val="00A430A5"/>
    <w:rsid w:val="00B15C3C"/>
    <w:rsid w:val="00BE4826"/>
    <w:rsid w:val="00C00D8A"/>
    <w:rsid w:val="00C22565"/>
    <w:rsid w:val="00D03E85"/>
    <w:rsid w:val="00D3774A"/>
    <w:rsid w:val="00D63E95"/>
    <w:rsid w:val="00DD5BAD"/>
    <w:rsid w:val="00DE0AD6"/>
    <w:rsid w:val="00E26380"/>
    <w:rsid w:val="00E271D8"/>
    <w:rsid w:val="00E47572"/>
    <w:rsid w:val="00ED6C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63AA1"/>
  <w15:chartTrackingRefBased/>
  <w15:docId w15:val="{2F3124EC-43FF-41E4-BDFE-2A2CF7C54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42D3"/>
    <w:rPr>
      <w:rFonts w:ascii="Arial" w:hAnsi="Arial"/>
    </w:rPr>
  </w:style>
  <w:style w:type="paragraph" w:styleId="Heading1">
    <w:name w:val="heading 1"/>
    <w:basedOn w:val="Normal"/>
    <w:next w:val="Normal"/>
    <w:link w:val="Heading1Char"/>
    <w:uiPriority w:val="9"/>
    <w:qFormat/>
    <w:rsid w:val="00C22565"/>
    <w:pPr>
      <w:keepNext/>
      <w:keepLines/>
      <w:spacing w:before="240" w:after="0" w:line="360" w:lineRule="auto"/>
      <w:jc w:val="both"/>
      <w:outlineLvl w:val="0"/>
    </w:pPr>
    <w:rPr>
      <w:rFonts w:asciiTheme="majorHAnsi" w:eastAsiaTheme="majorEastAsia" w:hAnsiTheme="majorHAnsi" w:cstheme="majorBidi"/>
      <w:b/>
      <w:color w:val="4472C4" w:themeColor="accen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2565"/>
    <w:rPr>
      <w:rFonts w:asciiTheme="majorHAnsi" w:eastAsiaTheme="majorEastAsia" w:hAnsiTheme="majorHAnsi" w:cstheme="majorBidi"/>
      <w:b/>
      <w:color w:val="4472C4" w:themeColor="accent1"/>
      <w:sz w:val="32"/>
      <w:szCs w:val="32"/>
    </w:rPr>
  </w:style>
  <w:style w:type="paragraph" w:customStyle="1" w:styleId="Default">
    <w:name w:val="Default"/>
    <w:rsid w:val="00C22565"/>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C22565"/>
    <w:rPr>
      <w:color w:val="0000FF"/>
      <w:u w:val="single"/>
    </w:rPr>
  </w:style>
  <w:style w:type="paragraph" w:styleId="ListParagraph">
    <w:name w:val="List Paragraph"/>
    <w:basedOn w:val="Normal"/>
    <w:uiPriority w:val="34"/>
    <w:qFormat/>
    <w:rsid w:val="006E6905"/>
    <w:pPr>
      <w:ind w:left="720"/>
      <w:contextualSpacing/>
    </w:pPr>
  </w:style>
  <w:style w:type="paragraph" w:styleId="TOCHeading">
    <w:name w:val="TOC Heading"/>
    <w:basedOn w:val="Heading1"/>
    <w:next w:val="Normal"/>
    <w:uiPriority w:val="39"/>
    <w:unhideWhenUsed/>
    <w:qFormat/>
    <w:rsid w:val="00022C55"/>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022C55"/>
    <w:pPr>
      <w:spacing w:after="100"/>
    </w:pPr>
  </w:style>
  <w:style w:type="paragraph" w:styleId="Header">
    <w:name w:val="header"/>
    <w:basedOn w:val="Normal"/>
    <w:link w:val="HeaderChar"/>
    <w:uiPriority w:val="99"/>
    <w:unhideWhenUsed/>
    <w:rsid w:val="001170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037"/>
    <w:rPr>
      <w:rFonts w:ascii="Arial" w:hAnsi="Arial"/>
    </w:rPr>
  </w:style>
  <w:style w:type="paragraph" w:styleId="Footer">
    <w:name w:val="footer"/>
    <w:basedOn w:val="Normal"/>
    <w:link w:val="FooterChar"/>
    <w:uiPriority w:val="99"/>
    <w:unhideWhenUsed/>
    <w:rsid w:val="001170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037"/>
    <w:rPr>
      <w:rFonts w:ascii="Arial" w:hAnsi="Arial"/>
    </w:rPr>
  </w:style>
  <w:style w:type="paragraph" w:customStyle="1" w:styleId="Normal1">
    <w:name w:val="Normal1"/>
    <w:rsid w:val="00457249"/>
    <w:pPr>
      <w:spacing w:after="0" w:line="276"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hyperlink" Target="https://www.bbc.co.uk/news/uk-politics-22079683" TargetMode="External"/><Relationship Id="rId26" Type="http://schemas.openxmlformats.org/officeDocument/2006/relationships/hyperlink" Target="https://www.google.com/finance/quote/BP:LON?window=1Y" TargetMode="External"/><Relationship Id="rId3" Type="http://schemas.openxmlformats.org/officeDocument/2006/relationships/styles" Target="styles.xml"/><Relationship Id="rId21" Type="http://schemas.openxmlformats.org/officeDocument/2006/relationships/hyperlink" Target="https://corporatefinanceinstitute.com/resources/knowledge/finance/capital-structure-overview/"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hyperlink" Target="https://site.financialmodelingprep.com/weighted-average-cost-of-capital/BP/"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bp.com/content/dam/bp/business-sites/en/global/corporate/pdfs/investors/bp-annual-report-and-form-20f-2021.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financial-dictionary.thefreedictionary.com/GBX"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investopedia.com/articles/investing/101613/analyzing-investments-solvency-ratios.asp" TargetMode="External"/><Relationship Id="rId28" Type="http://schemas.openxmlformats.org/officeDocument/2006/relationships/hyperlink" Target="https://worldpopulationreview.com/country-rankings/oil-production-by-country" TargetMode="External"/><Relationship Id="rId10" Type="http://schemas.openxmlformats.org/officeDocument/2006/relationships/image" Target="media/image3.png"/><Relationship Id="rId19" Type="http://schemas.openxmlformats.org/officeDocument/2006/relationships/hyperlink" Target="https://www.bp.com"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nvestopedia.com/terms/f/financial-health.asp" TargetMode="External"/><Relationship Id="rId22" Type="http://schemas.openxmlformats.org/officeDocument/2006/relationships/hyperlink" Target="https://www.jstor.org/stable/44482928" TargetMode="External"/><Relationship Id="rId27" Type="http://schemas.openxmlformats.org/officeDocument/2006/relationships/hyperlink" Target="https://simpleinvestmentguide.com/definition/gbx/"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4350EC3-411B-47F8-A4C9-1C626CAB24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16</Pages>
  <Words>4096</Words>
  <Characters>23349</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Desislava Nankova (1913488)</dc:creator>
  <cp:keywords/>
  <dc:description/>
  <cp:lastModifiedBy>Desislava Nankova (1913488)</cp:lastModifiedBy>
  <cp:revision>17</cp:revision>
  <dcterms:created xsi:type="dcterms:W3CDTF">2022-04-21T15:45:00Z</dcterms:created>
  <dcterms:modified xsi:type="dcterms:W3CDTF">2022-05-08T11:35:00Z</dcterms:modified>
</cp:coreProperties>
</file>