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D94954" w:rsidRDefault="00D94954" w14:paraId="019FA48E" w14:textId="77777777" w:rsidP="00E56E5E" w:rsidRPr="00E56E5E">
      <w:pPr>
        <w:jc w:val="center"/>
        <w:spacing w:line="360" w:lineRule="auto"/>
        <w:rPr>
          <w:bCs/>
          <w:b/>
          <w:rFonts w:ascii="Elephant" w:cs="Arial" w:hAnsi="Elephant"/>
          <w:sz w:val="32"/>
          <w:szCs w:val="32"/>
        </w:rPr>
      </w:pPr>
    </w:p>
    <w:p w:rsidR="00077E2F" w:rsidRDefault="00077E2F" w14:paraId="6AC099C7" w14:textId="6DB987E7" w:rsidP="00E56E5E" w:rsidRPr="00077E2F">
      <w:pPr>
        <w:jc w:val="center"/>
        <w:spacing w:line="360" w:lineRule="auto"/>
        <w:rPr>
          <w:bCs/>
          <w:b/>
          <w:rFonts w:ascii="Elephant" w:cs="Arial" w:hAnsi="Elephant"/>
          <w:sz w:val="32"/>
          <w:szCs w:val="32"/>
        </w:rPr>
      </w:pPr>
      <w:r w:rsidRPr="00077E2F">
        <w:rPr>
          <w:bCs/>
          <w:b/>
          <w:rFonts w:ascii="Elephant" w:cs="Arial" w:hAnsi="Elephant"/>
          <w:sz w:val="32"/>
          <w:szCs w:val="32"/>
        </w:rPr>
        <w:t>Research Report</w:t>
      </w:r>
    </w:p>
    <w:p w:rsidR="00077E2F" w:rsidRDefault="00077E2F" w14:paraId="7B47047D" w14:textId="3B7A1747" w:rsidP="00E56E5E" w:rsidRPr="00077E2F">
      <w:pPr>
        <w:jc w:val="center"/>
        <w:spacing w:line="360" w:lineRule="auto"/>
        <w:rPr>
          <w:rFonts w:ascii="Elephant" w:cs="Arial" w:hAnsi="Elephant"/>
          <w:sz w:val="32"/>
          <w:szCs w:val="32"/>
        </w:rPr>
      </w:pPr>
      <w:r w:rsidRPr="00077E2F">
        <w:rPr>
          <w:bCs/>
          <w:b/>
          <w:rFonts w:ascii="Elephant" w:cs="Arial" w:hAnsi="Elephant"/>
          <w:sz w:val="32"/>
          <w:szCs w:val="32"/>
        </w:rPr>
        <w:t>Student Name:</w:t>
      </w:r>
      <w:r w:rsidRPr="00077E2F">
        <w:rPr>
          <w:rFonts w:ascii="Elephant" w:cs="Arial" w:hAnsi="Elephant"/>
          <w:sz w:val="32"/>
          <w:szCs w:val="32"/>
        </w:rPr>
        <w:t xml:space="preserve">  Eunice-Naomi Labou</w:t>
      </w:r>
      <w:r>
        <w:rPr>
          <w:rFonts w:ascii="Elephant" w:cs="Arial" w:hAnsi="Elephant"/>
          <w:sz w:val="32"/>
          <w:szCs w:val="32"/>
        </w:rPr>
        <w:br/>
      </w:r>
      <w:r w:rsidRPr="00077E2F">
        <w:rPr>
          <w:bCs/>
          <w:b/>
          <w:rFonts w:ascii="Elephant" w:cs="Arial" w:hAnsi="Elephant"/>
          <w:sz w:val="32"/>
          <w:szCs w:val="32"/>
        </w:rPr>
        <w:t>Student Number:</w:t>
      </w:r>
      <w:r w:rsidRPr="00077E2F">
        <w:rPr>
          <w:rFonts w:ascii="Elephant" w:cs="Arial" w:hAnsi="Elephant"/>
          <w:sz w:val="32"/>
          <w:szCs w:val="32"/>
        </w:rPr>
        <w:t xml:space="preserve"> 2322368</w:t>
      </w:r>
      <w:r>
        <w:rPr>
          <w:rFonts w:ascii="Elephant" w:cs="Arial" w:hAnsi="Elephant"/>
          <w:sz w:val="32"/>
          <w:szCs w:val="32"/>
        </w:rPr>
        <w:br/>
      </w:r>
      <w:r w:rsidRPr="00077E2F">
        <w:rPr>
          <w:bCs/>
          <w:b/>
          <w:rFonts w:ascii="Elephant" w:cs="Arial" w:hAnsi="Elephant"/>
          <w:sz w:val="32"/>
          <w:szCs w:val="32"/>
        </w:rPr>
        <w:t>Module:</w:t>
      </w:r>
      <w:r w:rsidRPr="00077E2F">
        <w:rPr>
          <w:rFonts w:ascii="Elephant" w:cs="Arial" w:hAnsi="Elephant"/>
          <w:sz w:val="32"/>
          <w:szCs w:val="32"/>
        </w:rPr>
        <w:t xml:space="preserve"> Introduction to Independent Research Skills</w:t>
      </w:r>
      <w:r>
        <w:rPr>
          <w:rFonts w:ascii="Elephant" w:cs="Arial" w:hAnsi="Elephant"/>
          <w:sz w:val="32"/>
          <w:szCs w:val="32"/>
        </w:rPr>
        <w:br/>
      </w:r>
      <w:r w:rsidRPr="00077E2F">
        <w:rPr>
          <w:bCs/>
          <w:b/>
          <w:rFonts w:ascii="Elephant" w:cs="Arial" w:hAnsi="Elephant"/>
          <w:sz w:val="32"/>
          <w:szCs w:val="32"/>
        </w:rPr>
        <w:t>Module Code:</w:t>
      </w:r>
      <w:r w:rsidRPr="00077E2F">
        <w:rPr>
          <w:rFonts w:ascii="Elephant" w:cs="Arial" w:hAnsi="Elephant"/>
          <w:sz w:val="32"/>
          <w:szCs w:val="32"/>
        </w:rPr>
        <w:t xml:space="preserve"> BMHP5019</w:t>
      </w:r>
      <w:r>
        <w:rPr>
          <w:rFonts w:ascii="Elephant" w:cs="Arial" w:hAnsi="Elephant"/>
          <w:sz w:val="32"/>
          <w:szCs w:val="32"/>
        </w:rPr>
        <w:br/>
      </w:r>
      <w:r w:rsidRPr="00077E2F">
        <w:rPr>
          <w:bCs/>
          <w:b/>
          <w:rFonts w:ascii="Elephant" w:cs="Arial" w:hAnsi="Elephant"/>
          <w:sz w:val="32"/>
          <w:szCs w:val="32"/>
        </w:rPr>
        <w:t>Assignment Title:</w:t>
      </w:r>
      <w:r w:rsidRPr="00077E2F">
        <w:rPr>
          <w:rFonts w:ascii="Elephant" w:cs="Arial" w:hAnsi="Elephant"/>
          <w:sz w:val="32"/>
          <w:szCs w:val="32"/>
        </w:rPr>
        <w:t xml:space="preserve"> Component 2: Research Report (Scoping Review)</w:t>
      </w:r>
      <w:r>
        <w:rPr>
          <w:rFonts w:ascii="Elephant" w:cs="Arial" w:hAnsi="Elephant"/>
          <w:sz w:val="32"/>
          <w:szCs w:val="32"/>
        </w:rPr>
        <w:br/>
      </w:r>
      <w:r w:rsidRPr="00077E2F">
        <w:rPr>
          <w:bCs/>
          <w:b/>
          <w:rFonts w:ascii="Elephant" w:cs="Arial" w:hAnsi="Elephant"/>
          <w:sz w:val="32"/>
          <w:szCs w:val="32"/>
        </w:rPr>
        <w:t>Word Count:</w:t>
      </w:r>
      <w:r w:rsidRPr="00077E2F">
        <w:rPr>
          <w:rFonts w:ascii="Elephant" w:cs="Arial" w:hAnsi="Elephant"/>
          <w:sz w:val="32"/>
          <w:szCs w:val="32"/>
        </w:rPr>
        <w:t xml:space="preserve"> 3,600 words (+/-10%)</w:t>
      </w:r>
    </w:p>
    <w:p w:rsidR="006A6A4C" w:rsidRDefault="006A6A4C" w14:paraId="73D64512" w14:textId="77777777" w:rsidP="00E56E5E" w:rsidRPr="00E56E5E">
      <w:pPr>
        <w:jc w:val="both"/>
        <w:spacing w:line="360" w:lineRule="auto"/>
        <w:rPr>
          <w:rFonts w:ascii="Arial" w:cs="Arial" w:hAnsi="Arial"/>
          <w:sz w:val="22"/>
          <w:szCs w:val="22"/>
        </w:rPr>
      </w:pPr>
    </w:p>
    <w:p w:rsidR="00D94954" w:rsidRDefault="00D94954" w14:paraId="7E6BBD9F" w14:textId="77777777" w:rsidP="00E56E5E" w:rsidRPr="00E56E5E">
      <w:pPr>
        <w:jc w:val="both"/>
        <w:spacing w:line="360" w:lineRule="auto"/>
        <w:rPr>
          <w:rFonts w:ascii="Arial" w:cs="Arial" w:hAnsi="Arial"/>
          <w:sz w:val="22"/>
          <w:szCs w:val="22"/>
        </w:rPr>
      </w:pPr>
    </w:p>
    <w:p w:rsidR="00D94954" w:rsidRDefault="00D94954" w14:paraId="4015F544" w14:textId="77777777" w:rsidP="00E56E5E" w:rsidRPr="00E56E5E">
      <w:pPr>
        <w:jc w:val="both"/>
        <w:spacing w:line="360" w:lineRule="auto"/>
        <w:rPr>
          <w:rFonts w:ascii="Arial" w:cs="Arial" w:hAnsi="Arial"/>
          <w:sz w:val="22"/>
          <w:szCs w:val="22"/>
        </w:rPr>
      </w:pPr>
    </w:p>
    <w:p w:rsidR="00D94954" w:rsidRDefault="00D94954" w14:paraId="30F23B78" w14:textId="77777777" w:rsidP="00E56E5E" w:rsidRPr="00E56E5E">
      <w:pPr>
        <w:jc w:val="both"/>
        <w:spacing w:line="360" w:lineRule="auto"/>
        <w:rPr>
          <w:rFonts w:ascii="Arial" w:cs="Arial" w:hAnsi="Arial"/>
          <w:sz w:val="22"/>
          <w:szCs w:val="22"/>
        </w:rPr>
      </w:pPr>
    </w:p>
    <w:p w:rsidR="00D94954" w:rsidRDefault="00D94954" w14:paraId="51498C86" w14:textId="77777777" w:rsidP="00E56E5E" w:rsidRPr="00E56E5E">
      <w:pPr>
        <w:jc w:val="both"/>
        <w:spacing w:line="360" w:lineRule="auto"/>
        <w:rPr>
          <w:rFonts w:ascii="Arial" w:cs="Arial" w:hAnsi="Arial"/>
          <w:sz w:val="22"/>
          <w:szCs w:val="22"/>
        </w:rPr>
      </w:pPr>
    </w:p>
    <w:p w:rsidR="00D94954" w:rsidRDefault="00D94954" w14:paraId="6B1352AB" w14:textId="77777777" w:rsidP="00E56E5E" w:rsidRPr="00E56E5E">
      <w:pPr>
        <w:jc w:val="both"/>
        <w:spacing w:line="360" w:lineRule="auto"/>
        <w:rPr>
          <w:rFonts w:ascii="Arial" w:cs="Arial" w:hAnsi="Arial"/>
          <w:sz w:val="22"/>
          <w:szCs w:val="22"/>
        </w:rPr>
      </w:pPr>
    </w:p>
    <w:p w:rsidR="00D94954" w:rsidRDefault="00D94954" w14:paraId="36B3AE0B" w14:textId="77777777" w:rsidP="00E56E5E" w:rsidRPr="00E56E5E">
      <w:pPr>
        <w:jc w:val="both"/>
        <w:spacing w:line="360" w:lineRule="auto"/>
        <w:rPr>
          <w:rFonts w:ascii="Arial" w:cs="Arial" w:hAnsi="Arial"/>
          <w:sz w:val="22"/>
          <w:szCs w:val="22"/>
        </w:rPr>
      </w:pPr>
    </w:p>
    <w:p w:rsidR="00D94954" w:rsidRDefault="00D94954" w14:paraId="7FCF6733" w14:textId="77777777" w:rsidP="00E56E5E" w:rsidRPr="00E56E5E">
      <w:pPr>
        <w:jc w:val="both"/>
        <w:spacing w:line="360" w:lineRule="auto"/>
        <w:rPr>
          <w:rFonts w:ascii="Arial" w:cs="Arial" w:hAnsi="Arial"/>
          <w:sz w:val="22"/>
          <w:szCs w:val="22"/>
        </w:rPr>
      </w:pPr>
    </w:p>
    <w:p w:rsidR="00D94954" w:rsidRDefault="00D94954" w14:paraId="5339B23C" w14:textId="77777777" w:rsidP="00E56E5E" w:rsidRPr="00E56E5E">
      <w:pPr>
        <w:jc w:val="both"/>
        <w:spacing w:line="360" w:lineRule="auto"/>
        <w:rPr>
          <w:rFonts w:ascii="Arial" w:cs="Arial" w:hAnsi="Arial"/>
          <w:sz w:val="22"/>
          <w:szCs w:val="22"/>
        </w:rPr>
      </w:pPr>
    </w:p>
    <w:p w:rsidR="00D94954" w:rsidRDefault="00D94954" w14:paraId="70952649" w14:textId="77777777" w:rsidP="00E56E5E" w:rsidRPr="00E56E5E">
      <w:pPr>
        <w:jc w:val="both"/>
        <w:spacing w:line="360" w:lineRule="auto"/>
        <w:rPr>
          <w:rFonts w:ascii="Arial" w:cs="Arial" w:hAnsi="Arial"/>
          <w:sz w:val="22"/>
          <w:szCs w:val="22"/>
        </w:rPr>
      </w:pPr>
    </w:p>
    <w:p w:rsidR="00D94954" w:rsidRDefault="00D94954" w14:paraId="4B5D7844" w14:textId="77777777" w:rsidP="00E56E5E" w:rsidRPr="00E56E5E">
      <w:pPr>
        <w:jc w:val="both"/>
        <w:spacing w:line="360" w:lineRule="auto"/>
        <w:rPr>
          <w:rFonts w:ascii="Arial" w:cs="Arial" w:hAnsi="Arial"/>
          <w:sz w:val="22"/>
          <w:szCs w:val="22"/>
        </w:rPr>
      </w:pPr>
    </w:p>
    <w:p w:rsidR="002F5C99" w:rsidRDefault="00DF5E27" w14:paraId="54233A65" w14:textId="00683FF4" w:rsidP="00E56E5E" w:rsidRPr="00E56E5E">
      <w:pPr>
        <w:pStyle w:val="Heading1"/>
        <w:rPr>
          <w:sz w:val="32"/>
          <w:szCs w:val="32"/>
        </w:rPr>
      </w:pPr>
      <w:r w:rsidRPr="00E56E5E">
        <w:rPr>
          <w:sz w:val="32"/>
          <w:szCs w:val="32"/>
        </w:rPr>
        <w:t>Introduction</w:t>
        <w:lastRenderedPageBreak/>
      </w:r>
    </w:p>
    <w:p w:rsidR="002F5C99" w:rsidRDefault="00DF5E27" w14:paraId="721A557E" w14:textId="5C502168" w:rsidP="00E56E5E" w:rsidRPr="00E56E5E">
      <w:pPr>
        <w:jc w:val="both"/>
        <w:spacing w:line="360" w:lineRule="auto"/>
        <w:rPr>
          <w:rFonts w:ascii="Arial" w:cs="Arial" w:hAnsi="Arial"/>
          <w:sz w:val="22"/>
          <w:szCs w:val="22"/>
        </w:rPr>
      </w:pPr>
      <w:r w:rsidRPr="00E56E5E">
        <w:rPr>
          <w:rFonts w:ascii="Arial" w:cs="Arial" w:hAnsi="Arial"/>
          <w:sz w:val="22"/>
          <w:szCs w:val="22"/>
        </w:rPr>
        <w:t xml:space="preserve"> Definitions of Key Concepts</w:t>
      </w:r>
    </w:p>
    <w:p w:rsidR="002F5C99" w:rsidRDefault="00DF5E27" w14:paraId="318D750D" w14:textId="3DB90CEC" w:rsidP="00E56E5E" w:rsidRPr="00E56E5E">
      <w:pPr>
        <w:jc w:val="both"/>
        <w:spacing w:line="360" w:lineRule="auto"/>
        <w:rPr>
          <w:rFonts w:ascii="Arial" w:cs="Arial" w:hAnsi="Arial"/>
          <w:sz w:val="22"/>
          <w:szCs w:val="22"/>
        </w:rPr>
      </w:pPr>
      <w:r w:rsidRPr="00E56E5E">
        <w:rPr>
          <w:rFonts w:ascii="Arial" w:cs="Arial" w:hAnsi="Arial"/>
          <w:sz w:val="22"/>
          <w:szCs w:val="22"/>
        </w:rPr>
        <w:t xml:space="preserve">Digital health technologies are a broad group of digital tools to support the delivery of healthcare, health monitoring and wellbeing. Technologies that enable remote treatment of patients with chronic diseases through telehealth and telecare platforms, mobile health (mHealth) applications, physiological indicators monitoring through wearable devices, remote monitoring systems, and digital communication for patients, families, and the healthcare workforce (WHO 2021; Shaw et al. 2017). As people are getting older it is becoming </w:t>
      </w:r>
      <w:r w:rsidR="00E56E5E" w:rsidRPr="00E56E5E">
        <w:rPr>
          <w:rFonts w:ascii="Arial" w:cs="Arial" w:hAnsi="Arial"/>
          <w:sz w:val="22"/>
          <w:szCs w:val="22"/>
        </w:rPr>
        <w:t>increasingly</w:t>
      </w:r>
      <w:r w:rsidRPr="00E56E5E">
        <w:rPr>
          <w:rFonts w:ascii="Arial" w:cs="Arial" w:hAnsi="Arial"/>
          <w:sz w:val="22"/>
          <w:szCs w:val="22"/>
        </w:rPr>
        <w:t xml:space="preserve"> common to see the integration of assistive technology which is typically targeted at this age group as well as </w:t>
      </w:r>
      <w:r w:rsidR="002F5C99" w:rsidRPr="00E56E5E">
        <w:rPr>
          <w:rFonts w:ascii="Arial" w:cs="Arial" w:hAnsi="Arial"/>
          <w:sz w:val="22"/>
          <w:szCs w:val="22"/>
        </w:rPr>
        <w:t>personalized</w:t>
      </w:r>
      <w:r w:rsidRPr="00E56E5E">
        <w:rPr>
          <w:rFonts w:ascii="Arial" w:cs="Arial" w:hAnsi="Arial"/>
          <w:sz w:val="22"/>
          <w:szCs w:val="22"/>
        </w:rPr>
        <w:t xml:space="preserve"> care within digital health technologies. In this way, these technologies offer opportunities to support independent living, enhanced communication and timely care (Lupton, 2018). Social isolation is defined as lack of social contact or infrequent contact with others. It occurs due to geographical, health or socio-economic reasons (Coyle &amp; Dugan, 2012). Social isolation is not the same as loneliness, but they are related. Loneliness is a subjective, emotional experience of distress from a deficiency of social relationships (Victor et al., 2020). Social isolation leads to problems in physical and mental health among the elderly people and increases risks of depression, cognitive impairment and functional decline (Holt-</w:t>
      </w:r>
      <w:proofErr w:type="spellStart"/>
      <w:r w:rsidRPr="00E56E5E">
        <w:rPr>
          <w:rFonts w:ascii="Arial" w:cs="Arial" w:hAnsi="Arial"/>
          <w:sz w:val="22"/>
          <w:szCs w:val="22"/>
        </w:rPr>
        <w:t>Lunstad</w:t>
      </w:r>
      <w:proofErr w:type="spellEnd"/>
      <w:r w:rsidRPr="00E56E5E">
        <w:rPr>
          <w:rFonts w:ascii="Arial" w:cs="Arial" w:hAnsi="Arial"/>
          <w:sz w:val="22"/>
          <w:szCs w:val="22"/>
        </w:rPr>
        <w:t xml:space="preserve"> et al., 2015). It is important to recognize these differences in examining how digital interventions could support social connectivity and wellbeing in later life.</w:t>
      </w:r>
    </w:p>
    <w:p w:rsidR="002F5C99" w:rsidRDefault="00DF5E27" w14:paraId="342906AD" w14:textId="654719B5" w:rsidP="00E56E5E" w:rsidRPr="00E56E5E">
      <w:pPr>
        <w:rPr>
          <w:bCs/>
          <w:b/>
        </w:rPr>
      </w:pPr>
      <w:r w:rsidRPr="00E56E5E">
        <w:rPr>
          <w:bCs/>
          <w:b/>
        </w:rPr>
        <w:t>Rationale for the Review</w:t>
      </w:r>
    </w:p>
    <w:p w:rsidR="002F5C99" w:rsidRDefault="00DF5E27" w14:paraId="51AC0EC6" w14:textId="7E61516C" w:rsidP="00E56E5E" w:rsidRPr="00E56E5E">
      <w:pPr>
        <w:jc w:val="both"/>
        <w:spacing w:line="360" w:lineRule="auto"/>
        <w:rPr>
          <w:rFonts w:ascii="Arial" w:cs="Arial" w:hAnsi="Arial"/>
          <w:sz w:val="22"/>
          <w:szCs w:val="22"/>
        </w:rPr>
      </w:pPr>
      <w:r w:rsidRPr="00E56E5E">
        <w:rPr>
          <w:rFonts w:ascii="Arial" w:cs="Arial" w:hAnsi="Arial"/>
          <w:sz w:val="22"/>
          <w:szCs w:val="22"/>
        </w:rPr>
        <w:t xml:space="preserve">Older people in the UK who are socially isolated are of increasing public health concern. The Age UK (2021) and Office for National Statistics (2020) report states that the demographic ageing, reduced household sizes, change in family setups and loss of community spirit have caused a rising number of elderly individuals to face social isolation. Social isolation is now understood as a cause of inequalities in health, affecting not just people’s emotional wellbeing but putting significant strain on health and social care services (Marmot et al., 2020). The lockdowns and social distancing measures due to the COVID-19 pandemic made issues surrounding social isolation worse. From April 2020, the UK has experienced a steep increase in the uptake of digital health and communication technologies, such as virtual GP consultations, online social groups, and remote monitoring (NHS Digital, 2022). The developments above highlighted the usefulness of digital tools to maintain contact, communication, and continuity of care. However, it also revealed persistent digital divides such as lack of digital literacy, lack of device access, </w:t>
      </w:r>
      <w:r w:rsidRPr="00E56E5E">
        <w:rPr>
          <w:rFonts w:ascii="Arial" w:cs="Arial" w:hAnsi="Arial"/>
          <w:sz w:val="22"/>
          <w:szCs w:val="22"/>
        </w:rPr>
        <w:t>affordability and age-related cognitive or sensory disabilities which affect the use of the technology (Seifert et al., 2020; van Deursen, 2020).</w:t>
        <w:lastRenderedPageBreak/>
      </w:r>
    </w:p>
    <w:p w:rsidR="003B7DBF" w:rsidRDefault="00973C53" w14:paraId="715E4823"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The UK government and NHS have instituted various strategies that are designed to help the NHS digitally transform. For instance, the NHS Long Term Plan includes digital inclusion initiatives. More details are now needed to investigate the level to which digital health technologies can help to reduce social isolation in older people (NHS England, 2019) Despite rising interest, much of the existing evidence is fragmented by discipline, intervention, and study design. A scoping review is an appropriate method to map the types, characteristics and effect of digital interventions targeting social isolation in older adults in the UK. </w:t>
      </w:r>
    </w:p>
    <w:p w:rsidR="003B7DBF" w:rsidRDefault="003B7DBF" w14:paraId="7CC5B098" w14:textId="77777777" w:rsidP="00E56E5E" w:rsidRPr="00E56E5E">
      <w:pPr>
        <w:jc w:val="both"/>
        <w:spacing w:line="360" w:lineRule="auto"/>
        <w:rPr>
          <w:rFonts w:ascii="Arial" w:cs="Arial" w:hAnsi="Arial"/>
          <w:sz w:val="22"/>
          <w:szCs w:val="22"/>
        </w:rPr>
      </w:pPr>
    </w:p>
    <w:p w:rsidR="003B7DBF" w:rsidRDefault="00973C53" w14:paraId="2D11A750" w14:textId="2878B2B4" w:rsidP="00E56E5E" w:rsidRPr="00E56E5E">
      <w:pPr>
        <w:jc w:val="both"/>
        <w:spacing w:line="360" w:lineRule="auto"/>
        <w:rPr>
          <w:bCs/>
          <w:b/>
          <w:rFonts w:ascii="Arial" w:cs="Arial" w:hAnsi="Arial"/>
          <w:sz w:val="22"/>
          <w:szCs w:val="22"/>
        </w:rPr>
      </w:pPr>
      <w:r w:rsidRPr="00E56E5E">
        <w:rPr>
          <w:rFonts w:ascii="Arial" w:cs="Arial" w:hAnsi="Arial"/>
          <w:sz w:val="22"/>
          <w:szCs w:val="22"/>
        </w:rPr>
        <w:t xml:space="preserve"> </w:t>
      </w:r>
      <w:r w:rsidRPr="00E56E5E">
        <w:rPr>
          <w:bCs/>
          <w:b/>
          <w:rFonts w:ascii="Arial" w:cs="Arial" w:hAnsi="Arial"/>
          <w:sz w:val="22"/>
          <w:szCs w:val="22"/>
        </w:rPr>
        <w:t>Review Question</w:t>
      </w:r>
    </w:p>
    <w:p w:rsidR="003B7DBF" w:rsidRDefault="00973C53" w14:paraId="26FAEE46"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What is the purpose of this scoping review? How do digital health technologies affect social isolation amongst older adults in the UK?”. </w:t>
      </w:r>
    </w:p>
    <w:p w:rsidR="003B7DBF" w:rsidRDefault="00973C53" w14:paraId="3D667614" w14:textId="396C7EA7" w:rsidP="00E56E5E" w:rsidRPr="00E56E5E">
      <w:pPr>
        <w:jc w:val="both"/>
        <w:spacing w:line="360" w:lineRule="auto"/>
        <w:rPr>
          <w:bCs/>
          <w:b/>
          <w:rFonts w:ascii="Arial" w:cs="Arial" w:hAnsi="Arial"/>
          <w:sz w:val="22"/>
          <w:szCs w:val="22"/>
        </w:rPr>
      </w:pPr>
      <w:r w:rsidRPr="00E56E5E">
        <w:rPr>
          <w:bCs/>
          <w:b/>
          <w:rFonts w:ascii="Arial" w:cs="Arial" w:hAnsi="Arial"/>
          <w:sz w:val="22"/>
          <w:szCs w:val="22"/>
        </w:rPr>
        <w:t>Objectives</w:t>
      </w:r>
    </w:p>
    <w:p w:rsidR="00973C53" w:rsidRDefault="00973C53" w14:paraId="0852497A" w14:textId="12435D7E" w:rsidP="00E56E5E" w:rsidRPr="00E56E5E">
      <w:pPr>
        <w:jc w:val="both"/>
        <w:spacing w:line="360" w:lineRule="auto"/>
        <w:rPr>
          <w:rFonts w:ascii="Arial" w:cs="Arial" w:hAnsi="Arial"/>
          <w:sz w:val="22"/>
          <w:szCs w:val="22"/>
        </w:rPr>
      </w:pPr>
      <w:r w:rsidRPr="00E56E5E">
        <w:rPr>
          <w:rFonts w:ascii="Arial" w:cs="Arial" w:hAnsi="Arial"/>
          <w:sz w:val="22"/>
          <w:szCs w:val="22"/>
        </w:rPr>
        <w:t>The objectives of this review are. The purpose of this literature review is to explore peer-reviewed research published on the impact of various digital health interventions on social connectedness, social isolation and wellbeing of older adults in the UK. The objective is to identify key barriers, challenges, and enablers that influence adoption and sustained use of digital health tools among older adults. To examine the implications for UK health and social care policy and practice, especially regarding digital inclusion, service design, and support mechanisms that can facilitate equitable access to digital health technologies for older adults.</w:t>
      </w:r>
    </w:p>
    <w:p w:rsidR="003B7DBF" w:rsidRDefault="003B7DBF" w14:paraId="2C01565B" w14:textId="77777777" w:rsidP="00E56E5E" w:rsidRPr="00E56E5E">
      <w:pPr>
        <w:jc w:val="both"/>
        <w:spacing w:line="360" w:lineRule="auto"/>
        <w:rPr>
          <w:rFonts w:ascii="Arial" w:cs="Arial" w:hAnsi="Arial"/>
          <w:sz w:val="22"/>
          <w:szCs w:val="22"/>
        </w:rPr>
      </w:pPr>
    </w:p>
    <w:p w:rsidR="00ED48F5" w:rsidRDefault="003F127C" w14:paraId="5AB6251C" w14:textId="716CB99A" w:rsidP="00E56E5E" w:rsidRPr="00E56E5E">
      <w:pPr>
        <w:pStyle w:val="Heading1"/>
        <w:rPr>
          <w:sz w:val="32"/>
          <w:szCs w:val="32"/>
        </w:rPr>
      </w:pPr>
      <w:r w:rsidRPr="00E56E5E">
        <w:rPr>
          <w:sz w:val="32"/>
          <w:szCs w:val="32"/>
        </w:rPr>
        <w:t>Background</w:t>
      </w:r>
    </w:p>
    <w:p w:rsidR="00ED48F5" w:rsidRDefault="003F127C" w14:paraId="24D61905" w14:textId="3491AF24" w:rsidP="00E56E5E" w:rsidRPr="00E56E5E">
      <w:pPr>
        <w:jc w:val="both"/>
        <w:spacing w:line="360" w:lineRule="auto"/>
        <w:rPr>
          <w:rFonts w:ascii="Arial" w:cs="Arial" w:hAnsi="Arial"/>
          <w:sz w:val="22"/>
          <w:szCs w:val="22"/>
        </w:rPr>
      </w:pPr>
      <w:r w:rsidRPr="003F127C">
        <w:rPr>
          <w:rFonts w:ascii="Arial" w:cs="Arial" w:hAnsi="Arial"/>
          <w:sz w:val="22"/>
          <w:szCs w:val="22"/>
        </w:rPr>
        <w:t xml:space="preserve">Social isolation is a significant public health problem. In the UK, the adults of 65 and over </w:t>
      </w:r>
      <w:r w:rsidR="00ED48F5" w:rsidRPr="00E56E5E">
        <w:rPr>
          <w:rFonts w:ascii="Arial" w:cs="Arial" w:hAnsi="Arial"/>
          <w:sz w:val="22"/>
          <w:szCs w:val="22"/>
        </w:rPr>
        <w:t>are</w:t>
      </w:r>
      <w:r w:rsidRPr="003F127C">
        <w:rPr>
          <w:rFonts w:ascii="Arial" w:cs="Arial" w:hAnsi="Arial"/>
          <w:sz w:val="22"/>
          <w:szCs w:val="22"/>
        </w:rPr>
        <w:t xml:space="preserve"> one of the fastest-growing population groups in Europe. Forecasts indicate that, by 2040, almost a quarter of people living in the UK will be aged 65 or over (Office for National Statistics, 2021). Older People Are More Socially Isolated Than </w:t>
      </w:r>
      <w:r w:rsidR="00ED0A3E" w:rsidRPr="003F127C">
        <w:rPr>
          <w:rFonts w:ascii="Arial" w:cs="Arial" w:hAnsi="Arial"/>
          <w:sz w:val="22"/>
          <w:szCs w:val="22"/>
        </w:rPr>
        <w:t>Others:</w:t>
      </w:r>
      <w:r w:rsidRPr="003F127C">
        <w:rPr>
          <w:rFonts w:ascii="Arial" w:cs="Arial" w:hAnsi="Arial"/>
          <w:sz w:val="22"/>
          <w:szCs w:val="22"/>
        </w:rPr>
        <w:t xml:space="preserve"> More than 1.4 million older people feel they are often or always lonely (Age UK, 2021). By objective measures, social isolation is the lack of, or infrequent contact with social networks. Extensive investigations show that the ramifications for health of being socially isolated are many. For instance, depression, anxiety, faster cognitive </w:t>
      </w:r>
      <w:r w:rsidRPr="003F127C">
        <w:rPr>
          <w:rFonts w:ascii="Arial" w:cs="Arial" w:hAnsi="Arial"/>
          <w:sz w:val="22"/>
          <w:szCs w:val="22"/>
        </w:rPr>
        <w:t>decline, functional impairment, anything that heightens chance of morbidity and mortality trouble (Courtin &amp; Knapp, 2017; Holt-</w:t>
        <w:lastRenderedPageBreak/>
      </w:r>
      <w:proofErr w:type="spellStart"/>
      <w:r w:rsidRPr="003F127C">
        <w:rPr>
          <w:rFonts w:ascii="Arial" w:cs="Arial" w:hAnsi="Arial"/>
          <w:sz w:val="22"/>
          <w:szCs w:val="22"/>
        </w:rPr>
        <w:t>Lunstad</w:t>
      </w:r>
      <w:proofErr w:type="spellEnd"/>
      <w:r w:rsidRPr="003F127C">
        <w:rPr>
          <w:rFonts w:ascii="Arial" w:cs="Arial" w:hAnsi="Arial"/>
          <w:sz w:val="22"/>
          <w:szCs w:val="22"/>
        </w:rPr>
        <w:t xml:space="preserve"> et al., 2015). Lack of human connection does not only cost us human lives but also </w:t>
      </w:r>
      <w:r w:rsidR="00ED48F5" w:rsidRPr="00E56E5E">
        <w:rPr>
          <w:rFonts w:ascii="Arial" w:cs="Arial" w:hAnsi="Arial"/>
          <w:sz w:val="22"/>
          <w:szCs w:val="22"/>
        </w:rPr>
        <w:t>has</w:t>
      </w:r>
      <w:r w:rsidRPr="003F127C">
        <w:rPr>
          <w:rFonts w:ascii="Arial" w:cs="Arial" w:hAnsi="Arial"/>
          <w:sz w:val="22"/>
          <w:szCs w:val="22"/>
        </w:rPr>
        <w:t xml:space="preserve"> economic costs. According to estimates from the UK government, public services pay £1.8 billion every year </w:t>
      </w:r>
      <w:r w:rsidR="00ED48F5" w:rsidRPr="00E56E5E">
        <w:rPr>
          <w:rFonts w:ascii="Arial" w:cs="Arial" w:hAnsi="Arial"/>
          <w:sz w:val="22"/>
          <w:szCs w:val="22"/>
        </w:rPr>
        <w:t>because of</w:t>
      </w:r>
      <w:r w:rsidRPr="003F127C">
        <w:rPr>
          <w:rFonts w:ascii="Arial" w:cs="Arial" w:hAnsi="Arial"/>
          <w:sz w:val="22"/>
          <w:szCs w:val="22"/>
        </w:rPr>
        <w:t xml:space="preserve"> loneliness and social isolation. Most of the costs arise from health care use, social care needs, and emergency admissions (HM Government, 2018). There is need for innovative sustainable approaches to enhance social connectedness among older </w:t>
      </w:r>
      <w:r w:rsidR="00ED48F5" w:rsidRPr="00E56E5E">
        <w:rPr>
          <w:rFonts w:ascii="Arial" w:cs="Arial" w:hAnsi="Arial"/>
          <w:sz w:val="22"/>
          <w:szCs w:val="22"/>
        </w:rPr>
        <w:t>adults</w:t>
      </w:r>
      <w:r w:rsidRPr="003F127C">
        <w:rPr>
          <w:rFonts w:ascii="Arial" w:cs="Arial" w:hAnsi="Arial"/>
          <w:sz w:val="22"/>
          <w:szCs w:val="22"/>
        </w:rPr>
        <w:t xml:space="preserve">. </w:t>
      </w:r>
    </w:p>
    <w:p w:rsidR="00ED48F5" w:rsidRDefault="003F127C" w14:paraId="5AB9DE6D" w14:textId="2796F283" w:rsidP="00E56E5E" w:rsidRPr="00ED0A3E">
      <w:pPr>
        <w:jc w:val="both"/>
        <w:spacing w:line="360" w:lineRule="auto"/>
        <w:rPr>
          <w:bCs/>
          <w:b/>
          <w:rFonts w:ascii="Arial" w:cs="Arial" w:hAnsi="Arial"/>
          <w:sz w:val="22"/>
          <w:szCs w:val="22"/>
        </w:rPr>
      </w:pPr>
      <w:r w:rsidRPr="003F127C">
        <w:rPr>
          <w:bCs/>
          <w:b/>
          <w:rFonts w:ascii="Arial" w:cs="Arial" w:hAnsi="Arial"/>
          <w:sz w:val="22"/>
          <w:szCs w:val="22"/>
        </w:rPr>
        <w:t xml:space="preserve">Digital Transformation of Health and Social Care in the UK </w:t>
      </w:r>
    </w:p>
    <w:p w:rsidR="003F127C" w:rsidRDefault="003F127C" w14:paraId="40172BCE" w14:textId="581E4F63" w:rsidP="00E56E5E" w:rsidRPr="003F127C">
      <w:pPr>
        <w:jc w:val="both"/>
        <w:spacing w:line="360" w:lineRule="auto"/>
        <w:rPr>
          <w:rFonts w:ascii="Arial" w:cs="Arial" w:hAnsi="Arial"/>
          <w:sz w:val="22"/>
          <w:szCs w:val="22"/>
        </w:rPr>
      </w:pPr>
      <w:r w:rsidRPr="003F127C">
        <w:rPr>
          <w:rFonts w:ascii="Arial" w:cs="Arial" w:hAnsi="Arial"/>
          <w:sz w:val="22"/>
          <w:szCs w:val="22"/>
        </w:rPr>
        <w:t xml:space="preserve">The UK is under pressure from rising demand for services, ongoing workforce issues and the need for more </w:t>
      </w:r>
      <w:r w:rsidR="00ED48F5" w:rsidRPr="00E56E5E">
        <w:rPr>
          <w:rFonts w:ascii="Arial" w:cs="Arial" w:hAnsi="Arial"/>
          <w:sz w:val="22"/>
          <w:szCs w:val="22"/>
        </w:rPr>
        <w:t>personalized</w:t>
      </w:r>
      <w:r w:rsidRPr="003F127C">
        <w:rPr>
          <w:rFonts w:ascii="Arial" w:cs="Arial" w:hAnsi="Arial"/>
          <w:sz w:val="22"/>
          <w:szCs w:val="22"/>
        </w:rPr>
        <w:t xml:space="preserve"> care. The response has been to use digital innovation as a core reform strategy. The NHS Long Term Plan (2019) sees digital transformation as the key to improving access, efficiency and continuity. The electronic patient record and the NHS App, online repeat prescribing, video consultations, telehealth for long-term conditions, and remote patient monitoring have all expanded widely (NHS England, 2022). The use of remote consultation technology has increased, which was only about 15% of primary consultation before COVID-19, to now over 70% at peak lockdown (Islam et al, 2021). For elderly folk, digital health technologies have been promoted not just as tools for improving clinical care but as mechanisms to deliver health interventions. promote independence and self-</w:t>
      </w:r>
      <w:r w:rsidR="00ED48F5" w:rsidRPr="00E56E5E">
        <w:rPr>
          <w:rFonts w:ascii="Arial" w:cs="Arial" w:hAnsi="Arial"/>
          <w:sz w:val="22"/>
          <w:szCs w:val="22"/>
        </w:rPr>
        <w:t>management,</w:t>
      </w:r>
      <w:r w:rsidRPr="003F127C">
        <w:rPr>
          <w:rFonts w:ascii="Arial" w:cs="Arial" w:hAnsi="Arial"/>
          <w:sz w:val="22"/>
          <w:szCs w:val="22"/>
        </w:rPr>
        <w:t xml:space="preserve"> Allows for remote communication with family, friends, and caregivers. Enhance the flow and arrangement of treatment. Assist seniors with remaining where they are and stop relying on services like nursing homes. </w:t>
      </w:r>
    </w:p>
    <w:p w:rsidR="00453625" w:rsidRDefault="003F127C" w14:paraId="47E1E0BC" w14:textId="07727F65" w:rsidP="00E56E5E" w:rsidRPr="00E56E5E">
      <w:pPr>
        <w:jc w:val="both"/>
        <w:spacing w:line="360" w:lineRule="auto"/>
        <w:rPr>
          <w:rFonts w:ascii="Arial" w:cs="Arial" w:hAnsi="Arial"/>
          <w:sz w:val="22"/>
          <w:szCs w:val="22"/>
        </w:rPr>
      </w:pPr>
      <w:r w:rsidRPr="00E56E5E">
        <w:rPr>
          <w:rFonts w:ascii="Arial" w:cs="Arial" w:hAnsi="Arial"/>
          <w:sz w:val="22"/>
          <w:szCs w:val="22"/>
        </w:rPr>
        <w:t xml:space="preserve">There is great potential in </w:t>
      </w:r>
      <w:r w:rsidR="00ED48F5" w:rsidRPr="00E56E5E">
        <w:rPr>
          <w:rFonts w:ascii="Arial" w:cs="Arial" w:hAnsi="Arial"/>
          <w:sz w:val="22"/>
          <w:szCs w:val="22"/>
        </w:rPr>
        <w:t>digital</w:t>
      </w:r>
      <w:r w:rsidRPr="00E56E5E">
        <w:rPr>
          <w:rFonts w:ascii="Arial" w:cs="Arial" w:hAnsi="Arial"/>
          <w:sz w:val="22"/>
          <w:szCs w:val="22"/>
        </w:rPr>
        <w:t xml:space="preserve"> technologies. The digital solutions can lessen </w:t>
      </w:r>
      <w:r w:rsidR="00ED48F5" w:rsidRPr="00E56E5E">
        <w:rPr>
          <w:rFonts w:ascii="Arial" w:cs="Arial" w:hAnsi="Arial"/>
          <w:sz w:val="22"/>
          <w:szCs w:val="22"/>
        </w:rPr>
        <w:t>social</w:t>
      </w:r>
      <w:r w:rsidRPr="00E56E5E">
        <w:rPr>
          <w:rFonts w:ascii="Arial" w:cs="Arial" w:hAnsi="Arial"/>
          <w:sz w:val="22"/>
          <w:szCs w:val="22"/>
        </w:rPr>
        <w:t xml:space="preserve"> isolation and improve wellbeing of older adults if the solutions are accessible.</w:t>
      </w:r>
    </w:p>
    <w:p w:rsidR="002F5C99" w:rsidRDefault="002F5C99" w14:paraId="5C9B8BC0" w14:textId="77777777" w:rsidP="00E56E5E" w:rsidRPr="00E56E5E">
      <w:pPr>
        <w:jc w:val="both"/>
        <w:spacing w:line="360" w:lineRule="auto"/>
        <w:rPr>
          <w:rFonts w:ascii="Arial" w:cs="Arial" w:hAnsi="Arial"/>
          <w:sz w:val="22"/>
          <w:szCs w:val="22"/>
        </w:rPr>
      </w:pPr>
    </w:p>
    <w:p w:rsidR="00140556" w:rsidRDefault="00B02E6A" w14:paraId="506DBA7E" w14:textId="77777777" w:rsidP="00E56E5E" w:rsidRPr="00ED0A3E">
      <w:pPr>
        <w:jc w:val="both"/>
        <w:spacing w:line="360" w:lineRule="auto"/>
        <w:rPr>
          <w:bCs/>
          <w:b/>
          <w:rFonts w:ascii="Arial" w:cs="Arial" w:hAnsi="Arial"/>
          <w:sz w:val="22"/>
          <w:szCs w:val="22"/>
        </w:rPr>
      </w:pPr>
      <w:r w:rsidRPr="00ED0A3E">
        <w:rPr>
          <w:bCs/>
          <w:b/>
          <w:rFonts w:ascii="Arial" w:cs="Arial" w:hAnsi="Arial"/>
          <w:sz w:val="22"/>
          <w:szCs w:val="22"/>
        </w:rPr>
        <w:t>Digital Exclusion Among Older Adults</w:t>
      </w:r>
    </w:p>
    <w:p w:rsidR="00140556" w:rsidRDefault="00B02E6A" w14:paraId="0BFC094C" w14:textId="6705467B" w:rsidP="00E56E5E" w:rsidRPr="00E56E5E">
      <w:pPr>
        <w:jc w:val="both"/>
        <w:spacing w:line="360" w:lineRule="auto"/>
        <w:rPr>
          <w:rFonts w:ascii="Arial" w:cs="Arial" w:hAnsi="Arial"/>
          <w:sz w:val="22"/>
          <w:szCs w:val="22"/>
        </w:rPr>
      </w:pPr>
      <w:r w:rsidRPr="00E56E5E">
        <w:rPr>
          <w:rFonts w:ascii="Arial" w:cs="Arial" w:hAnsi="Arial"/>
          <w:sz w:val="22"/>
          <w:szCs w:val="22"/>
        </w:rPr>
        <w:t xml:space="preserve"> While the interest in digital health initiatives has expanded rapidly, older adults remain the least engaged population guild in the UK. People aged 75 and over are much less likely to use the internet regularly, according to the Office for National Statistics (2023). Moreover, nearly half lack the basic digital skills to use online services by themselves. There are various barriers to digital exclusion. Low digital literacy and confidence affect many older adults due to limited prior computer, smartphone and online communication experience (Seifert, 2020). Accessibility issues </w:t>
      </w:r>
      <w:r w:rsidRPr="00E56E5E">
        <w:rPr>
          <w:rFonts w:ascii="Arial" w:cs="Arial" w:hAnsi="Arial"/>
          <w:sz w:val="22"/>
          <w:szCs w:val="22"/>
        </w:rPr>
        <w:t xml:space="preserve">can make it difficult for people with visual, hearing or motor impairments to navigate complex interfaces. Access to devices that connect to the internet or reliable broadband is limited, especially in poorer or rural areas. Fear of making mistakes or “breaking” technology is a technophobia. People on low or fixed incomes find it hard to cope with devices, software or internet subscriptions. People do not trust digital services for privacy and data safety issues. It is also due to </w:t>
        <w:lastRenderedPageBreak/>
      </w:r>
      <w:r w:rsidR="00B67F8C" w:rsidRPr="00E56E5E">
        <w:rPr>
          <w:rFonts w:ascii="Arial" w:cs="Arial" w:hAnsi="Arial"/>
          <w:sz w:val="22"/>
          <w:szCs w:val="22"/>
        </w:rPr>
        <w:t>impersonality</w:t>
      </w:r>
      <w:r w:rsidRPr="00E56E5E">
        <w:rPr>
          <w:rFonts w:ascii="Arial" w:cs="Arial" w:hAnsi="Arial"/>
          <w:sz w:val="22"/>
          <w:szCs w:val="22"/>
        </w:rPr>
        <w:t xml:space="preserve">. As there have been a few challenges, this indicates that unless supported by adequate digital inclusion means, training and design for all, such technologies may not automatically lead to better outcomes. </w:t>
      </w:r>
    </w:p>
    <w:p w:rsidR="00140556" w:rsidRDefault="00B02E6A" w14:paraId="3766B950" w14:textId="33738619" w:rsidP="00E56E5E" w:rsidRPr="00ED0A3E">
      <w:pPr>
        <w:jc w:val="both"/>
        <w:spacing w:line="360" w:lineRule="auto"/>
        <w:rPr>
          <w:bCs/>
          <w:b/>
          <w:rFonts w:ascii="Arial" w:cs="Arial" w:hAnsi="Arial"/>
          <w:sz w:val="22"/>
          <w:szCs w:val="22"/>
        </w:rPr>
      </w:pPr>
      <w:r w:rsidRPr="00ED0A3E">
        <w:rPr>
          <w:bCs/>
          <w:b/>
          <w:rFonts w:ascii="Arial" w:cs="Arial" w:hAnsi="Arial"/>
          <w:sz w:val="22"/>
          <w:szCs w:val="22"/>
        </w:rPr>
        <w:t>Relevance to UK Practice</w:t>
      </w:r>
    </w:p>
    <w:p w:rsidR="00B02E6A" w:rsidRDefault="00B02E6A" w14:paraId="196DBA71" w14:textId="522B9D90" w:rsidP="00E56E5E" w:rsidRPr="00E56E5E">
      <w:pPr>
        <w:jc w:val="both"/>
        <w:spacing w:line="360" w:lineRule="auto"/>
        <w:rPr>
          <w:rFonts w:ascii="Arial" w:cs="Arial" w:hAnsi="Arial"/>
          <w:sz w:val="22"/>
          <w:szCs w:val="22"/>
        </w:rPr>
      </w:pPr>
      <w:r w:rsidRPr="00E56E5E">
        <w:rPr>
          <w:rFonts w:ascii="Arial" w:cs="Arial" w:hAnsi="Arial"/>
          <w:sz w:val="22"/>
          <w:szCs w:val="22"/>
        </w:rPr>
        <w:t xml:space="preserve">It is an area of growing importance to UK health and social care practitioners in relation to social isolation. As the sector transfers to delivery remotely and with the help of technology, there is increasing pressure to ensure that the digital is efficient as well as equitable. According to Barnes et. </w:t>
      </w:r>
      <w:proofErr w:type="gramStart"/>
      <w:r w:rsidRPr="00E56E5E">
        <w:rPr>
          <w:rFonts w:ascii="Arial" w:cs="Arial" w:hAnsi="Arial"/>
          <w:sz w:val="22"/>
          <w:szCs w:val="22"/>
        </w:rPr>
        <w:t>al</w:t>
      </w:r>
      <w:proofErr w:type="gramEnd"/>
      <w:r w:rsidRPr="00E56E5E">
        <w:rPr>
          <w:rFonts w:ascii="Arial" w:cs="Arial" w:hAnsi="Arial"/>
          <w:sz w:val="22"/>
          <w:szCs w:val="22"/>
        </w:rPr>
        <w:t xml:space="preserve"> (2023), when older adults engage meaningfully with technology, it strengthens their social ties, improves their mental and physical health, and enables them to access health services on time. This raises issues for policymakers </w:t>
      </w:r>
      <w:r w:rsidR="00140556" w:rsidRPr="00E56E5E">
        <w:rPr>
          <w:rFonts w:ascii="Arial" w:cs="Arial" w:hAnsi="Arial"/>
          <w:sz w:val="22"/>
          <w:szCs w:val="22"/>
        </w:rPr>
        <w:t>as</w:t>
      </w:r>
      <w:r w:rsidRPr="00E56E5E">
        <w:rPr>
          <w:rFonts w:ascii="Arial" w:cs="Arial" w:hAnsi="Arial"/>
          <w:sz w:val="22"/>
          <w:szCs w:val="22"/>
        </w:rPr>
        <w:t xml:space="preserve"> the best way to design and implement digital health strategies, factoring the needs, capabilities and preferences of old people. According to practitioners, training in digital literacy, person-</w:t>
      </w:r>
      <w:r w:rsidR="00140556" w:rsidRPr="00E56E5E">
        <w:rPr>
          <w:rFonts w:ascii="Arial" w:cs="Arial" w:hAnsi="Arial"/>
          <w:sz w:val="22"/>
          <w:szCs w:val="22"/>
        </w:rPr>
        <w:t>centered</w:t>
      </w:r>
      <w:r w:rsidRPr="00E56E5E">
        <w:rPr>
          <w:rFonts w:ascii="Arial" w:cs="Arial" w:hAnsi="Arial"/>
          <w:sz w:val="22"/>
          <w:szCs w:val="22"/>
        </w:rPr>
        <w:t xml:space="preserve"> technology support and designing an inclusive service is essential. In short, minimizing social isolation via digital channels needs implementation. But we must adopt multi-sectored engineering which people above the age of 60 could work with effortlessly.</w:t>
      </w:r>
    </w:p>
    <w:p w:rsidR="00EA5FF0" w:rsidRDefault="00EA5FF0" w14:paraId="2A8C7A96" w14:textId="5F986EBA" w:rsidP="00E56E5E" w:rsidRPr="00EA5FF0">
      <w:pPr>
        <w:jc w:val="both"/>
        <w:spacing w:line="360" w:lineRule="auto"/>
        <w:rPr>
          <w:rFonts w:ascii="Arial" w:cs="Arial" w:hAnsi="Arial"/>
          <w:sz w:val="22"/>
          <w:szCs w:val="22"/>
        </w:rPr>
      </w:pPr>
    </w:p>
    <w:p w:rsidR="00ED0A3E" w:rsidRDefault="00EA5FF0" w14:paraId="3881BF73" w14:textId="77777777" w:rsidP="00ED0A3E">
      <w:pPr>
        <w:pStyle w:val="Heading1"/>
        <w:rPr>
          <w:sz w:val="32"/>
          <w:szCs w:val="32"/>
        </w:rPr>
      </w:pPr>
      <w:r w:rsidRPr="00ED0A3E">
        <w:rPr>
          <w:sz w:val="32"/>
          <w:szCs w:val="32"/>
        </w:rPr>
        <w:t xml:space="preserve"> Methods</w:t>
      </w:r>
    </w:p>
    <w:p w:rsidR="00EA5FF0" w:rsidRDefault="00EA5FF0" w14:paraId="6A478510" w14:textId="649A5ED7" w:rsidP="00ED0A3E" w:rsidRPr="00ED0A3E">
      <w:pPr>
        <w:rPr>
          <w:bCs/>
          <w:b/>
          <w:rFonts w:ascii="Aptos Display" w:hAnsiTheme="majorHAnsi" w:cstheme="majorBidi"/>
          <w:sz w:val="32"/>
          <w:szCs w:val="32"/>
        </w:rPr>
      </w:pPr>
      <w:r w:rsidRPr="00EA5FF0">
        <w:t xml:space="preserve"> </w:t>
      </w:r>
      <w:r w:rsidRPr="00ED0A3E">
        <w:rPr>
          <w:bCs/>
          <w:b/>
        </w:rPr>
        <w:t>Research Design</w:t>
      </w:r>
    </w:p>
    <w:p w:rsidR="00EA5FF0" w:rsidRDefault="00EA5FF0" w14:paraId="26E9C543" w14:textId="77777777" w:rsidP="00E56E5E" w:rsidRPr="00EA5FF0">
      <w:pPr>
        <w:jc w:val="both"/>
        <w:spacing w:line="360" w:lineRule="auto"/>
        <w:rPr>
          <w:rFonts w:ascii="Arial" w:cs="Arial" w:hAnsi="Arial"/>
          <w:sz w:val="22"/>
          <w:szCs w:val="22"/>
        </w:rPr>
      </w:pPr>
      <w:r w:rsidRPr="00EA5FF0">
        <w:rPr>
          <w:rFonts w:ascii="Arial" w:cs="Arial" w:hAnsi="Arial"/>
          <w:sz w:val="22"/>
          <w:szCs w:val="22"/>
        </w:rPr>
        <w:t xml:space="preserve">A scoping review methodology was used to map systematically the existing literature on digital health technologies and social isolation among older adults in the UK. </w:t>
      </w:r>
    </w:p>
    <w:p w:rsidR="003D2535" w:rsidRDefault="003D2535" w14:paraId="188D261B" w14:textId="11354390" w:rsidP="00E56E5E">
      <w:pPr>
        <w:jc w:val="both"/>
        <w:spacing w:line="360" w:lineRule="auto"/>
        <w:rPr>
          <w:rFonts w:ascii="Arial" w:cs="Arial" w:hAnsi="Arial"/>
          <w:sz w:val="22"/>
          <w:szCs w:val="22"/>
        </w:rPr>
      </w:pPr>
      <w:r w:rsidRPr="00E56E5E">
        <w:rPr>
          <w:rFonts w:ascii="Arial" w:cs="Arial" w:hAnsi="Arial"/>
          <w:sz w:val="22"/>
          <w:szCs w:val="22"/>
        </w:rPr>
        <w:t>Scope</w:t>
      </w:r>
      <w:r w:rsidR="00EA5FF0" w:rsidRPr="00EA5FF0">
        <w:rPr>
          <w:rFonts w:ascii="Arial" w:cs="Arial" w:hAnsi="Arial"/>
          <w:sz w:val="22"/>
          <w:szCs w:val="22"/>
        </w:rPr>
        <w:t xml:space="preserve"> reviews are useful when a topic is complex, is evolving, has many different study designs, and has different </w:t>
      </w:r>
      <w:r w:rsidRPr="00E56E5E">
        <w:rPr>
          <w:rFonts w:ascii="Arial" w:cs="Arial" w:hAnsi="Arial"/>
          <w:sz w:val="22"/>
          <w:szCs w:val="22"/>
        </w:rPr>
        <w:t>conceptualizations</w:t>
      </w:r>
      <w:r w:rsidR="00EA5FF0" w:rsidRPr="00EA5FF0">
        <w:rPr>
          <w:rFonts w:ascii="Arial" w:cs="Arial" w:hAnsi="Arial"/>
          <w:sz w:val="22"/>
          <w:szCs w:val="22"/>
        </w:rPr>
        <w:t xml:space="preserve">. Digital health adoption in older people is one such example (Arksey &amp; O’Malley, 2005; Peters et al., 2020). This method provides the opportunity to identify important concepts, evidence gaps and methodological differences, without the narrow focus on assessing an intervention’s effectiveness typical of systematic reviews. As per Arksey and O’Malley’s framework (2005), a five-stage process was followed. Identifying the research </w:t>
      </w:r>
      <w:r w:rsidRPr="00E56E5E">
        <w:rPr>
          <w:rFonts w:ascii="Arial" w:cs="Arial" w:hAnsi="Arial"/>
          <w:sz w:val="22"/>
          <w:szCs w:val="22"/>
        </w:rPr>
        <w:t>question,</w:t>
        <w:lastRenderedPageBreak/>
      </w:r>
      <w:r w:rsidR="00EA5FF0" w:rsidRPr="00EA5FF0">
        <w:rPr>
          <w:rFonts w:ascii="Arial" w:cs="Arial" w:hAnsi="Arial"/>
          <w:sz w:val="22"/>
          <w:szCs w:val="22"/>
        </w:rPr>
        <w:t xml:space="preserve"> </w:t>
      </w:r>
      <w:r w:rsidRPr="00E56E5E">
        <w:rPr>
          <w:rFonts w:ascii="Arial" w:cs="Arial" w:hAnsi="Arial"/>
          <w:sz w:val="22"/>
          <w:szCs w:val="22"/>
        </w:rPr>
        <w:t>identifying</w:t>
      </w:r>
      <w:r w:rsidR="00EA5FF0" w:rsidRPr="00EA5FF0">
        <w:rPr>
          <w:rFonts w:ascii="Arial" w:cs="Arial" w:hAnsi="Arial"/>
          <w:sz w:val="22"/>
          <w:szCs w:val="22"/>
        </w:rPr>
        <w:t xml:space="preserve"> relevant </w:t>
      </w:r>
      <w:r w:rsidRPr="00E56E5E">
        <w:rPr>
          <w:rFonts w:ascii="Arial" w:cs="Arial" w:hAnsi="Arial"/>
          <w:sz w:val="22"/>
          <w:szCs w:val="22"/>
        </w:rPr>
        <w:t>studies,</w:t>
      </w:r>
      <w:r w:rsidR="00EA5FF0" w:rsidRPr="00EA5FF0">
        <w:rPr>
          <w:rFonts w:ascii="Arial" w:cs="Arial" w:hAnsi="Arial"/>
          <w:sz w:val="22"/>
          <w:szCs w:val="22"/>
        </w:rPr>
        <w:t xml:space="preserve"> Study </w:t>
      </w:r>
      <w:r w:rsidRPr="00E56E5E">
        <w:rPr>
          <w:rFonts w:ascii="Arial" w:cs="Arial" w:hAnsi="Arial"/>
          <w:sz w:val="22"/>
          <w:szCs w:val="22"/>
        </w:rPr>
        <w:t>selection,</w:t>
      </w:r>
      <w:r w:rsidR="00EA5FF0" w:rsidRPr="00EA5FF0">
        <w:rPr>
          <w:rFonts w:ascii="Arial" w:cs="Arial" w:hAnsi="Arial"/>
          <w:sz w:val="22"/>
          <w:szCs w:val="22"/>
        </w:rPr>
        <w:t xml:space="preserve"> Charting the data, and. Collating, </w:t>
      </w:r>
      <w:r w:rsidRPr="00E56E5E">
        <w:rPr>
          <w:rFonts w:ascii="Arial" w:cs="Arial" w:hAnsi="Arial"/>
          <w:sz w:val="22"/>
          <w:szCs w:val="22"/>
        </w:rPr>
        <w:t>summarizing</w:t>
      </w:r>
      <w:r w:rsidR="00EA5FF0" w:rsidRPr="00EA5FF0">
        <w:rPr>
          <w:rFonts w:ascii="Arial" w:cs="Arial" w:hAnsi="Arial"/>
          <w:sz w:val="22"/>
          <w:szCs w:val="22"/>
        </w:rPr>
        <w:t xml:space="preserve">, and reporting results. Also, the guidance of the Joanna Briggs Institute (JBI) was consulted to ensure transparency, </w:t>
      </w:r>
      <w:r w:rsidRPr="00E56E5E">
        <w:rPr>
          <w:rFonts w:ascii="Arial" w:cs="Arial" w:hAnsi="Arial"/>
          <w:sz w:val="22"/>
          <w:szCs w:val="22"/>
        </w:rPr>
        <w:t>rigor</w:t>
      </w:r>
      <w:r w:rsidR="00EA5FF0" w:rsidRPr="00EA5FF0">
        <w:rPr>
          <w:rFonts w:ascii="Arial" w:cs="Arial" w:hAnsi="Arial"/>
          <w:sz w:val="22"/>
          <w:szCs w:val="22"/>
        </w:rPr>
        <w:t xml:space="preserve"> and reproducibility in the review (Peters et al. 2020).</w:t>
      </w:r>
    </w:p>
    <w:p w:rsidR="00ED0A3E" w:rsidRDefault="00ED0A3E" w14:paraId="5F1B40EF" w14:textId="77777777" w:rsidP="00E56E5E" w:rsidRPr="00E56E5E">
      <w:pPr>
        <w:jc w:val="both"/>
        <w:spacing w:line="360" w:lineRule="auto"/>
        <w:rPr>
          <w:rFonts w:ascii="Arial" w:cs="Arial" w:hAnsi="Arial"/>
          <w:sz w:val="22"/>
          <w:szCs w:val="22"/>
        </w:rPr>
      </w:pPr>
    </w:p>
    <w:p w:rsidR="003D2535" w:rsidRDefault="00EA5FF0" w14:paraId="167BE618" w14:textId="3396F2C2" w:rsidP="00E56E5E" w:rsidRPr="00ED0A3E">
      <w:pPr>
        <w:jc w:val="both"/>
        <w:spacing w:line="360" w:lineRule="auto"/>
        <w:rPr>
          <w:bCs/>
          <w:b/>
          <w:rFonts w:ascii="Arial" w:cs="Arial" w:hAnsi="Arial"/>
          <w:sz w:val="22"/>
          <w:szCs w:val="22"/>
        </w:rPr>
      </w:pPr>
      <w:r w:rsidRPr="00EA5FF0">
        <w:rPr>
          <w:bCs/>
          <w:b/>
          <w:rFonts w:ascii="Arial" w:cs="Arial" w:hAnsi="Arial"/>
          <w:sz w:val="22"/>
          <w:szCs w:val="22"/>
        </w:rPr>
        <w:t xml:space="preserve"> Search Strategy</w:t>
      </w:r>
    </w:p>
    <w:p w:rsidR="00EA5FF0" w:rsidRDefault="00EA5FF0" w14:paraId="16E36998" w14:textId="7A9C435C" w:rsidP="00E56E5E" w:rsidRPr="00E56E5E">
      <w:pPr>
        <w:jc w:val="both"/>
        <w:spacing w:line="360" w:lineRule="auto"/>
        <w:rPr>
          <w:rFonts w:ascii="Arial" w:cs="Arial" w:hAnsi="Arial"/>
          <w:sz w:val="22"/>
          <w:szCs w:val="22"/>
        </w:rPr>
      </w:pPr>
      <w:r w:rsidRPr="00EA5FF0">
        <w:rPr>
          <w:rFonts w:ascii="Arial" w:cs="Arial" w:hAnsi="Arial"/>
          <w:sz w:val="22"/>
          <w:szCs w:val="22"/>
        </w:rPr>
        <w:t xml:space="preserve"> A full search strategy was developed to look for peer reviewed studies examining digital health interventions to reduce or address social isolation in older adults in the UK. Various electronic databases were searched to ensure extensive coverage in health, social care, and interdisciplinary research areas. The following databases were used. PubMed. CINAHL stands for Cumulative Index to Nursing and Allied Health Literature. Scopus. EBSCOhost. UWTSD Library Discovery System of University of Wales Trinity Saint David. The search strategy was piloted in PubMed with appropriate terminologies incorporated, and edits made to enhance sensitivity and specificity of results retrieved. Final search terms </w:t>
      </w:r>
      <w:r w:rsidR="003D2535" w:rsidRPr="00E56E5E">
        <w:rPr>
          <w:rFonts w:ascii="Arial" w:cs="Arial" w:hAnsi="Arial"/>
          <w:sz w:val="22"/>
          <w:szCs w:val="22"/>
        </w:rPr>
        <w:t>contain</w:t>
      </w:r>
      <w:r w:rsidRPr="00EA5FF0">
        <w:rPr>
          <w:rFonts w:ascii="Arial" w:cs="Arial" w:hAnsi="Arial"/>
          <w:sz w:val="22"/>
          <w:szCs w:val="22"/>
        </w:rPr>
        <w:t xml:space="preserve"> controlled vocabulary (</w:t>
      </w:r>
      <w:proofErr w:type="spellStart"/>
      <w:r w:rsidRPr="00EA5FF0">
        <w:rPr>
          <w:rFonts w:ascii="Arial" w:cs="Arial" w:hAnsi="Arial"/>
          <w:sz w:val="22"/>
          <w:szCs w:val="22"/>
        </w:rPr>
        <w:t>eg</w:t>
      </w:r>
      <w:proofErr w:type="spellEnd"/>
      <w:r w:rsidRPr="00EA5FF0">
        <w:rPr>
          <w:rFonts w:ascii="Arial" w:cs="Arial" w:hAnsi="Arial"/>
          <w:sz w:val="22"/>
          <w:szCs w:val="22"/>
        </w:rPr>
        <w:t xml:space="preserve">, </w:t>
      </w:r>
      <w:proofErr w:type="spellStart"/>
      <w:r w:rsidRPr="00EA5FF0">
        <w:rPr>
          <w:rFonts w:ascii="Arial" w:cs="Arial" w:hAnsi="Arial"/>
          <w:sz w:val="22"/>
          <w:szCs w:val="22"/>
        </w:rPr>
        <w:t>MeSH</w:t>
      </w:r>
      <w:proofErr w:type="spellEnd"/>
      <w:r w:rsidRPr="00EA5FF0">
        <w:rPr>
          <w:rFonts w:ascii="Arial" w:cs="Arial" w:hAnsi="Arial"/>
          <w:sz w:val="22"/>
          <w:szCs w:val="22"/>
        </w:rPr>
        <w:t xml:space="preserve"> terms) where relevant, and free-text terms. Search terms combined the following concepts. Common terms in digital health refer “digital health”, “telehealth”, “telemedicine”, “e-health”, “m-health” and “remote monitoring” as well as “digital interventions”. Terms used for the population are: “older adults”, “elderly”, “ageing”, “seniors”, “older people”. Social isolation, loneliness, social connectedness, social engagement. Alternative adjectival terms used in this paper to refer to the UK </w:t>
      </w:r>
      <w:r w:rsidR="003D2535" w:rsidRPr="00E56E5E">
        <w:rPr>
          <w:rFonts w:ascii="Arial" w:cs="Arial" w:hAnsi="Arial"/>
          <w:sz w:val="22"/>
          <w:szCs w:val="22"/>
        </w:rPr>
        <w:t>include</w:t>
      </w:r>
      <w:r w:rsidRPr="00EA5FF0">
        <w:rPr>
          <w:rFonts w:ascii="Arial" w:cs="Arial" w:hAnsi="Arial"/>
          <w:sz w:val="22"/>
          <w:szCs w:val="22"/>
        </w:rPr>
        <w:t xml:space="preserve"> British, English, Welsh and Scottish. Boolean operators and search strings included. The phrase the (digital health) or telehealth or m-health or e-health summary. AND (“older adults” OR “elderly” OR “ageing”). AND ("social distancing" OR "seclusion" OR "social ties") AND (“UK” OR “United Kingdom”). They used truncations on phrases such as age* which allows retrieval of ageing and aging. Further they used quote marks to </w:t>
      </w:r>
      <w:r w:rsidR="003D2535" w:rsidRPr="00E56E5E">
        <w:rPr>
          <w:rFonts w:ascii="Arial" w:cs="Arial" w:hAnsi="Arial"/>
          <w:sz w:val="22"/>
          <w:szCs w:val="22"/>
        </w:rPr>
        <w:t>maximize</w:t>
      </w:r>
      <w:r w:rsidRPr="00EA5FF0">
        <w:rPr>
          <w:rFonts w:ascii="Arial" w:cs="Arial" w:hAnsi="Arial"/>
          <w:sz w:val="22"/>
          <w:szCs w:val="22"/>
        </w:rPr>
        <w:t xml:space="preserve"> results. Enhanced the search process techniques included additional. Reviewing reference lists of studies cited to find more papers. Look for grey literature like government reports and health service publications. Searching through important journals about getting older, electronic health, and social care. We recorded all searches including a search date, a source database and any modifications to the term or phrase, etc.</w:t>
      </w:r>
    </w:p>
    <w:p w:rsidR="003D2535" w:rsidRDefault="003D2535" w14:paraId="41193EC7" w14:textId="77777777" w:rsidP="00E56E5E">
      <w:pPr>
        <w:jc w:val="both"/>
        <w:spacing w:line="360" w:lineRule="auto"/>
        <w:rPr>
          <w:rFonts w:ascii="Arial" w:cs="Arial" w:hAnsi="Arial"/>
          <w:sz w:val="22"/>
          <w:szCs w:val="22"/>
        </w:rPr>
      </w:pPr>
    </w:p>
    <w:p w:rsidR="00ED0A3E" w:rsidRDefault="00ED0A3E" w14:paraId="2F1CFA8B" w14:textId="77777777" w:rsidP="00E56E5E">
      <w:pPr>
        <w:jc w:val="both"/>
        <w:spacing w:line="360" w:lineRule="auto"/>
        <w:rPr>
          <w:rFonts w:ascii="Arial" w:cs="Arial" w:hAnsi="Arial"/>
          <w:sz w:val="22"/>
          <w:szCs w:val="22"/>
        </w:rPr>
      </w:pPr>
    </w:p>
    <w:p w:rsidR="00ED0A3E" w:rsidRDefault="00ED0A3E" w14:paraId="5D0F2556" w14:textId="77777777" w:rsidP="00E56E5E" w:rsidRPr="00E56E5E">
      <w:pPr>
        <w:jc w:val="both"/>
        <w:spacing w:line="360" w:lineRule="auto"/>
        <w:rPr>
          <w:rFonts w:ascii="Arial" w:cs="Arial" w:hAnsi="Arial"/>
          <w:sz w:val="22"/>
          <w:szCs w:val="22"/>
        </w:rPr>
      </w:pPr>
    </w:p>
    <w:p w:rsidR="000437FF" w:rsidRDefault="00E56BBA" w14:paraId="3C3DA6E5" w14:textId="29184649" w:rsidP="00E56E5E" w:rsidRPr="00ED0A3E">
      <w:pPr>
        <w:jc w:val="both"/>
        <w:spacing w:line="360" w:lineRule="auto"/>
        <w:rPr>
          <w:bCs/>
          <w:b/>
          <w:rFonts w:ascii="Arial" w:cs="Arial" w:hAnsi="Arial"/>
          <w:sz w:val="22"/>
          <w:szCs w:val="22"/>
        </w:rPr>
      </w:pPr>
      <w:r w:rsidRPr="00ED0A3E">
        <w:rPr>
          <w:bCs/>
          <w:b/>
          <w:rFonts w:ascii="Arial" w:cs="Arial" w:hAnsi="Arial"/>
          <w:sz w:val="22"/>
          <w:szCs w:val="22"/>
        </w:rPr>
        <w:t>Inclusion and Exclusion Criteria</w:t>
        <w:lastRenderedPageBreak/>
      </w:r>
    </w:p>
    <w:p w:rsidR="003D2535" w:rsidRDefault="00E56BBA" w14:paraId="4DD51500" w14:textId="234D2388" w:rsidP="00E56E5E" w:rsidRPr="00EA5FF0">
      <w:pPr>
        <w:jc w:val="both"/>
        <w:spacing w:line="360" w:lineRule="auto"/>
        <w:rPr>
          <w:rFonts w:ascii="Arial" w:cs="Arial" w:hAnsi="Arial"/>
          <w:sz w:val="22"/>
          <w:szCs w:val="22"/>
        </w:rPr>
      </w:pPr>
      <w:r w:rsidRPr="00E56E5E">
        <w:rPr>
          <w:rFonts w:ascii="Arial" w:cs="Arial" w:hAnsi="Arial"/>
          <w:sz w:val="22"/>
          <w:szCs w:val="22"/>
        </w:rPr>
        <w:t xml:space="preserve"> To ensure only the relevant studies were </w:t>
      </w:r>
      <w:r w:rsidR="000437FF" w:rsidRPr="00E56E5E">
        <w:rPr>
          <w:rFonts w:ascii="Arial" w:cs="Arial" w:hAnsi="Arial"/>
          <w:sz w:val="22"/>
          <w:szCs w:val="22"/>
        </w:rPr>
        <w:t>considered</w:t>
      </w:r>
      <w:r w:rsidRPr="00E56E5E">
        <w:rPr>
          <w:rFonts w:ascii="Arial" w:cs="Arial" w:hAnsi="Arial"/>
          <w:sz w:val="22"/>
          <w:szCs w:val="22"/>
        </w:rPr>
        <w:t xml:space="preserve"> for the review question, clear inclusion and exclusion criteria were set up that also met the appropriate academic quality. We followed guidance from Arksey and O’Malley (2005) and JBI (Peters et al., 2020) for the criteria.</w:t>
      </w:r>
    </w:p>
    <w:p w:rsidR="00C37711" w:rsidRDefault="002777A5" w14:paraId="5FE6E852" w14:textId="6158D70B" w:rsidP="00E56E5E" w:rsidRPr="00E56E5E">
      <w:pPr>
        <w:jc w:val="both"/>
        <w:spacing w:line="360" w:lineRule="auto"/>
        <w:rPr>
          <w:rFonts w:ascii="Arial" w:cs="Arial" w:hAnsi="Arial"/>
          <w:sz w:val="22"/>
          <w:szCs w:val="22"/>
        </w:rPr>
      </w:pPr>
      <w:r>
        <w:rPr>
          <w:noProof/>
        </w:rPr>
        <w:drawing>
          <wp:inline distB="0" distL="0" distR="0" distT="0" wp14:anchorId="13757AC2" wp14:editId="2CE2226F">
            <wp:extent cx="6365875" cy="2056765"/>
            <wp:effectExtent l="0" t="0" r="0" b="635"/>
            <wp:docPr id="1180179257" name="Picture 1" descr="A close-up of a lis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79257" name="Picture 1" descr="A close-up of a list  AI-generated content may be incorrect."/>
                    <pic:cNvPicPr/>
                  </pic:nvPicPr>
                  <pic:blipFill>
                    <a:blip r:embed="rId12"/>
                    <a:stretch>
                      <a:fillRect/>
                    </a:stretch>
                  </pic:blipFill>
                  <pic:spPr>
                    <a:xfrm>
                      <a:off x="0" y="0"/>
                      <a:ext cx="6419780" cy="2074681"/>
                    </a:xfrm>
                    <a:prstGeom prst="rect">
                      <a:avLst/>
                    </a:prstGeom>
                  </pic:spPr>
                </pic:pic>
              </a:graphicData>
            </a:graphic>
          </wp:inline>
        </w:drawing>
      </w:r>
    </w:p>
    <w:p w:rsidR="00C37711" w:rsidRDefault="00F5242B" w14:paraId="100C2320" w14:textId="49D61C5D" w:rsidP="00E56E5E" w:rsidRPr="00E56E5E">
      <w:pPr>
        <w:jc w:val="both"/>
        <w:spacing w:line="360" w:lineRule="auto"/>
        <w:rPr>
          <w:rFonts w:ascii="Arial" w:cs="Arial" w:hAnsi="Arial"/>
          <w:sz w:val="22"/>
          <w:szCs w:val="22"/>
        </w:rPr>
      </w:pPr>
      <w:r w:rsidRPr="00E56E5E">
        <w:rPr>
          <w:rFonts w:ascii="Arial" w:cs="Arial" w:hAnsi="Arial"/>
          <w:sz w:val="22"/>
          <w:szCs w:val="22"/>
        </w:rPr>
        <w:t>The publication timeframe was selected to reflect the rapid evolution of digital technologies over the past decade and align with major policy shifts such as the NHS Long Term Plan (2019).</w:t>
      </w:r>
    </w:p>
    <w:p w:rsidR="00650F4D" w:rsidRDefault="00650F4D" w14:paraId="788A5480" w14:textId="77777777" w:rsidP="00E56E5E" w:rsidRPr="00E56E5E">
      <w:pPr>
        <w:jc w:val="both"/>
        <w:spacing w:line="360" w:lineRule="auto"/>
        <w:rPr>
          <w:rFonts w:ascii="Arial" w:cs="Arial" w:hAnsi="Arial"/>
          <w:sz w:val="22"/>
          <w:szCs w:val="22"/>
        </w:rPr>
      </w:pPr>
    </w:p>
    <w:p w:rsidR="00D625A6" w:rsidRDefault="00C236ED" w14:paraId="33CBAC4E" w14:textId="03A609A4" w:rsidP="00E56E5E" w:rsidRPr="00ED0A3E">
      <w:pPr>
        <w:jc w:val="both"/>
        <w:spacing w:line="360" w:lineRule="auto"/>
        <w:rPr>
          <w:bCs/>
          <w:b/>
          <w:rFonts w:ascii="Arial" w:cs="Arial" w:hAnsi="Arial"/>
          <w:sz w:val="22"/>
          <w:szCs w:val="22"/>
        </w:rPr>
      </w:pPr>
      <w:r w:rsidRPr="00ED0A3E">
        <w:rPr>
          <w:bCs/>
          <w:b/>
          <w:rFonts w:ascii="Arial" w:cs="Arial" w:hAnsi="Arial"/>
          <w:sz w:val="22"/>
          <w:szCs w:val="22"/>
        </w:rPr>
        <w:t>Study Selection</w:t>
      </w:r>
    </w:p>
    <w:p w:rsidR="00D625A6" w:rsidRDefault="00C236ED" w14:paraId="71911E59" w14:textId="77777777" w:rsidP="00E56E5E" w:rsidRPr="00E56E5E">
      <w:pPr>
        <w:jc w:val="both"/>
        <w:spacing w:line="360" w:lineRule="auto"/>
        <w:rPr>
          <w:rFonts w:ascii="Arial" w:cs="Arial" w:hAnsi="Arial"/>
          <w:sz w:val="22"/>
          <w:szCs w:val="22"/>
        </w:rPr>
      </w:pPr>
      <w:r w:rsidRPr="00E56E5E">
        <w:rPr>
          <w:rFonts w:ascii="Arial" w:cs="Arial" w:hAnsi="Arial"/>
          <w:sz w:val="22"/>
          <w:szCs w:val="22"/>
        </w:rPr>
        <w:t>For scoping reviews, the study selection process used a staged approach consistent with best practice. All databases collected a total of 356 articles initially. Once duplicates were removed, the titles and abstracts were screened for relevance to the inclusion criteria, leading to 37 articles selected for full-text review. We did a full-text screening of the studies’ aims, populations, interventions, and outcome measures. In this phase, instructed papers (n = 32) were dropped as they were not UK focused, did not have a digital health component or insufficiently focused on social isolation/loneliness. Five studies that fully met the inclusion criteria were used in the final synthesis. A PRISMA flow diagram was created to document the screening process to increase transparency as per reporting (PRISMA-</w:t>
      </w:r>
      <w:proofErr w:type="spellStart"/>
      <w:r w:rsidRPr="00E56E5E">
        <w:rPr>
          <w:rFonts w:ascii="Arial" w:cs="Arial" w:hAnsi="Arial"/>
          <w:sz w:val="22"/>
          <w:szCs w:val="22"/>
        </w:rPr>
        <w:t>ScR</w:t>
      </w:r>
      <w:proofErr w:type="spellEnd"/>
      <w:r w:rsidRPr="00E56E5E">
        <w:rPr>
          <w:rFonts w:ascii="Arial" w:cs="Arial" w:hAnsi="Arial"/>
          <w:sz w:val="22"/>
          <w:szCs w:val="22"/>
        </w:rPr>
        <w:t xml:space="preserve">; </w:t>
      </w:r>
      <w:proofErr w:type="spellStart"/>
      <w:r w:rsidRPr="00E56E5E">
        <w:rPr>
          <w:rFonts w:ascii="Arial" w:cs="Arial" w:hAnsi="Arial"/>
          <w:sz w:val="22"/>
          <w:szCs w:val="22"/>
        </w:rPr>
        <w:t>Tricco</w:t>
      </w:r>
      <w:proofErr w:type="spellEnd"/>
      <w:r w:rsidRPr="00E56E5E">
        <w:rPr>
          <w:rFonts w:ascii="Arial" w:cs="Arial" w:hAnsi="Arial"/>
          <w:sz w:val="22"/>
          <w:szCs w:val="22"/>
        </w:rPr>
        <w:t xml:space="preserve"> et al., 2018).</w:t>
      </w:r>
    </w:p>
    <w:p w:rsidR="00D625A6" w:rsidRDefault="00D625A6" w14:paraId="0A646FCB" w14:textId="77777777" w:rsidP="00E56E5E" w:rsidRPr="00E56E5E">
      <w:pPr>
        <w:jc w:val="both"/>
        <w:spacing w:line="360" w:lineRule="auto"/>
        <w:rPr>
          <w:rFonts w:ascii="Arial" w:cs="Arial" w:hAnsi="Arial"/>
          <w:sz w:val="22"/>
          <w:szCs w:val="22"/>
        </w:rPr>
      </w:pPr>
    </w:p>
    <w:p w:rsidR="00D625A6" w:rsidRDefault="00C236ED" w14:paraId="65A559F0" w14:textId="77777777" w:rsidP="00E56E5E" w:rsidRPr="00ED0A3E">
      <w:pPr>
        <w:jc w:val="both"/>
        <w:spacing w:line="360" w:lineRule="auto"/>
        <w:rPr>
          <w:bCs/>
          <w:b/>
          <w:rFonts w:ascii="Arial" w:cs="Arial" w:hAnsi="Arial"/>
          <w:sz w:val="22"/>
          <w:szCs w:val="22"/>
        </w:rPr>
      </w:pPr>
      <w:r w:rsidRPr="00ED0A3E">
        <w:rPr>
          <w:bCs/>
          <w:b/>
          <w:rFonts w:ascii="Arial" w:cs="Arial" w:hAnsi="Arial"/>
          <w:sz w:val="22"/>
          <w:szCs w:val="22"/>
        </w:rPr>
        <w:t>Data Analysis</w:t>
      </w:r>
    </w:p>
    <w:p w:rsidR="006D64D8" w:rsidRDefault="00C236ED" w14:paraId="16DB7AE9" w14:textId="77777777" w:rsidP="00E56E5E">
      <w:pPr>
        <w:jc w:val="both"/>
        <w:spacing w:line="360" w:lineRule="auto"/>
        <w:rPr>
          <w:rFonts w:ascii="Arial" w:cs="Arial" w:hAnsi="Arial"/>
          <w:sz w:val="22"/>
          <w:szCs w:val="22"/>
        </w:rPr>
      </w:pPr>
      <w:r w:rsidRPr="00E56E5E">
        <w:rPr>
          <w:rFonts w:ascii="Arial" w:cs="Arial" w:hAnsi="Arial"/>
          <w:sz w:val="22"/>
          <w:szCs w:val="22"/>
        </w:rPr>
        <w:t xml:space="preserve"> Included </w:t>
      </w:r>
      <w:r w:rsidR="00D625A6" w:rsidRPr="00E56E5E">
        <w:rPr>
          <w:rFonts w:ascii="Arial" w:cs="Arial" w:hAnsi="Arial"/>
          <w:sz w:val="22"/>
          <w:szCs w:val="22"/>
        </w:rPr>
        <w:t>study’s</w:t>
      </w:r>
      <w:r w:rsidRPr="00E56E5E">
        <w:rPr>
          <w:rFonts w:ascii="Arial" w:cs="Arial" w:hAnsi="Arial"/>
          <w:sz w:val="22"/>
          <w:szCs w:val="22"/>
        </w:rPr>
        <w:t xml:space="preserve"> findings were interpreted using a thematic analysis approach for synthesis. Following the framework outlined by Braun and Clarke (2006), the research was conducted in a </w:t>
      </w:r>
      <w:r w:rsidRPr="00E56E5E">
        <w:rPr>
          <w:rFonts w:ascii="Arial" w:cs="Arial" w:hAnsi="Arial"/>
          <w:sz w:val="22"/>
          <w:szCs w:val="22"/>
        </w:rPr>
        <w:t xml:space="preserve">six-step process. Thus, the first step was </w:t>
        <w:lastRenderedPageBreak/>
      </w:r>
      <w:r w:rsidR="00D625A6" w:rsidRPr="00E56E5E">
        <w:rPr>
          <w:rFonts w:ascii="Arial" w:cs="Arial" w:hAnsi="Arial"/>
          <w:sz w:val="22"/>
          <w:szCs w:val="22"/>
        </w:rPr>
        <w:t>familiarization</w:t>
      </w:r>
      <w:r w:rsidRPr="00E56E5E">
        <w:rPr>
          <w:rFonts w:ascii="Arial" w:cs="Arial" w:hAnsi="Arial"/>
          <w:sz w:val="22"/>
          <w:szCs w:val="22"/>
        </w:rPr>
        <w:t xml:space="preserve"> with the data. The next steps were generating initial codes, identification of themes, and review and refinement of thematic categories. Key data extracted from each study included. study design and methodological </w:t>
      </w:r>
      <w:r w:rsidR="00D625A6" w:rsidRPr="00E56E5E">
        <w:rPr>
          <w:rFonts w:ascii="Arial" w:cs="Arial" w:hAnsi="Arial"/>
          <w:sz w:val="22"/>
          <w:szCs w:val="22"/>
        </w:rPr>
        <w:t>approach,</w:t>
      </w:r>
      <w:r w:rsidRPr="00E56E5E">
        <w:rPr>
          <w:rFonts w:ascii="Arial" w:cs="Arial" w:hAnsi="Arial"/>
          <w:sz w:val="22"/>
          <w:szCs w:val="22"/>
        </w:rPr>
        <w:t xml:space="preserve"> Characteristics like age range and sample size, </w:t>
      </w:r>
      <w:r w:rsidR="00D625A6" w:rsidRPr="00E56E5E">
        <w:rPr>
          <w:rFonts w:ascii="Arial" w:cs="Arial" w:hAnsi="Arial"/>
          <w:sz w:val="22"/>
          <w:szCs w:val="22"/>
        </w:rPr>
        <w:t>the</w:t>
      </w:r>
      <w:r w:rsidRPr="00E56E5E">
        <w:rPr>
          <w:rFonts w:ascii="Arial" w:cs="Arial" w:hAnsi="Arial"/>
          <w:sz w:val="22"/>
          <w:szCs w:val="22"/>
        </w:rPr>
        <w:t xml:space="preserve"> form and objective of the digital intervention (e.g., video calls, telehealth monitoring, digital training </w:t>
      </w:r>
      <w:r w:rsidR="00D625A6" w:rsidRPr="00E56E5E">
        <w:rPr>
          <w:rFonts w:ascii="Arial" w:cs="Arial" w:hAnsi="Arial"/>
          <w:sz w:val="22"/>
          <w:szCs w:val="22"/>
        </w:rPr>
        <w:t>programs</w:t>
      </w:r>
      <w:r w:rsidRPr="00E56E5E">
        <w:rPr>
          <w:rFonts w:ascii="Arial" w:cs="Arial" w:hAnsi="Arial"/>
          <w:sz w:val="22"/>
          <w:szCs w:val="22"/>
        </w:rPr>
        <w:t>)</w:t>
      </w:r>
      <w:r w:rsidR="00D625A6" w:rsidRPr="00E56E5E">
        <w:rPr>
          <w:rFonts w:ascii="Arial" w:cs="Arial" w:hAnsi="Arial"/>
          <w:sz w:val="22"/>
          <w:szCs w:val="22"/>
        </w:rPr>
        <w:t>.</w:t>
      </w:r>
      <w:r w:rsidRPr="00E56E5E">
        <w:rPr>
          <w:rFonts w:ascii="Arial" w:cs="Arial" w:hAnsi="Arial"/>
          <w:sz w:val="22"/>
          <w:szCs w:val="22"/>
        </w:rPr>
        <w:t xml:space="preserve"> Results connected to detachment, sadness, or social networking. factors that hinder or promote the use of technology implications for practice or policy. The themes were then </w:t>
      </w:r>
      <w:r w:rsidR="006D64D8" w:rsidRPr="00E56E5E">
        <w:rPr>
          <w:rFonts w:ascii="Arial" w:cs="Arial" w:hAnsi="Arial"/>
          <w:sz w:val="22"/>
          <w:szCs w:val="22"/>
        </w:rPr>
        <w:t>organized</w:t>
      </w:r>
      <w:r w:rsidRPr="00E56E5E">
        <w:rPr>
          <w:rFonts w:ascii="Arial" w:cs="Arial" w:hAnsi="Arial"/>
          <w:sz w:val="22"/>
          <w:szCs w:val="22"/>
        </w:rPr>
        <w:t xml:space="preserve"> to show the commonalities and the differences across the evidence base. Given the variety of research types and intervention designs, it is sensible to concentrate on thematic synthesis.</w:t>
      </w:r>
    </w:p>
    <w:p w:rsidR="00ED0A3E" w:rsidRDefault="00ED0A3E" w14:paraId="09AC1D08" w14:textId="77777777" w:rsidP="00E56E5E" w:rsidRPr="00E56E5E">
      <w:pPr>
        <w:jc w:val="both"/>
        <w:spacing w:line="360" w:lineRule="auto"/>
        <w:rPr>
          <w:rFonts w:ascii="Arial" w:cs="Arial" w:hAnsi="Arial"/>
          <w:sz w:val="22"/>
          <w:szCs w:val="22"/>
        </w:rPr>
      </w:pPr>
    </w:p>
    <w:p w:rsidR="006D64D8" w:rsidRDefault="00C236ED" w14:paraId="7A997A13" w14:textId="77777777" w:rsidP="00E56E5E" w:rsidRPr="00ED0A3E">
      <w:pPr>
        <w:jc w:val="both"/>
        <w:spacing w:line="360" w:lineRule="auto"/>
        <w:rPr>
          <w:bCs/>
          <w:b/>
          <w:rFonts w:ascii="Arial" w:cs="Arial" w:hAnsi="Arial"/>
          <w:sz w:val="22"/>
          <w:szCs w:val="22"/>
        </w:rPr>
      </w:pPr>
      <w:r w:rsidRPr="00ED0A3E">
        <w:rPr>
          <w:bCs/>
          <w:b/>
          <w:rFonts w:ascii="Arial" w:cs="Arial" w:hAnsi="Arial"/>
          <w:sz w:val="22"/>
          <w:szCs w:val="22"/>
        </w:rPr>
        <w:t>Ethical Considerations</w:t>
      </w:r>
    </w:p>
    <w:p w:rsidR="00650F4D" w:rsidRDefault="00C236ED" w14:paraId="2D9451D5" w14:textId="1684AACF" w:rsidP="00E56E5E" w:rsidRPr="00E56E5E">
      <w:pPr>
        <w:jc w:val="both"/>
        <w:spacing w:line="360" w:lineRule="auto"/>
        <w:rPr>
          <w:rFonts w:ascii="Arial" w:cs="Arial" w:hAnsi="Arial"/>
          <w:sz w:val="22"/>
          <w:szCs w:val="22"/>
        </w:rPr>
      </w:pPr>
      <w:r w:rsidRPr="00E56E5E">
        <w:rPr>
          <w:rFonts w:ascii="Arial" w:cs="Arial" w:hAnsi="Arial"/>
          <w:sz w:val="22"/>
          <w:szCs w:val="22"/>
        </w:rPr>
        <w:t xml:space="preserve">As this scoping review assessed already published literature, without undertaking new data collection from human participants, there was no requirement for formal ethical approval. Nevertheless, the ethical guidelines which relate to secondary research were followed throughout this process as advocated by Bryman (2016). Ethical practice was demonstrated through. The methods of search, screening, and analysis should be reported accurately and transparently. Selection of studies should be objective and not selective, based on outcomes. Through the regular use of Harvard referencing, appropriate attribution occurs. Researchers respect </w:t>
      </w:r>
      <w:r w:rsidR="006D64D8" w:rsidRPr="00E56E5E">
        <w:rPr>
          <w:rFonts w:ascii="Arial" w:cs="Arial" w:hAnsi="Arial"/>
          <w:sz w:val="22"/>
          <w:szCs w:val="22"/>
        </w:rPr>
        <w:t>authorship</w:t>
      </w:r>
      <w:r w:rsidRPr="00E56E5E">
        <w:rPr>
          <w:rFonts w:ascii="Arial" w:cs="Arial" w:hAnsi="Arial"/>
          <w:sz w:val="22"/>
          <w:szCs w:val="22"/>
        </w:rPr>
        <w:t xml:space="preserve"> by ensuring the findings are not misrepresented or distorted. These measures ensured the review was conducted with integrity, </w:t>
      </w:r>
      <w:r w:rsidR="006D64D8" w:rsidRPr="00E56E5E">
        <w:rPr>
          <w:rFonts w:ascii="Arial" w:cs="Arial" w:hAnsi="Arial"/>
          <w:sz w:val="22"/>
          <w:szCs w:val="22"/>
        </w:rPr>
        <w:t>rigor</w:t>
      </w:r>
      <w:r w:rsidRPr="00E56E5E">
        <w:rPr>
          <w:rFonts w:ascii="Arial" w:cs="Arial" w:hAnsi="Arial"/>
          <w:sz w:val="22"/>
          <w:szCs w:val="22"/>
        </w:rPr>
        <w:t xml:space="preserve"> and accountability.</w:t>
      </w:r>
    </w:p>
    <w:p w:rsidR="006D64D8" w:rsidRDefault="006D64D8" w14:paraId="2720C769" w14:textId="77777777" w:rsidP="00E56E5E" w:rsidRPr="00E56E5E">
      <w:pPr>
        <w:jc w:val="both"/>
        <w:spacing w:line="360" w:lineRule="auto"/>
        <w:rPr>
          <w:rFonts w:ascii="Arial" w:cs="Arial" w:hAnsi="Arial"/>
          <w:sz w:val="22"/>
          <w:szCs w:val="22"/>
        </w:rPr>
      </w:pPr>
    </w:p>
    <w:p w:rsidR="00140556" w:rsidRDefault="00F700DC" w14:paraId="7162D2A6" w14:textId="28A5AAE1" w:rsidP="00ED0A3E" w:rsidRPr="00ED0A3E">
      <w:pPr>
        <w:pStyle w:val="Heading1"/>
        <w:rPr>
          <w:sz w:val="32"/>
          <w:szCs w:val="32"/>
        </w:rPr>
      </w:pPr>
      <w:r w:rsidRPr="00ED0A3E">
        <w:rPr>
          <w:sz w:val="32"/>
          <w:szCs w:val="32"/>
        </w:rPr>
        <w:t>Results</w:t>
      </w:r>
    </w:p>
    <w:p w:rsidR="00D63723" w:rsidRDefault="00D63723" w14:paraId="7AC7D938" w14:textId="6DBB67F8" w:rsidP="00E56E5E" w:rsidRPr="00E56E5E">
      <w:pPr>
        <w:jc w:val="both"/>
        <w:spacing w:line="360" w:lineRule="auto"/>
        <w:rPr>
          <w:rFonts w:ascii="Arial" w:cs="Arial" w:hAnsi="Arial"/>
          <w:sz w:val="22"/>
          <w:szCs w:val="22"/>
        </w:rPr>
      </w:pPr>
      <w:r>
        <w:rPr>
          <w:noProof/>
        </w:rPr>
        <w:drawing>
          <wp:inline distB="0" distL="0" distR="0" distT="0" wp14:anchorId="499090BA" wp14:editId="409B9033">
            <wp:extent cx="5943600" cy="1047115"/>
            <wp:effectExtent l="0" t="0" r="0" b="635"/>
            <wp:docPr id="1529002139" name="Picture 1" descr="A close-up of a lin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002139" name="Picture 1" descr="A close-up of a line  AI-generated content may be incorrect."/>
                    <pic:cNvPicPr/>
                  </pic:nvPicPr>
                  <pic:blipFill>
                    <a:blip r:embed="rId11"/>
                    <a:stretch>
                      <a:fillRect/>
                    </a:stretch>
                  </pic:blipFill>
                  <pic:spPr>
                    <a:xfrm>
                      <a:off x="0" y="0"/>
                      <a:ext cx="5943600" cy="1047115"/>
                    </a:xfrm>
                    <a:prstGeom prst="rect">
                      <a:avLst/>
                    </a:prstGeom>
                  </pic:spPr>
                </pic:pic>
              </a:graphicData>
            </a:graphic>
          </wp:inline>
        </w:drawing>
      </w:r>
    </w:p>
    <w:p w:rsidR="00362452" w:rsidRDefault="00784174" w14:paraId="3BC8A5D6" w14:textId="4B6B9E4A" w:rsidP="00E56E5E" w:rsidRPr="00ED0A3E">
      <w:pPr>
        <w:jc w:val="both"/>
        <w:spacing w:line="360" w:lineRule="auto"/>
        <w:rPr>
          <w:bCs/>
          <w:b/>
          <w:rFonts w:ascii="Arial" w:cs="Arial" w:hAnsi="Arial"/>
          <w:sz w:val="22"/>
          <w:szCs w:val="22"/>
        </w:rPr>
      </w:pPr>
      <w:r w:rsidRPr="00ED0A3E">
        <w:rPr>
          <w:bCs/>
          <w:b/>
          <w:rFonts w:ascii="Arial" w:cs="Arial" w:hAnsi="Arial"/>
          <w:sz w:val="22"/>
          <w:szCs w:val="22"/>
        </w:rPr>
        <w:t xml:space="preserve"> Thematic Analysis</w:t>
      </w:r>
    </w:p>
    <w:p w:rsidR="0028172D" w:rsidRDefault="00784174" w14:paraId="656A5274"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 Three major themes were identified. The first theme is enhanced social connectedness </w:t>
      </w:r>
      <w:r w:rsidR="00362452" w:rsidRPr="00E56E5E">
        <w:rPr>
          <w:rFonts w:ascii="Arial" w:cs="Arial" w:hAnsi="Arial"/>
          <w:sz w:val="22"/>
          <w:szCs w:val="22"/>
        </w:rPr>
        <w:t>using</w:t>
      </w:r>
      <w:r w:rsidRPr="00E56E5E">
        <w:rPr>
          <w:rFonts w:ascii="Arial" w:cs="Arial" w:hAnsi="Arial"/>
          <w:sz w:val="22"/>
          <w:szCs w:val="22"/>
        </w:rPr>
        <w:t xml:space="preserve"> digital health tools. Multiple studies have shown that digital technology like video-calling, </w:t>
      </w:r>
      <w:r w:rsidRPr="00E56E5E">
        <w:rPr>
          <w:rFonts w:ascii="Arial" w:cs="Arial" w:hAnsi="Arial"/>
          <w:sz w:val="22"/>
          <w:szCs w:val="22"/>
        </w:rPr>
        <w:t xml:space="preserve">telehealth, and social engagement helped older adults keep in touch with family and health care professionals (Wilson et al. 2018; Liddle et al. 2021). Benefits included. reduced feelings of </w:t>
        <w:lastRenderedPageBreak/>
      </w:r>
      <w:r w:rsidR="00362452" w:rsidRPr="00E56E5E">
        <w:rPr>
          <w:rFonts w:ascii="Arial" w:cs="Arial" w:hAnsi="Arial"/>
          <w:sz w:val="22"/>
          <w:szCs w:val="22"/>
        </w:rPr>
        <w:t xml:space="preserve">loneliness. </w:t>
      </w:r>
      <w:r w:rsidRPr="00E56E5E">
        <w:rPr>
          <w:rFonts w:ascii="Arial" w:cs="Arial" w:hAnsi="Arial"/>
          <w:sz w:val="22"/>
          <w:szCs w:val="22"/>
        </w:rPr>
        <w:t xml:space="preserve">Boosted feeling of security and assistance. improved wellbeing and confidence. Digital Literacy and Accessibility Challenges is the Theme 2. </w:t>
      </w:r>
      <w:r w:rsidR="00746EE2" w:rsidRPr="00E56E5E">
        <w:rPr>
          <w:rFonts w:ascii="Arial" w:cs="Arial" w:hAnsi="Arial"/>
          <w:sz w:val="22"/>
          <w:szCs w:val="22"/>
        </w:rPr>
        <w:t>All</w:t>
      </w:r>
      <w:r w:rsidRPr="00E56E5E">
        <w:rPr>
          <w:rFonts w:ascii="Arial" w:cs="Arial" w:hAnsi="Arial"/>
          <w:sz w:val="22"/>
          <w:szCs w:val="22"/>
        </w:rPr>
        <w:t xml:space="preserve"> the studies we reviewed found that older adults had trouble using digital tools. Barriers included. limited technological </w:t>
      </w:r>
      <w:r w:rsidR="00746EE2" w:rsidRPr="00E56E5E">
        <w:rPr>
          <w:rFonts w:ascii="Arial" w:cs="Arial" w:hAnsi="Arial"/>
          <w:sz w:val="22"/>
          <w:szCs w:val="22"/>
        </w:rPr>
        <w:t>skills,</w:t>
      </w:r>
      <w:r w:rsidRPr="00E56E5E">
        <w:rPr>
          <w:rFonts w:ascii="Arial" w:cs="Arial" w:hAnsi="Arial"/>
          <w:sz w:val="22"/>
          <w:szCs w:val="22"/>
        </w:rPr>
        <w:t xml:space="preserve"> cognitive </w:t>
      </w:r>
      <w:r w:rsidR="00746EE2" w:rsidRPr="00E56E5E">
        <w:rPr>
          <w:rFonts w:ascii="Arial" w:cs="Arial" w:hAnsi="Arial"/>
          <w:sz w:val="22"/>
          <w:szCs w:val="22"/>
        </w:rPr>
        <w:t>impairments,</w:t>
      </w:r>
      <w:r w:rsidRPr="00E56E5E">
        <w:rPr>
          <w:rFonts w:ascii="Arial" w:cs="Arial" w:hAnsi="Arial"/>
          <w:sz w:val="22"/>
          <w:szCs w:val="22"/>
        </w:rPr>
        <w:t xml:space="preserve"> lack of </w:t>
      </w:r>
      <w:r w:rsidR="00746EE2" w:rsidRPr="00E56E5E">
        <w:rPr>
          <w:rFonts w:ascii="Arial" w:cs="Arial" w:hAnsi="Arial"/>
          <w:sz w:val="22"/>
          <w:szCs w:val="22"/>
        </w:rPr>
        <w:t>training,</w:t>
      </w:r>
      <w:r w:rsidRPr="00E56E5E">
        <w:rPr>
          <w:rFonts w:ascii="Arial" w:cs="Arial" w:hAnsi="Arial"/>
          <w:sz w:val="22"/>
          <w:szCs w:val="22"/>
        </w:rPr>
        <w:t xml:space="preserve"> design that lacks quality (Giebel et al., 2022). Older adults from lower-income households were likely to get excluded from the digital age. </w:t>
      </w:r>
    </w:p>
    <w:p w:rsidR="0028172D" w:rsidRDefault="00784174" w14:paraId="1BCCF007" w14:textId="05235234" w:rsidP="00E56E5E" w:rsidRPr="00ED0A3E">
      <w:pPr>
        <w:jc w:val="both"/>
        <w:spacing w:line="360" w:lineRule="auto"/>
        <w:rPr>
          <w:bCs/>
          <w:b/>
          <w:rFonts w:ascii="Arial" w:cs="Arial" w:hAnsi="Arial"/>
          <w:sz w:val="22"/>
          <w:szCs w:val="22"/>
        </w:rPr>
      </w:pPr>
      <w:r w:rsidRPr="00ED0A3E">
        <w:rPr>
          <w:bCs/>
          <w:b/>
          <w:rFonts w:ascii="Arial" w:cs="Arial" w:hAnsi="Arial"/>
          <w:sz w:val="22"/>
          <w:szCs w:val="22"/>
        </w:rPr>
        <w:t xml:space="preserve"> Inequities in Digital Health Technologies Adoption</w:t>
      </w:r>
    </w:p>
    <w:p w:rsidR="0028172D" w:rsidRDefault="00784174" w14:paraId="2C9BCADC"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Older adults with digital interventions were more affected. access to </w:t>
      </w:r>
      <w:r w:rsidR="00746EE2" w:rsidRPr="00E56E5E">
        <w:rPr>
          <w:rFonts w:ascii="Arial" w:cs="Arial" w:hAnsi="Arial"/>
          <w:sz w:val="22"/>
          <w:szCs w:val="22"/>
        </w:rPr>
        <w:t>devices,</w:t>
      </w:r>
      <w:r w:rsidRPr="00E56E5E">
        <w:rPr>
          <w:rFonts w:ascii="Arial" w:cs="Arial" w:hAnsi="Arial"/>
          <w:sz w:val="22"/>
          <w:szCs w:val="22"/>
        </w:rPr>
        <w:t xml:space="preserve"> strong family </w:t>
      </w:r>
      <w:r w:rsidR="00746EE2" w:rsidRPr="00E56E5E">
        <w:rPr>
          <w:rFonts w:ascii="Arial" w:cs="Arial" w:hAnsi="Arial"/>
          <w:sz w:val="22"/>
          <w:szCs w:val="22"/>
        </w:rPr>
        <w:t>support,</w:t>
      </w:r>
      <w:r w:rsidRPr="00E56E5E">
        <w:rPr>
          <w:rFonts w:ascii="Arial" w:cs="Arial" w:hAnsi="Arial"/>
          <w:sz w:val="22"/>
          <w:szCs w:val="22"/>
        </w:rPr>
        <w:t xml:space="preserve"> stable internet </w:t>
      </w:r>
      <w:r w:rsidR="00746EE2" w:rsidRPr="00E56E5E">
        <w:rPr>
          <w:rFonts w:ascii="Arial" w:cs="Arial" w:hAnsi="Arial"/>
          <w:sz w:val="22"/>
          <w:szCs w:val="22"/>
        </w:rPr>
        <w:t>connection</w:t>
      </w:r>
      <w:r w:rsidRPr="00E56E5E">
        <w:rPr>
          <w:rFonts w:ascii="Arial" w:cs="Arial" w:hAnsi="Arial"/>
          <w:sz w:val="22"/>
          <w:szCs w:val="22"/>
        </w:rPr>
        <w:t xml:space="preserve">. Those who lack these resources felt more frustrated and excluded (Baker et al. 2020). </w:t>
      </w:r>
    </w:p>
    <w:p w:rsidR="0028172D" w:rsidRDefault="00784174" w14:paraId="29548939" w14:textId="6A8FAB07" w:rsidP="00ED0A3E" w:rsidRPr="00ED0A3E">
      <w:pPr>
        <w:pStyle w:val="Heading1"/>
        <w:rPr>
          <w:sz w:val="32"/>
          <w:szCs w:val="32"/>
        </w:rPr>
      </w:pPr>
      <w:r w:rsidRPr="00ED0A3E">
        <w:rPr>
          <w:sz w:val="32"/>
          <w:szCs w:val="32"/>
        </w:rPr>
        <w:t>Discussion</w:t>
      </w:r>
    </w:p>
    <w:p w:rsidR="0028172D" w:rsidRDefault="00784174" w14:paraId="039FA730" w14:textId="2B21141E" w:rsidP="00E56E5E" w:rsidRPr="00ED0A3E">
      <w:pPr>
        <w:jc w:val="both"/>
        <w:spacing w:line="360" w:lineRule="auto"/>
        <w:rPr>
          <w:bCs/>
          <w:b/>
          <w:rFonts w:ascii="Arial" w:cs="Arial" w:hAnsi="Arial"/>
          <w:sz w:val="22"/>
          <w:szCs w:val="22"/>
        </w:rPr>
      </w:pPr>
      <w:r w:rsidRPr="00ED0A3E">
        <w:rPr>
          <w:bCs/>
          <w:b/>
          <w:rFonts w:ascii="Arial" w:cs="Arial" w:hAnsi="Arial"/>
          <w:sz w:val="22"/>
          <w:szCs w:val="22"/>
        </w:rPr>
        <w:t>Main Findings</w:t>
      </w:r>
    </w:p>
    <w:p w:rsidR="0028172D" w:rsidRDefault="00784174" w14:paraId="1550EF30"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The evaluation suggests that digital health technologies can help decrease social isolation in older adults within the UK. When older adults get the right training and assistance, tech like telehealth and social apps can help. </w:t>
      </w:r>
      <w:r w:rsidR="0028172D" w:rsidRPr="00E56E5E">
        <w:rPr>
          <w:rFonts w:ascii="Arial" w:cs="Arial" w:hAnsi="Arial"/>
          <w:sz w:val="22"/>
          <w:szCs w:val="22"/>
        </w:rPr>
        <w:t>Social</w:t>
      </w:r>
      <w:r w:rsidRPr="00E56E5E">
        <w:rPr>
          <w:rFonts w:ascii="Arial" w:cs="Arial" w:hAnsi="Arial"/>
          <w:sz w:val="22"/>
          <w:szCs w:val="22"/>
        </w:rPr>
        <w:t xml:space="preserve"> </w:t>
      </w:r>
      <w:r w:rsidR="0028172D" w:rsidRPr="00E56E5E">
        <w:rPr>
          <w:rFonts w:ascii="Arial" w:cs="Arial" w:hAnsi="Arial"/>
          <w:sz w:val="22"/>
          <w:szCs w:val="22"/>
        </w:rPr>
        <w:t>participation,</w:t>
      </w:r>
      <w:r w:rsidRPr="00E56E5E">
        <w:rPr>
          <w:rFonts w:ascii="Arial" w:cs="Arial" w:hAnsi="Arial"/>
          <w:sz w:val="22"/>
          <w:szCs w:val="22"/>
        </w:rPr>
        <w:t xml:space="preserve"> emotional </w:t>
      </w:r>
      <w:r w:rsidR="0028172D" w:rsidRPr="00E56E5E">
        <w:rPr>
          <w:rFonts w:ascii="Arial" w:cs="Arial" w:hAnsi="Arial"/>
          <w:sz w:val="22"/>
          <w:szCs w:val="22"/>
        </w:rPr>
        <w:t>reassurance,</w:t>
      </w:r>
      <w:r w:rsidRPr="00E56E5E">
        <w:rPr>
          <w:rFonts w:ascii="Arial" w:cs="Arial" w:hAnsi="Arial"/>
          <w:sz w:val="22"/>
          <w:szCs w:val="22"/>
        </w:rPr>
        <w:t xml:space="preserve"> access to remote </w:t>
      </w:r>
      <w:r w:rsidR="0028172D" w:rsidRPr="00E56E5E">
        <w:rPr>
          <w:rFonts w:ascii="Arial" w:cs="Arial" w:hAnsi="Arial"/>
          <w:sz w:val="22"/>
          <w:szCs w:val="22"/>
        </w:rPr>
        <w:t>communication,</w:t>
      </w:r>
      <w:r w:rsidRPr="00E56E5E">
        <w:rPr>
          <w:rFonts w:ascii="Arial" w:cs="Arial" w:hAnsi="Arial"/>
          <w:sz w:val="22"/>
          <w:szCs w:val="22"/>
        </w:rPr>
        <w:t xml:space="preserve"> community </w:t>
      </w:r>
      <w:r w:rsidR="0028172D" w:rsidRPr="00E56E5E">
        <w:rPr>
          <w:rFonts w:ascii="Arial" w:cs="Arial" w:hAnsi="Arial"/>
          <w:sz w:val="22"/>
          <w:szCs w:val="22"/>
        </w:rPr>
        <w:t>engagement,</w:t>
      </w:r>
      <w:r w:rsidRPr="00E56E5E">
        <w:rPr>
          <w:rFonts w:ascii="Arial" w:cs="Arial" w:hAnsi="Arial"/>
          <w:sz w:val="22"/>
          <w:szCs w:val="22"/>
        </w:rPr>
        <w:t xml:space="preserve"> continuity of care. However, these benefits are not universal. Interventions are often limited by digital exclusion </w:t>
      </w:r>
      <w:r w:rsidR="0028172D" w:rsidRPr="00E56E5E">
        <w:rPr>
          <w:rFonts w:ascii="Arial" w:cs="Arial" w:hAnsi="Arial"/>
          <w:sz w:val="22"/>
          <w:szCs w:val="22"/>
        </w:rPr>
        <w:t>older</w:t>
      </w:r>
      <w:r w:rsidRPr="00E56E5E">
        <w:rPr>
          <w:rFonts w:ascii="Arial" w:cs="Arial" w:hAnsi="Arial"/>
          <w:sz w:val="22"/>
          <w:szCs w:val="22"/>
        </w:rPr>
        <w:t xml:space="preserve"> adults without digital literacy or devices often became more frustrated than younger adults. </w:t>
      </w:r>
    </w:p>
    <w:p w:rsidR="0028172D" w:rsidRDefault="00784174" w14:paraId="36905788" w14:textId="0A961803" w:rsidP="00E56E5E" w:rsidRPr="00ED0A3E">
      <w:pPr>
        <w:jc w:val="both"/>
        <w:spacing w:line="360" w:lineRule="auto"/>
        <w:rPr>
          <w:bCs/>
          <w:b/>
          <w:rFonts w:ascii="Arial" w:cs="Arial" w:hAnsi="Arial"/>
          <w:sz w:val="22"/>
          <w:szCs w:val="22"/>
        </w:rPr>
      </w:pPr>
      <w:r w:rsidRPr="00ED0A3E">
        <w:rPr>
          <w:bCs/>
          <w:b/>
          <w:rFonts w:ascii="Arial" w:cs="Arial" w:hAnsi="Arial"/>
          <w:sz w:val="22"/>
          <w:szCs w:val="22"/>
        </w:rPr>
        <w:t xml:space="preserve">Comparison </w:t>
      </w:r>
      <w:r w:rsidR="0028172D" w:rsidRPr="00ED0A3E">
        <w:rPr>
          <w:bCs/>
          <w:b/>
          <w:rFonts w:ascii="Arial" w:cs="Arial" w:hAnsi="Arial"/>
          <w:sz w:val="22"/>
          <w:szCs w:val="22"/>
        </w:rPr>
        <w:t>with</w:t>
      </w:r>
      <w:r w:rsidRPr="00ED0A3E">
        <w:rPr>
          <w:bCs/>
          <w:b/>
          <w:rFonts w:ascii="Arial" w:cs="Arial" w:hAnsi="Arial"/>
          <w:sz w:val="22"/>
          <w:szCs w:val="22"/>
        </w:rPr>
        <w:t xml:space="preserve"> Broader Literature</w:t>
      </w:r>
    </w:p>
    <w:p w:rsidR="0028172D" w:rsidRDefault="00784174" w14:paraId="7BDD2A09"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The results of the research are consistent with international research, highlighting that the internet positively affects the wellbeing of old people (Utz et al., 2020). In addition, they confirm that digital health risks worsening inequalities if strategies to include are not applied (Van Dijk, 2020). </w:t>
      </w:r>
    </w:p>
    <w:p w:rsidR="0028172D" w:rsidRDefault="00784174" w14:paraId="133B4C39" w14:textId="23960A9C" w:rsidP="00E56E5E" w:rsidRPr="00E56E5E">
      <w:pPr>
        <w:jc w:val="both"/>
        <w:spacing w:line="360" w:lineRule="auto"/>
        <w:rPr>
          <w:rFonts w:ascii="Arial" w:cs="Arial" w:hAnsi="Arial"/>
          <w:sz w:val="22"/>
          <w:szCs w:val="22"/>
        </w:rPr>
      </w:pPr>
      <w:r w:rsidRPr="00ED0A3E">
        <w:rPr>
          <w:bCs/>
          <w:b/>
          <w:rFonts w:ascii="Arial" w:cs="Arial" w:hAnsi="Arial"/>
          <w:sz w:val="22"/>
          <w:szCs w:val="22"/>
        </w:rPr>
        <w:t>Implications for UK Practice</w:t>
      </w:r>
    </w:p>
    <w:p w:rsidR="0028172D" w:rsidRDefault="00784174" w14:paraId="6CE0058F"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Health and social care professionals must. Evaluate the digital literacy of service users ensure accessible digital </w:t>
      </w:r>
      <w:r w:rsidR="0028172D" w:rsidRPr="00E56E5E">
        <w:rPr>
          <w:rFonts w:ascii="Arial" w:cs="Arial" w:hAnsi="Arial"/>
          <w:sz w:val="22"/>
          <w:szCs w:val="22"/>
        </w:rPr>
        <w:t>design,</w:t>
      </w:r>
      <w:r w:rsidRPr="00E56E5E">
        <w:rPr>
          <w:rFonts w:ascii="Arial" w:cs="Arial" w:hAnsi="Arial"/>
          <w:sz w:val="22"/>
          <w:szCs w:val="22"/>
        </w:rPr>
        <w:t xml:space="preserve"> Offer customized training and continual support. encourage cost-effective access to digital gadgets. Strengths and Limitations of the Review Strengths. rigorous selection of peer-reviewed </w:t>
      </w:r>
      <w:r w:rsidR="0028172D" w:rsidRPr="00E56E5E">
        <w:rPr>
          <w:rFonts w:ascii="Arial" w:cs="Arial" w:hAnsi="Arial"/>
          <w:sz w:val="22"/>
          <w:szCs w:val="22"/>
        </w:rPr>
        <w:t>studies,</w:t>
      </w:r>
      <w:r w:rsidRPr="00E56E5E">
        <w:rPr>
          <w:rFonts w:ascii="Arial" w:cs="Arial" w:hAnsi="Arial"/>
          <w:sz w:val="22"/>
          <w:szCs w:val="22"/>
        </w:rPr>
        <w:t xml:space="preserve"> focus on UK-relevant </w:t>
      </w:r>
      <w:r w:rsidR="0028172D" w:rsidRPr="00E56E5E">
        <w:rPr>
          <w:rFonts w:ascii="Arial" w:cs="Arial" w:hAnsi="Arial"/>
          <w:sz w:val="22"/>
          <w:szCs w:val="22"/>
        </w:rPr>
        <w:t>findings,</w:t>
      </w:r>
      <w:r w:rsidRPr="00E56E5E">
        <w:rPr>
          <w:rFonts w:ascii="Arial" w:cs="Arial" w:hAnsi="Arial"/>
          <w:sz w:val="22"/>
          <w:szCs w:val="22"/>
        </w:rPr>
        <w:t xml:space="preserve"> comprehensive thematic analysis. Limitations. A few </w:t>
      </w:r>
      <w:proofErr w:type="spellStart"/>
      <w:r w:rsidR="0028172D" w:rsidRPr="00E56E5E">
        <w:rPr>
          <w:rFonts w:ascii="Arial" w:cs="Arial" w:hAnsi="Arial"/>
          <w:sz w:val="22"/>
          <w:szCs w:val="22"/>
        </w:rPr>
        <w:t>UK</w:t>
      </w:r>
      <w:r w:rsidRPr="00E56E5E">
        <w:rPr>
          <w:rFonts w:ascii="Arial" w:cs="Arial" w:hAnsi="Arial"/>
          <w:sz w:val="22"/>
          <w:szCs w:val="22"/>
        </w:rPr>
        <w:t>based</w:t>
      </w:r>
      <w:proofErr w:type="spellEnd"/>
      <w:r w:rsidRPr="00E56E5E">
        <w:rPr>
          <w:rFonts w:ascii="Arial" w:cs="Arial" w:hAnsi="Arial"/>
          <w:sz w:val="22"/>
          <w:szCs w:val="22"/>
        </w:rPr>
        <w:t xml:space="preserve"> studies are eligible. The fast-changing online environment may reduce generalizability. Comparison was difficult due to variety of interventions.</w:t>
      </w:r>
    </w:p>
    <w:p w:rsidR="00ED0A3E" w:rsidRDefault="00903773" w14:paraId="00F92317" w14:textId="398224E2" w:rsidP="00ED0A3E" w:rsidRPr="00ED0A3E">
      <w:pPr>
        <w:pStyle w:val="Heading1"/>
        <w:rPr>
          <w:sz w:val="32"/>
          <w:szCs w:val="32"/>
        </w:rPr>
      </w:pPr>
      <w:r w:rsidRPr="00ED0A3E">
        <w:rPr>
          <w:sz w:val="32"/>
          <w:szCs w:val="32"/>
        </w:rPr>
        <w:t xml:space="preserve"> Conclusion</w:t>
        <w:lastRenderedPageBreak/>
      </w:r>
    </w:p>
    <w:p w:rsidR="00460058" w:rsidRDefault="00903773" w14:paraId="6AAF6927" w14:textId="510B75EC" w:rsidP="00E56E5E" w:rsidRPr="00E56E5E">
      <w:pPr>
        <w:jc w:val="both"/>
        <w:spacing w:line="360" w:lineRule="auto"/>
        <w:rPr>
          <w:rFonts w:ascii="Arial" w:cs="Arial" w:hAnsi="Arial"/>
          <w:sz w:val="22"/>
          <w:szCs w:val="22"/>
        </w:rPr>
      </w:pPr>
      <w:r w:rsidRPr="00E56E5E">
        <w:rPr>
          <w:rFonts w:ascii="Arial" w:cs="Arial" w:hAnsi="Arial"/>
          <w:sz w:val="22"/>
          <w:szCs w:val="22"/>
        </w:rPr>
        <w:t xml:space="preserve">Evidence from across the UK demonstrates that digital health technologies have huge potential to address social isolation in older people. This review will further explore what the evidence suggests. </w:t>
      </w:r>
      <w:r w:rsidR="00ED0A3E" w:rsidRPr="00E56E5E">
        <w:rPr>
          <w:rFonts w:ascii="Arial" w:cs="Arial" w:hAnsi="Arial"/>
          <w:sz w:val="22"/>
          <w:szCs w:val="22"/>
        </w:rPr>
        <w:t>According to</w:t>
      </w:r>
      <w:r w:rsidRPr="00E56E5E">
        <w:rPr>
          <w:rFonts w:ascii="Arial" w:cs="Arial" w:hAnsi="Arial"/>
          <w:sz w:val="22"/>
          <w:szCs w:val="22"/>
        </w:rPr>
        <w:t xml:space="preserve"> the papers reviewed, digital tools ranging from video calling to telehealth monitoring were shown to help older people remain in contact socially and emotionally as well as provide a sense of connection when mobility or geographical constraints limit face-to-face contact. Yet, the evidence shows that the benefits are not equally experienced. Significant differences still exist in access to devices, digital literacy, and online confidence. Older adults facing socio-economic </w:t>
      </w:r>
      <w:r w:rsidR="00460058" w:rsidRPr="00E56E5E">
        <w:rPr>
          <w:rFonts w:ascii="Arial" w:cs="Arial" w:hAnsi="Arial"/>
          <w:sz w:val="22"/>
          <w:szCs w:val="22"/>
        </w:rPr>
        <w:t>disadvantages</w:t>
      </w:r>
      <w:r w:rsidRPr="00E56E5E">
        <w:rPr>
          <w:rFonts w:ascii="Arial" w:cs="Arial" w:hAnsi="Arial"/>
          <w:sz w:val="22"/>
          <w:szCs w:val="22"/>
        </w:rPr>
        <w:t>, sensory impairment, low education or limited prior use of digital devices are particularly susceptible to the risk of exclusion. If the right support is not provided, digital health initiatives may worsen existing inequalities to further widen disparity between older adults who are digitally engaged and those who cannot/don’t participate. The evidence also suggests that merely providing devices or internet access is insufficient for the effective uptake of digital health technologies. An effective implementation hinges on customized training, ongoing assistance, inclusive and accessible design, and fostering trust in digital systems. In addition, when we bring a digital solution, it should not replace the conventional pathway. Most older adults prefer to meet them in person, especially for complex care and deep-rooted health needs. In conclusion, while opportunities exist for digital health to assist aging populations and reduce social isolation, equitable outcomes will only be achieved when there is sustained investment, coordinated policy action and a user-</w:t>
      </w:r>
      <w:r w:rsidR="00460058" w:rsidRPr="00E56E5E">
        <w:rPr>
          <w:rFonts w:ascii="Arial" w:cs="Arial" w:hAnsi="Arial"/>
          <w:sz w:val="22"/>
          <w:szCs w:val="22"/>
        </w:rPr>
        <w:t>centered</w:t>
      </w:r>
      <w:r w:rsidRPr="00E56E5E">
        <w:rPr>
          <w:rFonts w:ascii="Arial" w:cs="Arial" w:hAnsi="Arial"/>
          <w:sz w:val="22"/>
          <w:szCs w:val="22"/>
        </w:rPr>
        <w:t xml:space="preserve"> approach. </w:t>
      </w:r>
    </w:p>
    <w:p w:rsidR="00DE50C3" w:rsidRDefault="00DE50C3" w14:paraId="53706A7E" w14:textId="587BE109" w:rsidP="00ED0A3E" w:rsidRPr="00ED0A3E">
      <w:pPr>
        <w:pStyle w:val="Heading1"/>
        <w:rPr>
          <w:sz w:val="32"/>
          <w:szCs w:val="32"/>
        </w:rPr>
      </w:pPr>
      <w:r w:rsidRPr="00ED0A3E">
        <w:rPr>
          <w:sz w:val="32"/>
          <w:szCs w:val="32"/>
        </w:rPr>
        <w:t>Recommendations</w:t>
      </w:r>
    </w:p>
    <w:p w:rsidR="00DE50C3" w:rsidRDefault="00DE50C3" w14:paraId="480B03C8" w14:textId="77777777" w:rsidP="00E56E5E" w:rsidRPr="00ED0A3E">
      <w:pPr>
        <w:jc w:val="both"/>
        <w:spacing w:line="360" w:lineRule="auto"/>
        <w:rPr>
          <w:bCs/>
          <w:b/>
          <w:rFonts w:ascii="Arial" w:cs="Arial" w:hAnsi="Arial"/>
          <w:sz w:val="22"/>
          <w:szCs w:val="22"/>
        </w:rPr>
      </w:pPr>
      <w:r w:rsidRPr="00ED0A3E">
        <w:rPr>
          <w:bCs/>
          <w:b/>
          <w:rFonts w:ascii="Arial" w:cs="Arial" w:hAnsi="Arial"/>
          <w:sz w:val="22"/>
          <w:szCs w:val="22"/>
        </w:rPr>
        <w:t>Recommendations for Practice</w:t>
      </w:r>
    </w:p>
    <w:p w:rsidR="00DE50C3" w:rsidRDefault="00DE50C3" w14:paraId="6787E4DB"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 Offer organized training programs on digital skills for elderly. Training programs should be customized to different skill levels, delivered at a comfortable pace, and supported with practical assistance. Training models that are peer-led or community based may build confidence and social skills. Create user-friendly and digitally convenient platforms. The priority of designers and service providers </w:t>
      </w:r>
      <w:r w:rsidRPr="00E56E5E">
        <w:rPr>
          <w:rFonts w:ascii="Arial" w:cs="Arial" w:hAnsi="Arial"/>
          <w:sz w:val="22"/>
          <w:szCs w:val="22"/>
        </w:rPr>
        <w:t>needs</w:t>
      </w:r>
      <w:r w:rsidRPr="00E56E5E">
        <w:rPr>
          <w:rFonts w:ascii="Arial" w:cs="Arial" w:hAnsi="Arial"/>
          <w:sz w:val="22"/>
          <w:szCs w:val="22"/>
        </w:rPr>
        <w:t xml:space="preserve"> to be clear, simple, larger text options that have voice assisted navigation and compatible with other assistive technologies for sensory or cognitive impairments. Include evaluations of digital engagement in routine care plans. Health and social care professionals should assess older adults for readiness to engage in digital interventions, preferred modes of communication and whether support may be necessary. Provide blended support models. </w:t>
      </w:r>
      <w:r w:rsidRPr="00E56E5E">
        <w:rPr>
          <w:rFonts w:ascii="Arial" w:cs="Arial" w:hAnsi="Arial"/>
          <w:sz w:val="22"/>
          <w:szCs w:val="22"/>
        </w:rPr>
        <w:t xml:space="preserve">Blending </w:t>
        <w:lastRenderedPageBreak/>
      </w:r>
      <w:r w:rsidRPr="00E56E5E">
        <w:rPr>
          <w:rFonts w:ascii="Arial" w:cs="Arial" w:hAnsi="Arial"/>
          <w:sz w:val="22"/>
          <w:szCs w:val="22"/>
        </w:rPr>
        <w:t>online</w:t>
      </w:r>
      <w:r w:rsidRPr="00E56E5E">
        <w:rPr>
          <w:rFonts w:ascii="Arial" w:cs="Arial" w:hAnsi="Arial"/>
          <w:sz w:val="22"/>
          <w:szCs w:val="22"/>
        </w:rPr>
        <w:t xml:space="preserve"> and </w:t>
      </w:r>
      <w:r w:rsidRPr="00E56E5E">
        <w:rPr>
          <w:rFonts w:ascii="Arial" w:cs="Arial" w:hAnsi="Arial"/>
          <w:sz w:val="22"/>
          <w:szCs w:val="22"/>
        </w:rPr>
        <w:t>in</w:t>
      </w:r>
      <w:r w:rsidRPr="00E56E5E">
        <w:rPr>
          <w:rFonts w:ascii="Arial" w:cs="Arial" w:hAnsi="Arial"/>
          <w:sz w:val="22"/>
          <w:szCs w:val="22"/>
        </w:rPr>
        <w:t xml:space="preserve">-person ensures that older adults who struggle with technology don’t miss out on living essentials. </w:t>
      </w:r>
    </w:p>
    <w:p w:rsidR="00DE50C3" w:rsidRDefault="00DE50C3" w14:paraId="5CB77987" w14:textId="77777777" w:rsidP="00E56E5E" w:rsidRPr="00ED0A3E">
      <w:pPr>
        <w:jc w:val="both"/>
        <w:spacing w:line="360" w:lineRule="auto"/>
        <w:rPr>
          <w:bCs/>
          <w:b/>
          <w:rFonts w:ascii="Arial" w:cs="Arial" w:hAnsi="Arial"/>
          <w:sz w:val="22"/>
          <w:szCs w:val="22"/>
        </w:rPr>
      </w:pPr>
      <w:r w:rsidRPr="00ED0A3E">
        <w:rPr>
          <w:bCs/>
          <w:b/>
          <w:rFonts w:ascii="Arial" w:cs="Arial" w:hAnsi="Arial"/>
          <w:sz w:val="22"/>
          <w:szCs w:val="22"/>
        </w:rPr>
        <w:t>Recommendations for Policy</w:t>
      </w:r>
    </w:p>
    <w:p w:rsidR="00DE50C3" w:rsidRDefault="00DE50C3" w14:paraId="3EEAD95F"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More government spending on digital rebates schemes. </w:t>
      </w:r>
      <w:r w:rsidRPr="00E56E5E">
        <w:rPr>
          <w:rFonts w:ascii="Arial" w:cs="Arial" w:hAnsi="Arial"/>
          <w:sz w:val="22"/>
          <w:szCs w:val="22"/>
        </w:rPr>
        <w:t>For</w:t>
      </w:r>
      <w:r w:rsidRPr="00E56E5E">
        <w:rPr>
          <w:rFonts w:ascii="Arial" w:cs="Arial" w:hAnsi="Arial"/>
          <w:sz w:val="22"/>
          <w:szCs w:val="22"/>
        </w:rPr>
        <w:t xml:space="preserve"> community training initiatives, digital literacy initiatives, and technology loan </w:t>
      </w:r>
      <w:r w:rsidRPr="00E56E5E">
        <w:rPr>
          <w:rFonts w:ascii="Arial" w:cs="Arial" w:hAnsi="Arial"/>
          <w:sz w:val="22"/>
          <w:szCs w:val="22"/>
        </w:rPr>
        <w:t>programs</w:t>
      </w:r>
      <w:r w:rsidRPr="00E56E5E">
        <w:rPr>
          <w:rFonts w:ascii="Arial" w:cs="Arial" w:hAnsi="Arial"/>
          <w:sz w:val="22"/>
          <w:szCs w:val="22"/>
        </w:rPr>
        <w:t xml:space="preserve"> for older adults to succeed, </w:t>
      </w:r>
      <w:r w:rsidRPr="00E56E5E">
        <w:rPr>
          <w:rFonts w:ascii="Arial" w:cs="Arial" w:hAnsi="Arial"/>
          <w:sz w:val="22"/>
          <w:szCs w:val="22"/>
        </w:rPr>
        <w:t>continuous</w:t>
      </w:r>
      <w:r w:rsidRPr="00E56E5E">
        <w:rPr>
          <w:rFonts w:ascii="Arial" w:cs="Arial" w:hAnsi="Arial"/>
          <w:sz w:val="22"/>
          <w:szCs w:val="22"/>
        </w:rPr>
        <w:t xml:space="preserve"> and long-term funding is essential. Ensure universal and affordable broadband access. Access to reliable internet connections, particularly in rural or economically disadvantaged populations, is critical for obtaining equal access to digital health tools. Help more initiatives to connect older people digitally. Local authorities, voluntary sector </w:t>
      </w:r>
      <w:r w:rsidRPr="00E56E5E">
        <w:rPr>
          <w:rFonts w:ascii="Arial" w:cs="Arial" w:hAnsi="Arial"/>
          <w:sz w:val="22"/>
          <w:szCs w:val="22"/>
        </w:rPr>
        <w:t>organizations</w:t>
      </w:r>
      <w:r w:rsidRPr="00E56E5E">
        <w:rPr>
          <w:rFonts w:ascii="Arial" w:cs="Arial" w:hAnsi="Arial"/>
          <w:sz w:val="22"/>
          <w:szCs w:val="22"/>
        </w:rPr>
        <w:t xml:space="preserve">, libraries and community groups can partner to embed digital support within existing social infrastructure. Integrate digital inclusion within health and social care plans nationally. Digital transformation policies should be designed so that groups with low digital literacy are not disadvantaged, while accessibility standards should be embedded in all digital health developments. </w:t>
      </w:r>
    </w:p>
    <w:p w:rsidR="00DE50C3" w:rsidRDefault="00DE50C3" w14:paraId="2DB67BC1" w14:textId="77777777" w:rsidP="00E56E5E" w:rsidRPr="00ED0A3E">
      <w:pPr>
        <w:jc w:val="both"/>
        <w:spacing w:line="360" w:lineRule="auto"/>
        <w:rPr>
          <w:bCs/>
          <w:b/>
          <w:rFonts w:ascii="Arial" w:cs="Arial" w:hAnsi="Arial"/>
          <w:sz w:val="22"/>
          <w:szCs w:val="22"/>
        </w:rPr>
      </w:pPr>
      <w:r w:rsidRPr="00E56E5E">
        <w:rPr>
          <w:rFonts w:ascii="Arial" w:cs="Arial" w:hAnsi="Arial"/>
          <w:sz w:val="22"/>
          <w:szCs w:val="22"/>
        </w:rPr>
        <w:t xml:space="preserve"> </w:t>
      </w:r>
      <w:r w:rsidRPr="00ED0A3E">
        <w:rPr>
          <w:bCs/>
          <w:b/>
          <w:rFonts w:ascii="Arial" w:cs="Arial" w:hAnsi="Arial"/>
          <w:sz w:val="22"/>
          <w:szCs w:val="22"/>
        </w:rPr>
        <w:t>Recommendations for Future Research</w:t>
      </w:r>
    </w:p>
    <w:p w:rsidR="00DE50C3" w:rsidRDefault="00DE50C3" w14:paraId="5FF24E58"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 Conduct large-scale, UK-based longitudinal studies. The long-term impacts of digital health products on older people’s (</w:t>
      </w:r>
      <w:r w:rsidRPr="00E56E5E">
        <w:rPr>
          <w:rFonts w:ascii="Arial" w:cs="Arial" w:hAnsi="Arial"/>
          <w:sz w:val="22"/>
          <w:szCs w:val="22"/>
        </w:rPr>
        <w:t>good</w:t>
      </w:r>
      <w:r w:rsidRPr="00E56E5E">
        <w:rPr>
          <w:rFonts w:ascii="Arial" w:cs="Arial" w:hAnsi="Arial"/>
          <w:sz w:val="22"/>
          <w:szCs w:val="22"/>
        </w:rPr>
        <w:t xml:space="preserve">) feelings of social isolation, wellbeing and health service use (HSU) </w:t>
      </w:r>
      <w:r w:rsidRPr="00E56E5E">
        <w:rPr>
          <w:rFonts w:ascii="Arial" w:cs="Arial" w:hAnsi="Arial"/>
          <w:sz w:val="22"/>
          <w:szCs w:val="22"/>
        </w:rPr>
        <w:t>require</w:t>
      </w:r>
      <w:r w:rsidRPr="00E56E5E">
        <w:rPr>
          <w:rFonts w:ascii="Arial" w:cs="Arial" w:hAnsi="Arial"/>
          <w:sz w:val="22"/>
          <w:szCs w:val="22"/>
        </w:rPr>
        <w:t xml:space="preserve"> stronger evidence. Explore differences across subgroups. Future studies should investigate differences in digital engagement among different types of populations. This includes examining differences between rural and urban dwellers, between low income and rich populations, among ethnic minorities and the mainstream population, </w:t>
      </w:r>
      <w:r w:rsidRPr="00E56E5E">
        <w:rPr>
          <w:rFonts w:ascii="Arial" w:cs="Arial" w:hAnsi="Arial"/>
          <w:sz w:val="22"/>
          <w:szCs w:val="22"/>
        </w:rPr>
        <w:t>and</w:t>
      </w:r>
      <w:r w:rsidRPr="00E56E5E">
        <w:rPr>
          <w:rFonts w:ascii="Arial" w:cs="Arial" w:hAnsi="Arial"/>
          <w:sz w:val="22"/>
          <w:szCs w:val="22"/>
        </w:rPr>
        <w:t xml:space="preserve"> among the cognitively impaired and cognitively competent population. Investigate hybrid service models. Vocational exploration will investigate how digital and face-to-face services can be optimally combined. What model best supports social connectedness while user autonomy and preference. Evaluate user-</w:t>
      </w:r>
      <w:r w:rsidRPr="00E56E5E">
        <w:rPr>
          <w:rFonts w:ascii="Arial" w:cs="Arial" w:hAnsi="Arial"/>
          <w:sz w:val="22"/>
          <w:szCs w:val="22"/>
        </w:rPr>
        <w:t>centered</w:t>
      </w:r>
      <w:r w:rsidRPr="00E56E5E">
        <w:rPr>
          <w:rFonts w:ascii="Arial" w:cs="Arial" w:hAnsi="Arial"/>
          <w:sz w:val="22"/>
          <w:szCs w:val="22"/>
        </w:rPr>
        <w:t xml:space="preserve"> and co-design approaches. Engaging older adults in the interactive design of digital tools may improve their usability and acceptance and enhance sustained use.</w:t>
      </w:r>
    </w:p>
    <w:p w:rsidR="00ED48F5" w:rsidRDefault="00784174" w14:paraId="4085C92D" w14:textId="53354ADA" w:rsidP="00E56E5E" w:rsidRPr="00E56E5E">
      <w:pPr>
        <w:jc w:val="both"/>
        <w:spacing w:line="360" w:lineRule="auto"/>
        <w:rPr>
          <w:rFonts w:ascii="Arial" w:cs="Arial" w:hAnsi="Arial"/>
          <w:sz w:val="22"/>
          <w:szCs w:val="22"/>
        </w:rPr>
      </w:pPr>
      <w:r>
        <w:rPr>
          <w:rFonts w:ascii="Arial" w:cs="Arial" w:hAnsi="Arial"/>
          <w:sz w:val="22"/>
          <w:szCs w:val="22"/>
        </w:rPr>
        <w:br w:type="page"/>
      </w:r>
    </w:p>
    <w:p w:rsidR="00453625" w:rsidRDefault="00453625" w14:paraId="65030273" w14:textId="77777777" w:rsidP="00ED0A3E" w:rsidRPr="00ED0A3E">
      <w:pPr>
        <w:pStyle w:val="Heading1"/>
        <w:jc w:val="center"/>
        <w:rPr>
          <w:sz w:val="32"/>
          <w:szCs w:val="32"/>
        </w:rPr>
      </w:pPr>
    </w:p>
    <w:p w:rsidR="00453625" w:rsidRDefault="00453625" w14:paraId="3D4229C6" w14:textId="14127AFD" w:rsidP="00ED0A3E" w:rsidRPr="00ED0A3E">
      <w:pPr>
        <w:pStyle w:val="Heading1"/>
        <w:jc w:val="center"/>
        <w:rPr>
          <w:sz w:val="32"/>
          <w:szCs w:val="32"/>
        </w:rPr>
      </w:pPr>
      <w:r w:rsidRPr="00ED0A3E">
        <w:rPr>
          <w:sz w:val="32"/>
          <w:szCs w:val="32"/>
        </w:rPr>
        <w:t>References</w:t>
      </w:r>
    </w:p>
    <w:p w:rsidR="00CD65D5" w:rsidRDefault="00CD65D5" w14:paraId="546814DC" w14:textId="77777777" w:rsidP="00E56E5E" w:rsidRPr="00E56E5E">
      <w:pPr>
        <w:jc w:val="both"/>
        <w:spacing w:line="360" w:lineRule="auto"/>
        <w:rPr>
          <w:rFonts w:ascii="Arial" w:cs="Arial" w:hAnsi="Arial"/>
          <w:sz w:val="22"/>
          <w:szCs w:val="22"/>
        </w:rPr>
      </w:pPr>
    </w:p>
    <w:p w:rsidR="00453625" w:rsidRDefault="00453625" w14:paraId="2E4966B9"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Age UK (2021) </w:t>
      </w:r>
      <w:r w:rsidRPr="00E56E5E">
        <w:rPr>
          <w:iCs/>
          <w:i/>
          <w:rFonts w:ascii="Arial" w:cs="Arial" w:hAnsi="Arial"/>
          <w:sz w:val="22"/>
          <w:szCs w:val="22"/>
        </w:rPr>
        <w:t>The state of ageing in 2021</w:t>
      </w:r>
      <w:r w:rsidRPr="00E56E5E">
        <w:rPr>
          <w:rFonts w:ascii="Arial" w:cs="Arial" w:hAnsi="Arial"/>
          <w:sz w:val="22"/>
          <w:szCs w:val="22"/>
        </w:rPr>
        <w:t>. London: Age UK.</w:t>
      </w:r>
    </w:p>
    <w:p w:rsidR="00453625" w:rsidRDefault="00453625" w14:paraId="50F6A039"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Coyle, C.E. and Dugan, E. (2012) ‘Social isolation, loneliness and health among older adults’, </w:t>
      </w:r>
      <w:r w:rsidRPr="00E56E5E">
        <w:rPr>
          <w:iCs/>
          <w:i/>
          <w:rFonts w:ascii="Arial" w:cs="Arial" w:hAnsi="Arial"/>
          <w:sz w:val="22"/>
          <w:szCs w:val="22"/>
        </w:rPr>
        <w:t>Journal of Aging and Health</w:t>
      </w:r>
      <w:r w:rsidRPr="00E56E5E">
        <w:rPr>
          <w:rFonts w:ascii="Arial" w:cs="Arial" w:hAnsi="Arial"/>
          <w:sz w:val="22"/>
          <w:szCs w:val="22"/>
        </w:rPr>
        <w:t>, 24(8), pp. 1346–1363.</w:t>
      </w:r>
    </w:p>
    <w:p w:rsidR="00453625" w:rsidRDefault="00453625" w14:paraId="206D7C75"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Holt-Lunstad, J., Smith, T.B. and Baker, M. (2015) ‘Loneliness and social isolation as risk factors for mortality: A meta-analytic review’, </w:t>
      </w:r>
      <w:r w:rsidRPr="00E56E5E">
        <w:rPr>
          <w:iCs/>
          <w:i/>
          <w:rFonts w:ascii="Arial" w:cs="Arial" w:hAnsi="Arial"/>
          <w:sz w:val="22"/>
          <w:szCs w:val="22"/>
        </w:rPr>
        <w:t>Perspectives on Psychological Science</w:t>
      </w:r>
      <w:r w:rsidRPr="00E56E5E">
        <w:rPr>
          <w:rFonts w:ascii="Arial" w:cs="Arial" w:hAnsi="Arial"/>
          <w:sz w:val="22"/>
          <w:szCs w:val="22"/>
        </w:rPr>
        <w:t>, 10(2), pp. 227–237.</w:t>
      </w:r>
    </w:p>
    <w:p w:rsidR="00453625" w:rsidRDefault="00453625" w14:paraId="234C4E80"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Lupton, D. (2018) </w:t>
      </w:r>
      <w:r w:rsidRPr="00E56E5E">
        <w:rPr>
          <w:iCs/>
          <w:i/>
          <w:rFonts w:ascii="Arial" w:cs="Arial" w:hAnsi="Arial"/>
          <w:sz w:val="22"/>
          <w:szCs w:val="22"/>
        </w:rPr>
        <w:t>Digital health: Critical and cross-disciplinary perspectives</w:t>
      </w:r>
      <w:r w:rsidRPr="00E56E5E">
        <w:rPr>
          <w:rFonts w:ascii="Arial" w:cs="Arial" w:hAnsi="Arial"/>
          <w:sz w:val="22"/>
          <w:szCs w:val="22"/>
        </w:rPr>
        <w:t>. London: Routledge.</w:t>
      </w:r>
    </w:p>
    <w:p w:rsidR="00453625" w:rsidRDefault="00453625" w14:paraId="416C4E9B"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Marmot, M. et al. (2020) </w:t>
      </w:r>
      <w:r w:rsidRPr="00E56E5E">
        <w:rPr>
          <w:iCs/>
          <w:i/>
          <w:rFonts w:ascii="Arial" w:cs="Arial" w:hAnsi="Arial"/>
          <w:sz w:val="22"/>
          <w:szCs w:val="22"/>
        </w:rPr>
        <w:t>Health equity in England: The Marmot Review 10 years on</w:t>
      </w:r>
      <w:r w:rsidRPr="00E56E5E">
        <w:rPr>
          <w:rFonts w:ascii="Arial" w:cs="Arial" w:hAnsi="Arial"/>
          <w:sz w:val="22"/>
          <w:szCs w:val="22"/>
        </w:rPr>
        <w:t>. London: Institute of Health Equity.</w:t>
      </w:r>
    </w:p>
    <w:p w:rsidR="00453625" w:rsidRDefault="00453625" w14:paraId="73105C6F"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NHS Digital (2022) </w:t>
      </w:r>
      <w:r w:rsidRPr="00E56E5E">
        <w:rPr>
          <w:iCs/>
          <w:i/>
          <w:rFonts w:ascii="Arial" w:cs="Arial" w:hAnsi="Arial"/>
          <w:sz w:val="22"/>
          <w:szCs w:val="22"/>
        </w:rPr>
        <w:t>Digital transformation and the NHS: Annual report 2021–22</w:t>
      </w:r>
      <w:r w:rsidRPr="00E56E5E">
        <w:rPr>
          <w:rFonts w:ascii="Arial" w:cs="Arial" w:hAnsi="Arial"/>
          <w:sz w:val="22"/>
          <w:szCs w:val="22"/>
        </w:rPr>
        <w:t>. Leeds: NHS Digital.</w:t>
      </w:r>
    </w:p>
    <w:p w:rsidR="00453625" w:rsidRDefault="00453625" w14:paraId="55B6FD24"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NHS England (2019) </w:t>
      </w:r>
      <w:r w:rsidRPr="00E56E5E">
        <w:rPr>
          <w:iCs/>
          <w:i/>
          <w:rFonts w:ascii="Arial" w:cs="Arial" w:hAnsi="Arial"/>
          <w:sz w:val="22"/>
          <w:szCs w:val="22"/>
        </w:rPr>
        <w:t>The NHS Long Term Plan</w:t>
      </w:r>
      <w:r w:rsidRPr="00E56E5E">
        <w:rPr>
          <w:rFonts w:ascii="Arial" w:cs="Arial" w:hAnsi="Arial"/>
          <w:sz w:val="22"/>
          <w:szCs w:val="22"/>
        </w:rPr>
        <w:t>. London: NHS England.</w:t>
      </w:r>
    </w:p>
    <w:p w:rsidR="00453625" w:rsidRDefault="00453625" w14:paraId="681A40CB"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Office for National Statistics (2020) </w:t>
      </w:r>
      <w:r w:rsidRPr="00E56E5E">
        <w:rPr>
          <w:iCs/>
          <w:i/>
          <w:rFonts w:ascii="Arial" w:cs="Arial" w:hAnsi="Arial"/>
          <w:sz w:val="22"/>
          <w:szCs w:val="22"/>
        </w:rPr>
        <w:t>Living longer: Ageing in the UK</w:t>
      </w:r>
      <w:r w:rsidRPr="00E56E5E">
        <w:rPr>
          <w:rFonts w:ascii="Arial" w:cs="Arial" w:hAnsi="Arial"/>
          <w:sz w:val="22"/>
          <w:szCs w:val="22"/>
        </w:rPr>
        <w:t>. Newport: ONS.</w:t>
      </w:r>
    </w:p>
    <w:p w:rsidR="00453625" w:rsidRDefault="00453625" w14:paraId="5234891B" w14:textId="77777777" w:rsidP="00E56E5E" w:rsidRPr="00E56E5E">
      <w:pPr>
        <w:jc w:val="both"/>
        <w:spacing w:line="360" w:lineRule="auto"/>
        <w:rPr>
          <w:rFonts w:ascii="Arial" w:cs="Arial" w:hAnsi="Arial"/>
          <w:sz w:val="22"/>
          <w:szCs w:val="22"/>
        </w:rPr>
      </w:pPr>
      <w:r w:rsidRPr="00E56E5E">
        <w:rPr>
          <w:rFonts w:ascii="Arial" w:cs="Arial" w:hAnsi="Arial"/>
          <w:sz w:val="22"/>
          <w:szCs w:val="22"/>
        </w:rPr>
        <w:t>Seifert, A., Cotten, S.R. and Xie, B. (</w:t>
      </w:r>
      <w:proofErr w:type="gramStart"/>
      <w:r w:rsidRPr="00E56E5E">
        <w:rPr>
          <w:rFonts w:ascii="Arial" w:cs="Arial" w:hAnsi="Arial"/>
          <w:sz w:val="22"/>
          <w:szCs w:val="22"/>
        </w:rPr>
        <w:t>2020) ‘</w:t>
      </w:r>
      <w:proofErr w:type="gramEnd"/>
      <w:r w:rsidRPr="00E56E5E">
        <w:rPr>
          <w:rFonts w:ascii="Arial" w:cs="Arial" w:hAnsi="Arial"/>
          <w:sz w:val="22"/>
          <w:szCs w:val="22"/>
        </w:rPr>
        <w:t xml:space="preserve">A double burden of exclusion? Digital and social exclusion of older adults in times of COVID-19’, </w:t>
      </w:r>
      <w:r w:rsidRPr="00E56E5E">
        <w:rPr>
          <w:iCs/>
          <w:i/>
          <w:rFonts w:ascii="Arial" w:cs="Arial" w:hAnsi="Arial"/>
          <w:sz w:val="22"/>
          <w:szCs w:val="22"/>
        </w:rPr>
        <w:t>Journals of Gerontology: Series B</w:t>
      </w:r>
      <w:r w:rsidRPr="00E56E5E">
        <w:rPr>
          <w:rFonts w:ascii="Arial" w:cs="Arial" w:hAnsi="Arial"/>
          <w:sz w:val="22"/>
          <w:szCs w:val="22"/>
        </w:rPr>
        <w:t>, 76(3), pp. e99–e103.</w:t>
      </w:r>
    </w:p>
    <w:p w:rsidR="00453625" w:rsidRDefault="00453625" w14:paraId="447CB716"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Shaw, T., McGregor, D. and Brunner, M. (2017) ‘Digital health: A framework for healthcare transformation’, </w:t>
      </w:r>
      <w:r w:rsidRPr="00E56E5E">
        <w:rPr>
          <w:iCs/>
          <w:i/>
          <w:rFonts w:ascii="Arial" w:cs="Arial" w:hAnsi="Arial"/>
          <w:sz w:val="22"/>
          <w:szCs w:val="22"/>
        </w:rPr>
        <w:t>Journal of the Royal Society of Medicine</w:t>
      </w:r>
      <w:r w:rsidRPr="00E56E5E">
        <w:rPr>
          <w:rFonts w:ascii="Arial" w:cs="Arial" w:hAnsi="Arial"/>
          <w:sz w:val="22"/>
          <w:szCs w:val="22"/>
        </w:rPr>
        <w:t>, 110(1), pp. 1–4.</w:t>
      </w:r>
    </w:p>
    <w:p w:rsidR="00453625" w:rsidRDefault="00453625" w14:paraId="7F889E81"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van Deursen, A. (2020) ‘Digital inequality during a pandemic: Quantitative study of differences in COVID-19–related internet uses and outcomes’, </w:t>
      </w:r>
      <w:r w:rsidRPr="00E56E5E">
        <w:rPr>
          <w:iCs/>
          <w:i/>
          <w:rFonts w:ascii="Arial" w:cs="Arial" w:hAnsi="Arial"/>
          <w:sz w:val="22"/>
          <w:szCs w:val="22"/>
        </w:rPr>
        <w:t>Journal of Medical Internet Research</w:t>
      </w:r>
      <w:r w:rsidRPr="00E56E5E">
        <w:rPr>
          <w:rFonts w:ascii="Arial" w:cs="Arial" w:hAnsi="Arial"/>
          <w:sz w:val="22"/>
          <w:szCs w:val="22"/>
        </w:rPr>
        <w:t>, 22(8), p. e20073.</w:t>
      </w:r>
    </w:p>
    <w:p w:rsidR="00453625" w:rsidRDefault="00453625" w14:paraId="3735C110"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Victor, C., Pikhartova, J. and Bowling, A. (2020) ‘Loneliness in later life’, </w:t>
      </w:r>
      <w:r w:rsidRPr="00E56E5E">
        <w:rPr>
          <w:iCs/>
          <w:i/>
          <w:rFonts w:ascii="Arial" w:cs="Arial" w:hAnsi="Arial"/>
          <w:sz w:val="22"/>
          <w:szCs w:val="22"/>
        </w:rPr>
        <w:t>Ageing and Society</w:t>
      </w:r>
      <w:r w:rsidRPr="00E56E5E">
        <w:rPr>
          <w:rFonts w:ascii="Arial" w:cs="Arial" w:hAnsi="Arial"/>
          <w:sz w:val="22"/>
          <w:szCs w:val="22"/>
        </w:rPr>
        <w:t>, 40(4), pp. 740–758.</w:t>
      </w:r>
    </w:p>
    <w:p w:rsidR="00596519" w:rsidRDefault="00453625" w14:paraId="076D202D"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World Health Organization (WHO) (2021) </w:t>
      </w:r>
      <w:r w:rsidRPr="00E56E5E">
        <w:rPr>
          <w:iCs/>
          <w:i/>
          <w:rFonts w:ascii="Arial" w:cs="Arial" w:hAnsi="Arial"/>
          <w:sz w:val="22"/>
          <w:szCs w:val="22"/>
        </w:rPr>
        <w:t>Global strategy on digital health 2020–2025</w:t>
      </w:r>
      <w:r w:rsidRPr="00E56E5E">
        <w:rPr>
          <w:rFonts w:ascii="Arial" w:cs="Arial" w:hAnsi="Arial"/>
          <w:sz w:val="22"/>
          <w:szCs w:val="22"/>
        </w:rPr>
        <w:t>. Geneva: WHO.</w:t>
      </w:r>
      <w:r w:rsidR="00A00A42" w:rsidRPr="00E56E5E">
        <w:rPr>
          <w:rFonts w:ascii="Arial" w:cs="Arial" w:hAnsi="Arial"/>
          <w:sz w:val="22"/>
          <w:szCs w:val="22"/>
        </w:rPr>
        <w:t xml:space="preserve"> </w:t>
      </w:r>
      <w:r w:rsidR="00A00A42" w:rsidRPr="00E56E5E">
        <w:rPr>
          <w:rFonts w:ascii="Arial" w:cs="Arial" w:hAnsi="Arial"/>
          <w:sz w:val="22"/>
          <w:szCs w:val="22"/>
        </w:rPr>
        <w:t xml:space="preserve">Age UK (2021) </w:t>
      </w:r>
      <w:r w:rsidR="00A00A42" w:rsidRPr="00E56E5E">
        <w:rPr>
          <w:iCs/>
          <w:i/>
          <w:rFonts w:ascii="Arial" w:cs="Arial" w:hAnsi="Arial"/>
          <w:sz w:val="22"/>
          <w:szCs w:val="22"/>
        </w:rPr>
        <w:t>The state of ageing in 2021</w:t>
      </w:r>
      <w:r w:rsidR="00A00A42" w:rsidRPr="00E56E5E">
        <w:rPr>
          <w:rFonts w:ascii="Arial" w:cs="Arial" w:hAnsi="Arial"/>
          <w:sz w:val="22"/>
          <w:szCs w:val="22"/>
        </w:rPr>
        <w:t>. London: Age UK.</w:t>
      </w:r>
    </w:p>
    <w:p w:rsidR="00596519" w:rsidRDefault="00A00A42" w14:paraId="0991B6AB" w14:textId="3619660F"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Barnes, J., Parry, S. and Livesey, L. (2023) ‘Digital connectedness and wellbeing in later life’, </w:t>
      </w:r>
      <w:r w:rsidRPr="00E56E5E">
        <w:rPr>
          <w:iCs/>
          <w:i/>
          <w:rFonts w:ascii="Arial" w:cs="Arial" w:hAnsi="Arial"/>
          <w:sz w:val="22"/>
          <w:szCs w:val="22"/>
        </w:rPr>
        <w:t>Gerontology &amp; Geriatric Medicine</w:t>
      </w:r>
      <w:r w:rsidRPr="00E56E5E">
        <w:rPr>
          <w:rFonts w:ascii="Arial" w:cs="Arial" w:hAnsi="Arial"/>
          <w:sz w:val="22"/>
          <w:szCs w:val="22"/>
        </w:rPr>
        <w:t>, 9, pp. 1–12.</w:t>
      </w:r>
    </w:p>
    <w:p w:rsidR="00596519" w:rsidRDefault="00A00A42" w14:paraId="169EBC5E"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Courtin, E. and Knapp, M. (2017) ‘Social isolation, loneliness and health in old age: A scoping review’, </w:t>
      </w:r>
      <w:r w:rsidRPr="00E56E5E">
        <w:rPr>
          <w:iCs/>
          <w:i/>
          <w:rFonts w:ascii="Arial" w:cs="Arial" w:hAnsi="Arial"/>
          <w:sz w:val="22"/>
          <w:szCs w:val="22"/>
        </w:rPr>
        <w:t>Health &amp; Social Care in the Community</w:t>
      </w:r>
      <w:r w:rsidRPr="00E56E5E">
        <w:rPr>
          <w:rFonts w:ascii="Arial" w:cs="Arial" w:hAnsi="Arial"/>
          <w:sz w:val="22"/>
          <w:szCs w:val="22"/>
        </w:rPr>
        <w:t>, 25(3), pp. 799–812.</w:t>
      </w:r>
      <w:r>
        <w:rPr>
          <w:rFonts w:ascii="Arial" w:cs="Arial" w:hAnsi="Arial"/>
          <w:sz w:val="22"/>
          <w:szCs w:val="22"/>
        </w:rPr>
        <w:br/>
      </w:r>
      <w:r>
        <w:rPr>
          <w:rFonts w:ascii="Arial" w:cs="Arial" w:hAnsi="Arial"/>
          <w:sz w:val="22"/>
          <w:szCs w:val="22"/>
        </w:rPr>
        <w:t xml:space="preserve">Greenhalgh, T. et al. (2020) ‘Video consultations: A guide for healthcare professionals’, </w:t>
      </w:r>
      <w:r w:rsidRPr="00E56E5E">
        <w:rPr>
          <w:iCs/>
          <w:i/>
          <w:rFonts w:ascii="Arial" w:cs="Arial" w:hAnsi="Arial"/>
          <w:sz w:val="22"/>
          <w:szCs w:val="22"/>
        </w:rPr>
        <w:t>BMJ</w:t>
      </w:r>
      <w:r w:rsidRPr="00E56E5E">
        <w:rPr>
          <w:rFonts w:ascii="Arial" w:cs="Arial" w:hAnsi="Arial"/>
          <w:sz w:val="22"/>
          <w:szCs w:val="22"/>
        </w:rPr>
        <w:t>, 368, m998.</w:t>
      </w:r>
    </w:p>
    <w:p w:rsidR="00596519" w:rsidRDefault="00A00A42" w14:paraId="23D04790"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HM Government (2018) </w:t>
      </w:r>
      <w:r w:rsidRPr="00E56E5E">
        <w:rPr>
          <w:iCs/>
          <w:i/>
          <w:rFonts w:ascii="Arial" w:cs="Arial" w:hAnsi="Arial"/>
          <w:sz w:val="22"/>
          <w:szCs w:val="22"/>
        </w:rPr>
        <w:t>A connected society: A strategy for tackling loneliness</w:t>
      </w:r>
      <w:r w:rsidRPr="00E56E5E">
        <w:rPr>
          <w:rFonts w:ascii="Arial" w:cs="Arial" w:hAnsi="Arial"/>
          <w:sz w:val="22"/>
          <w:szCs w:val="22"/>
        </w:rPr>
        <w:t>. London: Department for Digital, Culture, Media &amp; Sport.</w:t>
      </w:r>
    </w:p>
    <w:p w:rsidR="00596519" w:rsidRDefault="00A00A42" w14:paraId="695DBE14"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Holt-Lunstad, J., Smith, T.B. and Baker, M. (2015) ‘Loneliness and social isolation as risk factors for mortality’, </w:t>
      </w:r>
      <w:r w:rsidRPr="00E56E5E">
        <w:rPr>
          <w:iCs/>
          <w:i/>
          <w:rFonts w:ascii="Arial" w:cs="Arial" w:hAnsi="Arial"/>
          <w:sz w:val="22"/>
          <w:szCs w:val="22"/>
        </w:rPr>
        <w:t>Perspectives on Psychological Science</w:t>
      </w:r>
      <w:r w:rsidRPr="00E56E5E">
        <w:rPr>
          <w:rFonts w:ascii="Arial" w:cs="Arial" w:hAnsi="Arial"/>
          <w:sz w:val="22"/>
          <w:szCs w:val="22"/>
        </w:rPr>
        <w:t>, 10(2), pp. 227–237.</w:t>
      </w:r>
    </w:p>
    <w:p w:rsidR="00596519" w:rsidRDefault="00A00A42" w14:paraId="7EE29E35"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Hunsaker, A. and </w:t>
      </w:r>
      <w:proofErr w:type="spellStart"/>
      <w:r w:rsidRPr="00E56E5E">
        <w:rPr>
          <w:rFonts w:ascii="Arial" w:cs="Arial" w:hAnsi="Arial"/>
          <w:sz w:val="22"/>
          <w:szCs w:val="22"/>
        </w:rPr>
        <w:t>Hargittai</w:t>
      </w:r>
      <w:proofErr w:type="spellEnd"/>
      <w:r w:rsidRPr="00E56E5E">
        <w:rPr>
          <w:rFonts w:ascii="Arial" w:cs="Arial" w:hAnsi="Arial"/>
          <w:sz w:val="22"/>
          <w:szCs w:val="22"/>
        </w:rPr>
        <w:t xml:space="preserve">, E. (2018) ‘A review of internet use among older adults’, </w:t>
      </w:r>
      <w:r w:rsidRPr="00E56E5E">
        <w:rPr>
          <w:iCs/>
          <w:i/>
          <w:rFonts w:ascii="Arial" w:cs="Arial" w:hAnsi="Arial"/>
          <w:sz w:val="22"/>
          <w:szCs w:val="22"/>
        </w:rPr>
        <w:t>New Media &amp; Society</w:t>
      </w:r>
      <w:r w:rsidRPr="00E56E5E">
        <w:rPr>
          <w:rFonts w:ascii="Arial" w:cs="Arial" w:hAnsi="Arial"/>
          <w:sz w:val="22"/>
          <w:szCs w:val="22"/>
        </w:rPr>
        <w:t>, 20(10), pp. 3937–3954.</w:t>
      </w:r>
    </w:p>
    <w:p w:rsidR="00596519" w:rsidRDefault="00A00A42" w14:paraId="5B53B502"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Islam, N. et al. (2021) ‘Remote primary care during the COVID-19 pandemic’, </w:t>
      </w:r>
      <w:r w:rsidRPr="00E56E5E">
        <w:rPr>
          <w:iCs/>
          <w:i/>
          <w:rFonts w:ascii="Arial" w:cs="Arial" w:hAnsi="Arial"/>
          <w:sz w:val="22"/>
          <w:szCs w:val="22"/>
        </w:rPr>
        <w:t>Lancet Digital Health</w:t>
      </w:r>
      <w:r w:rsidRPr="00E56E5E">
        <w:rPr>
          <w:rFonts w:ascii="Arial" w:cs="Arial" w:hAnsi="Arial"/>
          <w:sz w:val="22"/>
          <w:szCs w:val="22"/>
        </w:rPr>
        <w:t>, 3(1), pp. e1–e3.</w:t>
      </w:r>
    </w:p>
    <w:p w:rsidR="00596519" w:rsidRDefault="00A00A42" w14:paraId="72C16AFC"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NHS England (2022) </w:t>
      </w:r>
      <w:r w:rsidRPr="00E56E5E">
        <w:rPr>
          <w:iCs/>
          <w:i/>
          <w:rFonts w:ascii="Arial" w:cs="Arial" w:hAnsi="Arial"/>
          <w:sz w:val="22"/>
          <w:szCs w:val="22"/>
        </w:rPr>
        <w:t>Transformation Directorate Annual Report</w:t>
      </w:r>
      <w:r w:rsidRPr="00E56E5E">
        <w:rPr>
          <w:rFonts w:ascii="Arial" w:cs="Arial" w:hAnsi="Arial"/>
          <w:sz w:val="22"/>
          <w:szCs w:val="22"/>
        </w:rPr>
        <w:t>. London: NHS England.</w:t>
      </w:r>
    </w:p>
    <w:p w:rsidR="00596519" w:rsidRDefault="00A00A42" w14:paraId="017C7EFC"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NHS England (2019) </w:t>
      </w:r>
      <w:r w:rsidRPr="00E56E5E">
        <w:rPr>
          <w:iCs/>
          <w:i/>
          <w:rFonts w:ascii="Arial" w:cs="Arial" w:hAnsi="Arial"/>
          <w:sz w:val="22"/>
          <w:szCs w:val="22"/>
        </w:rPr>
        <w:t>The NHS Long Term Plan</w:t>
      </w:r>
      <w:r w:rsidRPr="00E56E5E">
        <w:rPr>
          <w:rFonts w:ascii="Arial" w:cs="Arial" w:hAnsi="Arial"/>
          <w:sz w:val="22"/>
          <w:szCs w:val="22"/>
        </w:rPr>
        <w:t>. London: NHS England.</w:t>
      </w:r>
    </w:p>
    <w:p w:rsidR="00596519" w:rsidRDefault="00A00A42" w14:paraId="10A982A8"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Office for National Statistics (2021) </w:t>
      </w:r>
      <w:r w:rsidRPr="00E56E5E">
        <w:rPr>
          <w:iCs/>
          <w:i/>
          <w:rFonts w:ascii="Arial" w:cs="Arial" w:hAnsi="Arial"/>
          <w:sz w:val="22"/>
          <w:szCs w:val="22"/>
        </w:rPr>
        <w:t>Overview of the UK population: 2020</w:t>
      </w:r>
      <w:r w:rsidRPr="00E56E5E">
        <w:rPr>
          <w:rFonts w:ascii="Arial" w:cs="Arial" w:hAnsi="Arial"/>
          <w:sz w:val="22"/>
          <w:szCs w:val="22"/>
        </w:rPr>
        <w:t>. Newport: ONS.</w:t>
      </w:r>
    </w:p>
    <w:p w:rsidR="00596519" w:rsidRDefault="00A00A42" w14:paraId="4D8EA1D8"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Office for National Statistics (2023) </w:t>
      </w:r>
      <w:r w:rsidRPr="00E56E5E">
        <w:rPr>
          <w:iCs/>
          <w:i/>
          <w:rFonts w:ascii="Arial" w:cs="Arial" w:hAnsi="Arial"/>
          <w:sz w:val="22"/>
          <w:szCs w:val="22"/>
        </w:rPr>
        <w:t>Internet users, UK: 2023</w:t>
      </w:r>
      <w:r w:rsidRPr="00E56E5E">
        <w:rPr>
          <w:rFonts w:ascii="Arial" w:cs="Arial" w:hAnsi="Arial"/>
          <w:sz w:val="22"/>
          <w:szCs w:val="22"/>
        </w:rPr>
        <w:t>. Newport: ONS.</w:t>
      </w:r>
    </w:p>
    <w:p w:rsidR="00596519" w:rsidRDefault="00A00A42" w14:paraId="02F9FA81" w14:textId="77777777"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Seifert, A. (2020) ‘Digital ageing: Internet use among older adults’, </w:t>
      </w:r>
      <w:r w:rsidRPr="00E56E5E">
        <w:rPr>
          <w:iCs/>
          <w:i/>
          <w:rFonts w:ascii="Arial" w:cs="Arial" w:hAnsi="Arial"/>
          <w:sz w:val="22"/>
          <w:szCs w:val="22"/>
        </w:rPr>
        <w:t>European Journal of Ageing</w:t>
      </w:r>
      <w:r w:rsidRPr="00E56E5E">
        <w:rPr>
          <w:rFonts w:ascii="Arial" w:cs="Arial" w:hAnsi="Arial"/>
          <w:sz w:val="22"/>
          <w:szCs w:val="22"/>
        </w:rPr>
        <w:t>, 17, pp. 521–529.</w:t>
      </w:r>
    </w:p>
    <w:p w:rsidR="00AC1C72" w:rsidRDefault="00A00A42" w14:paraId="073C3BC4" w14:textId="73E3BDEC" w:rsidP="00E56E5E" w:rsidRPr="00E56E5E">
      <w:pPr>
        <w:jc w:val="both"/>
        <w:spacing w:line="360" w:lineRule="auto"/>
        <w:rPr>
          <w:rFonts w:ascii="Arial" w:cs="Arial" w:hAnsi="Arial"/>
          <w:sz w:val="22"/>
          <w:szCs w:val="22"/>
        </w:rPr>
      </w:pPr>
      <w:r>
        <w:rPr>
          <w:rFonts w:ascii="Arial" w:cs="Arial" w:hAnsi="Arial"/>
          <w:sz w:val="22"/>
          <w:szCs w:val="22"/>
        </w:rPr>
        <w:br/>
      </w:r>
      <w:proofErr w:type="spellStart"/>
      <w:r w:rsidRPr="00E56E5E">
        <w:rPr>
          <w:rFonts w:ascii="Arial" w:cs="Arial" w:hAnsi="Arial"/>
          <w:sz w:val="22"/>
          <w:szCs w:val="22"/>
        </w:rPr>
        <w:t>Vaportzis</w:t>
      </w:r>
      <w:proofErr w:type="spellEnd"/>
      <w:r w:rsidRPr="00E56E5E">
        <w:rPr>
          <w:rFonts w:ascii="Arial" w:cs="Arial" w:hAnsi="Arial"/>
          <w:sz w:val="22"/>
          <w:szCs w:val="22"/>
        </w:rPr>
        <w:t xml:space="preserve">, E., Clausen, M.G. and Gow, A.J. (2017) ‘Older adults’ perceptions of technology and barriers to interacting with tablet computers’, </w:t>
      </w:r>
      <w:r w:rsidRPr="00E56E5E">
        <w:rPr>
          <w:iCs/>
          <w:i/>
          <w:rFonts w:ascii="Arial" w:cs="Arial" w:hAnsi="Arial"/>
          <w:sz w:val="22"/>
          <w:szCs w:val="22"/>
        </w:rPr>
        <w:t>Computers in Human Behavior</w:t>
      </w:r>
      <w:r w:rsidRPr="00E56E5E">
        <w:rPr>
          <w:rFonts w:ascii="Arial" w:cs="Arial" w:hAnsi="Arial"/>
          <w:sz w:val="22"/>
          <w:szCs w:val="22"/>
        </w:rPr>
        <w:t>, 75, pp. 932–940.</w:t>
      </w:r>
    </w:p>
    <w:p w:rsidR="0061750A" w:rsidRDefault="0010534A" w14:paraId="447823F0" w14:textId="77777777" w:rsidP="00E56E5E" w:rsidRPr="00E56E5E">
      <w:pPr>
        <w:jc w:val="both"/>
        <w:spacing w:line="360" w:lineRule="auto"/>
        <w:rPr>
          <w:rFonts w:ascii="Arial" w:cs="Arial" w:hAnsi="Arial"/>
          <w:sz w:val="22"/>
          <w:szCs w:val="22"/>
        </w:rPr>
      </w:pPr>
      <w:r w:rsidRPr="00E56E5E">
        <w:rPr>
          <w:rFonts w:ascii="Arial" w:cs="Arial" w:hAnsi="Arial"/>
          <w:sz w:val="22"/>
          <w:szCs w:val="22"/>
        </w:rPr>
        <w:t xml:space="preserve">Arksey, H. and O’Malley, L. (2005) ‘Scoping studies: Towards a methodological framework’, </w:t>
      </w:r>
      <w:r w:rsidRPr="00E56E5E">
        <w:rPr>
          <w:iCs/>
          <w:i/>
          <w:rFonts w:ascii="Arial" w:cs="Arial" w:hAnsi="Arial"/>
          <w:sz w:val="22"/>
          <w:szCs w:val="22"/>
        </w:rPr>
        <w:t>International Journal of Social Research Methodology</w:t>
      </w:r>
      <w:r w:rsidRPr="00E56E5E">
        <w:rPr>
          <w:rFonts w:ascii="Arial" w:cs="Arial" w:hAnsi="Arial"/>
          <w:sz w:val="22"/>
          <w:szCs w:val="22"/>
        </w:rPr>
        <w:t>, 8(1), pp. 19–32.</w:t>
      </w:r>
    </w:p>
    <w:p w:rsidR="0010534A" w:rsidRDefault="0010534A" w14:paraId="161D6667" w14:textId="2CC6CDD1" w:rsidP="00E56E5E" w:rsidRPr="00E56E5E">
      <w:pPr>
        <w:jc w:val="both"/>
        <w:spacing w:line="360" w:lineRule="auto"/>
        <w:rPr>
          <w:rFonts w:ascii="Arial" w:cs="Arial" w:hAnsi="Arial"/>
          <w:sz w:val="22"/>
          <w:szCs w:val="22"/>
        </w:rPr>
      </w:pPr>
      <w:r>
        <w:rPr>
          <w:rFonts w:ascii="Arial" w:cs="Arial" w:hAnsi="Arial"/>
          <w:sz w:val="22"/>
          <w:szCs w:val="22"/>
        </w:rPr>
        <w:br/>
      </w:r>
      <w:r>
        <w:rPr>
          <w:rFonts w:ascii="Arial" w:cs="Arial" w:hAnsi="Arial"/>
          <w:sz w:val="22"/>
          <w:szCs w:val="22"/>
        </w:rPr>
        <w:t xml:space="preserve">Peters, M.D.J. et al. (2020) </w:t>
      </w:r>
      <w:r w:rsidRPr="00E56E5E">
        <w:rPr>
          <w:iCs/>
          <w:i/>
          <w:rFonts w:ascii="Arial" w:cs="Arial" w:hAnsi="Arial"/>
          <w:sz w:val="22"/>
          <w:szCs w:val="22"/>
        </w:rPr>
        <w:t>JBI Manual for Evidence Synthesis</w:t>
      </w:r>
      <w:r w:rsidRPr="00E56E5E">
        <w:rPr>
          <w:rFonts w:ascii="Arial" w:cs="Arial" w:hAnsi="Arial"/>
          <w:sz w:val="22"/>
          <w:szCs w:val="22"/>
        </w:rPr>
        <w:t>. Adelaide: Joanna Briggs Institute.</w:t>
      </w:r>
      <w:r w:rsidR="00BC2CAA" w:rsidRPr="00E56E5E">
        <w:rPr>
          <w:rFonts w:ascii="Arial" w:cs="Arial" w:hAnsi="Arial"/>
          <w:sz w:val="22"/>
          <w:szCs w:val="22"/>
        </w:rPr>
        <w:t xml:space="preserve"> </w:t>
      </w:r>
    </w:p>
    <w:p w:rsidR="00BC2CAA" w:rsidRDefault="00BC2CAA" w14:paraId="66644344" w14:textId="76103C26" w:rsidP="00E56E5E" w:rsidRPr="00E56E5E">
      <w:pPr>
        <w:jc w:val="both"/>
        <w:spacing w:line="360" w:lineRule="auto"/>
        <w:rPr>
          <w:rFonts w:ascii="Arial" w:cs="Arial" w:hAnsi="Arial"/>
          <w:sz w:val="22"/>
          <w:szCs w:val="22"/>
        </w:rPr>
      </w:pPr>
      <w:r w:rsidRPr="00E56E5E">
        <w:rPr>
          <w:rFonts w:ascii="Arial" w:cs="Arial" w:hAnsi="Arial"/>
          <w:sz w:val="22"/>
          <w:szCs w:val="22"/>
        </w:rPr>
        <w:t xml:space="preserve">Arksey, H. and O’Malley, L. (2005) ‘Scoping studies: Towards a methodological framework’, </w:t>
      </w:r>
      <w:r w:rsidRPr="00E56E5E">
        <w:rPr>
          <w:iCs/>
          <w:i/>
          <w:rFonts w:ascii="Arial" w:cs="Arial" w:hAnsi="Arial"/>
          <w:sz w:val="22"/>
          <w:szCs w:val="22"/>
        </w:rPr>
        <w:t>International Journal of Social Research Methodology</w:t>
      </w:r>
      <w:r w:rsidRPr="00E56E5E">
        <w:rPr>
          <w:rFonts w:ascii="Arial" w:cs="Arial" w:hAnsi="Arial"/>
          <w:sz w:val="22"/>
          <w:szCs w:val="22"/>
        </w:rPr>
        <w:t>, 8(1), pp. 19–32.</w:t>
      </w:r>
      <w:r>
        <w:rPr>
          <w:rFonts w:ascii="Arial" w:cs="Arial" w:hAnsi="Arial"/>
          <w:sz w:val="22"/>
          <w:szCs w:val="22"/>
        </w:rPr>
        <w:br/>
      </w:r>
      <w:r>
        <w:rPr>
          <w:rFonts w:ascii="Arial" w:cs="Arial" w:hAnsi="Arial"/>
          <w:sz w:val="22"/>
          <w:szCs w:val="22"/>
        </w:rPr>
        <w:t xml:space="preserve">Braun, V. and Clarke, V. (2006) ‘Using thematic analysis in psychology’, </w:t>
      </w:r>
      <w:r w:rsidRPr="00E56E5E">
        <w:rPr>
          <w:iCs/>
          <w:i/>
          <w:rFonts w:ascii="Arial" w:cs="Arial" w:hAnsi="Arial"/>
          <w:sz w:val="22"/>
          <w:szCs w:val="22"/>
        </w:rPr>
        <w:t>Qualitative Research in Psychology</w:t>
      </w:r>
      <w:r w:rsidRPr="00E56E5E">
        <w:rPr>
          <w:rFonts w:ascii="Arial" w:cs="Arial" w:hAnsi="Arial"/>
          <w:sz w:val="22"/>
          <w:szCs w:val="22"/>
        </w:rPr>
        <w:t>, 3(2), pp. 77–101.</w:t>
      </w:r>
      <w:r>
        <w:rPr>
          <w:rFonts w:ascii="Arial" w:cs="Arial" w:hAnsi="Arial"/>
          <w:sz w:val="22"/>
          <w:szCs w:val="22"/>
        </w:rPr>
        <w:br/>
      </w:r>
      <w:r>
        <w:rPr>
          <w:rFonts w:ascii="Arial" w:cs="Arial" w:hAnsi="Arial"/>
          <w:sz w:val="22"/>
          <w:szCs w:val="22"/>
        </w:rPr>
        <w:t xml:space="preserve">Bryman, A. (2016) </w:t>
      </w:r>
      <w:r w:rsidRPr="00E56E5E">
        <w:rPr>
          <w:iCs/>
          <w:i/>
          <w:rFonts w:ascii="Arial" w:cs="Arial" w:hAnsi="Arial"/>
          <w:sz w:val="22"/>
          <w:szCs w:val="22"/>
        </w:rPr>
        <w:t>Social research methods</w:t>
      </w:r>
      <w:r w:rsidRPr="00E56E5E">
        <w:rPr>
          <w:rFonts w:ascii="Arial" w:cs="Arial" w:hAnsi="Arial"/>
          <w:sz w:val="22"/>
          <w:szCs w:val="22"/>
        </w:rPr>
        <w:t xml:space="preserve">. 5th </w:t>
      </w:r>
      <w:proofErr w:type="spellStart"/>
      <w:proofErr w:type="gramStart"/>
      <w:r w:rsidRPr="00E56E5E">
        <w:rPr>
          <w:rFonts w:ascii="Arial" w:cs="Arial" w:hAnsi="Arial"/>
          <w:sz w:val="22"/>
          <w:szCs w:val="22"/>
        </w:rPr>
        <w:t>edn</w:t>
      </w:r>
      <w:proofErr w:type="spellEnd"/>
      <w:proofErr w:type="gramEnd"/>
      <w:r w:rsidRPr="00E56E5E">
        <w:rPr>
          <w:rFonts w:ascii="Arial" w:cs="Arial" w:hAnsi="Arial"/>
          <w:sz w:val="22"/>
          <w:szCs w:val="22"/>
        </w:rPr>
        <w:t>. Oxford: Oxford University Press.</w:t>
      </w:r>
      <w:r>
        <w:rPr>
          <w:rFonts w:ascii="Arial" w:cs="Arial" w:hAnsi="Arial"/>
          <w:sz w:val="22"/>
          <w:szCs w:val="22"/>
        </w:rPr>
        <w:br/>
      </w:r>
      <w:r>
        <w:rPr>
          <w:rFonts w:ascii="Arial" w:cs="Arial" w:hAnsi="Arial"/>
          <w:sz w:val="22"/>
          <w:szCs w:val="22"/>
        </w:rPr>
        <w:t xml:space="preserve">Peters, M.D.J. et al. (2020) </w:t>
      </w:r>
      <w:r w:rsidRPr="00E56E5E">
        <w:rPr>
          <w:iCs/>
          <w:i/>
          <w:rFonts w:ascii="Arial" w:cs="Arial" w:hAnsi="Arial"/>
          <w:sz w:val="22"/>
          <w:szCs w:val="22"/>
        </w:rPr>
        <w:t>JBI Manual for Evidence Synthesis</w:t>
      </w:r>
      <w:r w:rsidRPr="00E56E5E">
        <w:rPr>
          <w:rFonts w:ascii="Arial" w:cs="Arial" w:hAnsi="Arial"/>
          <w:sz w:val="22"/>
          <w:szCs w:val="22"/>
        </w:rPr>
        <w:t>. Adelaide: JBI.</w:t>
      </w:r>
      <w:r>
        <w:rPr>
          <w:rFonts w:ascii="Arial" w:cs="Arial" w:hAnsi="Arial"/>
          <w:sz w:val="22"/>
          <w:szCs w:val="22"/>
        </w:rPr>
        <w:br/>
      </w:r>
      <w:proofErr w:type="spellStart"/>
      <w:r w:rsidRPr="00E56E5E">
        <w:rPr>
          <w:rFonts w:ascii="Arial" w:cs="Arial" w:hAnsi="Arial"/>
          <w:sz w:val="22"/>
          <w:szCs w:val="22"/>
        </w:rPr>
        <w:t>Tricco</w:t>
      </w:r>
      <w:proofErr w:type="spellEnd"/>
      <w:r w:rsidRPr="00E56E5E">
        <w:rPr>
          <w:rFonts w:ascii="Arial" w:cs="Arial" w:hAnsi="Arial"/>
          <w:sz w:val="22"/>
          <w:szCs w:val="22"/>
        </w:rPr>
        <w:t>, A.C. et al. (2018) ‘PRISMA extension for scoping reviews (PRISMA-</w:t>
      </w:r>
      <w:proofErr w:type="spellStart"/>
      <w:r w:rsidRPr="00E56E5E">
        <w:rPr>
          <w:rFonts w:ascii="Arial" w:cs="Arial" w:hAnsi="Arial"/>
          <w:sz w:val="22"/>
          <w:szCs w:val="22"/>
        </w:rPr>
        <w:t>ScR</w:t>
      </w:r>
      <w:proofErr w:type="spellEnd"/>
      <w:r w:rsidRPr="00E56E5E">
        <w:rPr>
          <w:rFonts w:ascii="Arial" w:cs="Arial" w:hAnsi="Arial"/>
          <w:sz w:val="22"/>
          <w:szCs w:val="22"/>
        </w:rPr>
        <w:t xml:space="preserve">): Checklist and explanation’, </w:t>
      </w:r>
      <w:r w:rsidRPr="00E56E5E">
        <w:rPr>
          <w:iCs/>
          <w:i/>
          <w:rFonts w:ascii="Arial" w:cs="Arial" w:hAnsi="Arial"/>
          <w:sz w:val="22"/>
          <w:szCs w:val="22"/>
        </w:rPr>
        <w:t>Annals of Internal Medicine</w:t>
      </w:r>
      <w:r w:rsidRPr="00E56E5E">
        <w:rPr>
          <w:rFonts w:ascii="Arial" w:cs="Arial" w:hAnsi="Arial"/>
          <w:sz w:val="22"/>
          <w:szCs w:val="22"/>
        </w:rPr>
        <w:t>, 169(7), pp. 467–473.</w:t>
      </w:r>
    </w:p>
    <w:p w:rsidR="006A70A6" w:rsidRDefault="006A70A6" w14:paraId="737CFE78"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Age UK (2021) </w:t>
      </w:r>
      <w:r w:rsidRPr="006A70A6">
        <w:rPr>
          <w:iCs/>
          <w:i/>
          <w:rFonts w:ascii="Arial" w:cs="Arial" w:hAnsi="Arial"/>
          <w:sz w:val="22"/>
          <w:szCs w:val="22"/>
        </w:rPr>
        <w:t>The State of Ageing in 2021</w:t>
      </w:r>
      <w:r w:rsidRPr="006A70A6">
        <w:rPr>
          <w:rFonts w:ascii="Arial" w:cs="Arial" w:hAnsi="Arial"/>
          <w:sz w:val="22"/>
          <w:szCs w:val="22"/>
        </w:rPr>
        <w:t>. London: Age UK.</w:t>
      </w:r>
    </w:p>
    <w:p w:rsidR="006A70A6" w:rsidRDefault="006A70A6" w14:paraId="1D3B3882"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Arksey, H. and O’Malley, L. (2005) ‘Scoping studies: towards a methodological framework’, </w:t>
      </w:r>
      <w:r w:rsidRPr="006A70A6">
        <w:rPr>
          <w:iCs/>
          <w:i/>
          <w:rFonts w:ascii="Arial" w:cs="Arial" w:hAnsi="Arial"/>
          <w:sz w:val="22"/>
          <w:szCs w:val="22"/>
        </w:rPr>
        <w:t>International Journal of Social Research Methodology</w:t>
      </w:r>
      <w:r w:rsidRPr="006A70A6">
        <w:rPr>
          <w:rFonts w:ascii="Arial" w:cs="Arial" w:hAnsi="Arial"/>
          <w:sz w:val="22"/>
          <w:szCs w:val="22"/>
        </w:rPr>
        <w:t>, 8(1), pp. 19–32.</w:t>
      </w:r>
    </w:p>
    <w:p w:rsidR="006A70A6" w:rsidRDefault="006A70A6" w14:paraId="03F390E6"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Baker, S. et al. (2020) ‘Digital tablet training to reduce social isolation in older adults: a </w:t>
      </w:r>
      <w:proofErr w:type="spellStart"/>
      <w:r w:rsidRPr="006A70A6">
        <w:rPr>
          <w:rFonts w:ascii="Arial" w:cs="Arial" w:hAnsi="Arial"/>
          <w:sz w:val="22"/>
          <w:szCs w:val="22"/>
        </w:rPr>
        <w:t>randomised</w:t>
      </w:r>
      <w:proofErr w:type="spellEnd"/>
      <w:r w:rsidRPr="006A70A6">
        <w:rPr>
          <w:rFonts w:ascii="Arial" w:cs="Arial" w:hAnsi="Arial"/>
          <w:sz w:val="22"/>
          <w:szCs w:val="22"/>
        </w:rPr>
        <w:t xml:space="preserve"> controlled trial’, </w:t>
      </w:r>
      <w:r w:rsidRPr="006A70A6">
        <w:rPr>
          <w:iCs/>
          <w:i/>
          <w:rFonts w:ascii="Arial" w:cs="Arial" w:hAnsi="Arial"/>
          <w:sz w:val="22"/>
          <w:szCs w:val="22"/>
        </w:rPr>
        <w:t>Gerontology</w:t>
      </w:r>
      <w:r w:rsidRPr="006A70A6">
        <w:rPr>
          <w:rFonts w:ascii="Arial" w:cs="Arial" w:hAnsi="Arial"/>
          <w:sz w:val="22"/>
          <w:szCs w:val="22"/>
        </w:rPr>
        <w:t>, 66(5), pp. 497–506.</w:t>
      </w:r>
    </w:p>
    <w:p w:rsidR="006A70A6" w:rsidRDefault="006A70A6" w14:paraId="320A677A"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Braun, V. and Clarke, V. (2006) ‘Using thematic analysis in psychology’, </w:t>
      </w:r>
      <w:r w:rsidRPr="006A70A6">
        <w:rPr>
          <w:iCs/>
          <w:i/>
          <w:rFonts w:ascii="Arial" w:cs="Arial" w:hAnsi="Arial"/>
          <w:sz w:val="22"/>
          <w:szCs w:val="22"/>
        </w:rPr>
        <w:t>Qualitative Research in Psychology</w:t>
      </w:r>
      <w:r w:rsidRPr="006A70A6">
        <w:rPr>
          <w:rFonts w:ascii="Arial" w:cs="Arial" w:hAnsi="Arial"/>
          <w:sz w:val="22"/>
          <w:szCs w:val="22"/>
        </w:rPr>
        <w:t>, 3(2), pp. 77–101.</w:t>
      </w:r>
    </w:p>
    <w:p w:rsidR="006A70A6" w:rsidRDefault="006A70A6" w14:paraId="54307555"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Bryman, A. (2016) </w:t>
      </w:r>
      <w:r w:rsidRPr="006A70A6">
        <w:rPr>
          <w:iCs/>
          <w:i/>
          <w:rFonts w:ascii="Arial" w:cs="Arial" w:hAnsi="Arial"/>
          <w:sz w:val="22"/>
          <w:szCs w:val="22"/>
        </w:rPr>
        <w:t>Social Research Methods</w:t>
      </w:r>
      <w:r w:rsidRPr="006A70A6">
        <w:rPr>
          <w:rFonts w:ascii="Arial" w:cs="Arial" w:hAnsi="Arial"/>
          <w:sz w:val="22"/>
          <w:szCs w:val="22"/>
        </w:rPr>
        <w:t xml:space="preserve">. 5th </w:t>
      </w:r>
      <w:proofErr w:type="spellStart"/>
      <w:proofErr w:type="gramStart"/>
      <w:r w:rsidRPr="006A70A6">
        <w:rPr>
          <w:rFonts w:ascii="Arial" w:cs="Arial" w:hAnsi="Arial"/>
          <w:sz w:val="22"/>
          <w:szCs w:val="22"/>
        </w:rPr>
        <w:t>edn</w:t>
      </w:r>
      <w:proofErr w:type="spellEnd"/>
      <w:proofErr w:type="gramEnd"/>
      <w:r w:rsidRPr="006A70A6">
        <w:rPr>
          <w:rFonts w:ascii="Arial" w:cs="Arial" w:hAnsi="Arial"/>
          <w:sz w:val="22"/>
          <w:szCs w:val="22"/>
        </w:rPr>
        <w:t>. Oxford: Oxford University Press.</w:t>
      </w:r>
    </w:p>
    <w:p w:rsidR="006A70A6" w:rsidRDefault="006A70A6" w14:paraId="621218B1"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Courtin, E. and Knapp, M. (2017) ‘Social isolation, loneliness and health in old age’, </w:t>
      </w:r>
      <w:r w:rsidRPr="006A70A6">
        <w:rPr>
          <w:iCs/>
          <w:i/>
          <w:rFonts w:ascii="Arial" w:cs="Arial" w:hAnsi="Arial"/>
          <w:sz w:val="22"/>
          <w:szCs w:val="22"/>
        </w:rPr>
        <w:t>PLOS ONE</w:t>
      </w:r>
      <w:r w:rsidRPr="006A70A6">
        <w:rPr>
          <w:rFonts w:ascii="Arial" w:cs="Arial" w:hAnsi="Arial"/>
          <w:sz w:val="22"/>
          <w:szCs w:val="22"/>
        </w:rPr>
        <w:t>, 12(1).</w:t>
      </w:r>
    </w:p>
    <w:p w:rsidR="006A70A6" w:rsidRDefault="006A70A6" w14:paraId="6B4A1DD5"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Coyle, C. and Dugan, E. (2012) ‘Social isolation, loneliness and health among older adults’, </w:t>
        <w:lastRenderedPageBreak/>
      </w:r>
      <w:r w:rsidRPr="006A70A6">
        <w:rPr>
          <w:iCs/>
          <w:i/>
          <w:rFonts w:ascii="Arial" w:cs="Arial" w:hAnsi="Arial"/>
          <w:sz w:val="22"/>
          <w:szCs w:val="22"/>
        </w:rPr>
        <w:t>Journal of Aging and Health</w:t>
      </w:r>
      <w:r w:rsidRPr="006A70A6">
        <w:rPr>
          <w:rFonts w:ascii="Arial" w:cs="Arial" w:hAnsi="Arial"/>
          <w:sz w:val="22"/>
          <w:szCs w:val="22"/>
        </w:rPr>
        <w:t>, 24(8), pp. 1346–1363.</w:t>
      </w:r>
    </w:p>
    <w:p w:rsidR="006A70A6" w:rsidRDefault="006A70A6" w14:paraId="156764ED"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Giebel, C. et al. (2022) ‘The impact of COVID-19 on older adults’ social care in the UK’, </w:t>
      </w:r>
      <w:r w:rsidRPr="006A70A6">
        <w:rPr>
          <w:iCs/>
          <w:i/>
          <w:rFonts w:ascii="Arial" w:cs="Arial" w:hAnsi="Arial"/>
          <w:sz w:val="22"/>
          <w:szCs w:val="22"/>
        </w:rPr>
        <w:t>Health &amp; Social Care in the Community</w:t>
      </w:r>
      <w:r w:rsidRPr="006A70A6">
        <w:rPr>
          <w:rFonts w:ascii="Arial" w:cs="Arial" w:hAnsi="Arial"/>
          <w:sz w:val="22"/>
          <w:szCs w:val="22"/>
        </w:rPr>
        <w:t>, 30(1), pp. 227–236.</w:t>
      </w:r>
    </w:p>
    <w:p w:rsidR="006A70A6" w:rsidRDefault="006A70A6" w14:paraId="3A9784FB"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HM Government (2018) </w:t>
      </w:r>
      <w:r w:rsidRPr="006A70A6">
        <w:rPr>
          <w:iCs/>
          <w:i/>
          <w:rFonts w:ascii="Arial" w:cs="Arial" w:hAnsi="Arial"/>
          <w:sz w:val="22"/>
          <w:szCs w:val="22"/>
        </w:rPr>
        <w:t>A Connected Society: A Strategy for Tackling Loneliness</w:t>
      </w:r>
      <w:r w:rsidRPr="006A70A6">
        <w:rPr>
          <w:rFonts w:ascii="Arial" w:cs="Arial" w:hAnsi="Arial"/>
          <w:sz w:val="22"/>
          <w:szCs w:val="22"/>
        </w:rPr>
        <w:t>. London: Cabinet Office.</w:t>
      </w:r>
    </w:p>
    <w:p w:rsidR="006A70A6" w:rsidRDefault="006A70A6" w14:paraId="61D56374"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Liddle, J. et al. (2021) ‘Digital health for older adults: benefits and barriers’, </w:t>
      </w:r>
      <w:r w:rsidRPr="006A70A6">
        <w:rPr>
          <w:iCs/>
          <w:i/>
          <w:rFonts w:ascii="Arial" w:cs="Arial" w:hAnsi="Arial"/>
          <w:sz w:val="22"/>
          <w:szCs w:val="22"/>
        </w:rPr>
        <w:t>Health Informatics Journal</w:t>
      </w:r>
      <w:r w:rsidRPr="006A70A6">
        <w:rPr>
          <w:rFonts w:ascii="Arial" w:cs="Arial" w:hAnsi="Arial"/>
          <w:sz w:val="22"/>
          <w:szCs w:val="22"/>
        </w:rPr>
        <w:t>, 27(2), pp. 1–14.</w:t>
      </w:r>
    </w:p>
    <w:p w:rsidR="006A70A6" w:rsidRDefault="006A70A6" w14:paraId="525543EA"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NHS Digital (2022) </w:t>
      </w:r>
      <w:r w:rsidRPr="006A70A6">
        <w:rPr>
          <w:iCs/>
          <w:i/>
          <w:rFonts w:ascii="Arial" w:cs="Arial" w:hAnsi="Arial"/>
          <w:sz w:val="22"/>
          <w:szCs w:val="22"/>
        </w:rPr>
        <w:t>Digital Technology and COVID-19</w:t>
      </w:r>
      <w:r w:rsidRPr="006A70A6">
        <w:rPr>
          <w:rFonts w:ascii="Arial" w:cs="Arial" w:hAnsi="Arial"/>
          <w:sz w:val="22"/>
          <w:szCs w:val="22"/>
        </w:rPr>
        <w:t>. London: NHS Digital.</w:t>
      </w:r>
    </w:p>
    <w:p w:rsidR="006A70A6" w:rsidRDefault="006A70A6" w14:paraId="2C1B3BA1"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NHS England (2019) </w:t>
      </w:r>
      <w:r w:rsidRPr="006A70A6">
        <w:rPr>
          <w:iCs/>
          <w:i/>
          <w:rFonts w:ascii="Arial" w:cs="Arial" w:hAnsi="Arial"/>
          <w:sz w:val="22"/>
          <w:szCs w:val="22"/>
        </w:rPr>
        <w:t>The NHS Long Term Plan</w:t>
      </w:r>
      <w:r w:rsidRPr="006A70A6">
        <w:rPr>
          <w:rFonts w:ascii="Arial" w:cs="Arial" w:hAnsi="Arial"/>
          <w:sz w:val="22"/>
          <w:szCs w:val="22"/>
        </w:rPr>
        <w:t>. London: NHS.</w:t>
      </w:r>
    </w:p>
    <w:p w:rsidR="006A70A6" w:rsidRDefault="006A70A6" w14:paraId="2BCB5E3D"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Office for National Statistics (ONS) (2023) </w:t>
      </w:r>
      <w:r w:rsidRPr="006A70A6">
        <w:rPr>
          <w:iCs/>
          <w:i/>
          <w:rFonts w:ascii="Arial" w:cs="Arial" w:hAnsi="Arial"/>
          <w:sz w:val="22"/>
          <w:szCs w:val="22"/>
        </w:rPr>
        <w:t>Internet Use in the UK</w:t>
      </w:r>
      <w:r w:rsidRPr="006A70A6">
        <w:rPr>
          <w:rFonts w:ascii="Arial" w:cs="Arial" w:hAnsi="Arial"/>
          <w:sz w:val="22"/>
          <w:szCs w:val="22"/>
        </w:rPr>
        <w:t>. London: ONS.</w:t>
      </w:r>
    </w:p>
    <w:p w:rsidR="006A70A6" w:rsidRDefault="006A70A6" w14:paraId="33EB2054"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Seifert, A. (2020) ‘Digital exclusion among older adults’, </w:t>
      </w:r>
      <w:r w:rsidRPr="006A70A6">
        <w:rPr>
          <w:iCs/>
          <w:i/>
          <w:rFonts w:ascii="Arial" w:cs="Arial" w:hAnsi="Arial"/>
          <w:sz w:val="22"/>
          <w:szCs w:val="22"/>
        </w:rPr>
        <w:t>Journal of Gerontological Social Work</w:t>
      </w:r>
      <w:r w:rsidRPr="006A70A6">
        <w:rPr>
          <w:rFonts w:ascii="Arial" w:cs="Arial" w:hAnsi="Arial"/>
          <w:sz w:val="22"/>
          <w:szCs w:val="22"/>
        </w:rPr>
        <w:t>, 63(6), pp. 1–15.</w:t>
      </w:r>
    </w:p>
    <w:p w:rsidR="006A70A6" w:rsidRDefault="006A70A6" w14:paraId="5E440C02" w14:textId="77777777" w:rsidP="00E56E5E" w:rsidRPr="006A70A6">
      <w:pPr>
        <w:jc w:val="both"/>
        <w:spacing w:line="360" w:lineRule="auto"/>
        <w:rPr>
          <w:rFonts w:ascii="Arial" w:cs="Arial" w:hAnsi="Arial"/>
          <w:sz w:val="22"/>
          <w:szCs w:val="22"/>
        </w:rPr>
      </w:pPr>
      <w:r w:rsidRPr="006A70A6">
        <w:rPr>
          <w:rFonts w:ascii="Arial" w:cs="Arial" w:hAnsi="Arial"/>
          <w:sz w:val="22"/>
          <w:szCs w:val="22"/>
        </w:rPr>
        <w:t>Utz, S. et al. (</w:t>
      </w:r>
      <w:proofErr w:type="gramStart"/>
      <w:r w:rsidRPr="006A70A6">
        <w:rPr>
          <w:rFonts w:ascii="Arial" w:cs="Arial" w:hAnsi="Arial"/>
          <w:sz w:val="22"/>
          <w:szCs w:val="22"/>
        </w:rPr>
        <w:t>2020) ‘</w:t>
      </w:r>
      <w:proofErr w:type="gramEnd"/>
      <w:r w:rsidRPr="006A70A6">
        <w:rPr>
          <w:rFonts w:ascii="Arial" w:cs="Arial" w:hAnsi="Arial"/>
          <w:sz w:val="22"/>
          <w:szCs w:val="22"/>
        </w:rPr>
        <w:t xml:space="preserve">Online interactions and wellbeing in older adults’, </w:t>
      </w:r>
      <w:r w:rsidRPr="006A70A6">
        <w:rPr>
          <w:iCs/>
          <w:i/>
          <w:rFonts w:ascii="Arial" w:cs="Arial" w:hAnsi="Arial"/>
          <w:sz w:val="22"/>
          <w:szCs w:val="22"/>
        </w:rPr>
        <w:t>Computers in Human Behavior</w:t>
      </w:r>
      <w:r w:rsidRPr="006A70A6">
        <w:rPr>
          <w:rFonts w:ascii="Arial" w:cs="Arial" w:hAnsi="Arial"/>
          <w:sz w:val="22"/>
          <w:szCs w:val="22"/>
        </w:rPr>
        <w:t>, 112, pp. 106461.</w:t>
      </w:r>
    </w:p>
    <w:p w:rsidR="006A70A6" w:rsidRDefault="006A70A6" w14:paraId="738D8C3A"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Van Dijk, J. (2020) </w:t>
      </w:r>
      <w:r w:rsidRPr="006A70A6">
        <w:rPr>
          <w:iCs/>
          <w:i/>
          <w:rFonts w:ascii="Arial" w:cs="Arial" w:hAnsi="Arial"/>
          <w:sz w:val="22"/>
          <w:szCs w:val="22"/>
        </w:rPr>
        <w:t>The Digital Divide</w:t>
      </w:r>
      <w:r w:rsidRPr="006A70A6">
        <w:rPr>
          <w:rFonts w:ascii="Arial" w:cs="Arial" w:hAnsi="Arial"/>
          <w:sz w:val="22"/>
          <w:szCs w:val="22"/>
        </w:rPr>
        <w:t>. Cambridge: Polity Press.</w:t>
      </w:r>
    </w:p>
    <w:p w:rsidR="006A70A6" w:rsidRDefault="006A70A6" w14:paraId="184995AB"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Victor, C. et al. (2020) ‘Loneliness in later life’, </w:t>
      </w:r>
      <w:r w:rsidRPr="006A70A6">
        <w:rPr>
          <w:iCs/>
          <w:i/>
          <w:rFonts w:ascii="Arial" w:cs="Arial" w:hAnsi="Arial"/>
          <w:sz w:val="22"/>
          <w:szCs w:val="22"/>
        </w:rPr>
        <w:t>Ageing &amp; Society</w:t>
      </w:r>
      <w:r w:rsidRPr="006A70A6">
        <w:rPr>
          <w:rFonts w:ascii="Arial" w:cs="Arial" w:hAnsi="Arial"/>
          <w:sz w:val="22"/>
          <w:szCs w:val="22"/>
        </w:rPr>
        <w:t>, 40(7), pp. 1518–1540.</w:t>
      </w:r>
    </w:p>
    <w:p w:rsidR="006A70A6" w:rsidRDefault="006A70A6" w14:paraId="59FF79B1" w14:textId="77777777" w:rsidP="00E56E5E" w:rsidRPr="006A70A6">
      <w:pPr>
        <w:jc w:val="both"/>
        <w:spacing w:line="360" w:lineRule="auto"/>
        <w:rPr>
          <w:rFonts w:ascii="Arial" w:cs="Arial" w:hAnsi="Arial"/>
          <w:sz w:val="22"/>
          <w:szCs w:val="22"/>
        </w:rPr>
      </w:pPr>
      <w:proofErr w:type="spellStart"/>
      <w:r w:rsidRPr="006A70A6">
        <w:rPr>
          <w:rFonts w:ascii="Arial" w:cs="Arial" w:hAnsi="Arial"/>
          <w:sz w:val="22"/>
          <w:szCs w:val="22"/>
        </w:rPr>
        <w:t>Vaportzis</w:t>
      </w:r>
      <w:proofErr w:type="spellEnd"/>
      <w:r w:rsidRPr="006A70A6">
        <w:rPr>
          <w:rFonts w:ascii="Arial" w:cs="Arial" w:hAnsi="Arial"/>
          <w:sz w:val="22"/>
          <w:szCs w:val="22"/>
        </w:rPr>
        <w:t>, E. et al. (</w:t>
      </w:r>
      <w:proofErr w:type="gramStart"/>
      <w:r w:rsidRPr="006A70A6">
        <w:rPr>
          <w:rFonts w:ascii="Arial" w:cs="Arial" w:hAnsi="Arial"/>
          <w:sz w:val="22"/>
          <w:szCs w:val="22"/>
        </w:rPr>
        <w:t>2017) ‘</w:t>
      </w:r>
      <w:proofErr w:type="gramEnd"/>
      <w:r w:rsidRPr="006A70A6">
        <w:rPr>
          <w:rFonts w:ascii="Arial" w:cs="Arial" w:hAnsi="Arial"/>
          <w:sz w:val="22"/>
          <w:szCs w:val="22"/>
        </w:rPr>
        <w:t xml:space="preserve">Older </w:t>
      </w:r>
      <w:proofErr w:type="gramStart"/>
      <w:r w:rsidRPr="006A70A6">
        <w:rPr>
          <w:rFonts w:ascii="Arial" w:cs="Arial" w:hAnsi="Arial"/>
          <w:sz w:val="22"/>
          <w:szCs w:val="22"/>
        </w:rPr>
        <w:t>adults</w:t>
      </w:r>
      <w:proofErr w:type="gramEnd"/>
      <w:r w:rsidRPr="006A70A6">
        <w:rPr>
          <w:rFonts w:ascii="Arial" w:cs="Arial" w:hAnsi="Arial"/>
          <w:sz w:val="22"/>
          <w:szCs w:val="22"/>
        </w:rPr>
        <w:t xml:space="preserve"> perceptions of technology’, </w:t>
      </w:r>
      <w:r w:rsidRPr="006A70A6">
        <w:rPr>
          <w:iCs/>
          <w:i/>
          <w:rFonts w:ascii="Arial" w:cs="Arial" w:hAnsi="Arial"/>
          <w:sz w:val="22"/>
          <w:szCs w:val="22"/>
        </w:rPr>
        <w:t>Frontiers in Psychology</w:t>
      </w:r>
      <w:r w:rsidRPr="006A70A6">
        <w:rPr>
          <w:rFonts w:ascii="Arial" w:cs="Arial" w:hAnsi="Arial"/>
          <w:sz w:val="22"/>
          <w:szCs w:val="22"/>
        </w:rPr>
        <w:t>, 8(1687).</w:t>
      </w:r>
    </w:p>
    <w:p w:rsidR="006A70A6" w:rsidRDefault="006A70A6" w14:paraId="38EC5A76" w14:textId="77777777" w:rsidP="00E56E5E" w:rsidRPr="006A70A6">
      <w:pPr>
        <w:jc w:val="both"/>
        <w:spacing w:line="360" w:lineRule="auto"/>
        <w:rPr>
          <w:rFonts w:ascii="Arial" w:cs="Arial" w:hAnsi="Arial"/>
          <w:sz w:val="22"/>
          <w:szCs w:val="22"/>
        </w:rPr>
      </w:pPr>
      <w:r w:rsidRPr="006A70A6">
        <w:rPr>
          <w:rFonts w:ascii="Arial" w:cs="Arial" w:hAnsi="Arial"/>
          <w:sz w:val="22"/>
          <w:szCs w:val="22"/>
        </w:rPr>
        <w:t xml:space="preserve">Wilson, G. et al. (2018) ‘Video-calling and older adult wellbeing’, </w:t>
      </w:r>
      <w:r w:rsidRPr="006A70A6">
        <w:rPr>
          <w:iCs/>
          <w:i/>
          <w:rFonts w:ascii="Arial" w:cs="Arial" w:hAnsi="Arial"/>
          <w:sz w:val="22"/>
          <w:szCs w:val="22"/>
        </w:rPr>
        <w:t>Journal of Applied Gerontology</w:t>
      </w:r>
      <w:r w:rsidRPr="006A70A6">
        <w:rPr>
          <w:rFonts w:ascii="Arial" w:cs="Arial" w:hAnsi="Arial"/>
          <w:sz w:val="22"/>
          <w:szCs w:val="22"/>
        </w:rPr>
        <w:t>, 37(10), pp. 1208–1226.</w:t>
      </w:r>
    </w:p>
    <w:p w:rsidR="006A70A6" w:rsidRDefault="006A70A6" w14:paraId="1DE8A04A" w14:textId="77777777" w:rsidP="00E56E5E" w:rsidRPr="00E56E5E">
      <w:pPr>
        <w:jc w:val="both"/>
        <w:spacing w:line="360" w:lineRule="auto"/>
        <w:rPr>
          <w:rFonts w:ascii="Arial" w:cs="Arial" w:hAnsi="Arial"/>
          <w:sz w:val="22"/>
          <w:szCs w:val="22"/>
        </w:rPr>
      </w:pPr>
    </w:p>
    <w:p w:rsidR="00596519" w:rsidRDefault="00596519" w14:paraId="33D685F0" w14:textId="77777777" w:rsidP="00E56E5E" w:rsidRPr="00E56E5E">
      <w:pPr>
        <w:jc w:val="both"/>
        <w:spacing w:line="360" w:lineRule="auto"/>
        <w:rPr>
          <w:rFonts w:ascii="Arial" w:cs="Arial" w:hAnsi="Arial"/>
          <w:sz w:val="22"/>
          <w:szCs w:val="22"/>
        </w:rPr>
      </w:pPr>
    </w:p>
    <w:p w:rsidR="00453625" w:rsidRDefault="00453625" w14:paraId="32F9AB46" w14:textId="77777777" w:rsidP="00E56E5E" w:rsidRPr="00E56E5E">
      <w:pPr>
        <w:jc w:val="both"/>
        <w:spacing w:line="360" w:lineRule="auto"/>
        <w:rPr>
          <w:rFonts w:ascii="Arial" w:cs="Arial" w:hAnsi="Arial"/>
          <w:sz w:val="22"/>
          <w:szCs w:val="22"/>
        </w:rPr>
      </w:pPr>
    </w:p>
    <w:p w:rsidR="00D94954" w:rsidRDefault="00D94954" w14:paraId="00C0A070" w14:textId="77777777" w:rsidP="00E56E5E" w:rsidRPr="00E56E5E">
      <w:pPr>
        <w:jc w:val="both"/>
        <w:spacing w:line="360" w:lineRule="auto"/>
        <w:rPr>
          <w:rFonts w:ascii="Arial" w:cs="Arial" w:hAnsi="Arial"/>
          <w:sz w:val="22"/>
          <w:szCs w:val="22"/>
        </w:rPr>
      </w:pPr>
    </w:p>
    <w:sectPr w:rsidR="00D94954" w:rsidRPr="00E56E5E">
      <w:docGrid w:linePitch="360"/>
      <w:footerReference r:id="rId8"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23B3B" w14:textId="77777777" w:rsidR="00043477" w:rsidRDefault="00043477" w:rsidP="00D94954">
      <w:pPr>
        <w:spacing w:after="0" w:line="240" w:lineRule="auto"/>
      </w:pPr>
      <w:r>
        <w:separator/>
      </w:r>
    </w:p>
  </w:endnote>
  <w:endnote w:type="continuationSeparator" w:id="0">
    <w:p w14:paraId="1CE4D31D" w14:textId="77777777" w:rsidR="00043477" w:rsidRDefault="00043477" w:rsidP="00D94954">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2012392"/>
      <w:docPartObj>
        <w:docPartGallery w:val="Page Numbers (Bottom of Page)"/>
        <w:docPartUnique/>
      </w:docPartObj>
    </w:sdtPr>
    <w:sdtEndPr>
      <w:rPr>
        <w:noProof/>
      </w:rPr>
    </w:sdtEndPr>
    <w:sdtContent>
      <w:p w14:paraId="24F4F516" w14:textId="7914A0B8" w:rsidR="00D94954" w:rsidRDefault="00D949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1947C" w14:textId="77777777" w:rsidR="00D94954" w:rsidRDefault="00D94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74D73" w14:textId="77777777" w:rsidR="00043477" w:rsidRDefault="00043477" w:rsidP="00D94954">
      <w:pPr>
        <w:spacing w:after="0" w:line="240" w:lineRule="auto"/>
      </w:pPr>
      <w:r>
        <w:separator/>
      </w:r>
    </w:p>
  </w:footnote>
  <w:footnote w:type="continuationSeparator" w:id="0">
    <w:p w14:paraId="0679D249" w14:textId="77777777" w:rsidR="00043477" w:rsidRDefault="00043477" w:rsidP="00D9495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785F3"/>
  <w15:chartTrackingRefBased/>
  <w15:docId w15:val="{C5ED1441-0F13-43C6-90C8-E1C08CA04A9D}"/>
  <w:rsids>
    <w:rsidRoot val="00236427"/>
    <w:rsid val="00043477"/>
    <w:rsid val="000437FF"/>
    <w:rsid val="00077E2F"/>
    <w:rsid val="0010534A"/>
    <w:rsid val="00140556"/>
    <w:rsid val="00236427"/>
    <w:rsid val="002777A5"/>
    <w:rsid val="0028172D"/>
    <w:rsid val="002C276C"/>
    <w:rsid val="002F5C99"/>
    <w:rsid val="00362452"/>
    <w:rsid val="003B7DBF"/>
    <w:rsid val="003D2535"/>
    <w:rsid val="003F127C"/>
    <w:rsid val="00453625"/>
    <w:rsid val="00460058"/>
    <w:rsid val="00596519"/>
    <w:rsid val="0061750A"/>
    <w:rsid val="00650F4D"/>
    <w:rsid val="006A6A4C"/>
    <w:rsid val="006A70A6"/>
    <w:rsid val="006D64D8"/>
    <w:rsid val="00746EE2"/>
    <w:rsid val="00784174"/>
    <w:rsid val="007F2FAA"/>
    <w:rsid val="008C1E21"/>
    <w:rsid val="00903773"/>
    <w:rsid val="00973C53"/>
    <w:rsid val="00A00A42"/>
    <w:rsid val="00A82ADC"/>
    <w:rsid val="00AC1C72"/>
    <w:rsid val="00AE5A83"/>
    <w:rsid val="00B02E6A"/>
    <w:rsid val="00B67F8C"/>
    <w:rsid val="00BC2CAA"/>
    <w:rsid val="00BD4869"/>
    <w:rsid val="00C236ED"/>
    <w:rsid val="00C37711"/>
    <w:rsid val="00C4542B"/>
    <w:rsid val="00CC4109"/>
    <w:rsid val="00CD65D5"/>
    <w:rsid val="00D625A6"/>
    <w:rsid val="00D63723"/>
    <w:rsid val="00D94954"/>
    <w:rsid val="00DE50C3"/>
    <w:rsid val="00DF5E27"/>
    <w:rsid val="00E56BBA"/>
    <w:rsid val="00E56E5E"/>
    <w:rsid val="00E92E50"/>
    <w:rsid val="00EA5FF0"/>
    <w:rsid val="00ED0A3E"/>
    <w:rsid val="00ED48F5"/>
    <w:rsid val="00F35AA7"/>
    <w:rsid val="00F5242B"/>
    <w:rsid val="00F700DC"/>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4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64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64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64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64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64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4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4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4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4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64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64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64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64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64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4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4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427"/>
    <w:rPr>
      <w:rFonts w:eastAsiaTheme="majorEastAsia" w:cstheme="majorBidi"/>
      <w:color w:val="272727" w:themeColor="text1" w:themeTint="D8"/>
    </w:rPr>
  </w:style>
  <w:style w:type="paragraph" w:styleId="Title">
    <w:name w:val="Title"/>
    <w:basedOn w:val="Normal"/>
    <w:next w:val="Normal"/>
    <w:link w:val="TitleChar"/>
    <w:uiPriority w:val="10"/>
    <w:qFormat/>
    <w:rsid w:val="002364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4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4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4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427"/>
    <w:pPr>
      <w:spacing w:before="160"/>
      <w:jc w:val="center"/>
    </w:pPr>
    <w:rPr>
      <w:i/>
      <w:iCs/>
      <w:color w:val="404040" w:themeColor="text1" w:themeTint="BF"/>
    </w:rPr>
  </w:style>
  <w:style w:type="character" w:customStyle="1" w:styleId="QuoteChar">
    <w:name w:val="Quote Char"/>
    <w:basedOn w:val="DefaultParagraphFont"/>
    <w:link w:val="Quote"/>
    <w:uiPriority w:val="29"/>
    <w:rsid w:val="00236427"/>
    <w:rPr>
      <w:i/>
      <w:iCs/>
      <w:color w:val="404040" w:themeColor="text1" w:themeTint="BF"/>
    </w:rPr>
  </w:style>
  <w:style w:type="paragraph" w:styleId="ListParagraph">
    <w:name w:val="List Paragraph"/>
    <w:basedOn w:val="Normal"/>
    <w:uiPriority w:val="34"/>
    <w:qFormat/>
    <w:rsid w:val="00236427"/>
    <w:pPr>
      <w:ind w:left="720"/>
      <w:contextualSpacing/>
    </w:pPr>
  </w:style>
  <w:style w:type="character" w:styleId="IntenseEmphasis">
    <w:name w:val="Intense Emphasis"/>
    <w:basedOn w:val="DefaultParagraphFont"/>
    <w:uiPriority w:val="21"/>
    <w:qFormat/>
    <w:rsid w:val="00236427"/>
    <w:rPr>
      <w:i/>
      <w:iCs/>
      <w:color w:val="0F4761" w:themeColor="accent1" w:themeShade="BF"/>
    </w:rPr>
  </w:style>
  <w:style w:type="paragraph" w:styleId="IntenseQuote">
    <w:name w:val="Intense Quote"/>
    <w:basedOn w:val="Normal"/>
    <w:next w:val="Normal"/>
    <w:link w:val="IntenseQuoteChar"/>
    <w:uiPriority w:val="30"/>
    <w:qFormat/>
    <w:rsid w:val="002364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6427"/>
    <w:rPr>
      <w:i/>
      <w:iCs/>
      <w:color w:val="0F4761" w:themeColor="accent1" w:themeShade="BF"/>
    </w:rPr>
  </w:style>
  <w:style w:type="character" w:styleId="IntenseReference">
    <w:name w:val="Intense Reference"/>
    <w:basedOn w:val="DefaultParagraphFont"/>
    <w:uiPriority w:val="32"/>
    <w:qFormat/>
    <w:rsid w:val="00236427"/>
    <w:rPr>
      <w:b/>
      <w:bCs/>
      <w:smallCaps/>
      <w:color w:val="0F4761" w:themeColor="accent1" w:themeShade="BF"/>
      <w:spacing w:val="5"/>
    </w:rPr>
  </w:style>
  <w:style w:type="paragraph" w:styleId="Header">
    <w:name w:val="header"/>
    <w:basedOn w:val="Normal"/>
    <w:link w:val="HeaderChar"/>
    <w:uiPriority w:val="99"/>
    <w:unhideWhenUsed/>
    <w:rsid w:val="00D949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4954"/>
  </w:style>
  <w:style w:type="paragraph" w:styleId="Footer">
    <w:name w:val="footer"/>
    <w:basedOn w:val="Normal"/>
    <w:link w:val="FooterChar"/>
    <w:uiPriority w:val="99"/>
    <w:unhideWhenUsed/>
    <w:rsid w:val="00D949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4954"/>
  </w:style>
  <w:style w:type="paragraph" w:styleId="NoSpacing">
    <w:name w:val="No Spacing"/>
    <w:uiPriority w:val="1"/>
    <w:qFormat/>
    <w:rsid w:val="00CD65D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 Id="rId11" Type="http://schemas.openxmlformats.org/officeDocument/2006/relationships/image" Target="media/image2.png"/><Relationship Id="rId12" Type="http://schemas.openxmlformats.org/officeDocument/2006/relationships/image" Target="media/image1.png"/><Relationship Id="rId1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15</Pages>
  <Words>4438</Words>
  <Characters>25297</Characters>
  <Application>Microsoft Office Word</Application>
  <DocSecurity>0</DocSecurity>
  <Lines>210</Lines>
  <Paragraphs>59</Paragraphs>
  <ScaleCrop>false</ScaleCrop>
  <Company/>
  <LinksUpToDate>false</LinksUpToDate>
  <CharactersWithSpaces>29676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52</cp:revision>
  <dcterms:created xsi:type="dcterms:W3CDTF">2025-11-16T20:46:00Z</dcterms:created>
  <dcterms:modified xsi:type="dcterms:W3CDTF">2025-11-16T21:34:00Z</dcterms:modified>
</cp:coreProperties>
</file>