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C346D" w14:textId="77777777" w:rsidR="000F7214" w:rsidRPr="00587371" w:rsidRDefault="000F7214" w:rsidP="000F7214">
      <w:pPr>
        <w:spacing w:line="360" w:lineRule="auto"/>
        <w:jc w:val="center"/>
        <w:rPr>
          <w:rFonts w:cs="Times New Roman"/>
          <w:b/>
          <w:sz w:val="48"/>
          <w:szCs w:val="48"/>
          <w:lang w:val="en-IN"/>
        </w:rPr>
      </w:pPr>
      <w:r w:rsidRPr="00587371">
        <w:rPr>
          <w:rFonts w:cs="Times New Roman"/>
          <w:b/>
          <w:sz w:val="48"/>
          <w:szCs w:val="48"/>
          <w:lang w:val="en-IN"/>
        </w:rPr>
        <w:t>Professional Policing</w:t>
      </w:r>
    </w:p>
    <w:p w14:paraId="0393E210" w14:textId="77777777" w:rsidR="00631C60" w:rsidRPr="00587371" w:rsidRDefault="000F7214" w:rsidP="000F7214">
      <w:pPr>
        <w:spacing w:line="360" w:lineRule="auto"/>
        <w:jc w:val="center"/>
        <w:rPr>
          <w:rFonts w:cs="Times New Roman"/>
          <w:b/>
          <w:sz w:val="48"/>
          <w:szCs w:val="48"/>
          <w:lang w:val="en-IN"/>
        </w:rPr>
      </w:pPr>
      <w:r w:rsidRPr="00587371">
        <w:rPr>
          <w:rFonts w:cs="Times New Roman"/>
          <w:b/>
          <w:sz w:val="48"/>
          <w:szCs w:val="48"/>
          <w:lang w:val="en-IN"/>
        </w:rPr>
        <w:t>Public Protection and Counterterrorism (BMPL6018)</w:t>
      </w:r>
    </w:p>
    <w:p w14:paraId="5B543696" w14:textId="77777777" w:rsidR="000F7214" w:rsidRPr="00587371" w:rsidRDefault="00064DC8" w:rsidP="00064DC8">
      <w:pPr>
        <w:spacing w:line="360" w:lineRule="auto"/>
        <w:jc w:val="center"/>
        <w:rPr>
          <w:rFonts w:eastAsia="Times New Roman"/>
          <w:b/>
          <w:lang w:eastAsia="en-GB"/>
        </w:rPr>
      </w:pPr>
      <w:r w:rsidRPr="00587371">
        <w:rPr>
          <w:rFonts w:cs="Times New Roman"/>
          <w:b/>
          <w:lang w:val="en-IN"/>
        </w:rPr>
        <w:t xml:space="preserve">Title: </w:t>
      </w:r>
      <w:r w:rsidRPr="00587371">
        <w:rPr>
          <w:rFonts w:eastAsia="Times New Roman"/>
          <w:b/>
          <w:lang w:eastAsia="en-GB"/>
        </w:rPr>
        <w:t xml:space="preserve">The role of the UK police forces in supporting the Prevent strand of CONTEST and the challenges they face in implementing it effectively </w:t>
      </w:r>
    </w:p>
    <w:p w14:paraId="48BEF55C" w14:textId="77777777" w:rsidR="00FE5DDD" w:rsidRPr="00587371" w:rsidRDefault="00FE5DDD" w:rsidP="00064DC8">
      <w:pPr>
        <w:spacing w:line="360" w:lineRule="auto"/>
        <w:jc w:val="center"/>
        <w:rPr>
          <w:rFonts w:cs="Times New Roman"/>
          <w:b/>
          <w:lang w:val="en-IN"/>
        </w:rPr>
      </w:pPr>
      <w:r w:rsidRPr="00587371">
        <w:rPr>
          <w:rFonts w:eastAsia="Times New Roman"/>
          <w:b/>
          <w:lang w:eastAsia="en-GB"/>
        </w:rPr>
        <w:t>Subject area: Prevent policing and counter-terrorism in response to Islamist extremism in the UK</w:t>
      </w:r>
    </w:p>
    <w:p w14:paraId="60D7B558" w14:textId="77777777" w:rsidR="000F7214" w:rsidRPr="00587371" w:rsidRDefault="000F7214" w:rsidP="000F7214">
      <w:pPr>
        <w:spacing w:line="360" w:lineRule="auto"/>
        <w:jc w:val="both"/>
        <w:rPr>
          <w:rFonts w:cs="Times New Roman"/>
          <w:lang w:val="en-IN"/>
        </w:rPr>
      </w:pPr>
    </w:p>
    <w:p w14:paraId="4E54D286" w14:textId="77777777" w:rsidR="000F7214" w:rsidRPr="00587371" w:rsidRDefault="000F7214" w:rsidP="000F7214">
      <w:pPr>
        <w:spacing w:line="360" w:lineRule="auto"/>
        <w:jc w:val="both"/>
        <w:rPr>
          <w:rFonts w:cs="Times New Roman"/>
          <w:lang w:val="en-IN"/>
        </w:rPr>
      </w:pPr>
    </w:p>
    <w:p w14:paraId="271D4B8D" w14:textId="77777777" w:rsidR="000F7214" w:rsidRPr="00587371" w:rsidRDefault="000F7214" w:rsidP="000F7214">
      <w:pPr>
        <w:spacing w:line="360" w:lineRule="auto"/>
        <w:jc w:val="both"/>
        <w:rPr>
          <w:rFonts w:cs="Times New Roman"/>
          <w:lang w:val="en-IN"/>
        </w:rPr>
      </w:pPr>
    </w:p>
    <w:p w14:paraId="29E83724" w14:textId="77777777" w:rsidR="000F7214" w:rsidRPr="00587371" w:rsidRDefault="000F7214" w:rsidP="000F7214">
      <w:pPr>
        <w:spacing w:line="360" w:lineRule="auto"/>
        <w:jc w:val="both"/>
        <w:rPr>
          <w:rFonts w:cs="Times New Roman"/>
          <w:lang w:val="en-IN"/>
        </w:rPr>
      </w:pPr>
    </w:p>
    <w:p w14:paraId="4C982E87" w14:textId="77777777" w:rsidR="000F7214" w:rsidRPr="00587371" w:rsidRDefault="000F7214" w:rsidP="000F7214">
      <w:pPr>
        <w:spacing w:line="360" w:lineRule="auto"/>
        <w:jc w:val="both"/>
        <w:rPr>
          <w:rFonts w:cs="Times New Roman"/>
          <w:lang w:val="en-IN"/>
        </w:rPr>
      </w:pPr>
    </w:p>
    <w:p w14:paraId="053DD1B4" w14:textId="77777777" w:rsidR="000F7214" w:rsidRPr="00587371" w:rsidRDefault="000F7214" w:rsidP="000F7214">
      <w:pPr>
        <w:spacing w:line="360" w:lineRule="auto"/>
        <w:jc w:val="both"/>
        <w:rPr>
          <w:rFonts w:cs="Times New Roman"/>
          <w:lang w:val="en-IN"/>
        </w:rPr>
      </w:pPr>
    </w:p>
    <w:p w14:paraId="2FA2A602" w14:textId="77777777" w:rsidR="000F7214" w:rsidRPr="00587371" w:rsidRDefault="000F7214" w:rsidP="000F7214">
      <w:pPr>
        <w:spacing w:line="360" w:lineRule="auto"/>
        <w:jc w:val="both"/>
        <w:rPr>
          <w:rFonts w:cs="Times New Roman"/>
          <w:lang w:val="en-IN"/>
        </w:rPr>
      </w:pPr>
    </w:p>
    <w:p w14:paraId="0DC7565F" w14:textId="77777777" w:rsidR="000F7214" w:rsidRPr="00587371" w:rsidRDefault="000F7214" w:rsidP="000F7214">
      <w:pPr>
        <w:spacing w:line="360" w:lineRule="auto"/>
        <w:jc w:val="both"/>
        <w:rPr>
          <w:rFonts w:cs="Times New Roman"/>
          <w:lang w:val="en-IN"/>
        </w:rPr>
      </w:pPr>
    </w:p>
    <w:p w14:paraId="33494478" w14:textId="77777777" w:rsidR="000F7214" w:rsidRPr="00587371" w:rsidRDefault="000F7214" w:rsidP="000F7214">
      <w:pPr>
        <w:spacing w:line="360" w:lineRule="auto"/>
        <w:jc w:val="both"/>
        <w:rPr>
          <w:rFonts w:cs="Times New Roman"/>
          <w:lang w:val="en-IN"/>
        </w:rPr>
      </w:pPr>
    </w:p>
    <w:p w14:paraId="1CD46DC9" w14:textId="77777777" w:rsidR="000F7214" w:rsidRPr="00587371" w:rsidRDefault="000F7214" w:rsidP="000F7214">
      <w:pPr>
        <w:spacing w:line="360" w:lineRule="auto"/>
        <w:jc w:val="both"/>
        <w:rPr>
          <w:rFonts w:cs="Times New Roman"/>
          <w:lang w:val="en-IN"/>
        </w:rPr>
      </w:pPr>
    </w:p>
    <w:p w14:paraId="1C8488B8" w14:textId="77777777" w:rsidR="000F7214" w:rsidRPr="00587371" w:rsidRDefault="000F7214" w:rsidP="000F7214">
      <w:pPr>
        <w:spacing w:line="360" w:lineRule="auto"/>
        <w:jc w:val="both"/>
        <w:rPr>
          <w:rFonts w:cs="Times New Roman"/>
          <w:lang w:val="en-IN"/>
        </w:rPr>
      </w:pPr>
    </w:p>
    <w:p w14:paraId="237DC660" w14:textId="77777777" w:rsidR="000F7214" w:rsidRPr="00587371" w:rsidRDefault="000F7214" w:rsidP="000F7214">
      <w:pPr>
        <w:spacing w:line="360" w:lineRule="auto"/>
        <w:jc w:val="both"/>
        <w:rPr>
          <w:rFonts w:cs="Times New Roman"/>
          <w:lang w:val="en-IN"/>
        </w:rPr>
      </w:pPr>
    </w:p>
    <w:p w14:paraId="2B3007F3" w14:textId="77777777" w:rsidR="000F7214" w:rsidRPr="00587371" w:rsidRDefault="000F7214" w:rsidP="000F7214">
      <w:pPr>
        <w:spacing w:line="360" w:lineRule="auto"/>
        <w:jc w:val="both"/>
        <w:rPr>
          <w:rFonts w:cs="Times New Roman"/>
          <w:lang w:val="en-IN"/>
        </w:rPr>
      </w:pPr>
    </w:p>
    <w:p w14:paraId="6CADBC28" w14:textId="77777777" w:rsidR="000F7214" w:rsidRPr="00587371" w:rsidRDefault="000F7214" w:rsidP="000F7214">
      <w:pPr>
        <w:spacing w:line="360" w:lineRule="auto"/>
        <w:jc w:val="both"/>
        <w:rPr>
          <w:rFonts w:cs="Times New Roman"/>
          <w:lang w:val="en-IN"/>
        </w:rPr>
      </w:pPr>
    </w:p>
    <w:p w14:paraId="6018444A" w14:textId="77777777" w:rsidR="000F7214" w:rsidRPr="00587371" w:rsidRDefault="000F7214" w:rsidP="000F7214">
      <w:pPr>
        <w:spacing w:line="360" w:lineRule="auto"/>
        <w:jc w:val="both"/>
        <w:rPr>
          <w:rFonts w:cs="Times New Roman"/>
          <w:lang w:val="en-IN"/>
        </w:rPr>
      </w:pPr>
    </w:p>
    <w:p w14:paraId="1E00AB2B" w14:textId="77777777" w:rsidR="000F7214" w:rsidRPr="00587371" w:rsidRDefault="000F7214" w:rsidP="000F7214">
      <w:pPr>
        <w:spacing w:line="360" w:lineRule="auto"/>
        <w:jc w:val="both"/>
        <w:rPr>
          <w:rFonts w:cs="Times New Roman"/>
          <w:lang w:val="en-IN"/>
        </w:rPr>
      </w:pPr>
    </w:p>
    <w:p w14:paraId="1AB353C2" w14:textId="77777777" w:rsidR="000F7214" w:rsidRPr="00587371" w:rsidRDefault="000F7214" w:rsidP="000F7214">
      <w:pPr>
        <w:spacing w:line="360" w:lineRule="auto"/>
        <w:jc w:val="both"/>
        <w:rPr>
          <w:rFonts w:cs="Times New Roman"/>
          <w:lang w:val="en-IN"/>
        </w:rPr>
      </w:pPr>
    </w:p>
    <w:p w14:paraId="6CA109B9" w14:textId="77777777" w:rsidR="000F7214" w:rsidRPr="00587371" w:rsidRDefault="000F7214" w:rsidP="000F7214">
      <w:pPr>
        <w:spacing w:line="360" w:lineRule="auto"/>
        <w:jc w:val="both"/>
        <w:rPr>
          <w:rFonts w:cs="Times New Roman"/>
          <w:lang w:val="en-IN"/>
        </w:rPr>
      </w:pPr>
    </w:p>
    <w:p w14:paraId="78FEECA6" w14:textId="77777777" w:rsidR="000F7214" w:rsidRPr="00587371" w:rsidRDefault="000F7214" w:rsidP="000F7214">
      <w:pPr>
        <w:spacing w:line="360" w:lineRule="auto"/>
        <w:jc w:val="both"/>
        <w:rPr>
          <w:rFonts w:cs="Times New Roman"/>
          <w:lang w:val="en-IN"/>
        </w:rPr>
      </w:pPr>
    </w:p>
    <w:p w14:paraId="66C9929D" w14:textId="77777777" w:rsidR="000F7214" w:rsidRPr="00587371" w:rsidRDefault="000F7214" w:rsidP="000F7214">
      <w:pPr>
        <w:spacing w:line="360" w:lineRule="auto"/>
        <w:jc w:val="both"/>
        <w:rPr>
          <w:rFonts w:cs="Times New Roman"/>
          <w:lang w:val="en-IN"/>
        </w:rPr>
      </w:pPr>
    </w:p>
    <w:p w14:paraId="5E0A8A0B" w14:textId="77777777" w:rsidR="000F7214" w:rsidRPr="00587371" w:rsidRDefault="000F7214" w:rsidP="000F7214">
      <w:pPr>
        <w:spacing w:line="360" w:lineRule="auto"/>
        <w:jc w:val="both"/>
        <w:rPr>
          <w:rFonts w:cs="Times New Roman"/>
          <w:lang w:val="en-IN"/>
        </w:rPr>
      </w:pPr>
    </w:p>
    <w:p w14:paraId="555EAF3F" w14:textId="78E71D8A" w:rsidR="000F7214" w:rsidRPr="00587371" w:rsidRDefault="000F7214" w:rsidP="000F7214">
      <w:pPr>
        <w:spacing w:line="360" w:lineRule="auto"/>
        <w:jc w:val="center"/>
        <w:rPr>
          <w:rFonts w:cs="Times New Roman"/>
          <w:lang w:val="en-IN"/>
        </w:rPr>
      </w:pPr>
      <w:r w:rsidRPr="00587371">
        <w:rPr>
          <w:rFonts w:cs="Times New Roman"/>
          <w:lang w:val="en-IN"/>
        </w:rPr>
        <w:t>Student name:</w:t>
      </w:r>
      <w:r w:rsidR="00AC317C">
        <w:rPr>
          <w:rFonts w:cs="Times New Roman"/>
          <w:lang w:val="en-IN"/>
        </w:rPr>
        <w:t xml:space="preserve"> Elena Cristina Martinica</w:t>
      </w:r>
    </w:p>
    <w:p w14:paraId="2C75E944" w14:textId="43F85E48" w:rsidR="000F7214" w:rsidRPr="00587371" w:rsidRDefault="000F7214" w:rsidP="000F7214">
      <w:pPr>
        <w:spacing w:line="360" w:lineRule="auto"/>
        <w:jc w:val="center"/>
        <w:rPr>
          <w:rFonts w:cs="Times New Roman"/>
          <w:lang w:val="en-IN"/>
        </w:rPr>
      </w:pPr>
    </w:p>
    <w:sdt>
      <w:sdtPr>
        <w:rPr>
          <w:rFonts w:ascii="Times New Roman" w:eastAsiaTheme="minorHAnsi" w:hAnsi="Times New Roman" w:cstheme="minorBidi"/>
          <w:b w:val="0"/>
          <w:bCs w:val="0"/>
          <w:color w:val="auto"/>
          <w:sz w:val="24"/>
          <w:szCs w:val="24"/>
          <w:lang w:val="en-GB" w:eastAsia="en-US"/>
        </w:rPr>
        <w:id w:val="201222495"/>
        <w:docPartObj>
          <w:docPartGallery w:val="Table of Contents"/>
          <w:docPartUnique/>
        </w:docPartObj>
      </w:sdtPr>
      <w:sdtEndPr>
        <w:rPr>
          <w:noProof/>
        </w:rPr>
      </w:sdtEndPr>
      <w:sdtContent>
        <w:p w14:paraId="4282A653" w14:textId="77777777" w:rsidR="000F7214" w:rsidRPr="00587371" w:rsidRDefault="000F7214">
          <w:pPr>
            <w:pStyle w:val="TOCHeading"/>
            <w:rPr>
              <w:color w:val="auto"/>
            </w:rPr>
          </w:pPr>
          <w:r w:rsidRPr="00587371">
            <w:rPr>
              <w:color w:val="auto"/>
            </w:rPr>
            <w:t>Table of Contents</w:t>
          </w:r>
        </w:p>
        <w:p w14:paraId="2933A914" w14:textId="77777777" w:rsidR="00FE0C75" w:rsidRPr="00587371" w:rsidRDefault="000F7214">
          <w:pPr>
            <w:pStyle w:val="TOC1"/>
            <w:tabs>
              <w:tab w:val="right" w:leader="dot" w:pos="9016"/>
            </w:tabs>
            <w:rPr>
              <w:rFonts w:asciiTheme="minorHAnsi" w:eastAsiaTheme="minorEastAsia" w:hAnsiTheme="minorHAnsi"/>
              <w:noProof/>
              <w:kern w:val="0"/>
              <w:sz w:val="22"/>
              <w:szCs w:val="22"/>
              <w:lang w:eastAsia="en-GB"/>
              <w14:ligatures w14:val="none"/>
            </w:rPr>
          </w:pPr>
          <w:r w:rsidRPr="00587371">
            <w:fldChar w:fldCharType="begin"/>
          </w:r>
          <w:r w:rsidRPr="00587371">
            <w:instrText xml:space="preserve"> TOC \o "1-3" \h \z \u </w:instrText>
          </w:r>
          <w:r w:rsidRPr="00587371">
            <w:fldChar w:fldCharType="separate"/>
          </w:r>
          <w:hyperlink w:anchor="_Toc211356250" w:history="1">
            <w:r w:rsidR="00FE0C75" w:rsidRPr="00587371">
              <w:rPr>
                <w:rStyle w:val="Hyperlink"/>
                <w:rFonts w:cs="Times New Roman"/>
                <w:noProof/>
                <w:color w:val="auto"/>
              </w:rPr>
              <w:t>1. Introduction</w:t>
            </w:r>
            <w:r w:rsidR="00FE0C75" w:rsidRPr="00587371">
              <w:rPr>
                <w:noProof/>
                <w:webHidden/>
              </w:rPr>
              <w:tab/>
            </w:r>
            <w:r w:rsidR="00FE0C75" w:rsidRPr="00587371">
              <w:rPr>
                <w:noProof/>
                <w:webHidden/>
              </w:rPr>
              <w:fldChar w:fldCharType="begin"/>
            </w:r>
            <w:r w:rsidR="00FE0C75" w:rsidRPr="00587371">
              <w:rPr>
                <w:noProof/>
                <w:webHidden/>
              </w:rPr>
              <w:instrText xml:space="preserve"> PAGEREF _Toc211356250 \h </w:instrText>
            </w:r>
            <w:r w:rsidR="00FE0C75" w:rsidRPr="00587371">
              <w:rPr>
                <w:noProof/>
                <w:webHidden/>
              </w:rPr>
            </w:r>
            <w:r w:rsidR="00FE0C75" w:rsidRPr="00587371">
              <w:rPr>
                <w:noProof/>
                <w:webHidden/>
              </w:rPr>
              <w:fldChar w:fldCharType="separate"/>
            </w:r>
            <w:r w:rsidR="00FE0C75" w:rsidRPr="00587371">
              <w:rPr>
                <w:noProof/>
                <w:webHidden/>
              </w:rPr>
              <w:t>3</w:t>
            </w:r>
            <w:r w:rsidR="00FE0C75" w:rsidRPr="00587371">
              <w:rPr>
                <w:noProof/>
                <w:webHidden/>
              </w:rPr>
              <w:fldChar w:fldCharType="end"/>
            </w:r>
          </w:hyperlink>
        </w:p>
        <w:p w14:paraId="3DEA1F76" w14:textId="77777777" w:rsidR="00FE0C75" w:rsidRPr="00587371" w:rsidRDefault="00FE0C75">
          <w:pPr>
            <w:pStyle w:val="TOC1"/>
            <w:tabs>
              <w:tab w:val="right" w:leader="dot" w:pos="9016"/>
            </w:tabs>
            <w:rPr>
              <w:rFonts w:asciiTheme="minorHAnsi" w:eastAsiaTheme="minorEastAsia" w:hAnsiTheme="minorHAnsi"/>
              <w:noProof/>
              <w:kern w:val="0"/>
              <w:sz w:val="22"/>
              <w:szCs w:val="22"/>
              <w:lang w:eastAsia="en-GB"/>
              <w14:ligatures w14:val="none"/>
            </w:rPr>
          </w:pPr>
          <w:hyperlink w:anchor="_Toc211356251" w:history="1">
            <w:r w:rsidRPr="00587371">
              <w:rPr>
                <w:rStyle w:val="Hyperlink"/>
                <w:rFonts w:cs="Times New Roman"/>
                <w:noProof/>
                <w:color w:val="auto"/>
              </w:rPr>
              <w:t>2. Policy &amp; Theoretical Context</w:t>
            </w:r>
            <w:r w:rsidRPr="00587371">
              <w:rPr>
                <w:noProof/>
                <w:webHidden/>
              </w:rPr>
              <w:tab/>
            </w:r>
            <w:r w:rsidRPr="00587371">
              <w:rPr>
                <w:noProof/>
                <w:webHidden/>
              </w:rPr>
              <w:fldChar w:fldCharType="begin"/>
            </w:r>
            <w:r w:rsidRPr="00587371">
              <w:rPr>
                <w:noProof/>
                <w:webHidden/>
              </w:rPr>
              <w:instrText xml:space="preserve"> PAGEREF _Toc211356251 \h </w:instrText>
            </w:r>
            <w:r w:rsidRPr="00587371">
              <w:rPr>
                <w:noProof/>
                <w:webHidden/>
              </w:rPr>
            </w:r>
            <w:r w:rsidRPr="00587371">
              <w:rPr>
                <w:noProof/>
                <w:webHidden/>
              </w:rPr>
              <w:fldChar w:fldCharType="separate"/>
            </w:r>
            <w:r w:rsidRPr="00587371">
              <w:rPr>
                <w:noProof/>
                <w:webHidden/>
              </w:rPr>
              <w:t>4</w:t>
            </w:r>
            <w:r w:rsidRPr="00587371">
              <w:rPr>
                <w:noProof/>
                <w:webHidden/>
              </w:rPr>
              <w:fldChar w:fldCharType="end"/>
            </w:r>
          </w:hyperlink>
        </w:p>
        <w:p w14:paraId="59C5B860" w14:textId="77777777" w:rsidR="00FE0C75" w:rsidRPr="00587371" w:rsidRDefault="00FE0C75">
          <w:pPr>
            <w:pStyle w:val="TOC1"/>
            <w:tabs>
              <w:tab w:val="right" w:leader="dot" w:pos="9016"/>
            </w:tabs>
            <w:rPr>
              <w:rFonts w:asciiTheme="minorHAnsi" w:eastAsiaTheme="minorEastAsia" w:hAnsiTheme="minorHAnsi"/>
              <w:noProof/>
              <w:kern w:val="0"/>
              <w:sz w:val="22"/>
              <w:szCs w:val="22"/>
              <w:lang w:eastAsia="en-GB"/>
              <w14:ligatures w14:val="none"/>
            </w:rPr>
          </w:pPr>
          <w:hyperlink w:anchor="_Toc211356252" w:history="1">
            <w:r w:rsidRPr="00587371">
              <w:rPr>
                <w:rStyle w:val="Hyperlink"/>
                <w:rFonts w:cs="Times New Roman"/>
                <w:noProof/>
                <w:color w:val="auto"/>
                <w:lang w:eastAsia="en-GB"/>
              </w:rPr>
              <w:t>3. Role of Police in Prevent Implementation</w:t>
            </w:r>
            <w:r w:rsidRPr="00587371">
              <w:rPr>
                <w:noProof/>
                <w:webHidden/>
              </w:rPr>
              <w:tab/>
            </w:r>
            <w:r w:rsidRPr="00587371">
              <w:rPr>
                <w:noProof/>
                <w:webHidden/>
              </w:rPr>
              <w:fldChar w:fldCharType="begin"/>
            </w:r>
            <w:r w:rsidRPr="00587371">
              <w:rPr>
                <w:noProof/>
                <w:webHidden/>
              </w:rPr>
              <w:instrText xml:space="preserve"> PAGEREF _Toc211356252 \h </w:instrText>
            </w:r>
            <w:r w:rsidRPr="00587371">
              <w:rPr>
                <w:noProof/>
                <w:webHidden/>
              </w:rPr>
            </w:r>
            <w:r w:rsidRPr="00587371">
              <w:rPr>
                <w:noProof/>
                <w:webHidden/>
              </w:rPr>
              <w:fldChar w:fldCharType="separate"/>
            </w:r>
            <w:r w:rsidRPr="00587371">
              <w:rPr>
                <w:noProof/>
                <w:webHidden/>
              </w:rPr>
              <w:t>5</w:t>
            </w:r>
            <w:r w:rsidRPr="00587371">
              <w:rPr>
                <w:noProof/>
                <w:webHidden/>
              </w:rPr>
              <w:fldChar w:fldCharType="end"/>
            </w:r>
          </w:hyperlink>
        </w:p>
        <w:p w14:paraId="113F11CC" w14:textId="77777777" w:rsidR="00FE0C75" w:rsidRPr="00587371" w:rsidRDefault="00FE0C75">
          <w:pPr>
            <w:pStyle w:val="TOC1"/>
            <w:tabs>
              <w:tab w:val="right" w:leader="dot" w:pos="9016"/>
            </w:tabs>
            <w:rPr>
              <w:rFonts w:asciiTheme="minorHAnsi" w:eastAsiaTheme="minorEastAsia" w:hAnsiTheme="minorHAnsi"/>
              <w:noProof/>
              <w:kern w:val="0"/>
              <w:sz w:val="22"/>
              <w:szCs w:val="22"/>
              <w:lang w:eastAsia="en-GB"/>
              <w14:ligatures w14:val="none"/>
            </w:rPr>
          </w:pPr>
          <w:hyperlink w:anchor="_Toc211356253" w:history="1">
            <w:r w:rsidRPr="00587371">
              <w:rPr>
                <w:rStyle w:val="Hyperlink"/>
                <w:rFonts w:cs="Times New Roman"/>
                <w:noProof/>
                <w:color w:val="auto"/>
                <w:lang w:eastAsia="en-GB"/>
              </w:rPr>
              <w:t>4. Effectiveness, Evidence &amp; Evaluations</w:t>
            </w:r>
            <w:r w:rsidRPr="00587371">
              <w:rPr>
                <w:noProof/>
                <w:webHidden/>
              </w:rPr>
              <w:tab/>
            </w:r>
            <w:r w:rsidRPr="00587371">
              <w:rPr>
                <w:noProof/>
                <w:webHidden/>
              </w:rPr>
              <w:fldChar w:fldCharType="begin"/>
            </w:r>
            <w:r w:rsidRPr="00587371">
              <w:rPr>
                <w:noProof/>
                <w:webHidden/>
              </w:rPr>
              <w:instrText xml:space="preserve"> PAGEREF _Toc211356253 \h </w:instrText>
            </w:r>
            <w:r w:rsidRPr="00587371">
              <w:rPr>
                <w:noProof/>
                <w:webHidden/>
              </w:rPr>
            </w:r>
            <w:r w:rsidRPr="00587371">
              <w:rPr>
                <w:noProof/>
                <w:webHidden/>
              </w:rPr>
              <w:fldChar w:fldCharType="separate"/>
            </w:r>
            <w:r w:rsidRPr="00587371">
              <w:rPr>
                <w:noProof/>
                <w:webHidden/>
              </w:rPr>
              <w:t>6</w:t>
            </w:r>
            <w:r w:rsidRPr="00587371">
              <w:rPr>
                <w:noProof/>
                <w:webHidden/>
              </w:rPr>
              <w:fldChar w:fldCharType="end"/>
            </w:r>
          </w:hyperlink>
        </w:p>
        <w:p w14:paraId="3B9A6732" w14:textId="77777777" w:rsidR="00FE0C75" w:rsidRPr="00587371" w:rsidRDefault="00FE0C75">
          <w:pPr>
            <w:pStyle w:val="TOC1"/>
            <w:tabs>
              <w:tab w:val="right" w:leader="dot" w:pos="9016"/>
            </w:tabs>
            <w:rPr>
              <w:rFonts w:asciiTheme="minorHAnsi" w:eastAsiaTheme="minorEastAsia" w:hAnsiTheme="minorHAnsi"/>
              <w:noProof/>
              <w:kern w:val="0"/>
              <w:sz w:val="22"/>
              <w:szCs w:val="22"/>
              <w:lang w:eastAsia="en-GB"/>
              <w14:ligatures w14:val="none"/>
            </w:rPr>
          </w:pPr>
          <w:hyperlink w:anchor="_Toc211356254" w:history="1">
            <w:r w:rsidRPr="00587371">
              <w:rPr>
                <w:rStyle w:val="Hyperlink"/>
                <w:rFonts w:cs="Times New Roman"/>
                <w:noProof/>
                <w:color w:val="auto"/>
                <w:lang w:eastAsia="en-GB"/>
              </w:rPr>
              <w:t>5. Challenges and Critiques</w:t>
            </w:r>
            <w:r w:rsidRPr="00587371">
              <w:rPr>
                <w:noProof/>
                <w:webHidden/>
              </w:rPr>
              <w:tab/>
            </w:r>
            <w:r w:rsidRPr="00587371">
              <w:rPr>
                <w:noProof/>
                <w:webHidden/>
              </w:rPr>
              <w:fldChar w:fldCharType="begin"/>
            </w:r>
            <w:r w:rsidRPr="00587371">
              <w:rPr>
                <w:noProof/>
                <w:webHidden/>
              </w:rPr>
              <w:instrText xml:space="preserve"> PAGEREF _Toc211356254 \h </w:instrText>
            </w:r>
            <w:r w:rsidRPr="00587371">
              <w:rPr>
                <w:noProof/>
                <w:webHidden/>
              </w:rPr>
            </w:r>
            <w:r w:rsidRPr="00587371">
              <w:rPr>
                <w:noProof/>
                <w:webHidden/>
              </w:rPr>
              <w:fldChar w:fldCharType="separate"/>
            </w:r>
            <w:r w:rsidRPr="00587371">
              <w:rPr>
                <w:noProof/>
                <w:webHidden/>
              </w:rPr>
              <w:t>7</w:t>
            </w:r>
            <w:r w:rsidRPr="00587371">
              <w:rPr>
                <w:noProof/>
                <w:webHidden/>
              </w:rPr>
              <w:fldChar w:fldCharType="end"/>
            </w:r>
          </w:hyperlink>
        </w:p>
        <w:p w14:paraId="2D75C9D3" w14:textId="77777777" w:rsidR="00FE0C75" w:rsidRPr="00587371" w:rsidRDefault="00FE0C75">
          <w:pPr>
            <w:pStyle w:val="TOC1"/>
            <w:tabs>
              <w:tab w:val="right" w:leader="dot" w:pos="9016"/>
            </w:tabs>
            <w:rPr>
              <w:rFonts w:asciiTheme="minorHAnsi" w:eastAsiaTheme="minorEastAsia" w:hAnsiTheme="minorHAnsi"/>
              <w:noProof/>
              <w:kern w:val="0"/>
              <w:sz w:val="22"/>
              <w:szCs w:val="22"/>
              <w:lang w:eastAsia="en-GB"/>
              <w14:ligatures w14:val="none"/>
            </w:rPr>
          </w:pPr>
          <w:hyperlink w:anchor="_Toc211356255" w:history="1">
            <w:r w:rsidRPr="00587371">
              <w:rPr>
                <w:rStyle w:val="Hyperlink"/>
                <w:rFonts w:eastAsia="Times New Roman" w:cs="Times New Roman"/>
                <w:noProof/>
                <w:color w:val="auto"/>
                <w:lang w:eastAsia="en-GB"/>
              </w:rPr>
              <w:t>References</w:t>
            </w:r>
            <w:r w:rsidRPr="00587371">
              <w:rPr>
                <w:noProof/>
                <w:webHidden/>
              </w:rPr>
              <w:tab/>
            </w:r>
            <w:r w:rsidRPr="00587371">
              <w:rPr>
                <w:noProof/>
                <w:webHidden/>
              </w:rPr>
              <w:fldChar w:fldCharType="begin"/>
            </w:r>
            <w:r w:rsidRPr="00587371">
              <w:rPr>
                <w:noProof/>
                <w:webHidden/>
              </w:rPr>
              <w:instrText xml:space="preserve"> PAGEREF _Toc211356255 \h </w:instrText>
            </w:r>
            <w:r w:rsidRPr="00587371">
              <w:rPr>
                <w:noProof/>
                <w:webHidden/>
              </w:rPr>
            </w:r>
            <w:r w:rsidRPr="00587371">
              <w:rPr>
                <w:noProof/>
                <w:webHidden/>
              </w:rPr>
              <w:fldChar w:fldCharType="separate"/>
            </w:r>
            <w:r w:rsidRPr="00587371">
              <w:rPr>
                <w:noProof/>
                <w:webHidden/>
              </w:rPr>
              <w:t>10</w:t>
            </w:r>
            <w:r w:rsidRPr="00587371">
              <w:rPr>
                <w:noProof/>
                <w:webHidden/>
              </w:rPr>
              <w:fldChar w:fldCharType="end"/>
            </w:r>
          </w:hyperlink>
        </w:p>
        <w:p w14:paraId="1ACC6345" w14:textId="77777777" w:rsidR="000F7214" w:rsidRPr="00587371" w:rsidRDefault="000F7214">
          <w:r w:rsidRPr="00587371">
            <w:rPr>
              <w:b/>
              <w:bCs/>
              <w:noProof/>
            </w:rPr>
            <w:fldChar w:fldCharType="end"/>
          </w:r>
        </w:p>
      </w:sdtContent>
    </w:sdt>
    <w:p w14:paraId="2E0909B6" w14:textId="77777777" w:rsidR="000F7214" w:rsidRPr="00587371" w:rsidRDefault="000F7214" w:rsidP="000F7214">
      <w:pPr>
        <w:spacing w:line="360" w:lineRule="auto"/>
        <w:jc w:val="both"/>
        <w:rPr>
          <w:rFonts w:cs="Times New Roman"/>
          <w:lang w:val="en-IN"/>
        </w:rPr>
      </w:pPr>
    </w:p>
    <w:p w14:paraId="2BC65513" w14:textId="77777777" w:rsidR="000F7214" w:rsidRPr="00587371" w:rsidRDefault="000F7214" w:rsidP="000F7214">
      <w:pPr>
        <w:spacing w:line="360" w:lineRule="auto"/>
        <w:jc w:val="both"/>
        <w:rPr>
          <w:rFonts w:cs="Times New Roman"/>
          <w:lang w:val="en-IN"/>
        </w:rPr>
      </w:pPr>
    </w:p>
    <w:p w14:paraId="72BA7817" w14:textId="77777777" w:rsidR="000F7214" w:rsidRPr="00587371" w:rsidRDefault="000F7214" w:rsidP="000F7214">
      <w:pPr>
        <w:spacing w:line="360" w:lineRule="auto"/>
        <w:jc w:val="both"/>
        <w:rPr>
          <w:rFonts w:cs="Times New Roman"/>
          <w:lang w:val="en-IN"/>
        </w:rPr>
      </w:pPr>
    </w:p>
    <w:p w14:paraId="769E016A" w14:textId="77777777" w:rsidR="000F7214" w:rsidRPr="00587371" w:rsidRDefault="000F7214" w:rsidP="000F7214">
      <w:pPr>
        <w:spacing w:line="360" w:lineRule="auto"/>
        <w:jc w:val="both"/>
        <w:rPr>
          <w:rFonts w:cs="Times New Roman"/>
          <w:lang w:val="en-IN"/>
        </w:rPr>
      </w:pPr>
    </w:p>
    <w:p w14:paraId="26A9317A" w14:textId="77777777" w:rsidR="000F7214" w:rsidRPr="00587371" w:rsidRDefault="000F7214" w:rsidP="000F7214">
      <w:pPr>
        <w:spacing w:line="360" w:lineRule="auto"/>
        <w:jc w:val="both"/>
        <w:rPr>
          <w:rFonts w:cs="Times New Roman"/>
          <w:lang w:val="en-IN"/>
        </w:rPr>
      </w:pPr>
    </w:p>
    <w:p w14:paraId="43DBD370" w14:textId="77777777" w:rsidR="000F7214" w:rsidRPr="00587371" w:rsidRDefault="000F7214" w:rsidP="000F7214">
      <w:pPr>
        <w:spacing w:line="360" w:lineRule="auto"/>
        <w:jc w:val="both"/>
        <w:rPr>
          <w:rFonts w:cs="Times New Roman"/>
          <w:lang w:val="en-IN"/>
        </w:rPr>
      </w:pPr>
    </w:p>
    <w:p w14:paraId="634B396A" w14:textId="77777777" w:rsidR="000F7214" w:rsidRPr="00587371" w:rsidRDefault="000F7214" w:rsidP="000F7214">
      <w:pPr>
        <w:spacing w:line="360" w:lineRule="auto"/>
        <w:jc w:val="both"/>
        <w:rPr>
          <w:rFonts w:cs="Times New Roman"/>
          <w:lang w:val="en-IN"/>
        </w:rPr>
      </w:pPr>
    </w:p>
    <w:p w14:paraId="57E68D85" w14:textId="77777777" w:rsidR="000F7214" w:rsidRPr="00587371" w:rsidRDefault="000F7214" w:rsidP="000F7214">
      <w:pPr>
        <w:spacing w:line="360" w:lineRule="auto"/>
        <w:jc w:val="both"/>
        <w:rPr>
          <w:rFonts w:cs="Times New Roman"/>
          <w:lang w:val="en-IN"/>
        </w:rPr>
      </w:pPr>
    </w:p>
    <w:p w14:paraId="42D00461" w14:textId="77777777" w:rsidR="000F7214" w:rsidRPr="00587371" w:rsidRDefault="000F7214" w:rsidP="000F7214">
      <w:pPr>
        <w:spacing w:line="360" w:lineRule="auto"/>
        <w:jc w:val="both"/>
        <w:rPr>
          <w:rFonts w:cs="Times New Roman"/>
          <w:lang w:val="en-IN"/>
        </w:rPr>
      </w:pPr>
    </w:p>
    <w:p w14:paraId="4144C7A4" w14:textId="77777777" w:rsidR="000F7214" w:rsidRPr="00587371" w:rsidRDefault="000F7214" w:rsidP="000F7214">
      <w:pPr>
        <w:spacing w:line="360" w:lineRule="auto"/>
        <w:jc w:val="both"/>
        <w:rPr>
          <w:rFonts w:cs="Times New Roman"/>
          <w:lang w:val="en-IN"/>
        </w:rPr>
      </w:pPr>
    </w:p>
    <w:p w14:paraId="06ABC695" w14:textId="77777777" w:rsidR="000F7214" w:rsidRPr="00587371" w:rsidRDefault="000F7214" w:rsidP="000F7214">
      <w:pPr>
        <w:spacing w:line="360" w:lineRule="auto"/>
        <w:jc w:val="both"/>
        <w:rPr>
          <w:rFonts w:cs="Times New Roman"/>
          <w:lang w:val="en-IN"/>
        </w:rPr>
      </w:pPr>
    </w:p>
    <w:p w14:paraId="06EDFA1B" w14:textId="77777777" w:rsidR="000F7214" w:rsidRPr="00587371" w:rsidRDefault="000F7214" w:rsidP="000F7214">
      <w:pPr>
        <w:spacing w:line="360" w:lineRule="auto"/>
        <w:jc w:val="both"/>
        <w:rPr>
          <w:rFonts w:cs="Times New Roman"/>
          <w:lang w:val="en-IN"/>
        </w:rPr>
      </w:pPr>
    </w:p>
    <w:p w14:paraId="72A08538" w14:textId="77777777" w:rsidR="000F7214" w:rsidRPr="00587371" w:rsidRDefault="000F7214" w:rsidP="000F7214">
      <w:pPr>
        <w:spacing w:line="360" w:lineRule="auto"/>
        <w:jc w:val="both"/>
        <w:rPr>
          <w:rFonts w:cs="Times New Roman"/>
          <w:lang w:val="en-IN"/>
        </w:rPr>
      </w:pPr>
    </w:p>
    <w:p w14:paraId="1323A404" w14:textId="77777777" w:rsidR="000F7214" w:rsidRPr="00587371" w:rsidRDefault="000F7214" w:rsidP="000F7214">
      <w:pPr>
        <w:spacing w:line="360" w:lineRule="auto"/>
        <w:jc w:val="both"/>
        <w:rPr>
          <w:rFonts w:cs="Times New Roman"/>
          <w:lang w:val="en-IN"/>
        </w:rPr>
      </w:pPr>
    </w:p>
    <w:p w14:paraId="5957EBDE" w14:textId="77777777" w:rsidR="000F7214" w:rsidRPr="00587371" w:rsidRDefault="000F7214" w:rsidP="000F7214">
      <w:pPr>
        <w:spacing w:line="360" w:lineRule="auto"/>
        <w:jc w:val="both"/>
        <w:rPr>
          <w:rFonts w:cs="Times New Roman"/>
          <w:lang w:val="en-IN"/>
        </w:rPr>
      </w:pPr>
    </w:p>
    <w:p w14:paraId="1D008941" w14:textId="77777777" w:rsidR="000F7214" w:rsidRPr="00587371" w:rsidRDefault="000F7214" w:rsidP="000F7214">
      <w:pPr>
        <w:spacing w:line="360" w:lineRule="auto"/>
        <w:jc w:val="both"/>
        <w:rPr>
          <w:rFonts w:cs="Times New Roman"/>
          <w:lang w:val="en-IN"/>
        </w:rPr>
      </w:pPr>
    </w:p>
    <w:p w14:paraId="389E41C7" w14:textId="77777777" w:rsidR="000F7214" w:rsidRPr="00587371" w:rsidRDefault="000F7214" w:rsidP="000F7214">
      <w:pPr>
        <w:spacing w:line="360" w:lineRule="auto"/>
        <w:jc w:val="both"/>
        <w:rPr>
          <w:rFonts w:cs="Times New Roman"/>
          <w:lang w:val="en-IN"/>
        </w:rPr>
      </w:pPr>
    </w:p>
    <w:p w14:paraId="2A4E4DDB" w14:textId="77777777" w:rsidR="000F7214" w:rsidRPr="00587371" w:rsidRDefault="000F7214" w:rsidP="000F7214">
      <w:pPr>
        <w:spacing w:line="360" w:lineRule="auto"/>
        <w:jc w:val="both"/>
        <w:rPr>
          <w:rFonts w:cs="Times New Roman"/>
          <w:lang w:val="en-IN"/>
        </w:rPr>
      </w:pPr>
    </w:p>
    <w:p w14:paraId="190D86E1" w14:textId="77777777" w:rsidR="000F7214" w:rsidRPr="00587371" w:rsidRDefault="000F7214" w:rsidP="000F7214">
      <w:pPr>
        <w:spacing w:line="360" w:lineRule="auto"/>
        <w:jc w:val="both"/>
        <w:rPr>
          <w:rFonts w:cs="Times New Roman"/>
          <w:lang w:val="en-IN"/>
        </w:rPr>
      </w:pPr>
    </w:p>
    <w:p w14:paraId="36FC21AF" w14:textId="77777777" w:rsidR="000F7214" w:rsidRPr="00587371" w:rsidRDefault="000F7214" w:rsidP="000F7214">
      <w:pPr>
        <w:spacing w:line="360" w:lineRule="auto"/>
        <w:jc w:val="both"/>
        <w:rPr>
          <w:rFonts w:cs="Times New Roman"/>
          <w:lang w:val="en-IN"/>
        </w:rPr>
      </w:pPr>
    </w:p>
    <w:p w14:paraId="01A4F60B" w14:textId="77777777" w:rsidR="000F7214" w:rsidRPr="00587371" w:rsidRDefault="000F7214" w:rsidP="000F7214">
      <w:pPr>
        <w:spacing w:line="360" w:lineRule="auto"/>
        <w:jc w:val="both"/>
        <w:rPr>
          <w:rFonts w:cs="Times New Roman"/>
          <w:lang w:val="en-IN"/>
        </w:rPr>
      </w:pPr>
    </w:p>
    <w:p w14:paraId="307FB1B4" w14:textId="77777777" w:rsidR="000F7214" w:rsidRPr="00587371" w:rsidRDefault="000F7214" w:rsidP="000F7214">
      <w:pPr>
        <w:spacing w:line="360" w:lineRule="auto"/>
        <w:jc w:val="both"/>
        <w:rPr>
          <w:rFonts w:cs="Times New Roman"/>
          <w:lang w:val="en-IN"/>
        </w:rPr>
      </w:pPr>
    </w:p>
    <w:p w14:paraId="2DD11897" w14:textId="77777777" w:rsidR="000F7214" w:rsidRPr="00587371" w:rsidRDefault="000F7214" w:rsidP="000F7214">
      <w:pPr>
        <w:spacing w:line="360" w:lineRule="auto"/>
        <w:jc w:val="both"/>
        <w:rPr>
          <w:rFonts w:cs="Times New Roman"/>
          <w:lang w:val="en-IN"/>
        </w:rPr>
      </w:pPr>
    </w:p>
    <w:p w14:paraId="49A921CC" w14:textId="77777777" w:rsidR="000F7214" w:rsidRPr="00587371" w:rsidRDefault="000F7214" w:rsidP="000F7214">
      <w:pPr>
        <w:spacing w:line="360" w:lineRule="auto"/>
        <w:jc w:val="both"/>
        <w:rPr>
          <w:rFonts w:cs="Times New Roman"/>
          <w:lang w:val="en-IN"/>
        </w:rPr>
      </w:pPr>
    </w:p>
    <w:p w14:paraId="7882757F" w14:textId="77777777" w:rsidR="000F7214" w:rsidRPr="00587371" w:rsidRDefault="000F7214" w:rsidP="000F7214">
      <w:pPr>
        <w:spacing w:line="360" w:lineRule="auto"/>
        <w:jc w:val="both"/>
        <w:rPr>
          <w:rFonts w:cs="Times New Roman"/>
          <w:lang w:val="en-IN"/>
        </w:rPr>
      </w:pPr>
    </w:p>
    <w:p w14:paraId="3FE27E53" w14:textId="77777777" w:rsidR="000F7214" w:rsidRPr="00587371" w:rsidRDefault="000F7214" w:rsidP="000F7214">
      <w:pPr>
        <w:spacing w:line="360" w:lineRule="auto"/>
        <w:jc w:val="both"/>
        <w:rPr>
          <w:rFonts w:cs="Times New Roman"/>
          <w:lang w:val="en-IN"/>
        </w:rPr>
      </w:pPr>
    </w:p>
    <w:p w14:paraId="6F151349" w14:textId="77777777" w:rsidR="000F7214" w:rsidRPr="00587371" w:rsidRDefault="000F7214" w:rsidP="000F7214">
      <w:pPr>
        <w:spacing w:line="360" w:lineRule="auto"/>
        <w:jc w:val="both"/>
        <w:rPr>
          <w:rFonts w:cs="Times New Roman"/>
          <w:lang w:val="en-IN"/>
        </w:rPr>
      </w:pPr>
    </w:p>
    <w:p w14:paraId="1691CF42" w14:textId="77777777" w:rsidR="00064DC8" w:rsidRPr="00587371" w:rsidRDefault="00064DC8" w:rsidP="00FE0C75">
      <w:pPr>
        <w:pStyle w:val="Heading1"/>
        <w:spacing w:line="360" w:lineRule="auto"/>
        <w:jc w:val="both"/>
        <w:rPr>
          <w:rFonts w:cs="Times New Roman"/>
          <w:color w:val="auto"/>
          <w:szCs w:val="24"/>
        </w:rPr>
      </w:pPr>
      <w:bookmarkStart w:id="0" w:name="_Toc211356250"/>
      <w:r w:rsidRPr="00587371">
        <w:rPr>
          <w:rFonts w:cs="Times New Roman"/>
          <w:color w:val="auto"/>
          <w:szCs w:val="24"/>
        </w:rPr>
        <w:lastRenderedPageBreak/>
        <w:t>1. Introduction</w:t>
      </w:r>
      <w:bookmarkEnd w:id="0"/>
    </w:p>
    <w:p w14:paraId="72C8D4A4" w14:textId="428C5103"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w:t>
      </w:r>
      <w:r w:rsidR="004B6185">
        <w:rPr>
          <w:rFonts w:cs="Times New Roman"/>
          <w:lang w:eastAsia="en-GB"/>
        </w:rPr>
        <w:t>UK government's counter-terrorism plan, CONTEST, includes four interdependent strands:</w:t>
      </w:r>
      <w:r w:rsidRPr="00587371">
        <w:rPr>
          <w:rFonts w:cs="Times New Roman"/>
          <w:lang w:eastAsia="en-GB"/>
        </w:rPr>
        <w:t xml:space="preserve"> Prevent, Pursue, Protect, and Prepare (HM Government, 2023). The Prevent strand is aimed at preventing the development of the individual into a terrorist or terrorist-sponsoring person. The police are in the middle of the </w:t>
      </w:r>
      <w:r w:rsidR="00027AB7">
        <w:rPr>
          <w:rFonts w:cs="Times New Roman"/>
          <w:lang w:eastAsia="en-GB"/>
        </w:rPr>
        <w:t>centre</w:t>
      </w:r>
      <w:r w:rsidRPr="00587371">
        <w:rPr>
          <w:rFonts w:cs="Times New Roman"/>
          <w:lang w:eastAsia="en-GB"/>
        </w:rPr>
        <w:t xml:space="preserve"> but </w:t>
      </w:r>
      <w:r w:rsidR="00027AB7">
        <w:rPr>
          <w:rFonts w:cs="Times New Roman"/>
          <w:lang w:eastAsia="en-GB"/>
        </w:rPr>
        <w:t xml:space="preserve">have a </w:t>
      </w:r>
      <w:r w:rsidRPr="00587371">
        <w:rPr>
          <w:rFonts w:cs="Times New Roman"/>
          <w:lang w:eastAsia="en-GB"/>
        </w:rPr>
        <w:t>contested role within this framework. Not only are they enforcers of the law, but also early signs of vulnerability, risk evaluators, and stakeholders in the multi-agency protection of work.</w:t>
      </w:r>
    </w:p>
    <w:p w14:paraId="1D92843A" w14:textId="4C8116B4"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review examines the role of the UK police forces in supporting the Prevent strand of CONTEST and the challenges they experience in ensuring successful implementation. The discussion uses the CONTEST 2023 strategy, the guide of </w:t>
      </w:r>
      <w:r w:rsidR="00027AB7">
        <w:rPr>
          <w:rFonts w:cs="Times New Roman"/>
          <w:lang w:eastAsia="en-GB"/>
        </w:rPr>
        <w:t xml:space="preserve">the </w:t>
      </w:r>
      <w:r w:rsidRPr="00587371">
        <w:rPr>
          <w:rFonts w:cs="Times New Roman"/>
          <w:lang w:eastAsia="en-GB"/>
        </w:rPr>
        <w:t xml:space="preserve">Home Office, and the newest peer-reviewed and inspection literature (2018-2025). The discussion </w:t>
      </w:r>
      <w:proofErr w:type="gramStart"/>
      <w:r w:rsidRPr="00587371">
        <w:rPr>
          <w:rFonts w:cs="Times New Roman"/>
          <w:lang w:eastAsia="en-GB"/>
        </w:rPr>
        <w:t>takes into account</w:t>
      </w:r>
      <w:proofErr w:type="gramEnd"/>
      <w:r w:rsidRPr="00587371">
        <w:rPr>
          <w:rFonts w:cs="Times New Roman"/>
          <w:lang w:eastAsia="en-GB"/>
        </w:rPr>
        <w:t xml:space="preserve"> the balance between counter-terrorism goals and the following goals within the police participation</w:t>
      </w:r>
      <w:r w:rsidR="00027AB7">
        <w:rPr>
          <w:rFonts w:cs="Times New Roman"/>
          <w:lang w:eastAsia="en-GB"/>
        </w:rPr>
        <w:t>:</w:t>
      </w:r>
      <w:r w:rsidRPr="00587371">
        <w:rPr>
          <w:rFonts w:cs="Times New Roman"/>
          <w:lang w:eastAsia="en-GB"/>
        </w:rPr>
        <w:t xml:space="preserve"> community engagement, protection, and the respect of civil liberties.</w:t>
      </w:r>
    </w:p>
    <w:p w14:paraId="18E7673C" w14:textId="5DD4BFAE" w:rsidR="00DF2E4C" w:rsidRPr="00587371" w:rsidRDefault="00DF2E4C" w:rsidP="00FE0C75">
      <w:pPr>
        <w:spacing w:line="360" w:lineRule="auto"/>
        <w:jc w:val="both"/>
        <w:rPr>
          <w:rFonts w:cs="Times New Roman"/>
          <w:lang w:eastAsia="en-GB"/>
        </w:rPr>
      </w:pPr>
      <w:r w:rsidRPr="00587371">
        <w:rPr>
          <w:rFonts w:cs="Times New Roman"/>
          <w:lang w:eastAsia="en-GB"/>
        </w:rPr>
        <w:t xml:space="preserve">The relevance of this research can be put into context through the great Islamist-related terrorist cases that influenced the counter-terrorism policy in the UK. As an example, the failure of the early detection of radicalisation and the resultant Fishmongers' Hall attack in 2017 and the 2019 Manchester bombing of the arena each showed that the Prevent strand received renewed attention (HM Government, 2023). These </w:t>
      </w:r>
      <w:r w:rsidR="00027AB7">
        <w:rPr>
          <w:rFonts w:cs="Times New Roman"/>
          <w:lang w:eastAsia="en-GB"/>
        </w:rPr>
        <w:t>incidents</w:t>
      </w:r>
      <w:r w:rsidRPr="00587371">
        <w:rPr>
          <w:rFonts w:cs="Times New Roman"/>
          <w:lang w:eastAsia="en-GB"/>
        </w:rPr>
        <w:t xml:space="preserve"> strengthened the need to have community engagement with the police and early intervention </w:t>
      </w:r>
      <w:r w:rsidR="00420074">
        <w:rPr>
          <w:rFonts w:cs="Times New Roman"/>
          <w:lang w:eastAsia="en-GB"/>
        </w:rPr>
        <w:t>to</w:t>
      </w:r>
      <w:r w:rsidRPr="00587371">
        <w:rPr>
          <w:rFonts w:cs="Times New Roman"/>
          <w:lang w:eastAsia="en-GB"/>
        </w:rPr>
        <w:t xml:space="preserve"> </w:t>
      </w:r>
      <w:r w:rsidR="00420074">
        <w:rPr>
          <w:rFonts w:cs="Times New Roman"/>
          <w:lang w:eastAsia="en-GB"/>
        </w:rPr>
        <w:t>recognise</w:t>
      </w:r>
      <w:r w:rsidRPr="00587371">
        <w:rPr>
          <w:rFonts w:cs="Times New Roman"/>
          <w:lang w:eastAsia="en-GB"/>
        </w:rPr>
        <w:t xml:space="preserve"> those people who are susceptible to extremist doctrines, before they go on to perpetrate violence. Therefore, this paper pays specific attention to the Prevent policing in the form of Islamist extremism and its practical challenges.</w:t>
      </w:r>
    </w:p>
    <w:p w14:paraId="00702B30" w14:textId="77777777" w:rsidR="00064DC8" w:rsidRPr="00587371" w:rsidRDefault="00064DC8" w:rsidP="00FE0C75">
      <w:pPr>
        <w:spacing w:line="360" w:lineRule="auto"/>
        <w:jc w:val="both"/>
        <w:rPr>
          <w:rFonts w:cs="Times New Roman"/>
          <w:lang w:eastAsia="en-GB"/>
        </w:rPr>
      </w:pPr>
      <w:r w:rsidRPr="00587371">
        <w:rPr>
          <w:rFonts w:cs="Times New Roman"/>
          <w:lang w:eastAsia="en-GB"/>
        </w:rPr>
        <w:t>The review is divided into six sections:</w:t>
      </w:r>
    </w:p>
    <w:p w14:paraId="6A35815D" w14:textId="77777777" w:rsidR="00064DC8" w:rsidRPr="00587371" w:rsidRDefault="00064DC8" w:rsidP="00FE0C75">
      <w:pPr>
        <w:pStyle w:val="ListParagraph"/>
        <w:numPr>
          <w:ilvl w:val="0"/>
          <w:numId w:val="37"/>
        </w:numPr>
        <w:spacing w:line="360" w:lineRule="auto"/>
        <w:jc w:val="both"/>
        <w:rPr>
          <w:rFonts w:cs="Times New Roman"/>
          <w:lang w:eastAsia="en-GB"/>
        </w:rPr>
      </w:pPr>
      <w:r w:rsidRPr="00587371">
        <w:rPr>
          <w:rFonts w:cs="Times New Roman"/>
          <w:lang w:eastAsia="en-GB"/>
        </w:rPr>
        <w:t>Policy and theoretical context</w:t>
      </w:r>
    </w:p>
    <w:p w14:paraId="21B0BE14" w14:textId="77777777" w:rsidR="00064DC8" w:rsidRPr="00587371" w:rsidRDefault="00064DC8" w:rsidP="00FE0C75">
      <w:pPr>
        <w:pStyle w:val="ListParagraph"/>
        <w:numPr>
          <w:ilvl w:val="0"/>
          <w:numId w:val="37"/>
        </w:numPr>
        <w:spacing w:line="360" w:lineRule="auto"/>
        <w:jc w:val="both"/>
        <w:rPr>
          <w:rFonts w:cs="Times New Roman"/>
          <w:lang w:eastAsia="en-GB"/>
        </w:rPr>
      </w:pPr>
      <w:r w:rsidRPr="00587371">
        <w:rPr>
          <w:rFonts w:cs="Times New Roman"/>
          <w:lang w:eastAsia="en-GB"/>
        </w:rPr>
        <w:t>Police roles and responsibilities</w:t>
      </w:r>
    </w:p>
    <w:p w14:paraId="1478DCC9" w14:textId="77777777" w:rsidR="00064DC8" w:rsidRPr="00587371" w:rsidRDefault="00064DC8" w:rsidP="00FE0C75">
      <w:pPr>
        <w:pStyle w:val="ListParagraph"/>
        <w:numPr>
          <w:ilvl w:val="0"/>
          <w:numId w:val="37"/>
        </w:numPr>
        <w:spacing w:line="360" w:lineRule="auto"/>
        <w:jc w:val="both"/>
        <w:rPr>
          <w:rFonts w:cs="Times New Roman"/>
          <w:lang w:eastAsia="en-GB"/>
        </w:rPr>
      </w:pPr>
      <w:r w:rsidRPr="00587371">
        <w:rPr>
          <w:rFonts w:cs="Times New Roman"/>
          <w:lang w:eastAsia="en-GB"/>
        </w:rPr>
        <w:t>Evidence of effectiveness</w:t>
      </w:r>
    </w:p>
    <w:p w14:paraId="7BBAC47C" w14:textId="77777777" w:rsidR="00064DC8" w:rsidRPr="00587371" w:rsidRDefault="00064DC8" w:rsidP="00FE0C75">
      <w:pPr>
        <w:pStyle w:val="ListParagraph"/>
        <w:numPr>
          <w:ilvl w:val="0"/>
          <w:numId w:val="37"/>
        </w:numPr>
        <w:spacing w:line="360" w:lineRule="auto"/>
        <w:jc w:val="both"/>
        <w:rPr>
          <w:rFonts w:cs="Times New Roman"/>
          <w:lang w:eastAsia="en-GB"/>
        </w:rPr>
      </w:pPr>
      <w:r w:rsidRPr="00587371">
        <w:rPr>
          <w:rFonts w:cs="Times New Roman"/>
          <w:lang w:eastAsia="en-GB"/>
        </w:rPr>
        <w:t>Challenges and critiques</w:t>
      </w:r>
    </w:p>
    <w:p w14:paraId="4710D576" w14:textId="77777777" w:rsidR="00064DC8" w:rsidRPr="00587371" w:rsidRDefault="00064DC8" w:rsidP="00FE0C75">
      <w:pPr>
        <w:pStyle w:val="ListParagraph"/>
        <w:numPr>
          <w:ilvl w:val="0"/>
          <w:numId w:val="37"/>
        </w:numPr>
        <w:spacing w:line="360" w:lineRule="auto"/>
        <w:jc w:val="both"/>
        <w:rPr>
          <w:rFonts w:cs="Times New Roman"/>
          <w:lang w:eastAsia="en-GB"/>
        </w:rPr>
      </w:pPr>
      <w:r w:rsidRPr="00587371">
        <w:rPr>
          <w:rFonts w:cs="Times New Roman"/>
          <w:lang w:eastAsia="en-GB"/>
        </w:rPr>
        <w:t>Conclusion and implications</w:t>
      </w:r>
    </w:p>
    <w:p w14:paraId="6BD9F8FD" w14:textId="01B56733"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review is methodologically based on secondary analysis of government reports and academic studies, and reliable NGO evidence, where the preference is placed on open-access and recent sources. </w:t>
      </w:r>
    </w:p>
    <w:p w14:paraId="2431FC0C" w14:textId="77777777" w:rsidR="00FE0C75" w:rsidRPr="00587371" w:rsidRDefault="00FE0C75" w:rsidP="00FE0C75">
      <w:pPr>
        <w:spacing w:after="200" w:line="360" w:lineRule="auto"/>
        <w:jc w:val="both"/>
        <w:rPr>
          <w:rFonts w:eastAsiaTheme="majorEastAsia" w:cs="Times New Roman"/>
          <w:b/>
          <w:bCs/>
        </w:rPr>
      </w:pPr>
      <w:r w:rsidRPr="00587371">
        <w:rPr>
          <w:rFonts w:cs="Times New Roman"/>
        </w:rPr>
        <w:br w:type="page"/>
      </w:r>
    </w:p>
    <w:p w14:paraId="2C9F0ED5" w14:textId="77777777" w:rsidR="00064DC8" w:rsidRPr="00587371" w:rsidRDefault="00064DC8" w:rsidP="00FE0C75">
      <w:pPr>
        <w:pStyle w:val="Heading1"/>
        <w:spacing w:line="360" w:lineRule="auto"/>
        <w:jc w:val="both"/>
        <w:rPr>
          <w:rFonts w:cs="Times New Roman"/>
          <w:color w:val="auto"/>
          <w:szCs w:val="24"/>
        </w:rPr>
      </w:pPr>
      <w:bookmarkStart w:id="1" w:name="_Toc211356251"/>
      <w:r w:rsidRPr="00587371">
        <w:rPr>
          <w:rFonts w:cs="Times New Roman"/>
          <w:color w:val="auto"/>
          <w:szCs w:val="24"/>
        </w:rPr>
        <w:lastRenderedPageBreak/>
        <w:t>2. Policy &amp; Theoretical Context</w:t>
      </w:r>
      <w:bookmarkEnd w:id="1"/>
    </w:p>
    <w:p w14:paraId="6D08DD3D"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2.1 The CONTEST and Prevent Framework</w:t>
      </w:r>
    </w:p>
    <w:p w14:paraId="081C6187" w14:textId="6C395361"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revised CONTEST 2023 plan re-establishes the priorities of </w:t>
      </w:r>
      <w:proofErr w:type="gramStart"/>
      <w:r w:rsidRPr="00587371">
        <w:rPr>
          <w:rFonts w:cs="Times New Roman"/>
          <w:lang w:eastAsia="en-GB"/>
        </w:rPr>
        <w:t>counter-terrorism</w:t>
      </w:r>
      <w:proofErr w:type="gramEnd"/>
      <w:r w:rsidRPr="00587371">
        <w:rPr>
          <w:rFonts w:cs="Times New Roman"/>
          <w:lang w:eastAsia="en-GB"/>
        </w:rPr>
        <w:t xml:space="preserve"> in the UK to take into consideration the new threats, such as radicalisation on the internet or hybrid ideological movements. According to the definitions by the HM Government (2023), the Prevent strand is a protective measure that tries to make people less vulnerable to extremist ideologies, and helps individuals prior to their harmful behaviour.</w:t>
      </w:r>
    </w:p>
    <w:p w14:paraId="43D62EF7" w14:textId="0C2FE969"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legal obligation of the Prevent Duty, established under the </w:t>
      </w:r>
      <w:proofErr w:type="gramStart"/>
      <w:r w:rsidR="00E77DDF">
        <w:rPr>
          <w:rFonts w:cs="Times New Roman"/>
          <w:lang w:eastAsia="en-GB"/>
        </w:rPr>
        <w:t>Counter-Terrorism</w:t>
      </w:r>
      <w:proofErr w:type="gramEnd"/>
      <w:r w:rsidRPr="00587371">
        <w:rPr>
          <w:rFonts w:cs="Times New Roman"/>
          <w:lang w:eastAsia="en-GB"/>
        </w:rPr>
        <w:t xml:space="preserve"> and </w:t>
      </w:r>
      <w:r w:rsidR="00E77DDF">
        <w:rPr>
          <w:rFonts w:cs="Times New Roman"/>
          <w:lang w:eastAsia="en-GB"/>
        </w:rPr>
        <w:t>Security Act</w:t>
      </w:r>
      <w:r w:rsidRPr="00587371">
        <w:rPr>
          <w:rFonts w:cs="Times New Roman"/>
          <w:lang w:eastAsia="en-GB"/>
        </w:rPr>
        <w:t xml:space="preserve"> of 2015, is to ensure that the specified authorities</w:t>
      </w:r>
      <w:r w:rsidR="00E77DDF">
        <w:rPr>
          <w:rFonts w:cs="Times New Roman"/>
          <w:lang w:eastAsia="en-GB"/>
        </w:rPr>
        <w:t>,</w:t>
      </w:r>
      <w:r w:rsidRPr="00587371">
        <w:rPr>
          <w:rFonts w:cs="Times New Roman"/>
          <w:lang w:eastAsia="en-GB"/>
        </w:rPr>
        <w:t xml:space="preserve"> such as police, health, and education</w:t>
      </w:r>
      <w:r w:rsidR="00E77DDF">
        <w:rPr>
          <w:rFonts w:cs="Times New Roman"/>
          <w:lang w:eastAsia="en-GB"/>
        </w:rPr>
        <w:t>,</w:t>
      </w:r>
      <w:r w:rsidRPr="00587371">
        <w:rPr>
          <w:rFonts w:cs="Times New Roman"/>
          <w:lang w:eastAsia="en-GB"/>
        </w:rPr>
        <w:t xml:space="preserve"> prevent individuals who are drawn into terrorism (Lang, 2022). The police are a critical gateway agency since they receive, assess, and triage Prevent referrals. The collaborative ethos of Prevent can be reflected in the Channel Programme that serves as the multi-agency system of handling individual cases.</w:t>
      </w:r>
    </w:p>
    <w:p w14:paraId="0AD4990B" w14:textId="4C31733B"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National Referral Form (NRF) is a standard form </w:t>
      </w:r>
      <w:r w:rsidR="003D5E98">
        <w:rPr>
          <w:rFonts w:cs="Times New Roman"/>
          <w:lang w:eastAsia="en-GB"/>
        </w:rPr>
        <w:t>for</w:t>
      </w:r>
      <w:r w:rsidRPr="00587371">
        <w:rPr>
          <w:rFonts w:cs="Times New Roman"/>
          <w:lang w:eastAsia="en-GB"/>
        </w:rPr>
        <w:t xml:space="preserve"> collecting information and vulnerability evaluation among agencies. The NRF is used by police Prevent teams to identify whether the individuals referred to them have reached the threshold of the Channel intervention or can be handled by other support programs. This formality is to be used to bring uniformity and responsibility throughout England and Wales.</w:t>
      </w:r>
    </w:p>
    <w:p w14:paraId="18FFF046" w14:textId="29F5DBB5" w:rsidR="00064DC8" w:rsidRPr="00587371" w:rsidRDefault="00064DC8" w:rsidP="00FE0C75">
      <w:pPr>
        <w:spacing w:line="360" w:lineRule="auto"/>
        <w:jc w:val="both"/>
        <w:rPr>
          <w:rFonts w:cs="Times New Roman"/>
          <w:b/>
          <w:lang w:eastAsia="en-GB"/>
        </w:rPr>
      </w:pPr>
      <w:r w:rsidRPr="00587371">
        <w:rPr>
          <w:rFonts w:cs="Times New Roman"/>
          <w:b/>
          <w:lang w:eastAsia="en-GB"/>
        </w:rPr>
        <w:t xml:space="preserve">2.2 Theoretical Perspectives and </w:t>
      </w:r>
      <w:r w:rsidR="003D5E98">
        <w:rPr>
          <w:rFonts w:cs="Times New Roman"/>
          <w:b/>
          <w:lang w:eastAsia="en-GB"/>
        </w:rPr>
        <w:t>Critical</w:t>
      </w:r>
      <w:r w:rsidRPr="00587371">
        <w:rPr>
          <w:rFonts w:cs="Times New Roman"/>
          <w:b/>
          <w:lang w:eastAsia="en-GB"/>
        </w:rPr>
        <w:t xml:space="preserve"> Debates</w:t>
      </w:r>
    </w:p>
    <w:p w14:paraId="2DB16687" w14:textId="77777777" w:rsidR="00064DC8" w:rsidRPr="00587371" w:rsidRDefault="00064DC8" w:rsidP="00FE0C75">
      <w:pPr>
        <w:spacing w:line="360" w:lineRule="auto"/>
        <w:jc w:val="both"/>
        <w:rPr>
          <w:rFonts w:cs="Times New Roman"/>
          <w:lang w:eastAsia="en-GB"/>
        </w:rPr>
      </w:pPr>
      <w:r w:rsidRPr="00587371">
        <w:rPr>
          <w:rFonts w:cs="Times New Roman"/>
          <w:lang w:eastAsia="en-GB"/>
        </w:rPr>
        <w:t>The philosophy of Prevent may be discussed in several theoretical ways.</w:t>
      </w:r>
    </w:p>
    <w:p w14:paraId="09B70C42" w14:textId="2510AC50" w:rsidR="00064DC8" w:rsidRPr="00587371" w:rsidRDefault="00064DC8" w:rsidP="00FE0C75">
      <w:pPr>
        <w:pStyle w:val="ListParagraph"/>
        <w:numPr>
          <w:ilvl w:val="0"/>
          <w:numId w:val="38"/>
        </w:numPr>
        <w:spacing w:line="360" w:lineRule="auto"/>
        <w:jc w:val="both"/>
        <w:rPr>
          <w:rFonts w:cs="Times New Roman"/>
          <w:lang w:eastAsia="en-GB"/>
        </w:rPr>
      </w:pPr>
      <w:r w:rsidRPr="00587371">
        <w:rPr>
          <w:rFonts w:cs="Times New Roman"/>
          <w:lang w:eastAsia="en-GB"/>
        </w:rPr>
        <w:t xml:space="preserve">Securitisation theory: Floyd et al. (2022) </w:t>
      </w:r>
      <w:r w:rsidR="00FE0C75" w:rsidRPr="00587371">
        <w:rPr>
          <w:rFonts w:cs="Times New Roman"/>
          <w:lang w:eastAsia="en-GB"/>
        </w:rPr>
        <w:t>describe</w:t>
      </w:r>
      <w:r w:rsidRPr="00587371">
        <w:rPr>
          <w:rFonts w:cs="Times New Roman"/>
          <w:lang w:eastAsia="en-GB"/>
        </w:rPr>
        <w:t xml:space="preserve"> the process of governments assembling some issues as threats </w:t>
      </w:r>
      <w:r w:rsidR="003D5E98">
        <w:rPr>
          <w:rFonts w:cs="Times New Roman"/>
          <w:lang w:eastAsia="en-GB"/>
        </w:rPr>
        <w:t>to</w:t>
      </w:r>
      <w:r w:rsidRPr="00587371">
        <w:rPr>
          <w:rFonts w:cs="Times New Roman"/>
          <w:lang w:eastAsia="en-GB"/>
        </w:rPr>
        <w:t xml:space="preserve"> security to warrant extraordinary actions. The concept of radicalisation being a security threat, not a social problem, enables the realm of policing to infiltrate the civic sphere and become a part of education and health care.</w:t>
      </w:r>
    </w:p>
    <w:p w14:paraId="4E5DF0D4" w14:textId="0F7F3944" w:rsidR="00064DC8" w:rsidRPr="00587371" w:rsidRDefault="00064DC8" w:rsidP="00FE0C75">
      <w:pPr>
        <w:pStyle w:val="ListParagraph"/>
        <w:numPr>
          <w:ilvl w:val="0"/>
          <w:numId w:val="38"/>
        </w:numPr>
        <w:spacing w:line="360" w:lineRule="auto"/>
        <w:jc w:val="both"/>
        <w:rPr>
          <w:rFonts w:cs="Times New Roman"/>
          <w:lang w:eastAsia="en-GB"/>
        </w:rPr>
      </w:pPr>
      <w:r w:rsidRPr="00587371">
        <w:rPr>
          <w:rFonts w:cs="Times New Roman"/>
          <w:lang w:eastAsia="en-GB"/>
        </w:rPr>
        <w:t>Procedural justice and the legitimacy theory Nagin and Telep (2020) state that people obey the law when they believe that authority is just and credible. This theory explains why trust and transparency are valuable in Prevent policing in order to win voluntary cooperation.</w:t>
      </w:r>
    </w:p>
    <w:p w14:paraId="04ECDF58" w14:textId="77777777" w:rsidR="00064DC8" w:rsidRPr="00587371" w:rsidRDefault="00064DC8" w:rsidP="00FE0C75">
      <w:pPr>
        <w:pStyle w:val="ListParagraph"/>
        <w:numPr>
          <w:ilvl w:val="0"/>
          <w:numId w:val="38"/>
        </w:numPr>
        <w:spacing w:line="360" w:lineRule="auto"/>
        <w:jc w:val="both"/>
        <w:rPr>
          <w:rFonts w:cs="Times New Roman"/>
          <w:lang w:eastAsia="en-GB"/>
        </w:rPr>
      </w:pPr>
      <w:r w:rsidRPr="00587371">
        <w:rPr>
          <w:rFonts w:cs="Times New Roman"/>
          <w:lang w:eastAsia="en-GB"/>
        </w:rPr>
        <w:t>Liberal paradox theory: Patrick et al. (2021) indicate the conflict between safeguarding civil liberties and collective security. Prevent will have to strike a balance between the freedom of expression and religion and counter-extremism.</w:t>
      </w:r>
    </w:p>
    <w:p w14:paraId="0E40DCC8" w14:textId="77777777" w:rsidR="00064DC8" w:rsidRPr="00587371" w:rsidRDefault="00064DC8" w:rsidP="00FE0C75">
      <w:pPr>
        <w:spacing w:line="360" w:lineRule="auto"/>
        <w:jc w:val="both"/>
        <w:rPr>
          <w:rFonts w:cs="Times New Roman"/>
          <w:lang w:eastAsia="en-GB"/>
        </w:rPr>
      </w:pPr>
      <w:r w:rsidRPr="00587371">
        <w:rPr>
          <w:rFonts w:cs="Times New Roman"/>
          <w:lang w:eastAsia="en-GB"/>
        </w:rPr>
        <w:lastRenderedPageBreak/>
        <w:t>Collectively, these views demonstrate the two-sidedness of Prevent policing, which is protective and intrusive and define the current legitimacy situation surrounding it.</w:t>
      </w:r>
    </w:p>
    <w:p w14:paraId="6962A5C4" w14:textId="77777777" w:rsidR="00064DC8" w:rsidRPr="00587371" w:rsidRDefault="00064DC8" w:rsidP="00FE0C75">
      <w:pPr>
        <w:pStyle w:val="Heading1"/>
        <w:spacing w:line="360" w:lineRule="auto"/>
        <w:jc w:val="both"/>
        <w:rPr>
          <w:rFonts w:cs="Times New Roman"/>
          <w:color w:val="auto"/>
          <w:szCs w:val="24"/>
          <w:lang w:eastAsia="en-GB"/>
        </w:rPr>
      </w:pPr>
      <w:bookmarkStart w:id="2" w:name="_Toc211356252"/>
      <w:r w:rsidRPr="00587371">
        <w:rPr>
          <w:rFonts w:cs="Times New Roman"/>
          <w:color w:val="auto"/>
          <w:szCs w:val="24"/>
          <w:lang w:eastAsia="en-GB"/>
        </w:rPr>
        <w:t>3. Role of Police in Prevent Implementation</w:t>
      </w:r>
      <w:bookmarkEnd w:id="2"/>
    </w:p>
    <w:p w14:paraId="087E4A7D" w14:textId="12F094E2" w:rsidR="00064DC8" w:rsidRPr="00587371" w:rsidRDefault="00064DC8" w:rsidP="00FE0C75">
      <w:pPr>
        <w:spacing w:line="360" w:lineRule="auto"/>
        <w:jc w:val="both"/>
        <w:rPr>
          <w:rFonts w:cs="Times New Roman"/>
          <w:lang w:eastAsia="en-GB"/>
        </w:rPr>
      </w:pPr>
      <w:r w:rsidRPr="00587371">
        <w:rPr>
          <w:rFonts w:cs="Times New Roman"/>
          <w:lang w:eastAsia="en-GB"/>
        </w:rPr>
        <w:t xml:space="preserve">Referrals and risk assessment, multi-agency coordination, officer training, </w:t>
      </w:r>
      <w:r w:rsidR="008B0F3E">
        <w:rPr>
          <w:rFonts w:cs="Times New Roman"/>
          <w:lang w:eastAsia="en-GB"/>
        </w:rPr>
        <w:t xml:space="preserve">and </w:t>
      </w:r>
      <w:r w:rsidRPr="00587371">
        <w:rPr>
          <w:rFonts w:cs="Times New Roman"/>
          <w:lang w:eastAsia="en-GB"/>
        </w:rPr>
        <w:t xml:space="preserve">community </w:t>
      </w:r>
      <w:r w:rsidR="008B0F3E">
        <w:rPr>
          <w:rFonts w:cs="Times New Roman"/>
          <w:lang w:eastAsia="en-GB"/>
        </w:rPr>
        <w:t>engagement</w:t>
      </w:r>
      <w:r w:rsidR="00FE0C75" w:rsidRPr="00587371">
        <w:rPr>
          <w:rFonts w:cs="Times New Roman"/>
          <w:lang w:eastAsia="en-GB"/>
        </w:rPr>
        <w:t xml:space="preserve"> are</w:t>
      </w:r>
      <w:r w:rsidRPr="00587371">
        <w:rPr>
          <w:rFonts w:cs="Times New Roman"/>
          <w:lang w:eastAsia="en-GB"/>
        </w:rPr>
        <w:t xml:space="preserve"> some of the roles played by police forces to </w:t>
      </w:r>
      <w:r w:rsidR="00FE0C75" w:rsidRPr="00587371">
        <w:rPr>
          <w:rFonts w:cs="Times New Roman"/>
          <w:lang w:eastAsia="en-GB"/>
        </w:rPr>
        <w:t>prevent</w:t>
      </w:r>
      <w:r w:rsidR="004C668E" w:rsidRPr="00587371">
        <w:rPr>
          <w:rFonts w:cs="Times New Roman"/>
          <w:lang w:eastAsia="en-GB"/>
        </w:rPr>
        <w:t xml:space="preserve"> (Quigg et al., 2023)</w:t>
      </w:r>
      <w:r w:rsidRPr="00587371">
        <w:rPr>
          <w:rFonts w:cs="Times New Roman"/>
          <w:lang w:eastAsia="en-GB"/>
        </w:rPr>
        <w:t xml:space="preserve">. They are not only involved in front-line identification, but also in strategic decision-making </w:t>
      </w:r>
      <w:r w:rsidR="008B0F3E">
        <w:rPr>
          <w:rFonts w:cs="Times New Roman"/>
          <w:lang w:eastAsia="en-GB"/>
        </w:rPr>
        <w:t>at</w:t>
      </w:r>
      <w:r w:rsidRPr="00587371">
        <w:rPr>
          <w:rFonts w:cs="Times New Roman"/>
          <w:lang w:eastAsia="en-GB"/>
        </w:rPr>
        <w:t xml:space="preserve"> the local and national </w:t>
      </w:r>
      <w:r w:rsidR="008B0F3E">
        <w:rPr>
          <w:rFonts w:cs="Times New Roman"/>
          <w:lang w:eastAsia="en-GB"/>
        </w:rPr>
        <w:t>levels</w:t>
      </w:r>
      <w:r w:rsidRPr="00587371">
        <w:rPr>
          <w:rFonts w:cs="Times New Roman"/>
          <w:lang w:eastAsia="en-GB"/>
        </w:rPr>
        <w:t>.</w:t>
      </w:r>
    </w:p>
    <w:p w14:paraId="6FFC61AB"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3.1 Referral and Assessment</w:t>
      </w:r>
    </w:p>
    <w:p w14:paraId="403BC92B" w14:textId="4ECED9CC" w:rsidR="00064DC8" w:rsidRPr="00587371" w:rsidRDefault="00064DC8" w:rsidP="00FE0C75">
      <w:pPr>
        <w:spacing w:line="360" w:lineRule="auto"/>
        <w:jc w:val="both"/>
        <w:rPr>
          <w:rFonts w:cs="Times New Roman"/>
          <w:lang w:eastAsia="en-GB"/>
        </w:rPr>
      </w:pPr>
      <w:r w:rsidRPr="00587371">
        <w:rPr>
          <w:rFonts w:cs="Times New Roman"/>
          <w:lang w:eastAsia="en-GB"/>
        </w:rPr>
        <w:t xml:space="preserve">Police may be the first to assess Prevent referrals, which may be provided by schools, health professionals or citizens. Approximately 7,000 referrals are </w:t>
      </w:r>
      <w:r w:rsidR="008B0F3E">
        <w:rPr>
          <w:rFonts w:cs="Times New Roman"/>
          <w:lang w:eastAsia="en-GB"/>
        </w:rPr>
        <w:t>made</w:t>
      </w:r>
      <w:r w:rsidRPr="00587371">
        <w:rPr>
          <w:rFonts w:cs="Times New Roman"/>
          <w:lang w:eastAsia="en-GB"/>
        </w:rPr>
        <w:t xml:space="preserve"> annually (Counter Terrorism Policing, 2025). Upon evaluating the information, specialist officers separately with the aid of the NRF</w:t>
      </w:r>
      <w:r w:rsidR="008B0F3E">
        <w:rPr>
          <w:rFonts w:cs="Times New Roman"/>
          <w:lang w:eastAsia="en-GB"/>
        </w:rPr>
        <w:t>,</w:t>
      </w:r>
      <w:r w:rsidRPr="00587371">
        <w:rPr>
          <w:rFonts w:cs="Times New Roman"/>
          <w:lang w:eastAsia="en-GB"/>
        </w:rPr>
        <w:t xml:space="preserve"> identify the presence of a threat of radicalisation in the case.</w:t>
      </w:r>
    </w:p>
    <w:p w14:paraId="50A14DC3" w14:textId="33140932" w:rsidR="00064DC8" w:rsidRPr="00587371" w:rsidRDefault="00064DC8" w:rsidP="00FE0C75">
      <w:pPr>
        <w:spacing w:line="360" w:lineRule="auto"/>
        <w:jc w:val="both"/>
        <w:rPr>
          <w:rFonts w:cs="Times New Roman"/>
          <w:lang w:eastAsia="en-GB"/>
        </w:rPr>
      </w:pPr>
      <w:r w:rsidRPr="00587371">
        <w:rPr>
          <w:rFonts w:cs="Times New Roman"/>
          <w:lang w:eastAsia="en-GB"/>
        </w:rPr>
        <w:t xml:space="preserve">Most of the referrals result in no follow-up after triage. In areas where risk is </w:t>
      </w:r>
      <w:r w:rsidR="008B0F3E">
        <w:rPr>
          <w:rFonts w:cs="Times New Roman"/>
          <w:lang w:eastAsia="en-GB"/>
        </w:rPr>
        <w:t>recognised</w:t>
      </w:r>
      <w:r w:rsidRPr="00587371">
        <w:rPr>
          <w:rFonts w:cs="Times New Roman"/>
          <w:lang w:eastAsia="en-GB"/>
        </w:rPr>
        <w:t xml:space="preserve">, the police would work with Channel panels and local authorities to </w:t>
      </w:r>
      <w:r w:rsidR="008B0F3E">
        <w:rPr>
          <w:rFonts w:cs="Times New Roman"/>
          <w:lang w:eastAsia="en-GB"/>
        </w:rPr>
        <w:t>organise</w:t>
      </w:r>
      <w:r w:rsidRPr="00587371">
        <w:rPr>
          <w:rFonts w:cs="Times New Roman"/>
          <w:lang w:eastAsia="en-GB"/>
        </w:rPr>
        <w:t xml:space="preserve"> the right interventions. This systematic nature would also make sure that Prevent would be a protective and not a punitive step.</w:t>
      </w:r>
    </w:p>
    <w:p w14:paraId="57311532" w14:textId="79E6674F" w:rsidR="00064DC8" w:rsidRPr="00587371" w:rsidRDefault="00064DC8" w:rsidP="00FE0C75">
      <w:pPr>
        <w:spacing w:line="360" w:lineRule="auto"/>
        <w:jc w:val="both"/>
        <w:rPr>
          <w:rFonts w:cs="Times New Roman"/>
          <w:lang w:eastAsia="en-GB"/>
        </w:rPr>
      </w:pPr>
      <w:r w:rsidRPr="00587371">
        <w:rPr>
          <w:rFonts w:cs="Times New Roman"/>
          <w:lang w:eastAsia="en-GB"/>
        </w:rPr>
        <w:t>According to the HMICFRS (2020), the police forces were generally performing their Prevent responsibilities well</w:t>
      </w:r>
      <w:r w:rsidR="008B0F3E">
        <w:rPr>
          <w:rFonts w:cs="Times New Roman"/>
          <w:lang w:eastAsia="en-GB"/>
        </w:rPr>
        <w:t>,</w:t>
      </w:r>
      <w:r w:rsidRPr="00587371">
        <w:rPr>
          <w:rFonts w:cs="Times New Roman"/>
          <w:lang w:eastAsia="en-GB"/>
        </w:rPr>
        <w:t xml:space="preserve"> but noted a lack of consistency in record keeping, training and referral. Not all forces were clear </w:t>
      </w:r>
      <w:r w:rsidR="008B0F3E">
        <w:rPr>
          <w:rFonts w:cs="Times New Roman"/>
          <w:lang w:eastAsia="en-GB"/>
        </w:rPr>
        <w:t>about</w:t>
      </w:r>
      <w:r w:rsidRPr="00587371">
        <w:rPr>
          <w:rFonts w:cs="Times New Roman"/>
          <w:lang w:eastAsia="en-GB"/>
        </w:rPr>
        <w:t xml:space="preserve"> their Prevent roles, particularly in </w:t>
      </w:r>
      <w:r w:rsidR="008B0F3E">
        <w:rPr>
          <w:rFonts w:cs="Times New Roman"/>
          <w:lang w:eastAsia="en-GB"/>
        </w:rPr>
        <w:t>harmonising</w:t>
      </w:r>
      <w:r w:rsidRPr="00587371">
        <w:rPr>
          <w:rFonts w:cs="Times New Roman"/>
          <w:lang w:eastAsia="en-GB"/>
        </w:rPr>
        <w:t xml:space="preserve"> the intelligence functions and community partnership work.</w:t>
      </w:r>
    </w:p>
    <w:p w14:paraId="1106F376"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3.2 Multi-Agency Collaboration</w:t>
      </w:r>
    </w:p>
    <w:p w14:paraId="52B6B69B" w14:textId="35125122" w:rsidR="00064DC8" w:rsidRPr="00587371" w:rsidRDefault="00064DC8" w:rsidP="00FE0C75">
      <w:pPr>
        <w:spacing w:line="360" w:lineRule="auto"/>
        <w:jc w:val="both"/>
        <w:rPr>
          <w:rFonts w:cs="Times New Roman"/>
          <w:lang w:eastAsia="en-GB"/>
        </w:rPr>
      </w:pPr>
      <w:r w:rsidRPr="00587371">
        <w:rPr>
          <w:rFonts w:cs="Times New Roman"/>
          <w:lang w:eastAsia="en-GB"/>
        </w:rPr>
        <w:t>The success of Prevent is based on the collaboration between police, education, health, and social services. Channel panels are usually chaired or co-chaired by the police</w:t>
      </w:r>
      <w:r w:rsidR="008B0F3E">
        <w:rPr>
          <w:rFonts w:cs="Times New Roman"/>
          <w:lang w:eastAsia="en-GB"/>
        </w:rPr>
        <w:t>,</w:t>
      </w:r>
      <w:r w:rsidRPr="00587371">
        <w:rPr>
          <w:rFonts w:cs="Times New Roman"/>
          <w:lang w:eastAsia="en-GB"/>
        </w:rPr>
        <w:t xml:space="preserve"> who also provide risk expertise and coordination. Other agencies provide specialised services such as mentoring, mental health or community engagement programs.</w:t>
      </w:r>
    </w:p>
    <w:p w14:paraId="46882FC0" w14:textId="2341C9B9" w:rsidR="00064DC8" w:rsidRPr="00587371" w:rsidRDefault="00064DC8" w:rsidP="00FE0C75">
      <w:pPr>
        <w:spacing w:line="360" w:lineRule="auto"/>
        <w:jc w:val="both"/>
        <w:rPr>
          <w:rFonts w:cs="Times New Roman"/>
          <w:lang w:eastAsia="en-GB"/>
        </w:rPr>
      </w:pPr>
      <w:r w:rsidRPr="00587371">
        <w:rPr>
          <w:rFonts w:cs="Times New Roman"/>
          <w:lang w:eastAsia="en-GB"/>
        </w:rPr>
        <w:t>Dresser (2019)</w:t>
      </w:r>
      <w:r w:rsidR="008B0F3E">
        <w:rPr>
          <w:rFonts w:cs="Times New Roman"/>
          <w:lang w:eastAsia="en-GB"/>
        </w:rPr>
        <w:t>,</w:t>
      </w:r>
      <w:r w:rsidRPr="00587371">
        <w:rPr>
          <w:rFonts w:cs="Times New Roman"/>
          <w:lang w:eastAsia="en-GB"/>
        </w:rPr>
        <w:t xml:space="preserve"> however</w:t>
      </w:r>
      <w:r w:rsidR="008B0F3E">
        <w:rPr>
          <w:rFonts w:cs="Times New Roman"/>
          <w:lang w:eastAsia="en-GB"/>
        </w:rPr>
        <w:t>,</w:t>
      </w:r>
      <w:r w:rsidRPr="00587371">
        <w:rPr>
          <w:rFonts w:cs="Times New Roman"/>
          <w:lang w:eastAsia="en-GB"/>
        </w:rPr>
        <w:t xml:space="preserve"> observes that </w:t>
      </w:r>
      <w:r w:rsidR="008B0F3E">
        <w:rPr>
          <w:rFonts w:cs="Times New Roman"/>
          <w:lang w:eastAsia="en-GB"/>
        </w:rPr>
        <w:t xml:space="preserve">a </w:t>
      </w:r>
      <w:r w:rsidRPr="00587371">
        <w:rPr>
          <w:rFonts w:cs="Times New Roman"/>
          <w:lang w:eastAsia="en-GB"/>
        </w:rPr>
        <w:t xml:space="preserve">lack of clear lines of accountability may arise </w:t>
      </w:r>
      <w:proofErr w:type="gramStart"/>
      <w:r w:rsidRPr="00587371">
        <w:rPr>
          <w:rFonts w:cs="Times New Roman"/>
          <w:lang w:eastAsia="en-GB"/>
        </w:rPr>
        <w:t>as a result of</w:t>
      </w:r>
      <w:proofErr w:type="gramEnd"/>
      <w:r w:rsidRPr="00587371">
        <w:rPr>
          <w:rFonts w:cs="Times New Roman"/>
          <w:lang w:eastAsia="en-GB"/>
        </w:rPr>
        <w:t xml:space="preserve"> overlapping roles of the police and the welfare agencies. Adebayo (2021) observed the same in the sphere of education, in which the teachers felt uneasy about the </w:t>
      </w:r>
      <w:r w:rsidR="008B0F3E">
        <w:rPr>
          <w:rFonts w:cs="Times New Roman"/>
          <w:lang w:eastAsia="en-GB"/>
        </w:rPr>
        <w:t>police's</w:t>
      </w:r>
      <w:r w:rsidRPr="00587371">
        <w:rPr>
          <w:rFonts w:cs="Times New Roman"/>
          <w:lang w:eastAsia="en-GB"/>
        </w:rPr>
        <w:t xml:space="preserve"> role in referring students. In both studies, it is </w:t>
      </w:r>
      <w:r w:rsidR="008B0F3E">
        <w:rPr>
          <w:rFonts w:cs="Times New Roman"/>
          <w:lang w:eastAsia="en-GB"/>
        </w:rPr>
        <w:t>emphasised</w:t>
      </w:r>
      <w:r w:rsidRPr="00587371">
        <w:rPr>
          <w:rFonts w:cs="Times New Roman"/>
          <w:lang w:eastAsia="en-GB"/>
        </w:rPr>
        <w:t xml:space="preserve"> that to be effective in Prevent delivery, there should be clarity of purpose, language, and intersectoral trust.</w:t>
      </w:r>
    </w:p>
    <w:p w14:paraId="719CB19D"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3.3 Training and Internal Governance</w:t>
      </w:r>
    </w:p>
    <w:p w14:paraId="2356BE36" w14:textId="0F0EE3F0" w:rsidR="00064DC8" w:rsidRPr="00587371" w:rsidRDefault="00064DC8" w:rsidP="00FE0C75">
      <w:pPr>
        <w:spacing w:line="360" w:lineRule="auto"/>
        <w:jc w:val="both"/>
        <w:rPr>
          <w:rFonts w:cs="Times New Roman"/>
          <w:lang w:eastAsia="en-GB"/>
        </w:rPr>
      </w:pPr>
      <w:r w:rsidRPr="00587371">
        <w:rPr>
          <w:rFonts w:cs="Times New Roman"/>
          <w:lang w:eastAsia="en-GB"/>
        </w:rPr>
        <w:lastRenderedPageBreak/>
        <w:t xml:space="preserve">The Prevent training is provided to all police personnel and addresses the aspects of vulnerability recognition, the comprehension of extremist narratives, and the management of referrals. Prevent leads training is advanced </w:t>
      </w:r>
      <w:r w:rsidR="008B0F3E">
        <w:rPr>
          <w:rFonts w:cs="Times New Roman"/>
          <w:lang w:eastAsia="en-GB"/>
        </w:rPr>
        <w:t>which</w:t>
      </w:r>
      <w:r w:rsidRPr="00587371">
        <w:rPr>
          <w:rFonts w:cs="Times New Roman"/>
          <w:lang w:eastAsia="en-GB"/>
        </w:rPr>
        <w:t xml:space="preserve"> deals with partnership management and law protection. The report published in 2020 by the HMICFRS (2020) suggested the enhancement of leadership training and the creation of consistency across forces.</w:t>
      </w:r>
    </w:p>
    <w:p w14:paraId="51CBDFEE" w14:textId="6A49CEB6" w:rsidR="00064DC8" w:rsidRPr="00587371" w:rsidRDefault="00064DC8" w:rsidP="00FE0C75">
      <w:pPr>
        <w:spacing w:line="360" w:lineRule="auto"/>
        <w:jc w:val="both"/>
        <w:rPr>
          <w:rFonts w:cs="Times New Roman"/>
          <w:lang w:eastAsia="en-GB"/>
        </w:rPr>
      </w:pPr>
      <w:r w:rsidRPr="00587371">
        <w:rPr>
          <w:rFonts w:cs="Times New Roman"/>
          <w:lang w:eastAsia="en-GB"/>
        </w:rPr>
        <w:t xml:space="preserve">Governance entails </w:t>
      </w:r>
      <w:r w:rsidR="008B0F3E">
        <w:rPr>
          <w:rFonts w:cs="Times New Roman"/>
          <w:lang w:eastAsia="en-GB"/>
        </w:rPr>
        <w:t xml:space="preserve">an </w:t>
      </w:r>
      <w:r w:rsidRPr="00587371">
        <w:rPr>
          <w:rFonts w:cs="Times New Roman"/>
          <w:lang w:eastAsia="en-GB"/>
        </w:rPr>
        <w:t>internal Prevent board, audit and frequent interaction with Home Office supervision. Regardless of these structures, resource disparity among forces implies that not every one of them has dedicated Prevent teams or analysts. Others are based on regional counter-terrorism forces, which results in unequal local responses.</w:t>
      </w:r>
    </w:p>
    <w:p w14:paraId="155A7DC9"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3.4 Community Engagement and Intelligence</w:t>
      </w:r>
    </w:p>
    <w:p w14:paraId="4B985712" w14:textId="460C959D" w:rsidR="00DF2E4C" w:rsidRPr="00587371" w:rsidRDefault="00DF2E4C" w:rsidP="00FE0C75">
      <w:pPr>
        <w:spacing w:line="360" w:lineRule="auto"/>
        <w:jc w:val="both"/>
        <w:rPr>
          <w:rFonts w:cs="Times New Roman"/>
          <w:lang w:eastAsia="en-GB"/>
        </w:rPr>
      </w:pPr>
      <w:r w:rsidRPr="00587371">
        <w:rPr>
          <w:rFonts w:cs="Times New Roman"/>
          <w:lang w:eastAsia="en-GB"/>
        </w:rPr>
        <w:t>An example of Prevent policing in action is obtained in the aftermath of the Manchester Arena attack</w:t>
      </w:r>
      <w:r w:rsidR="008B0F3E">
        <w:rPr>
          <w:rFonts w:cs="Times New Roman"/>
          <w:lang w:eastAsia="en-GB"/>
        </w:rPr>
        <w:t>,</w:t>
      </w:r>
      <w:r w:rsidRPr="00587371">
        <w:rPr>
          <w:rFonts w:cs="Times New Roman"/>
          <w:lang w:eastAsia="en-GB"/>
        </w:rPr>
        <w:t xml:space="preserve"> where police Prevent teams partnered with community organisations in Greater Manchester to address the online radicalisation of young people</w:t>
      </w:r>
      <w:r w:rsidR="00456F0A" w:rsidRPr="00587371">
        <w:rPr>
          <w:rFonts w:cs="Times New Roman"/>
          <w:lang w:eastAsia="en-GB"/>
        </w:rPr>
        <w:t xml:space="preserve"> (Baker-Beall et al., 2024)</w:t>
      </w:r>
      <w:r w:rsidRPr="00587371">
        <w:rPr>
          <w:rFonts w:cs="Times New Roman"/>
          <w:lang w:eastAsia="en-GB"/>
        </w:rPr>
        <w:t xml:space="preserve">. In the same manner, post-attack analysis revealed that it was necessary to strengthen the collaboration between intelligence and local Prevent officers to detect people like Salman Abedi sooner (Simone, 2022). The CONTEST 2023 update responded that Prevent teams </w:t>
      </w:r>
      <w:proofErr w:type="gramStart"/>
      <w:r w:rsidRPr="00587371">
        <w:rPr>
          <w:rFonts w:cs="Times New Roman"/>
          <w:lang w:eastAsia="en-GB"/>
        </w:rPr>
        <w:t>have to</w:t>
      </w:r>
      <w:proofErr w:type="gramEnd"/>
      <w:r w:rsidRPr="00587371">
        <w:rPr>
          <w:rFonts w:cs="Times New Roman"/>
          <w:lang w:eastAsia="en-GB"/>
        </w:rPr>
        <w:t xml:space="preserve"> pay increased priority to Islamist extremism as the main domestic threat and redistribute resources based on the emerging threats of far-right extremism.</w:t>
      </w:r>
    </w:p>
    <w:p w14:paraId="2E511938" w14:textId="77777777" w:rsidR="00064DC8" w:rsidRPr="00587371" w:rsidRDefault="00064DC8" w:rsidP="00FE0C75">
      <w:pPr>
        <w:spacing w:line="360" w:lineRule="auto"/>
        <w:jc w:val="both"/>
        <w:rPr>
          <w:rFonts w:cs="Times New Roman"/>
          <w:lang w:eastAsia="en-GB"/>
        </w:rPr>
      </w:pPr>
      <w:r w:rsidRPr="00587371">
        <w:rPr>
          <w:rFonts w:cs="Times New Roman"/>
          <w:lang w:eastAsia="en-GB"/>
        </w:rPr>
        <w:t>Involvement in the community is the main focus of developing trust and creating voluntary cooperation. Police consult with religious communities, youth organisations as well as community organisations and conduct sessions aimed at clarifying the goals of Prevent and challenging misinformation (Counter Terrorism Policing, 2023).</w:t>
      </w:r>
    </w:p>
    <w:p w14:paraId="78413E59" w14:textId="77777777" w:rsidR="00064DC8" w:rsidRPr="00587371" w:rsidRDefault="00064DC8" w:rsidP="00FE0C75">
      <w:pPr>
        <w:spacing w:line="360" w:lineRule="auto"/>
        <w:jc w:val="both"/>
        <w:rPr>
          <w:rFonts w:cs="Times New Roman"/>
          <w:lang w:eastAsia="en-GB"/>
        </w:rPr>
      </w:pPr>
      <w:r w:rsidRPr="00587371">
        <w:rPr>
          <w:rFonts w:cs="Times New Roman"/>
          <w:lang w:eastAsia="en-GB"/>
        </w:rPr>
        <w:t>However, the role of Prevent as being integrated with the intelligence functions is controversial. Risk assessment may be informed by the information obtained via community connections, which results in a conflict between protection and surveillance. Such efforts as Project Servator that integrates visible policing with behavioural detection exemplify the proactive and controversial aspects of Prevent policing (Marchment and Gill, 2025).</w:t>
      </w:r>
    </w:p>
    <w:p w14:paraId="7A01E7B2" w14:textId="77777777" w:rsidR="00064DC8" w:rsidRPr="00587371" w:rsidRDefault="00064DC8" w:rsidP="00FE0C75">
      <w:pPr>
        <w:spacing w:line="360" w:lineRule="auto"/>
        <w:jc w:val="both"/>
        <w:rPr>
          <w:rFonts w:cs="Times New Roman"/>
          <w:lang w:eastAsia="en-GB"/>
        </w:rPr>
      </w:pPr>
      <w:r w:rsidRPr="00587371">
        <w:rPr>
          <w:rFonts w:cs="Times New Roman"/>
          <w:lang w:eastAsia="en-GB"/>
        </w:rPr>
        <w:t>In the end, the police have to strike a balance between intelligence gathering and ethical interaction with the community without supporting the impression of mistrust.</w:t>
      </w:r>
    </w:p>
    <w:p w14:paraId="3622922C" w14:textId="77777777" w:rsidR="00064DC8" w:rsidRPr="00587371" w:rsidRDefault="00064DC8" w:rsidP="00FE0C75">
      <w:pPr>
        <w:pStyle w:val="Heading1"/>
        <w:spacing w:line="360" w:lineRule="auto"/>
        <w:jc w:val="both"/>
        <w:rPr>
          <w:rFonts w:cs="Times New Roman"/>
          <w:color w:val="auto"/>
          <w:szCs w:val="24"/>
          <w:lang w:eastAsia="en-GB"/>
        </w:rPr>
      </w:pPr>
      <w:bookmarkStart w:id="3" w:name="_Toc211356253"/>
      <w:r w:rsidRPr="00587371">
        <w:rPr>
          <w:rFonts w:cs="Times New Roman"/>
          <w:color w:val="auto"/>
          <w:szCs w:val="24"/>
          <w:lang w:eastAsia="en-GB"/>
        </w:rPr>
        <w:lastRenderedPageBreak/>
        <w:t>4. Effectiveness, Evidence &amp; Evaluations</w:t>
      </w:r>
      <w:bookmarkEnd w:id="3"/>
    </w:p>
    <w:p w14:paraId="674E7B39" w14:textId="701B1253" w:rsidR="00064DC8" w:rsidRPr="00587371" w:rsidRDefault="00064DC8" w:rsidP="00FE0C75">
      <w:pPr>
        <w:spacing w:line="360" w:lineRule="auto"/>
        <w:jc w:val="both"/>
        <w:rPr>
          <w:rFonts w:cs="Times New Roman"/>
          <w:lang w:eastAsia="en-GB"/>
        </w:rPr>
      </w:pPr>
      <w:r w:rsidRPr="00587371">
        <w:rPr>
          <w:rFonts w:cs="Times New Roman"/>
          <w:lang w:eastAsia="en-GB"/>
        </w:rPr>
        <w:t>It is very complex to evaluate the success of Prevent since this is preventive but not punitive. The absence of radicalisation is what is meant by success</w:t>
      </w:r>
      <w:r w:rsidR="00D655B3">
        <w:rPr>
          <w:rFonts w:cs="Times New Roman"/>
          <w:lang w:eastAsia="en-GB"/>
        </w:rPr>
        <w:t>,</w:t>
      </w:r>
      <w:r w:rsidRPr="00587371">
        <w:rPr>
          <w:rFonts w:cs="Times New Roman"/>
          <w:lang w:eastAsia="en-GB"/>
        </w:rPr>
        <w:t xml:space="preserve"> and </w:t>
      </w:r>
      <w:r w:rsidR="00D655B3">
        <w:rPr>
          <w:rFonts w:cs="Times New Roman"/>
          <w:lang w:eastAsia="en-GB"/>
        </w:rPr>
        <w:t xml:space="preserve">it </w:t>
      </w:r>
      <w:r w:rsidRPr="00587371">
        <w:rPr>
          <w:rFonts w:cs="Times New Roman"/>
          <w:lang w:eastAsia="en-GB"/>
        </w:rPr>
        <w:t>is very hard to provide empirical evidence.</w:t>
      </w:r>
    </w:p>
    <w:p w14:paraId="48DA205C"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4.1 Inspections and Official Assessments</w:t>
      </w:r>
    </w:p>
    <w:p w14:paraId="73183D6A" w14:textId="58F7A729" w:rsidR="00064DC8" w:rsidRPr="00587371" w:rsidRDefault="00064DC8" w:rsidP="00FE0C75">
      <w:pPr>
        <w:spacing w:line="360" w:lineRule="auto"/>
        <w:jc w:val="both"/>
        <w:rPr>
          <w:rFonts w:cs="Times New Roman"/>
          <w:lang w:eastAsia="en-GB"/>
        </w:rPr>
      </w:pPr>
      <w:r w:rsidRPr="00587371">
        <w:rPr>
          <w:rFonts w:cs="Times New Roman"/>
          <w:lang w:eastAsia="en-GB"/>
        </w:rPr>
        <w:t xml:space="preserve">The HMICFRS (2020) review praised most of the components of Prevent policing but recommended better methods of evaluation. Eight recommendations in the report were on governance, officer training and inter-agency coordination. These measures were then </w:t>
      </w:r>
      <w:r w:rsidR="00D655B3">
        <w:rPr>
          <w:rFonts w:cs="Times New Roman"/>
          <w:lang w:eastAsia="en-GB"/>
        </w:rPr>
        <w:t>endorsed</w:t>
      </w:r>
      <w:r w:rsidRPr="00587371">
        <w:rPr>
          <w:rFonts w:cs="Times New Roman"/>
          <w:lang w:eastAsia="en-GB"/>
        </w:rPr>
        <w:t xml:space="preserve"> by the NPCC, and there was a </w:t>
      </w:r>
      <w:r w:rsidR="00D655B3">
        <w:rPr>
          <w:rFonts w:cs="Times New Roman"/>
          <w:lang w:eastAsia="en-GB"/>
        </w:rPr>
        <w:t>need</w:t>
      </w:r>
      <w:r w:rsidRPr="00587371">
        <w:rPr>
          <w:rFonts w:cs="Times New Roman"/>
          <w:lang w:eastAsia="en-GB"/>
        </w:rPr>
        <w:t xml:space="preserve"> </w:t>
      </w:r>
      <w:r w:rsidR="00D655B3">
        <w:rPr>
          <w:rFonts w:cs="Times New Roman"/>
          <w:lang w:eastAsia="en-GB"/>
        </w:rPr>
        <w:t>for</w:t>
      </w:r>
      <w:r w:rsidRPr="00587371">
        <w:rPr>
          <w:rFonts w:cs="Times New Roman"/>
          <w:lang w:eastAsia="en-GB"/>
        </w:rPr>
        <w:t xml:space="preserve"> an evidence-based assessment.</w:t>
      </w:r>
    </w:p>
    <w:p w14:paraId="03F8FD1A" w14:textId="77777777" w:rsidR="00064DC8" w:rsidRPr="00587371" w:rsidRDefault="00064DC8" w:rsidP="00FE0C75">
      <w:pPr>
        <w:spacing w:line="360" w:lineRule="auto"/>
        <w:jc w:val="both"/>
        <w:rPr>
          <w:rFonts w:cs="Times New Roman"/>
          <w:lang w:eastAsia="en-GB"/>
        </w:rPr>
      </w:pPr>
      <w:r w:rsidRPr="00587371">
        <w:rPr>
          <w:rFonts w:cs="Times New Roman"/>
          <w:lang w:eastAsia="en-GB"/>
        </w:rPr>
        <w:t>Nevertheless, inspection systems provide evaluation of impact to a lesser extent, compared to process and compliance</w:t>
      </w:r>
      <w:r w:rsidR="000F013D" w:rsidRPr="00587371">
        <w:rPr>
          <w:rFonts w:cs="Times New Roman"/>
          <w:lang w:eastAsia="en-GB"/>
        </w:rPr>
        <w:t xml:space="preserve"> (Yang et al., 2020)</w:t>
      </w:r>
      <w:r w:rsidRPr="00587371">
        <w:rPr>
          <w:rFonts w:cs="Times New Roman"/>
          <w:lang w:eastAsia="en-GB"/>
        </w:rPr>
        <w:t>. They check the presence of structures, but not the decrease in extremism. This shortcoming identifies the necessity of longitudinal and outcome studies.</w:t>
      </w:r>
    </w:p>
    <w:p w14:paraId="02129003" w14:textId="218E1173" w:rsidR="00DA55DB" w:rsidRPr="00587371" w:rsidRDefault="00DA55DB" w:rsidP="00FE0C75">
      <w:pPr>
        <w:spacing w:line="360" w:lineRule="auto"/>
        <w:jc w:val="both"/>
        <w:rPr>
          <w:rFonts w:cs="Times New Roman"/>
          <w:lang w:eastAsia="en-GB"/>
        </w:rPr>
      </w:pPr>
      <w:r w:rsidRPr="00587371">
        <w:rPr>
          <w:rFonts w:cs="Times New Roman"/>
          <w:lang w:eastAsia="en-GB"/>
        </w:rPr>
        <w:t xml:space="preserve">According to the evaluation reports of the 2019 Fishmongers’ </w:t>
      </w:r>
      <w:r w:rsidR="00D655B3">
        <w:rPr>
          <w:rFonts w:cs="Times New Roman"/>
          <w:lang w:eastAsia="en-GB"/>
        </w:rPr>
        <w:t>Hall</w:t>
      </w:r>
      <w:r w:rsidRPr="00587371">
        <w:rPr>
          <w:rFonts w:cs="Times New Roman"/>
          <w:lang w:eastAsia="en-GB"/>
        </w:rPr>
        <w:t xml:space="preserve"> attack, the effectiveness of police Prevent teams to track rehabilitated offenders coming out of their custody or deradicalisation programmes was also called into question (Weeks, 2021). The offender, Usman Khan, had earlier participated in the process of the Channel and has shown the weaknesses of the structure of the risk assessment and inter-agency data exchange. These practical failures demonstrate the gaps in operations between the policy on strategy and the implementation front lines.</w:t>
      </w:r>
    </w:p>
    <w:p w14:paraId="1D2B7418"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4.2 Academic Evaluations</w:t>
      </w:r>
    </w:p>
    <w:p w14:paraId="27118E9F" w14:textId="4DF2B381" w:rsidR="00064DC8" w:rsidRPr="00587371" w:rsidRDefault="00064DC8" w:rsidP="00FE0C75">
      <w:pPr>
        <w:spacing w:line="360" w:lineRule="auto"/>
        <w:jc w:val="both"/>
        <w:rPr>
          <w:rFonts w:cs="Times New Roman"/>
          <w:lang w:eastAsia="en-GB"/>
        </w:rPr>
      </w:pPr>
      <w:r w:rsidRPr="00587371">
        <w:rPr>
          <w:rFonts w:cs="Times New Roman"/>
          <w:lang w:eastAsia="en-GB"/>
        </w:rPr>
        <w:t xml:space="preserve">Both Dresser (2019) and Adebayo (2021) point to the lack of empirical studies to evaluate the actual results of Prevent. The interviews conducted by Dresser with officers revealed that the success of Prevent depends on personal relations and the local setting </w:t>
      </w:r>
      <w:r w:rsidR="00D655B3">
        <w:rPr>
          <w:rFonts w:cs="Times New Roman"/>
          <w:lang w:eastAsia="en-GB"/>
        </w:rPr>
        <w:t>has</w:t>
      </w:r>
      <w:r w:rsidRPr="00587371">
        <w:rPr>
          <w:rFonts w:cs="Times New Roman"/>
          <w:lang w:eastAsia="en-GB"/>
        </w:rPr>
        <w:t xml:space="preserve"> a lot more to do with success than the policy. Adebayo</w:t>
      </w:r>
      <w:r w:rsidR="000F013D" w:rsidRPr="00587371">
        <w:rPr>
          <w:rFonts w:cs="Times New Roman"/>
          <w:lang w:eastAsia="en-GB"/>
        </w:rPr>
        <w:t xml:space="preserve"> (2021)</w:t>
      </w:r>
      <w:r w:rsidRPr="00587371">
        <w:rPr>
          <w:rFonts w:cs="Times New Roman"/>
          <w:lang w:eastAsia="en-GB"/>
        </w:rPr>
        <w:t xml:space="preserve"> discovered that an over-securitised presence of police in the schools may deter conversation, implying that sensitivity and proportionality is critical.</w:t>
      </w:r>
    </w:p>
    <w:p w14:paraId="67992255" w14:textId="2B278F37" w:rsidR="00064DC8" w:rsidRPr="00587371" w:rsidRDefault="00064DC8" w:rsidP="00FE0C75">
      <w:pPr>
        <w:spacing w:line="360" w:lineRule="auto"/>
        <w:jc w:val="both"/>
        <w:rPr>
          <w:rFonts w:cs="Times New Roman"/>
          <w:lang w:eastAsia="en-GB"/>
        </w:rPr>
      </w:pPr>
      <w:r w:rsidRPr="00587371">
        <w:rPr>
          <w:rFonts w:cs="Times New Roman"/>
          <w:lang w:eastAsia="en-GB"/>
        </w:rPr>
        <w:t xml:space="preserve">According to other studies, notwithstanding criticism, Prevent has enabled </w:t>
      </w:r>
      <w:r w:rsidR="00D655B3">
        <w:rPr>
          <w:rFonts w:cs="Times New Roman"/>
          <w:lang w:eastAsia="en-GB"/>
        </w:rPr>
        <w:t>cross-agency</w:t>
      </w:r>
      <w:r w:rsidRPr="00587371">
        <w:rPr>
          <w:rFonts w:cs="Times New Roman"/>
          <w:lang w:eastAsia="en-GB"/>
        </w:rPr>
        <w:t xml:space="preserve"> communication and improved early radicalisation detection. However, there is no common metric between </w:t>
      </w:r>
      <w:r w:rsidR="00D655B3">
        <w:rPr>
          <w:rFonts w:cs="Times New Roman"/>
          <w:lang w:eastAsia="en-GB"/>
        </w:rPr>
        <w:t xml:space="preserve">the </w:t>
      </w:r>
      <w:r w:rsidRPr="00587371">
        <w:rPr>
          <w:rFonts w:cs="Times New Roman"/>
          <w:lang w:eastAsia="en-GB"/>
        </w:rPr>
        <w:t>police and partners which limits meaningful evaluation.</w:t>
      </w:r>
    </w:p>
    <w:p w14:paraId="78C6F609"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4.3 Evidence Gaps and Limitations</w:t>
      </w:r>
    </w:p>
    <w:p w14:paraId="03D9AB56" w14:textId="77777777" w:rsidR="00064DC8" w:rsidRPr="00587371" w:rsidRDefault="00064DC8" w:rsidP="00FE0C75">
      <w:pPr>
        <w:spacing w:line="360" w:lineRule="auto"/>
        <w:jc w:val="both"/>
        <w:rPr>
          <w:rFonts w:cs="Times New Roman"/>
          <w:lang w:eastAsia="en-GB"/>
        </w:rPr>
      </w:pPr>
      <w:r w:rsidRPr="00587371">
        <w:rPr>
          <w:rFonts w:cs="Times New Roman"/>
          <w:lang w:eastAsia="en-GB"/>
        </w:rPr>
        <w:t>Such recurring weaknesses that are found in the literature include:</w:t>
      </w:r>
    </w:p>
    <w:p w14:paraId="508EC3A7" w14:textId="77777777" w:rsidR="00064DC8" w:rsidRPr="00587371" w:rsidRDefault="00064DC8" w:rsidP="00FE0C75">
      <w:pPr>
        <w:pStyle w:val="ListParagraph"/>
        <w:numPr>
          <w:ilvl w:val="0"/>
          <w:numId w:val="39"/>
        </w:numPr>
        <w:spacing w:line="360" w:lineRule="auto"/>
        <w:jc w:val="both"/>
        <w:rPr>
          <w:rFonts w:cs="Times New Roman"/>
          <w:lang w:eastAsia="en-GB"/>
        </w:rPr>
      </w:pPr>
      <w:r w:rsidRPr="00587371">
        <w:rPr>
          <w:rFonts w:cs="Times New Roman"/>
          <w:lang w:eastAsia="en-GB"/>
        </w:rPr>
        <w:t>Attribution problems: Hard to correlate particular actions of the police with decreases in radicalisation.</w:t>
      </w:r>
      <w:r w:rsidRPr="00587371">
        <w:rPr>
          <w:rFonts w:cs="Times New Roman"/>
          <w:lang w:eastAsia="en-GB"/>
        </w:rPr>
        <w:tab/>
      </w:r>
    </w:p>
    <w:p w14:paraId="0FF4CD77" w14:textId="3841496D" w:rsidR="00064DC8" w:rsidRPr="00587371" w:rsidRDefault="00064DC8" w:rsidP="00FE0C75">
      <w:pPr>
        <w:pStyle w:val="ListParagraph"/>
        <w:numPr>
          <w:ilvl w:val="0"/>
          <w:numId w:val="39"/>
        </w:numPr>
        <w:spacing w:line="360" w:lineRule="auto"/>
        <w:jc w:val="both"/>
        <w:rPr>
          <w:rFonts w:cs="Times New Roman"/>
          <w:lang w:eastAsia="en-GB"/>
        </w:rPr>
      </w:pPr>
      <w:r w:rsidRPr="00587371">
        <w:rPr>
          <w:rFonts w:cs="Times New Roman"/>
          <w:lang w:eastAsia="en-GB"/>
        </w:rPr>
        <w:lastRenderedPageBreak/>
        <w:t xml:space="preserve">Poor transparency: National security restrictions do not allow </w:t>
      </w:r>
      <w:r w:rsidR="00241BFC">
        <w:rPr>
          <w:rFonts w:cs="Times New Roman"/>
          <w:lang w:eastAsia="en-GB"/>
        </w:rPr>
        <w:t xml:space="preserve">the </w:t>
      </w:r>
      <w:r w:rsidRPr="00587371">
        <w:rPr>
          <w:rFonts w:cs="Times New Roman"/>
          <w:lang w:eastAsia="en-GB"/>
        </w:rPr>
        <w:t>sharing of data.</w:t>
      </w:r>
    </w:p>
    <w:p w14:paraId="3D7B0202" w14:textId="77777777" w:rsidR="00064DC8" w:rsidRPr="00587371" w:rsidRDefault="00064DC8" w:rsidP="00FE0C75">
      <w:pPr>
        <w:pStyle w:val="ListParagraph"/>
        <w:numPr>
          <w:ilvl w:val="0"/>
          <w:numId w:val="39"/>
        </w:numPr>
        <w:spacing w:line="360" w:lineRule="auto"/>
        <w:jc w:val="both"/>
        <w:rPr>
          <w:rFonts w:cs="Times New Roman"/>
          <w:lang w:eastAsia="en-GB"/>
        </w:rPr>
      </w:pPr>
      <w:r w:rsidRPr="00587371">
        <w:rPr>
          <w:rFonts w:cs="Times New Roman"/>
          <w:lang w:eastAsia="en-GB"/>
        </w:rPr>
        <w:t>Unequal measures: Cross-force comparison is made more difficult by fluctuations in measures.</w:t>
      </w:r>
    </w:p>
    <w:p w14:paraId="3308CDE9" w14:textId="77777777" w:rsidR="00064DC8" w:rsidRPr="00587371" w:rsidRDefault="00064DC8" w:rsidP="00FE0C75">
      <w:pPr>
        <w:pStyle w:val="ListParagraph"/>
        <w:numPr>
          <w:ilvl w:val="0"/>
          <w:numId w:val="39"/>
        </w:numPr>
        <w:spacing w:line="360" w:lineRule="auto"/>
        <w:jc w:val="both"/>
        <w:rPr>
          <w:rFonts w:cs="Times New Roman"/>
          <w:lang w:eastAsia="en-GB"/>
        </w:rPr>
      </w:pPr>
      <w:r w:rsidRPr="00587371">
        <w:rPr>
          <w:rFonts w:cs="Times New Roman"/>
          <w:lang w:eastAsia="en-GB"/>
        </w:rPr>
        <w:t>Short-term focus: The evaluations are more focused on procedural compliance and not on behavioural results.</w:t>
      </w:r>
    </w:p>
    <w:p w14:paraId="73D02C8C" w14:textId="64F92F60" w:rsidR="00064DC8" w:rsidRPr="00587371" w:rsidRDefault="00064DC8" w:rsidP="00FE0C75">
      <w:pPr>
        <w:spacing w:line="360" w:lineRule="auto"/>
        <w:jc w:val="both"/>
        <w:rPr>
          <w:rFonts w:cs="Times New Roman"/>
          <w:lang w:eastAsia="en-GB"/>
        </w:rPr>
      </w:pPr>
      <w:r w:rsidRPr="00587371">
        <w:rPr>
          <w:rFonts w:cs="Times New Roman"/>
          <w:lang w:eastAsia="en-GB"/>
        </w:rPr>
        <w:t xml:space="preserve">As such, although Prevent policing is </w:t>
      </w:r>
      <w:r w:rsidR="00241BFC">
        <w:rPr>
          <w:rFonts w:cs="Times New Roman"/>
          <w:lang w:eastAsia="en-GB"/>
        </w:rPr>
        <w:t>process-intensive</w:t>
      </w:r>
      <w:r w:rsidRPr="00587371">
        <w:rPr>
          <w:rFonts w:cs="Times New Roman"/>
          <w:lang w:eastAsia="en-GB"/>
        </w:rPr>
        <w:t>, it is evidence weak.</w:t>
      </w:r>
    </w:p>
    <w:p w14:paraId="1449ECF3" w14:textId="77777777" w:rsidR="00064DC8" w:rsidRPr="00587371" w:rsidRDefault="00064DC8" w:rsidP="00FE0C75">
      <w:pPr>
        <w:pStyle w:val="Heading1"/>
        <w:spacing w:line="360" w:lineRule="auto"/>
        <w:jc w:val="both"/>
        <w:rPr>
          <w:rFonts w:cs="Times New Roman"/>
          <w:color w:val="auto"/>
          <w:szCs w:val="24"/>
          <w:lang w:eastAsia="en-GB"/>
        </w:rPr>
      </w:pPr>
      <w:bookmarkStart w:id="4" w:name="_Toc211356254"/>
      <w:r w:rsidRPr="00587371">
        <w:rPr>
          <w:rFonts w:cs="Times New Roman"/>
          <w:color w:val="auto"/>
          <w:szCs w:val="24"/>
          <w:lang w:eastAsia="en-GB"/>
        </w:rPr>
        <w:t>5. Challenges and Critiques</w:t>
      </w:r>
      <w:bookmarkEnd w:id="4"/>
    </w:p>
    <w:p w14:paraId="7313E3F1" w14:textId="77777777" w:rsidR="00064DC8" w:rsidRPr="00587371" w:rsidRDefault="00064DC8" w:rsidP="00FE0C75">
      <w:pPr>
        <w:spacing w:line="360" w:lineRule="auto"/>
        <w:jc w:val="both"/>
        <w:rPr>
          <w:rFonts w:cs="Times New Roman"/>
          <w:b/>
          <w:lang w:eastAsia="en-GB"/>
        </w:rPr>
      </w:pPr>
      <w:r w:rsidRPr="00587371">
        <w:rPr>
          <w:rFonts w:cs="Times New Roman"/>
          <w:b/>
          <w:lang w:eastAsia="en-GB"/>
        </w:rPr>
        <w:t>5.1 Trust, Legitimacy and "Suspect Communities"</w:t>
      </w:r>
    </w:p>
    <w:p w14:paraId="5D1C8132" w14:textId="29F43792" w:rsidR="00064DC8" w:rsidRPr="00587371" w:rsidRDefault="00064DC8" w:rsidP="00FE0C75">
      <w:pPr>
        <w:spacing w:line="360" w:lineRule="auto"/>
        <w:jc w:val="both"/>
        <w:rPr>
          <w:rFonts w:cs="Times New Roman"/>
          <w:lang w:eastAsia="en-GB"/>
        </w:rPr>
      </w:pPr>
      <w:r w:rsidRPr="00587371">
        <w:rPr>
          <w:rFonts w:cs="Times New Roman"/>
          <w:lang w:eastAsia="en-GB"/>
        </w:rPr>
        <w:t>Prevent effectiveness is based on trust. However, in the eyes of many communities and particularly Muslim communities</w:t>
      </w:r>
      <w:r w:rsidR="00241BFC">
        <w:rPr>
          <w:rFonts w:cs="Times New Roman"/>
          <w:lang w:eastAsia="en-GB"/>
        </w:rPr>
        <w:t>,</w:t>
      </w:r>
      <w:r w:rsidRPr="00587371">
        <w:rPr>
          <w:rFonts w:cs="Times New Roman"/>
          <w:lang w:eastAsia="en-GB"/>
        </w:rPr>
        <w:t xml:space="preserve"> Prevent is viewed as discriminatory surveillance. According to </w:t>
      </w:r>
      <w:r w:rsidR="00ED0206" w:rsidRPr="00587371">
        <w:rPr>
          <w:rFonts w:cs="Times New Roman"/>
          <w:lang w:eastAsia="en-GB"/>
        </w:rPr>
        <w:t>Dresser (2019)</w:t>
      </w:r>
      <w:r w:rsidR="00241BFC">
        <w:rPr>
          <w:rFonts w:cs="Times New Roman"/>
          <w:lang w:eastAsia="en-GB"/>
        </w:rPr>
        <w:t>,</w:t>
      </w:r>
      <w:r w:rsidRPr="00587371">
        <w:rPr>
          <w:rFonts w:cs="Times New Roman"/>
          <w:lang w:eastAsia="en-GB"/>
        </w:rPr>
        <w:t xml:space="preserve"> these perceptions are dangerous as they would result in the creation of so-called suspect communities, in which colla</w:t>
      </w:r>
      <w:r w:rsidR="00ED0206" w:rsidRPr="00587371">
        <w:rPr>
          <w:rFonts w:cs="Times New Roman"/>
          <w:lang w:eastAsia="en-GB"/>
        </w:rPr>
        <w:t>boration with police is avoided.</w:t>
      </w:r>
    </w:p>
    <w:p w14:paraId="299543B1" w14:textId="39C15F31" w:rsidR="00064DC8" w:rsidRPr="00587371" w:rsidRDefault="00064DC8" w:rsidP="00FE0C75">
      <w:pPr>
        <w:spacing w:line="360" w:lineRule="auto"/>
        <w:jc w:val="both"/>
        <w:rPr>
          <w:rFonts w:cs="Times New Roman"/>
          <w:lang w:eastAsia="en-GB"/>
        </w:rPr>
      </w:pPr>
      <w:r w:rsidRPr="00587371">
        <w:rPr>
          <w:rFonts w:cs="Times New Roman"/>
          <w:lang w:eastAsia="en-GB"/>
        </w:rPr>
        <w:t xml:space="preserve">Cultivation of legitimacy entails openness and honesty of discussion. Local efforts that engage the representatives of the community in the control are less resisted and </w:t>
      </w:r>
      <w:r w:rsidR="00241BFC">
        <w:rPr>
          <w:rFonts w:cs="Times New Roman"/>
          <w:lang w:eastAsia="en-GB"/>
        </w:rPr>
        <w:t>better accepted</w:t>
      </w:r>
      <w:r w:rsidR="00304A99" w:rsidRPr="00587371">
        <w:rPr>
          <w:rFonts w:cs="Times New Roman"/>
          <w:lang w:eastAsia="en-GB"/>
        </w:rPr>
        <w:t xml:space="preserve"> (</w:t>
      </w:r>
      <w:proofErr w:type="spellStart"/>
      <w:r w:rsidR="00304A99" w:rsidRPr="00587371">
        <w:rPr>
          <w:rFonts w:cs="Times New Roman"/>
          <w:lang w:eastAsia="en-GB"/>
        </w:rPr>
        <w:t>Muhdiarta</w:t>
      </w:r>
      <w:proofErr w:type="spellEnd"/>
      <w:r w:rsidR="00304A99" w:rsidRPr="00587371">
        <w:rPr>
          <w:rFonts w:cs="Times New Roman"/>
          <w:lang w:eastAsia="en-GB"/>
        </w:rPr>
        <w:t>, 2025)</w:t>
      </w:r>
      <w:r w:rsidRPr="00587371">
        <w:rPr>
          <w:rFonts w:cs="Times New Roman"/>
          <w:lang w:eastAsia="en-GB"/>
        </w:rPr>
        <w:t>. However, there are still high rates of distrust</w:t>
      </w:r>
      <w:r w:rsidR="00241BFC">
        <w:rPr>
          <w:rFonts w:cs="Times New Roman"/>
          <w:lang w:eastAsia="en-GB"/>
        </w:rPr>
        <w:t>,</w:t>
      </w:r>
      <w:r w:rsidRPr="00587371">
        <w:rPr>
          <w:rFonts w:cs="Times New Roman"/>
          <w:lang w:eastAsia="en-GB"/>
        </w:rPr>
        <w:t xml:space="preserve"> which are caused by media high-profile stories and wrongful referrals.</w:t>
      </w:r>
    </w:p>
    <w:p w14:paraId="5E529FB0" w14:textId="440FCDAC" w:rsidR="00967B39" w:rsidRPr="00587371" w:rsidRDefault="00967B39" w:rsidP="00FE0C75">
      <w:pPr>
        <w:spacing w:line="360" w:lineRule="auto"/>
        <w:jc w:val="both"/>
        <w:rPr>
          <w:rFonts w:cs="Times New Roman"/>
          <w:lang w:eastAsia="en-GB"/>
        </w:rPr>
      </w:pPr>
      <w:r w:rsidRPr="00587371">
        <w:rPr>
          <w:rFonts w:cs="Times New Roman"/>
          <w:lang w:eastAsia="en-GB"/>
        </w:rPr>
        <w:t>The cases of Manchester and Fishmongers Hall also made people in the community more distrustful of Prevent</w:t>
      </w:r>
      <w:r w:rsidR="00241BFC">
        <w:rPr>
          <w:rFonts w:cs="Times New Roman"/>
          <w:lang w:eastAsia="en-GB"/>
        </w:rPr>
        <w:t>,</w:t>
      </w:r>
      <w:r w:rsidRPr="00587371">
        <w:rPr>
          <w:rFonts w:cs="Times New Roman"/>
          <w:lang w:eastAsia="en-GB"/>
        </w:rPr>
        <w:t xml:space="preserve"> especially among the Muslim communities who were unfairly labelled as potential suspects. Researchers discovered that after such attacks, Prevent referrals were more prominent in Muslim-majority neighbourhoods, contributing to the creation of the impression of discriminatory actions by police (Amnesty UK, 2023). Therefore, although the goal of the police is to protect communities, the overemphasis </w:t>
      </w:r>
      <w:r w:rsidR="00241BFC">
        <w:rPr>
          <w:rFonts w:cs="Times New Roman"/>
          <w:lang w:eastAsia="en-GB"/>
        </w:rPr>
        <w:t>on</w:t>
      </w:r>
      <w:r w:rsidRPr="00587371">
        <w:rPr>
          <w:rFonts w:cs="Times New Roman"/>
          <w:lang w:eastAsia="en-GB"/>
        </w:rPr>
        <w:t xml:space="preserve"> Islamist threats </w:t>
      </w:r>
      <w:r w:rsidR="00241BFC">
        <w:rPr>
          <w:rFonts w:cs="Times New Roman"/>
          <w:lang w:eastAsia="en-GB"/>
        </w:rPr>
        <w:t>endangers</w:t>
      </w:r>
      <w:r w:rsidRPr="00587371">
        <w:rPr>
          <w:rFonts w:cs="Times New Roman"/>
          <w:lang w:eastAsia="en-GB"/>
        </w:rPr>
        <w:t xml:space="preserve"> the voluntary cooperation at the expense of the narrative of a suspect community, which lies at the heart of the Prevent crisis of legitimacy.</w:t>
      </w:r>
    </w:p>
    <w:p w14:paraId="22C4FA3B" w14:textId="77777777" w:rsidR="002F4A51" w:rsidRPr="00587371" w:rsidRDefault="002F4A51" w:rsidP="00FE0C75">
      <w:pPr>
        <w:spacing w:line="360" w:lineRule="auto"/>
        <w:jc w:val="both"/>
        <w:rPr>
          <w:rFonts w:cs="Times New Roman"/>
          <w:b/>
          <w:lang w:eastAsia="en-GB"/>
        </w:rPr>
      </w:pPr>
      <w:r w:rsidRPr="00587371">
        <w:rPr>
          <w:rFonts w:cs="Times New Roman"/>
          <w:b/>
          <w:lang w:eastAsia="en-GB"/>
        </w:rPr>
        <w:t>5.2 Civil Liberties and Human Rights</w:t>
      </w:r>
    </w:p>
    <w:p w14:paraId="79C0745C" w14:textId="450605BE" w:rsidR="002F4A51" w:rsidRPr="00587371" w:rsidRDefault="002F4A51" w:rsidP="00FE0C75">
      <w:pPr>
        <w:spacing w:line="360" w:lineRule="auto"/>
        <w:jc w:val="both"/>
        <w:rPr>
          <w:rFonts w:cs="Times New Roman"/>
          <w:lang w:eastAsia="en-GB"/>
        </w:rPr>
      </w:pPr>
      <w:r w:rsidRPr="00587371">
        <w:rPr>
          <w:rFonts w:cs="Times New Roman"/>
          <w:lang w:eastAsia="en-GB"/>
        </w:rPr>
        <w:t xml:space="preserve">Prevent works in territories near the freedom of expression and faith. Amnesty UK (2023) supports the argument that the excess of Prevent is chilling free political speech. Boukalas (2019) puts this into a paradox: when extending their state surveillance in the name of protection, liberal democracies get themselves to </w:t>
      </w:r>
      <w:r w:rsidR="00F56A58">
        <w:rPr>
          <w:rFonts w:cs="Times New Roman"/>
          <w:lang w:eastAsia="en-GB"/>
        </w:rPr>
        <w:t>eroding</w:t>
      </w:r>
      <w:r w:rsidRPr="00587371">
        <w:rPr>
          <w:rFonts w:cs="Times New Roman"/>
          <w:lang w:eastAsia="en-GB"/>
        </w:rPr>
        <w:t xml:space="preserve"> their values.</w:t>
      </w:r>
    </w:p>
    <w:p w14:paraId="673CDFD6" w14:textId="62E47BED" w:rsidR="002F4A51" w:rsidRPr="00587371" w:rsidRDefault="002F4A51" w:rsidP="00FE0C75">
      <w:pPr>
        <w:spacing w:line="360" w:lineRule="auto"/>
        <w:jc w:val="both"/>
        <w:rPr>
          <w:rFonts w:cs="Times New Roman"/>
          <w:lang w:eastAsia="en-GB"/>
        </w:rPr>
      </w:pPr>
      <w:r w:rsidRPr="00587371">
        <w:rPr>
          <w:rFonts w:cs="Times New Roman"/>
          <w:lang w:eastAsia="en-GB"/>
        </w:rPr>
        <w:t xml:space="preserve">Police forces thus have a two-fold role of protecting people against harm and </w:t>
      </w:r>
      <w:r w:rsidR="00F56A58">
        <w:rPr>
          <w:rFonts w:cs="Times New Roman"/>
          <w:lang w:eastAsia="en-GB"/>
        </w:rPr>
        <w:t>protecting</w:t>
      </w:r>
      <w:r w:rsidRPr="00587371">
        <w:rPr>
          <w:rFonts w:cs="Times New Roman"/>
          <w:lang w:eastAsia="en-GB"/>
        </w:rPr>
        <w:t xml:space="preserve"> of rights against encroachment</w:t>
      </w:r>
      <w:r w:rsidR="006E1F45" w:rsidRPr="00587371">
        <w:rPr>
          <w:rFonts w:cs="Times New Roman"/>
          <w:lang w:eastAsia="en-GB"/>
        </w:rPr>
        <w:t xml:space="preserve"> (Vanaisak, 2020)</w:t>
      </w:r>
      <w:r w:rsidRPr="00587371">
        <w:rPr>
          <w:rFonts w:cs="Times New Roman"/>
          <w:lang w:eastAsia="en-GB"/>
        </w:rPr>
        <w:t xml:space="preserve">. Both can be achieved by having a human-rights-based policing culture, sustained monitoring and data </w:t>
      </w:r>
      <w:r w:rsidR="00F56A58">
        <w:rPr>
          <w:rFonts w:cs="Times New Roman"/>
          <w:lang w:eastAsia="en-GB"/>
        </w:rPr>
        <w:t>utilisation</w:t>
      </w:r>
      <w:r w:rsidRPr="00587371">
        <w:rPr>
          <w:rFonts w:cs="Times New Roman"/>
          <w:lang w:eastAsia="en-GB"/>
        </w:rPr>
        <w:t xml:space="preserve"> transparency.</w:t>
      </w:r>
    </w:p>
    <w:p w14:paraId="2563FCAB" w14:textId="77777777" w:rsidR="002F4A51" w:rsidRPr="00587371" w:rsidRDefault="002F4A51" w:rsidP="00FE0C75">
      <w:pPr>
        <w:spacing w:line="360" w:lineRule="auto"/>
        <w:jc w:val="both"/>
        <w:rPr>
          <w:rFonts w:cs="Times New Roman"/>
          <w:b/>
          <w:lang w:eastAsia="en-GB"/>
        </w:rPr>
      </w:pPr>
      <w:r w:rsidRPr="00587371">
        <w:rPr>
          <w:rFonts w:cs="Times New Roman"/>
          <w:b/>
          <w:lang w:eastAsia="en-GB"/>
        </w:rPr>
        <w:lastRenderedPageBreak/>
        <w:t>5.3 Governance and Inter-Force Variation</w:t>
      </w:r>
    </w:p>
    <w:p w14:paraId="07E1037E" w14:textId="02529B5A" w:rsidR="002F4A51" w:rsidRPr="00587371" w:rsidRDefault="002F4A51" w:rsidP="00FE0C75">
      <w:pPr>
        <w:spacing w:line="360" w:lineRule="auto"/>
        <w:jc w:val="both"/>
        <w:rPr>
          <w:rFonts w:cs="Times New Roman"/>
          <w:lang w:eastAsia="en-GB"/>
        </w:rPr>
      </w:pPr>
      <w:r w:rsidRPr="00587371">
        <w:rPr>
          <w:rFonts w:cs="Times New Roman"/>
          <w:lang w:eastAsia="en-GB"/>
        </w:rPr>
        <w:t xml:space="preserve">HMICFRS (2020) discovered that there was extensive inconsistency in the Prevent delivery across forces. Others have </w:t>
      </w:r>
      <w:r w:rsidR="00F56A58">
        <w:rPr>
          <w:rFonts w:cs="Times New Roman"/>
          <w:lang w:eastAsia="en-GB"/>
        </w:rPr>
        <w:t>well-established</w:t>
      </w:r>
      <w:r w:rsidRPr="00587371">
        <w:rPr>
          <w:rFonts w:cs="Times New Roman"/>
          <w:lang w:eastAsia="en-GB"/>
        </w:rPr>
        <w:t xml:space="preserve"> </w:t>
      </w:r>
      <w:r w:rsidR="00F56A58">
        <w:rPr>
          <w:rFonts w:cs="Times New Roman"/>
          <w:lang w:eastAsia="en-GB"/>
        </w:rPr>
        <w:t>organisations</w:t>
      </w:r>
      <w:r w:rsidRPr="00587371">
        <w:rPr>
          <w:rFonts w:cs="Times New Roman"/>
          <w:lang w:eastAsia="en-GB"/>
        </w:rPr>
        <w:t xml:space="preserve"> and permanent teams; others are ad hoc. Such differences will threaten national unity and trust. Fragmentation could be minimised through better standardisation, sharing of knowledge and collective training.</w:t>
      </w:r>
    </w:p>
    <w:p w14:paraId="5E4FA44E" w14:textId="77777777" w:rsidR="002F4A51" w:rsidRPr="00587371" w:rsidRDefault="002F4A51" w:rsidP="00FE0C75">
      <w:pPr>
        <w:spacing w:line="360" w:lineRule="auto"/>
        <w:jc w:val="both"/>
        <w:rPr>
          <w:rFonts w:cs="Times New Roman"/>
          <w:b/>
          <w:lang w:eastAsia="en-GB"/>
        </w:rPr>
      </w:pPr>
      <w:r w:rsidRPr="00587371">
        <w:rPr>
          <w:rFonts w:cs="Times New Roman"/>
          <w:b/>
          <w:lang w:eastAsia="en-GB"/>
        </w:rPr>
        <w:t>5.4 Resource and Capability Constraints</w:t>
      </w:r>
    </w:p>
    <w:p w14:paraId="305F32A2" w14:textId="439D7B58" w:rsidR="002F4A51" w:rsidRPr="00587371" w:rsidRDefault="002F4A51" w:rsidP="00FE0C75">
      <w:pPr>
        <w:spacing w:line="360" w:lineRule="auto"/>
        <w:jc w:val="both"/>
        <w:rPr>
          <w:rFonts w:cs="Times New Roman"/>
          <w:lang w:eastAsia="en-GB"/>
        </w:rPr>
      </w:pPr>
      <w:r w:rsidRPr="00587371">
        <w:rPr>
          <w:rFonts w:cs="Times New Roman"/>
          <w:lang w:eastAsia="en-GB"/>
        </w:rPr>
        <w:t xml:space="preserve">Prevent policing tends to conflict with other </w:t>
      </w:r>
      <w:r w:rsidR="00F56A58">
        <w:rPr>
          <w:rFonts w:cs="Times New Roman"/>
          <w:lang w:eastAsia="en-GB"/>
        </w:rPr>
        <w:t>operational</w:t>
      </w:r>
      <w:r w:rsidRPr="00587371">
        <w:rPr>
          <w:rFonts w:cs="Times New Roman"/>
          <w:lang w:eastAsia="en-GB"/>
        </w:rPr>
        <w:t xml:space="preserve"> priorities like violent crime and community security (Higgins, 2020). The officers have little time and </w:t>
      </w:r>
      <w:r w:rsidR="00F56A58">
        <w:rPr>
          <w:rFonts w:cs="Times New Roman"/>
          <w:lang w:eastAsia="en-GB"/>
        </w:rPr>
        <w:t xml:space="preserve">the </w:t>
      </w:r>
      <w:r w:rsidRPr="00587371">
        <w:rPr>
          <w:rFonts w:cs="Times New Roman"/>
          <w:lang w:eastAsia="en-GB"/>
        </w:rPr>
        <w:t>expertise of a specialist to maintain engagement. The cross-disciplinary nature of Prevent is demonstrated by the fact that police often rely on external experts in psychology or ideology.</w:t>
      </w:r>
    </w:p>
    <w:p w14:paraId="4F2632B7" w14:textId="77777777" w:rsidR="002F4A51" w:rsidRPr="00587371" w:rsidRDefault="002F4A51" w:rsidP="00FE0C75">
      <w:pPr>
        <w:spacing w:line="360" w:lineRule="auto"/>
        <w:jc w:val="both"/>
        <w:rPr>
          <w:rFonts w:cs="Times New Roman"/>
          <w:b/>
          <w:lang w:eastAsia="en-GB"/>
        </w:rPr>
      </w:pPr>
      <w:r w:rsidRPr="00587371">
        <w:rPr>
          <w:rFonts w:cs="Times New Roman"/>
          <w:b/>
          <w:lang w:eastAsia="en-GB"/>
        </w:rPr>
        <w:t>5.5 Intelligence Prevention Tensions</w:t>
      </w:r>
    </w:p>
    <w:p w14:paraId="0774635C" w14:textId="3E1AB64C" w:rsidR="002F4A51" w:rsidRPr="00587371" w:rsidRDefault="002F4A51" w:rsidP="00FE0C75">
      <w:pPr>
        <w:spacing w:line="360" w:lineRule="auto"/>
        <w:jc w:val="both"/>
        <w:rPr>
          <w:rFonts w:cs="Times New Roman"/>
          <w:lang w:eastAsia="en-GB"/>
        </w:rPr>
      </w:pPr>
      <w:r w:rsidRPr="00587371">
        <w:rPr>
          <w:rFonts w:cs="Times New Roman"/>
          <w:lang w:eastAsia="en-GB"/>
        </w:rPr>
        <w:t xml:space="preserve">There is </w:t>
      </w:r>
      <w:r w:rsidR="00F56A58">
        <w:rPr>
          <w:rFonts w:cs="Times New Roman"/>
          <w:lang w:eastAsia="en-GB"/>
        </w:rPr>
        <w:t xml:space="preserve">an </w:t>
      </w:r>
      <w:r w:rsidRPr="00587371">
        <w:rPr>
          <w:rFonts w:cs="Times New Roman"/>
          <w:lang w:eastAsia="en-GB"/>
        </w:rPr>
        <w:t xml:space="preserve">ethical concern </w:t>
      </w:r>
      <w:r w:rsidR="00F56A58">
        <w:rPr>
          <w:rFonts w:cs="Times New Roman"/>
          <w:lang w:eastAsia="en-GB"/>
        </w:rPr>
        <w:t>about</w:t>
      </w:r>
      <w:r w:rsidRPr="00587371">
        <w:rPr>
          <w:rFonts w:cs="Times New Roman"/>
          <w:lang w:eastAsia="en-GB"/>
        </w:rPr>
        <w:t xml:space="preserve"> the intelligence aspect of Prevent. Informational involvement in safeguarding decisions under the influence of surveillance is capable of erasing lines between care and control (Michaud et al., 2023). Information sharing protocols are designed to safeguard privacy</w:t>
      </w:r>
      <w:r w:rsidR="00F56A58">
        <w:rPr>
          <w:rFonts w:cs="Times New Roman"/>
          <w:lang w:eastAsia="en-GB"/>
        </w:rPr>
        <w:t>,</w:t>
      </w:r>
      <w:r w:rsidRPr="00587371">
        <w:rPr>
          <w:rFonts w:cs="Times New Roman"/>
          <w:lang w:eastAsia="en-GB"/>
        </w:rPr>
        <w:t xml:space="preserve"> but other partners complain that they have </w:t>
      </w:r>
      <w:r w:rsidR="00F56A58">
        <w:rPr>
          <w:rFonts w:cs="Times New Roman"/>
          <w:lang w:eastAsia="en-GB"/>
        </w:rPr>
        <w:t>been frustrated</w:t>
      </w:r>
      <w:r w:rsidRPr="00587371">
        <w:rPr>
          <w:rFonts w:cs="Times New Roman"/>
          <w:lang w:eastAsia="en-GB"/>
        </w:rPr>
        <w:t xml:space="preserve"> due to limited access. It is challenging to strike a balance between secrecy in operations and cooperation.</w:t>
      </w:r>
    </w:p>
    <w:p w14:paraId="171481D6" w14:textId="77777777" w:rsidR="00FE0C75" w:rsidRPr="00587371" w:rsidRDefault="00FE0C75" w:rsidP="00FE0C75">
      <w:pPr>
        <w:spacing w:after="200" w:line="360" w:lineRule="auto"/>
        <w:jc w:val="both"/>
        <w:rPr>
          <w:rFonts w:cs="Times New Roman"/>
          <w:b/>
          <w:lang w:eastAsia="en-GB"/>
        </w:rPr>
      </w:pPr>
      <w:r w:rsidRPr="00587371">
        <w:rPr>
          <w:rFonts w:cs="Times New Roman"/>
          <w:b/>
          <w:lang w:eastAsia="en-GB"/>
        </w:rPr>
        <w:br w:type="page"/>
      </w:r>
    </w:p>
    <w:p w14:paraId="08C5B82D" w14:textId="77777777" w:rsidR="00FE0C75" w:rsidRPr="00587371" w:rsidRDefault="00FE0C75" w:rsidP="00FE0C75">
      <w:pPr>
        <w:spacing w:line="360" w:lineRule="auto"/>
        <w:jc w:val="both"/>
        <w:rPr>
          <w:rFonts w:cs="Times New Roman"/>
          <w:b/>
          <w:lang w:eastAsia="en-GB"/>
        </w:rPr>
      </w:pPr>
      <w:r w:rsidRPr="00587371">
        <w:rPr>
          <w:rFonts w:cs="Times New Roman"/>
          <w:b/>
          <w:lang w:eastAsia="en-GB"/>
        </w:rPr>
        <w:lastRenderedPageBreak/>
        <w:t>6. Conclusion</w:t>
      </w:r>
    </w:p>
    <w:p w14:paraId="24374A20" w14:textId="77777777" w:rsidR="00FE0C75" w:rsidRPr="00587371" w:rsidRDefault="00FE0C75" w:rsidP="00FE0C75">
      <w:pPr>
        <w:spacing w:line="360" w:lineRule="auto"/>
        <w:jc w:val="both"/>
        <w:rPr>
          <w:rFonts w:cs="Times New Roman"/>
          <w:lang w:eastAsia="en-GB"/>
        </w:rPr>
      </w:pPr>
      <w:r w:rsidRPr="00587371">
        <w:rPr>
          <w:rFonts w:cs="Times New Roman"/>
          <w:lang w:eastAsia="en-GB"/>
        </w:rPr>
        <w:t>The police services within the UK contribute significantly to the Prevent union of CONTEST, by managing referrals, occupying multi-agency panels, community involvement, and interventions of intelligence into early arrests. They have enhanced the capability of the UK to identify and curb radicalisation. Nevertheless, the issues of effectiveness, equity, and legitimacy still exist.</w:t>
      </w:r>
    </w:p>
    <w:p w14:paraId="782374CE" w14:textId="7BC3A0A0" w:rsidR="00FE0C75" w:rsidRPr="00587371" w:rsidRDefault="00FE0C75" w:rsidP="00FE0C75">
      <w:pPr>
        <w:spacing w:line="360" w:lineRule="auto"/>
        <w:jc w:val="both"/>
        <w:rPr>
          <w:rFonts w:cs="Times New Roman"/>
          <w:lang w:eastAsia="en-GB"/>
        </w:rPr>
      </w:pPr>
      <w:r w:rsidRPr="00587371">
        <w:rPr>
          <w:rFonts w:cs="Times New Roman"/>
          <w:lang w:eastAsia="en-GB"/>
        </w:rPr>
        <w:t>Some of the recurrent issues include mistrust by society, civil liberties issues, disparities in resources, and uneven national practice. Standardised governance, stronger evidence of impact and active involvement in different communities will make Prevent successful in future.</w:t>
      </w:r>
    </w:p>
    <w:p w14:paraId="0344F21C" w14:textId="77777777" w:rsidR="00D34FDF" w:rsidRPr="00587371" w:rsidRDefault="00D34FDF" w:rsidP="00FE0C75">
      <w:pPr>
        <w:spacing w:line="360" w:lineRule="auto"/>
        <w:jc w:val="both"/>
        <w:rPr>
          <w:rFonts w:cs="Times New Roman"/>
          <w:lang w:eastAsia="en-GB"/>
        </w:rPr>
      </w:pPr>
      <w:r w:rsidRPr="00587371">
        <w:rPr>
          <w:rFonts w:cs="Times New Roman"/>
          <w:lang w:eastAsia="en-GB"/>
        </w:rPr>
        <w:t>Prevent policing is demonstrated in the example of the bombing in the Manchester Arena and the attack on Fishmongers’ Hall to explain how this tool functions in a real-life counter-terrorism context. They show that, regardless of the improvement in the inter-agency coordination, there are still some major issues in the context of early identification, information sharing and the level of trust in the government. These cases highlight that Prevent needs to transform based on evidence-based reforms, establishing trust within the community, and greater integration of intelligence communities to be successful in pre-empting new extremist violence attacks in the future.</w:t>
      </w:r>
    </w:p>
    <w:p w14:paraId="0708C59C" w14:textId="32219117" w:rsidR="00FE0C75" w:rsidRPr="00587371" w:rsidRDefault="00FE0C75" w:rsidP="00FE0C75">
      <w:pPr>
        <w:spacing w:line="360" w:lineRule="auto"/>
        <w:jc w:val="both"/>
        <w:rPr>
          <w:rFonts w:cs="Times New Roman"/>
          <w:lang w:eastAsia="en-GB"/>
        </w:rPr>
      </w:pPr>
      <w:r w:rsidRPr="00587371">
        <w:rPr>
          <w:rFonts w:cs="Times New Roman"/>
          <w:lang w:eastAsia="en-GB"/>
        </w:rPr>
        <w:t>Finally, the Prevent strategy points to the main contradiction of democratic security</w:t>
      </w:r>
      <w:r w:rsidR="00F56A58">
        <w:rPr>
          <w:rFonts w:cs="Times New Roman"/>
          <w:lang w:eastAsia="en-GB"/>
        </w:rPr>
        <w:t>,</w:t>
      </w:r>
      <w:r w:rsidRPr="00587371">
        <w:rPr>
          <w:rFonts w:cs="Times New Roman"/>
          <w:lang w:eastAsia="en-GB"/>
        </w:rPr>
        <w:t xml:space="preserve"> the necessity to secure society at the expense of the very liberties that it is meant to safeguard. The UK can ensure safety and legitimacy in the changing struggle against radicalisation by incorporating the ideas of transparency, inclusivity, and evaluation into the Prevent policing approach.</w:t>
      </w:r>
    </w:p>
    <w:p w14:paraId="7691B64E" w14:textId="77777777" w:rsidR="00FE0C75" w:rsidRPr="00587371" w:rsidRDefault="00FE0C75">
      <w:pPr>
        <w:spacing w:after="200" w:line="276" w:lineRule="auto"/>
        <w:rPr>
          <w:rFonts w:eastAsia="Times New Roman" w:cs="Times New Roman"/>
          <w:b/>
          <w:bCs/>
          <w:lang w:eastAsia="en-GB"/>
        </w:rPr>
      </w:pPr>
      <w:r w:rsidRPr="00587371">
        <w:rPr>
          <w:rFonts w:eastAsia="Times New Roman" w:cs="Times New Roman"/>
          <w:lang w:eastAsia="en-GB"/>
        </w:rPr>
        <w:br w:type="page"/>
      </w:r>
    </w:p>
    <w:p w14:paraId="4F0BCDDB" w14:textId="77777777" w:rsidR="00064DC8" w:rsidRPr="00587371" w:rsidRDefault="000F7214" w:rsidP="00FE0C75">
      <w:pPr>
        <w:pStyle w:val="Heading1"/>
        <w:spacing w:line="360" w:lineRule="auto"/>
        <w:jc w:val="both"/>
        <w:rPr>
          <w:rFonts w:eastAsia="Times New Roman" w:cs="Times New Roman"/>
          <w:color w:val="auto"/>
          <w:szCs w:val="24"/>
          <w:lang w:eastAsia="en-GB"/>
        </w:rPr>
      </w:pPr>
      <w:bookmarkStart w:id="5" w:name="_Toc211356255"/>
      <w:r w:rsidRPr="00587371">
        <w:rPr>
          <w:rFonts w:eastAsia="Times New Roman" w:cs="Times New Roman"/>
          <w:color w:val="auto"/>
          <w:szCs w:val="24"/>
          <w:lang w:eastAsia="en-GB"/>
        </w:rPr>
        <w:lastRenderedPageBreak/>
        <w:t>References</w:t>
      </w:r>
      <w:bookmarkEnd w:id="5"/>
    </w:p>
    <w:p w14:paraId="12E51B1C" w14:textId="46E41D6C" w:rsidR="000F7214" w:rsidRPr="00587371" w:rsidRDefault="000F7214" w:rsidP="00312AE0">
      <w:pPr>
        <w:pStyle w:val="ListParagraph"/>
        <w:numPr>
          <w:ilvl w:val="0"/>
          <w:numId w:val="40"/>
        </w:numPr>
        <w:spacing w:after="240" w:line="360" w:lineRule="auto"/>
        <w:jc w:val="both"/>
        <w:rPr>
          <w:rFonts w:eastAsia="Times New Roman" w:cs="Times New Roman"/>
          <w:lang w:eastAsia="en-GB"/>
        </w:rPr>
      </w:pPr>
      <w:r w:rsidRPr="00587371">
        <w:rPr>
          <w:rFonts w:eastAsia="Times New Roman" w:cs="Times New Roman"/>
          <w:lang w:eastAsia="en-GB"/>
        </w:rPr>
        <w:t>Adebayo, G.O. (2021). Counter-radicalization policies and policing in education: making a case for human security in Europe. </w:t>
      </w:r>
      <w:r w:rsidRPr="00587371">
        <w:rPr>
          <w:rFonts w:eastAsia="Times New Roman" w:cs="Times New Roman"/>
          <w:i/>
          <w:iCs/>
          <w:lang w:eastAsia="en-GB"/>
        </w:rPr>
        <w:t>Heliyon</w:t>
      </w:r>
      <w:r w:rsidRPr="00587371">
        <w:rPr>
          <w:rFonts w:eastAsia="Times New Roman" w:cs="Times New Roman"/>
          <w:lang w:eastAsia="en-GB"/>
        </w:rPr>
        <w:t xml:space="preserve">, [online] 7(2), pp.e05721–e05721. doi: </w:t>
      </w:r>
      <w:hyperlink r:id="rId8" w:history="1">
        <w:r w:rsidRPr="00587371">
          <w:rPr>
            <w:rStyle w:val="Hyperlink"/>
            <w:rFonts w:eastAsia="Times New Roman" w:cs="Times New Roman"/>
            <w:color w:val="auto"/>
            <w:lang w:eastAsia="en-GB"/>
          </w:rPr>
          <w:t>https://doi.org/10.1016/j.heliyon.2020.e05721</w:t>
        </w:r>
      </w:hyperlink>
      <w:r w:rsidR="00FD7C24">
        <w:t>.</w:t>
      </w:r>
    </w:p>
    <w:p w14:paraId="7A4DBEC2" w14:textId="3CB96B9B" w:rsidR="000F7214" w:rsidRPr="00587371" w:rsidRDefault="000F7214" w:rsidP="00312AE0">
      <w:pPr>
        <w:pStyle w:val="NormalWeb"/>
        <w:numPr>
          <w:ilvl w:val="0"/>
          <w:numId w:val="40"/>
        </w:numPr>
        <w:spacing w:before="0" w:beforeAutospacing="0" w:after="240" w:afterAutospacing="0" w:line="360" w:lineRule="auto"/>
        <w:jc w:val="both"/>
      </w:pPr>
      <w:r w:rsidRPr="00587371">
        <w:rPr>
          <w:lang w:eastAsia="en-GB"/>
        </w:rPr>
        <w:t xml:space="preserve">Amnesty UK (2023). </w:t>
      </w:r>
      <w:r w:rsidRPr="00587371">
        <w:rPr>
          <w:i/>
          <w:lang w:eastAsia="en-GB"/>
        </w:rPr>
        <w:t xml:space="preserve">‘THIS IS THE THOUGHT POLICE’ The Prevent duty and its chilling effect on human rights. </w:t>
      </w:r>
      <w:r w:rsidRPr="00587371">
        <w:t xml:space="preserve">[online] Available at: </w:t>
      </w:r>
      <w:hyperlink r:id="rId9" w:history="1">
        <w:r w:rsidRPr="00587371">
          <w:rPr>
            <w:rStyle w:val="Hyperlink"/>
            <w:color w:val="auto"/>
          </w:rPr>
          <w:t>https://www.amnesty.org.uk/files/2023-11/Amnesty%20UK%20Prevent%20report%20%281%29.pdf</w:t>
        </w:r>
      </w:hyperlink>
      <w:r w:rsidRPr="00587371">
        <w:t xml:space="preserve"> </w:t>
      </w:r>
      <w:r w:rsidR="00E55526">
        <w:t>(</w:t>
      </w:r>
      <w:r w:rsidRPr="00587371">
        <w:t>Accessed 14 October 2025</w:t>
      </w:r>
      <w:r w:rsidR="00E55526">
        <w:t>).</w:t>
      </w:r>
    </w:p>
    <w:p w14:paraId="139C2485" w14:textId="3849A45B" w:rsidR="00456F0A" w:rsidRPr="00587371" w:rsidRDefault="00456F0A" w:rsidP="00456F0A">
      <w:pPr>
        <w:pStyle w:val="NormalWeb"/>
        <w:numPr>
          <w:ilvl w:val="0"/>
          <w:numId w:val="40"/>
        </w:numPr>
        <w:spacing w:before="0" w:beforeAutospacing="0" w:after="240" w:afterAutospacing="0" w:line="360" w:lineRule="auto"/>
        <w:jc w:val="both"/>
      </w:pPr>
      <w:r w:rsidRPr="00587371">
        <w:t>Baker-Beall, C., Mil</w:t>
      </w:r>
      <w:r w:rsidR="0038458D" w:rsidRPr="00587371">
        <w:t>es, L., Leach, N. and Reed, E. (</w:t>
      </w:r>
      <w:r w:rsidRPr="00587371">
        <w:t>2024</w:t>
      </w:r>
      <w:r w:rsidR="0038458D" w:rsidRPr="00587371">
        <w:t>)</w:t>
      </w:r>
      <w:r w:rsidRPr="00587371">
        <w:t xml:space="preserve">. From Prevent to Protect and Prepare: The Manchester Arena Attack and Shifting Priorities in the United Kingdom’s Counter-Terrorism Strategy (CONTEST). </w:t>
      </w:r>
      <w:r w:rsidRPr="00587371">
        <w:rPr>
          <w:i/>
        </w:rPr>
        <w:t>Studies in Conflict &amp; Terrorism</w:t>
      </w:r>
      <w:r w:rsidRPr="00587371">
        <w:t xml:space="preserve">, pp.1-25. </w:t>
      </w:r>
      <w:hyperlink r:id="rId10" w:history="1">
        <w:r w:rsidRPr="00587371">
          <w:rPr>
            <w:rStyle w:val="Hyperlink"/>
            <w:color w:val="auto"/>
          </w:rPr>
          <w:t>https://www.tandfonline.com/doi/pdf/10.1080/1057610X.2024.2327664</w:t>
        </w:r>
      </w:hyperlink>
      <w:r w:rsidR="00FD7C24">
        <w:t>.</w:t>
      </w:r>
      <w:r w:rsidRPr="00587371">
        <w:t xml:space="preserve"> </w:t>
      </w:r>
    </w:p>
    <w:p w14:paraId="6831C886" w14:textId="7C331504" w:rsidR="000F7214" w:rsidRPr="00587371" w:rsidRDefault="000F7214" w:rsidP="00312AE0">
      <w:pPr>
        <w:pStyle w:val="ListParagraph"/>
        <w:numPr>
          <w:ilvl w:val="0"/>
          <w:numId w:val="40"/>
        </w:numPr>
        <w:spacing w:after="240" w:line="360" w:lineRule="auto"/>
        <w:jc w:val="both"/>
        <w:rPr>
          <w:rFonts w:eastAsia="Times New Roman" w:cs="Times New Roman"/>
          <w:lang w:eastAsia="en-GB"/>
        </w:rPr>
      </w:pPr>
      <w:r w:rsidRPr="00587371">
        <w:rPr>
          <w:rFonts w:eastAsia="Times New Roman" w:cs="Times New Roman"/>
          <w:lang w:eastAsia="en-GB"/>
        </w:rPr>
        <w:t>Boukalas, C. (2019). The Prevent paradox: destroying liberalism in order to protect it. </w:t>
      </w:r>
      <w:r w:rsidRPr="00587371">
        <w:rPr>
          <w:rFonts w:eastAsia="Times New Roman" w:cs="Times New Roman"/>
          <w:i/>
          <w:iCs/>
          <w:lang w:eastAsia="en-GB"/>
        </w:rPr>
        <w:t>Crime, Law and Social Change</w:t>
      </w:r>
      <w:r w:rsidRPr="00587371">
        <w:rPr>
          <w:rFonts w:eastAsia="Times New Roman" w:cs="Times New Roman"/>
          <w:lang w:eastAsia="en-GB"/>
        </w:rPr>
        <w:t xml:space="preserve">, [online] 72(4), pp.467–482. doi: </w:t>
      </w:r>
      <w:hyperlink r:id="rId11" w:history="1">
        <w:r w:rsidRPr="00587371">
          <w:rPr>
            <w:rStyle w:val="Hyperlink"/>
            <w:rFonts w:eastAsia="Times New Roman" w:cs="Times New Roman"/>
            <w:color w:val="auto"/>
            <w:lang w:eastAsia="en-GB"/>
          </w:rPr>
          <w:t>https://doi.org/10.1007/s10611-019-09827-8</w:t>
        </w:r>
      </w:hyperlink>
      <w:r w:rsidR="00FD7C24">
        <w:t>.</w:t>
      </w:r>
    </w:p>
    <w:p w14:paraId="58E69E16" w14:textId="0EB74DE1" w:rsidR="000F7214" w:rsidRPr="00587371" w:rsidRDefault="000F7214" w:rsidP="00312AE0">
      <w:pPr>
        <w:pStyle w:val="ListParagraph"/>
        <w:numPr>
          <w:ilvl w:val="0"/>
          <w:numId w:val="40"/>
        </w:numPr>
        <w:spacing w:after="240" w:line="360" w:lineRule="auto"/>
        <w:jc w:val="both"/>
        <w:rPr>
          <w:rFonts w:eastAsia="Times New Roman" w:cs="Times New Roman"/>
          <w:lang w:eastAsia="en-GB"/>
        </w:rPr>
      </w:pPr>
      <w:r w:rsidRPr="00587371">
        <w:rPr>
          <w:rFonts w:eastAsia="Times New Roman" w:cs="Times New Roman"/>
          <w:lang w:eastAsia="en-GB"/>
        </w:rPr>
        <w:t>Counter Terrorism Policing. (2025). </w:t>
      </w:r>
      <w:r w:rsidRPr="00587371">
        <w:rPr>
          <w:rFonts w:eastAsia="Times New Roman" w:cs="Times New Roman"/>
          <w:i/>
          <w:iCs/>
          <w:lang w:eastAsia="en-GB"/>
        </w:rPr>
        <w:t>Prevent</w:t>
      </w:r>
      <w:r w:rsidRPr="00587371">
        <w:rPr>
          <w:rFonts w:eastAsia="Times New Roman" w:cs="Times New Roman"/>
          <w:lang w:eastAsia="en-GB"/>
        </w:rPr>
        <w:t xml:space="preserve">. [online] Available at: </w:t>
      </w:r>
      <w:hyperlink r:id="rId12" w:history="1">
        <w:r w:rsidRPr="00587371">
          <w:rPr>
            <w:rStyle w:val="Hyperlink"/>
            <w:rFonts w:eastAsia="Times New Roman" w:cs="Times New Roman"/>
            <w:color w:val="auto"/>
            <w:lang w:eastAsia="en-GB"/>
          </w:rPr>
          <w:t>https://www.counterterrorism.police.uk/what-we-do/counter-terrorism/prevent/</w:t>
        </w:r>
      </w:hyperlink>
      <w:r w:rsidRPr="00587371">
        <w:rPr>
          <w:rFonts w:eastAsia="Times New Roman" w:cs="Times New Roman"/>
          <w:lang w:eastAsia="en-GB"/>
        </w:rPr>
        <w:t xml:space="preserve"> </w:t>
      </w:r>
      <w:r w:rsidR="00E55526">
        <w:rPr>
          <w:rFonts w:eastAsia="Times New Roman" w:cs="Times New Roman"/>
          <w:lang w:eastAsia="en-GB"/>
        </w:rPr>
        <w:t>(</w:t>
      </w:r>
      <w:r w:rsidRPr="00587371">
        <w:rPr>
          <w:rFonts w:eastAsia="Times New Roman" w:cs="Times New Roman"/>
          <w:lang w:eastAsia="en-GB"/>
        </w:rPr>
        <w:t>Accessed 14 October 2025</w:t>
      </w:r>
      <w:r w:rsidR="00E55526">
        <w:rPr>
          <w:rFonts w:eastAsia="Times New Roman" w:cs="Times New Roman"/>
          <w:lang w:eastAsia="en-GB"/>
        </w:rPr>
        <w:t>).</w:t>
      </w:r>
    </w:p>
    <w:p w14:paraId="224B90EE" w14:textId="4EBA321D" w:rsidR="000F7214" w:rsidRPr="00587371" w:rsidRDefault="000F7214" w:rsidP="00312AE0">
      <w:pPr>
        <w:pStyle w:val="ListParagraph"/>
        <w:numPr>
          <w:ilvl w:val="0"/>
          <w:numId w:val="40"/>
        </w:numPr>
        <w:spacing w:after="240" w:line="360" w:lineRule="auto"/>
        <w:jc w:val="both"/>
        <w:rPr>
          <w:rFonts w:eastAsia="Times New Roman" w:cs="Times New Roman"/>
          <w:lang w:eastAsia="en-GB"/>
        </w:rPr>
      </w:pPr>
      <w:r w:rsidRPr="00587371">
        <w:rPr>
          <w:rFonts w:eastAsia="Times New Roman" w:cs="Times New Roman"/>
          <w:lang w:eastAsia="en-GB"/>
        </w:rPr>
        <w:t>Dresser, P. (2019). PREVENT Policing in Practice—The Need for Evidenced-Based Research. </w:t>
      </w:r>
      <w:r w:rsidRPr="00587371">
        <w:rPr>
          <w:rFonts w:eastAsia="Times New Roman" w:cs="Times New Roman"/>
          <w:i/>
          <w:iCs/>
          <w:lang w:eastAsia="en-GB"/>
        </w:rPr>
        <w:t>Policing A Journal of Policy and Practice</w:t>
      </w:r>
      <w:r w:rsidRPr="00587371">
        <w:rPr>
          <w:rFonts w:eastAsia="Times New Roman" w:cs="Times New Roman"/>
          <w:lang w:eastAsia="en-GB"/>
        </w:rPr>
        <w:t xml:space="preserve">, [online] 15(2), pp.716–726. doi: </w:t>
      </w:r>
      <w:hyperlink r:id="rId13" w:history="1">
        <w:r w:rsidRPr="00587371">
          <w:rPr>
            <w:rStyle w:val="Hyperlink"/>
            <w:rFonts w:eastAsia="Times New Roman" w:cs="Times New Roman"/>
            <w:color w:val="auto"/>
            <w:lang w:eastAsia="en-GB"/>
          </w:rPr>
          <w:t>https://doi.org/10.1093/police/paz049</w:t>
        </w:r>
      </w:hyperlink>
      <w:r w:rsidR="00FD7C24">
        <w:t>.</w:t>
      </w:r>
    </w:p>
    <w:p w14:paraId="4803B342" w14:textId="58215F85" w:rsidR="000F7214" w:rsidRPr="00587371" w:rsidRDefault="000F7214" w:rsidP="00312AE0">
      <w:pPr>
        <w:pStyle w:val="ListParagraph"/>
        <w:numPr>
          <w:ilvl w:val="0"/>
          <w:numId w:val="40"/>
        </w:numPr>
        <w:spacing w:after="240" w:line="360" w:lineRule="auto"/>
        <w:jc w:val="both"/>
        <w:rPr>
          <w:rFonts w:cs="Times New Roman"/>
          <w:shd w:val="clear" w:color="auto" w:fill="FFFFFF"/>
        </w:rPr>
      </w:pPr>
      <w:r w:rsidRPr="00587371">
        <w:rPr>
          <w:rFonts w:cs="Times New Roman"/>
          <w:shd w:val="clear" w:color="auto" w:fill="FFFFFF"/>
        </w:rPr>
        <w:t>Floyd, R., Loader, I., Wolfendale, J., De Londras, F. and Roe, P. (2022). The morality of security: A theory of just securitisation. </w:t>
      </w:r>
      <w:r w:rsidRPr="00587371">
        <w:rPr>
          <w:rFonts w:cs="Times New Roman"/>
          <w:i/>
          <w:iCs/>
          <w:shd w:val="clear" w:color="auto" w:fill="FFFFFF"/>
        </w:rPr>
        <w:t>European Journal of International Security</w:t>
      </w:r>
      <w:r w:rsidRPr="00587371">
        <w:rPr>
          <w:rFonts w:cs="Times New Roman"/>
          <w:shd w:val="clear" w:color="auto" w:fill="FFFFFF"/>
        </w:rPr>
        <w:t>, </w:t>
      </w:r>
      <w:r w:rsidRPr="00587371">
        <w:rPr>
          <w:rFonts w:cs="Times New Roman"/>
          <w:i/>
          <w:iCs/>
          <w:shd w:val="clear" w:color="auto" w:fill="FFFFFF"/>
        </w:rPr>
        <w:t>7</w:t>
      </w:r>
      <w:r w:rsidRPr="00587371">
        <w:rPr>
          <w:rFonts w:cs="Times New Roman"/>
          <w:shd w:val="clear" w:color="auto" w:fill="FFFFFF"/>
        </w:rPr>
        <w:t xml:space="preserve">(2). </w:t>
      </w:r>
      <w:hyperlink r:id="rId14" w:history="1">
        <w:r w:rsidRPr="00587371">
          <w:rPr>
            <w:rStyle w:val="Hyperlink"/>
            <w:rFonts w:cs="Times New Roman"/>
            <w:color w:val="auto"/>
            <w:shd w:val="clear" w:color="auto" w:fill="FFFFFF"/>
          </w:rPr>
          <w:t>https://www.cambridge.org/core/services/aop-cambridge-core/content/view/E3A4A00ED8042819EEE5AA0DCE8A0FC4/S2057563722000037a.pdf/div-class-title-the-morality-of-security-a-theory-of-just-securitisation-div.pdf</w:t>
        </w:r>
      </w:hyperlink>
      <w:r w:rsidR="00FD7C24">
        <w:t>.</w:t>
      </w:r>
    </w:p>
    <w:p w14:paraId="5100B8AD" w14:textId="135A5B1E" w:rsidR="000F7214" w:rsidRPr="00587371" w:rsidRDefault="000F7214" w:rsidP="00312AE0">
      <w:pPr>
        <w:pStyle w:val="ListParagraph"/>
        <w:numPr>
          <w:ilvl w:val="0"/>
          <w:numId w:val="40"/>
        </w:numPr>
        <w:spacing w:after="240" w:line="360" w:lineRule="auto"/>
        <w:jc w:val="both"/>
        <w:rPr>
          <w:rFonts w:cs="Times New Roman"/>
          <w:shd w:val="clear" w:color="auto" w:fill="FFFFFF"/>
        </w:rPr>
      </w:pPr>
      <w:r w:rsidRPr="00587371">
        <w:rPr>
          <w:rFonts w:cs="Times New Roman"/>
          <w:shd w:val="clear" w:color="auto" w:fill="FFFFFF"/>
        </w:rPr>
        <w:t>Higgins, A. (2020). Policing and the public: Understanding public priorities, attitudes and expectations. </w:t>
      </w:r>
      <w:r w:rsidRPr="00587371">
        <w:rPr>
          <w:rFonts w:cs="Times New Roman"/>
          <w:i/>
          <w:iCs/>
          <w:shd w:val="clear" w:color="auto" w:fill="FFFFFF"/>
        </w:rPr>
        <w:t>Insight paper</w:t>
      </w:r>
      <w:r w:rsidRPr="00587371">
        <w:rPr>
          <w:rFonts w:cs="Times New Roman"/>
          <w:shd w:val="clear" w:color="auto" w:fill="FFFFFF"/>
        </w:rPr>
        <w:t>, </w:t>
      </w:r>
      <w:r w:rsidRPr="00587371">
        <w:rPr>
          <w:rFonts w:cs="Times New Roman"/>
          <w:i/>
          <w:iCs/>
          <w:shd w:val="clear" w:color="auto" w:fill="FFFFFF"/>
        </w:rPr>
        <w:t>1</w:t>
      </w:r>
      <w:r w:rsidRPr="00587371">
        <w:rPr>
          <w:rFonts w:cs="Times New Roman"/>
          <w:shd w:val="clear" w:color="auto" w:fill="FFFFFF"/>
        </w:rPr>
        <w:t xml:space="preserve">. </w:t>
      </w:r>
      <w:hyperlink r:id="rId15" w:history="1">
        <w:r w:rsidR="004C1D3B" w:rsidRPr="00587371">
          <w:rPr>
            <w:rStyle w:val="Hyperlink"/>
            <w:rFonts w:cs="Times New Roman"/>
            <w:color w:val="auto"/>
            <w:u w:color="4F81BD" w:themeColor="accent1"/>
            <w:shd w:val="clear" w:color="auto" w:fill="FFFFFF"/>
          </w:rPr>
          <w:t>https://www.police-foundation.org.uk/wp-content/uploads/2010/10/insight_paper_1.pdf</w:t>
        </w:r>
      </w:hyperlink>
      <w:r w:rsidR="004C1D3B" w:rsidRPr="00587371">
        <w:rPr>
          <w:rFonts w:cs="Times New Roman"/>
          <w:shd w:val="clear" w:color="auto" w:fill="FFFFFF"/>
        </w:rPr>
        <w:t xml:space="preserve"> </w:t>
      </w:r>
      <w:r w:rsidR="00FD7C24">
        <w:rPr>
          <w:rFonts w:cs="Times New Roman"/>
          <w:shd w:val="clear" w:color="auto" w:fill="FFFFFF"/>
        </w:rPr>
        <w:t>.</w:t>
      </w:r>
    </w:p>
    <w:p w14:paraId="23B9AC8D" w14:textId="77777777" w:rsidR="000F7214" w:rsidRPr="00587371" w:rsidRDefault="000F7214" w:rsidP="00312AE0">
      <w:pPr>
        <w:pStyle w:val="ListParagraph"/>
        <w:numPr>
          <w:ilvl w:val="0"/>
          <w:numId w:val="40"/>
        </w:numPr>
        <w:spacing w:before="100" w:beforeAutospacing="1" w:after="100" w:afterAutospacing="1" w:line="360" w:lineRule="auto"/>
        <w:jc w:val="both"/>
        <w:rPr>
          <w:rFonts w:eastAsia="Times New Roman" w:cs="Times New Roman"/>
          <w:lang w:eastAsia="en-GB"/>
        </w:rPr>
      </w:pPr>
      <w:r w:rsidRPr="00587371">
        <w:rPr>
          <w:rFonts w:eastAsia="Times New Roman" w:cs="Times New Roman"/>
          <w:lang w:eastAsia="en-GB"/>
        </w:rPr>
        <w:t xml:space="preserve">HM Government (2023) CONTEST: The United Kingdom’s Strategy for Countering Terrorism 2023. London. HM Government. Available at: </w:t>
      </w:r>
      <w:hyperlink r:id="rId16" w:history="1">
        <w:r w:rsidRPr="00587371">
          <w:rPr>
            <w:rStyle w:val="Hyperlink"/>
            <w:rFonts w:eastAsia="Times New Roman" w:cs="Times New Roman"/>
            <w:color w:val="auto"/>
            <w:lang w:eastAsia="en-GB"/>
          </w:rPr>
          <w:t>https://assets.publishing.service.gov.uk/media/650b1b8d52e73c000d54dc82/CONTEST_2023_English_updated.pdf</w:t>
        </w:r>
      </w:hyperlink>
      <w:r w:rsidRPr="00587371">
        <w:rPr>
          <w:rFonts w:eastAsia="Times New Roman" w:cs="Times New Roman"/>
          <w:lang w:eastAsia="en-GB"/>
        </w:rPr>
        <w:t xml:space="preserve"> (Accessed 14 October 2025).</w:t>
      </w:r>
    </w:p>
    <w:p w14:paraId="251D5FB0" w14:textId="50FF1088" w:rsidR="000F7214" w:rsidRPr="00587371" w:rsidRDefault="000F7214" w:rsidP="00312AE0">
      <w:pPr>
        <w:pStyle w:val="NormalWeb"/>
        <w:numPr>
          <w:ilvl w:val="0"/>
          <w:numId w:val="40"/>
        </w:numPr>
        <w:spacing w:before="0" w:beforeAutospacing="0" w:after="240" w:afterAutospacing="0" w:line="360" w:lineRule="auto"/>
        <w:jc w:val="both"/>
      </w:pPr>
      <w:r w:rsidRPr="00587371">
        <w:rPr>
          <w:lang w:eastAsia="en-GB"/>
        </w:rPr>
        <w:t>‌HMICFRS (2020</w:t>
      </w:r>
      <w:r w:rsidRPr="00587371">
        <w:t xml:space="preserve">). </w:t>
      </w:r>
      <w:r w:rsidRPr="00587371">
        <w:rPr>
          <w:i/>
          <w:iCs/>
        </w:rPr>
        <w:t>Counter-terrorism policing - An inspection of the police’s contribution to the government’s Prevent programme</w:t>
      </w:r>
      <w:r w:rsidRPr="00587371">
        <w:t xml:space="preserve">. [online] Available at: </w:t>
      </w:r>
      <w:hyperlink r:id="rId17" w:history="1">
        <w:r w:rsidRPr="00587371">
          <w:rPr>
            <w:rStyle w:val="Hyperlink"/>
            <w:color w:val="auto"/>
          </w:rPr>
          <w:t>https://hmicfrs.justiceinspectorates.gov.uk/publications/counter-terrorism-policing-an-inspection-of-the-polices-contribution-to-the-governments-prevent-programme/</w:t>
        </w:r>
      </w:hyperlink>
      <w:r w:rsidRPr="00587371">
        <w:t xml:space="preserve"> </w:t>
      </w:r>
      <w:r w:rsidR="00C06C66">
        <w:t>(</w:t>
      </w:r>
      <w:r w:rsidRPr="00587371">
        <w:t>Accessed 14 October 2025</w:t>
      </w:r>
      <w:r w:rsidR="00C06C66">
        <w:t>).</w:t>
      </w:r>
    </w:p>
    <w:p w14:paraId="72EC9AD5" w14:textId="0C6653A9" w:rsidR="000F7214" w:rsidRPr="00587371" w:rsidRDefault="000F7214" w:rsidP="00312AE0">
      <w:pPr>
        <w:pStyle w:val="ListParagraph"/>
        <w:numPr>
          <w:ilvl w:val="0"/>
          <w:numId w:val="40"/>
        </w:numPr>
        <w:spacing w:after="240" w:line="360" w:lineRule="auto"/>
        <w:jc w:val="both"/>
        <w:rPr>
          <w:rFonts w:cs="Times New Roman"/>
          <w:shd w:val="clear" w:color="auto" w:fill="FFFFFF"/>
        </w:rPr>
      </w:pPr>
      <w:r w:rsidRPr="00587371">
        <w:rPr>
          <w:rFonts w:cs="Times New Roman"/>
          <w:shd w:val="clear" w:color="auto" w:fill="FFFFFF"/>
        </w:rPr>
        <w:t>Lang, A.P. (2022). </w:t>
      </w:r>
      <w:r w:rsidRPr="00587371">
        <w:rPr>
          <w:rFonts w:cs="Times New Roman"/>
          <w:i/>
          <w:iCs/>
          <w:shd w:val="clear" w:color="auto" w:fill="FFFFFF"/>
        </w:rPr>
        <w:t>The ‘Prevent Duty’(Counter Terrorism and Security Act 2015) and its impact on English secondary schools and colleges: A view from Leadership</w:t>
      </w:r>
      <w:r w:rsidRPr="00587371">
        <w:rPr>
          <w:rFonts w:cs="Times New Roman"/>
          <w:shd w:val="clear" w:color="auto" w:fill="FFFFFF"/>
        </w:rPr>
        <w:t xml:space="preserve"> (Doctoral dissertation, UCL (University College London)). </w:t>
      </w:r>
      <w:hyperlink r:id="rId18" w:history="1">
        <w:r w:rsidRPr="00587371">
          <w:rPr>
            <w:rStyle w:val="Hyperlink"/>
            <w:rFonts w:cs="Times New Roman"/>
            <w:color w:val="auto"/>
            <w:shd w:val="clear" w:color="auto" w:fill="FFFFFF"/>
          </w:rPr>
          <w:t>https://discovery.ucl.ac.uk/id/eprint/10155928/2/Lang_10155928_Thesis.pdf</w:t>
        </w:r>
      </w:hyperlink>
      <w:r w:rsidR="00FD7C24">
        <w:t>.</w:t>
      </w:r>
    </w:p>
    <w:p w14:paraId="79FCCA8C" w14:textId="4CA431FE" w:rsidR="000F7214" w:rsidRPr="00587371" w:rsidRDefault="000F7214" w:rsidP="00312AE0">
      <w:pPr>
        <w:pStyle w:val="ListParagraph"/>
        <w:numPr>
          <w:ilvl w:val="0"/>
          <w:numId w:val="40"/>
        </w:numPr>
        <w:spacing w:after="240" w:line="360" w:lineRule="auto"/>
        <w:jc w:val="both"/>
        <w:rPr>
          <w:rFonts w:cs="Times New Roman"/>
          <w:shd w:val="clear" w:color="auto" w:fill="FFFFFF"/>
        </w:rPr>
      </w:pPr>
      <w:r w:rsidRPr="00587371">
        <w:rPr>
          <w:rFonts w:cs="Times New Roman"/>
          <w:shd w:val="clear" w:color="auto" w:fill="FFFFFF"/>
        </w:rPr>
        <w:t>Marchment, Z. and Gill, P. (2025). A comparison of Project Servator and routine stop and search outcomes in the city of London. </w:t>
      </w:r>
      <w:r w:rsidRPr="00587371">
        <w:rPr>
          <w:rFonts w:cs="Times New Roman"/>
          <w:i/>
          <w:iCs/>
          <w:shd w:val="clear" w:color="auto" w:fill="FFFFFF"/>
        </w:rPr>
        <w:t>Security Journal</w:t>
      </w:r>
      <w:r w:rsidRPr="00587371">
        <w:rPr>
          <w:rFonts w:cs="Times New Roman"/>
          <w:shd w:val="clear" w:color="auto" w:fill="FFFFFF"/>
        </w:rPr>
        <w:t>, </w:t>
      </w:r>
      <w:r w:rsidRPr="00587371">
        <w:rPr>
          <w:rFonts w:cs="Times New Roman"/>
          <w:i/>
          <w:iCs/>
          <w:shd w:val="clear" w:color="auto" w:fill="FFFFFF"/>
        </w:rPr>
        <w:t>38</w:t>
      </w:r>
      <w:r w:rsidRPr="00587371">
        <w:rPr>
          <w:rFonts w:cs="Times New Roman"/>
          <w:shd w:val="clear" w:color="auto" w:fill="FFFFFF"/>
        </w:rPr>
        <w:t xml:space="preserve">(1), p.13. </w:t>
      </w:r>
      <w:hyperlink r:id="rId19" w:history="1">
        <w:r w:rsidRPr="00587371">
          <w:rPr>
            <w:rStyle w:val="Hyperlink"/>
            <w:rFonts w:cs="Times New Roman"/>
            <w:color w:val="auto"/>
            <w:shd w:val="clear" w:color="auto" w:fill="FFFFFF"/>
          </w:rPr>
          <w:t>https://link.springer.com/content/pdf/10.1057/s41284-024-00461-1.pdf</w:t>
        </w:r>
      </w:hyperlink>
      <w:r w:rsidR="00FD7C24">
        <w:t>.</w:t>
      </w:r>
    </w:p>
    <w:p w14:paraId="71F34FB9" w14:textId="521EAE92" w:rsidR="000F7214" w:rsidRPr="00587371" w:rsidRDefault="000F7214" w:rsidP="00312AE0">
      <w:pPr>
        <w:pStyle w:val="ListParagraph"/>
        <w:numPr>
          <w:ilvl w:val="0"/>
          <w:numId w:val="40"/>
        </w:numPr>
        <w:spacing w:after="240" w:line="360" w:lineRule="auto"/>
        <w:jc w:val="both"/>
        <w:rPr>
          <w:rStyle w:val="Hyperlink"/>
          <w:rFonts w:cs="Times New Roman"/>
          <w:color w:val="auto"/>
          <w:u w:val="none"/>
          <w:shd w:val="clear" w:color="auto" w:fill="FFFFFF"/>
        </w:rPr>
      </w:pPr>
      <w:r w:rsidRPr="00587371">
        <w:rPr>
          <w:rFonts w:cs="Times New Roman"/>
          <w:shd w:val="clear" w:color="auto" w:fill="FFFFFF"/>
        </w:rPr>
        <w:t>Michaud, L., Van Der Meulen, E. and Guta, A. (2023). Between care and control: examining surveillance practices in harm reduction. </w:t>
      </w:r>
      <w:r w:rsidRPr="00587371">
        <w:rPr>
          <w:rFonts w:cs="Times New Roman"/>
          <w:i/>
          <w:iCs/>
          <w:shd w:val="clear" w:color="auto" w:fill="FFFFFF"/>
        </w:rPr>
        <w:t>Contemporary drug problems</w:t>
      </w:r>
      <w:r w:rsidRPr="00587371">
        <w:rPr>
          <w:rFonts w:cs="Times New Roman"/>
          <w:shd w:val="clear" w:color="auto" w:fill="FFFFFF"/>
        </w:rPr>
        <w:t>, </w:t>
      </w:r>
      <w:r w:rsidRPr="00587371">
        <w:rPr>
          <w:rFonts w:cs="Times New Roman"/>
          <w:i/>
          <w:iCs/>
          <w:shd w:val="clear" w:color="auto" w:fill="FFFFFF"/>
        </w:rPr>
        <w:t>50</w:t>
      </w:r>
      <w:r w:rsidRPr="00587371">
        <w:rPr>
          <w:rFonts w:cs="Times New Roman"/>
          <w:shd w:val="clear" w:color="auto" w:fill="FFFFFF"/>
        </w:rPr>
        <w:t xml:space="preserve">(1), pp.3-24. </w:t>
      </w:r>
      <w:hyperlink r:id="rId20" w:history="1">
        <w:r w:rsidRPr="00587371">
          <w:rPr>
            <w:rStyle w:val="Hyperlink"/>
            <w:rFonts w:cs="Times New Roman"/>
            <w:color w:val="auto"/>
            <w:shd w:val="clear" w:color="auto" w:fill="FFFFFF"/>
          </w:rPr>
          <w:t>https://journals.sagepub.com/doi/pdf/10.1177/00914509221128598</w:t>
        </w:r>
      </w:hyperlink>
      <w:r w:rsidR="00FD7C24">
        <w:t>.</w:t>
      </w:r>
    </w:p>
    <w:p w14:paraId="1E465795" w14:textId="7E1BF3F2" w:rsidR="00F953A1" w:rsidRPr="00587371" w:rsidRDefault="00F953A1" w:rsidP="00C94CE1">
      <w:pPr>
        <w:pStyle w:val="ListParagraph"/>
        <w:numPr>
          <w:ilvl w:val="0"/>
          <w:numId w:val="40"/>
        </w:numPr>
        <w:spacing w:after="240" w:line="360" w:lineRule="auto"/>
        <w:jc w:val="both"/>
        <w:rPr>
          <w:rFonts w:cs="Times New Roman"/>
          <w:shd w:val="clear" w:color="auto" w:fill="FFFFFF"/>
        </w:rPr>
      </w:pPr>
      <w:r w:rsidRPr="00587371">
        <w:rPr>
          <w:rFonts w:cs="Times New Roman"/>
          <w:shd w:val="clear" w:color="auto" w:fill="FFFFFF"/>
        </w:rPr>
        <w:t xml:space="preserve">Muhdiarta, U. (2025). The Role of Community Participation in Shaping Policies and Its Implications for Government Legitimacy. </w:t>
      </w:r>
      <w:r w:rsidRPr="00587371">
        <w:rPr>
          <w:rFonts w:cs="Times New Roman"/>
          <w:i/>
          <w:shd w:val="clear" w:color="auto" w:fill="FFFFFF"/>
        </w:rPr>
        <w:t>The Journal of Academic Science</w:t>
      </w:r>
      <w:r w:rsidRPr="00587371">
        <w:rPr>
          <w:rFonts w:cs="Times New Roman"/>
          <w:shd w:val="clear" w:color="auto" w:fill="FFFFFF"/>
        </w:rPr>
        <w:t>, 2(4), pp.1109-1117.</w:t>
      </w:r>
      <w:r w:rsidR="00C94CE1" w:rsidRPr="00587371">
        <w:rPr>
          <w:rFonts w:cs="Times New Roman"/>
          <w:shd w:val="clear" w:color="auto" w:fill="FFFFFF"/>
        </w:rPr>
        <w:t xml:space="preserve"> </w:t>
      </w:r>
      <w:hyperlink r:id="rId21" w:history="1">
        <w:r w:rsidR="00C94CE1" w:rsidRPr="00587371">
          <w:rPr>
            <w:rStyle w:val="Hyperlink"/>
            <w:rFonts w:cs="Times New Roman"/>
            <w:color w:val="auto"/>
            <w:shd w:val="clear" w:color="auto" w:fill="FFFFFF"/>
          </w:rPr>
          <w:t>https://thejoas.com/index.php/thejoas/article/download/325/360</w:t>
        </w:r>
      </w:hyperlink>
      <w:r w:rsidR="00C94CE1" w:rsidRPr="00587371">
        <w:rPr>
          <w:rFonts w:cs="Times New Roman"/>
          <w:shd w:val="clear" w:color="auto" w:fill="FFFFFF"/>
        </w:rPr>
        <w:t xml:space="preserve"> </w:t>
      </w:r>
      <w:r w:rsidR="00FD7C24">
        <w:rPr>
          <w:rFonts w:cs="Times New Roman"/>
          <w:shd w:val="clear" w:color="auto" w:fill="FFFFFF"/>
        </w:rPr>
        <w:t>.</w:t>
      </w:r>
    </w:p>
    <w:p w14:paraId="0B9AADD9" w14:textId="116A941C" w:rsidR="000F7214" w:rsidRPr="00587371" w:rsidRDefault="000F7214" w:rsidP="00312AE0">
      <w:pPr>
        <w:pStyle w:val="ListParagraph"/>
        <w:numPr>
          <w:ilvl w:val="0"/>
          <w:numId w:val="40"/>
        </w:numPr>
        <w:spacing w:after="240" w:line="360" w:lineRule="auto"/>
        <w:jc w:val="both"/>
        <w:rPr>
          <w:rFonts w:cs="Times New Roman"/>
          <w:shd w:val="clear" w:color="auto" w:fill="FFFFFF"/>
        </w:rPr>
      </w:pPr>
      <w:r w:rsidRPr="00587371">
        <w:rPr>
          <w:rFonts w:cs="Times New Roman"/>
          <w:shd w:val="clear" w:color="auto" w:fill="FFFFFF"/>
        </w:rPr>
        <w:t>Nagin, D.S. and Telep, C.W. (2020). Procedural justice and legal compliance: A revisionist perspective. </w:t>
      </w:r>
      <w:r w:rsidRPr="00587371">
        <w:rPr>
          <w:rFonts w:cs="Times New Roman"/>
          <w:i/>
          <w:iCs/>
          <w:shd w:val="clear" w:color="auto" w:fill="FFFFFF"/>
        </w:rPr>
        <w:t>Criminology &amp; public policy</w:t>
      </w:r>
      <w:r w:rsidRPr="00587371">
        <w:rPr>
          <w:rFonts w:cs="Times New Roman"/>
          <w:shd w:val="clear" w:color="auto" w:fill="FFFFFF"/>
        </w:rPr>
        <w:t>, </w:t>
      </w:r>
      <w:r w:rsidRPr="00587371">
        <w:rPr>
          <w:rFonts w:cs="Times New Roman"/>
          <w:i/>
          <w:iCs/>
          <w:shd w:val="clear" w:color="auto" w:fill="FFFFFF"/>
        </w:rPr>
        <w:t>19</w:t>
      </w:r>
      <w:r w:rsidRPr="00587371">
        <w:rPr>
          <w:rFonts w:cs="Times New Roman"/>
          <w:shd w:val="clear" w:color="auto" w:fill="FFFFFF"/>
        </w:rPr>
        <w:t xml:space="preserve">(3), pp.761-786. </w:t>
      </w:r>
      <w:hyperlink r:id="rId22" w:history="1">
        <w:r w:rsidRPr="00587371">
          <w:rPr>
            <w:rStyle w:val="Hyperlink"/>
            <w:rFonts w:cs="Times New Roman"/>
            <w:color w:val="auto"/>
            <w:shd w:val="clear" w:color="auto" w:fill="FFFFFF"/>
          </w:rPr>
          <w:t>https://prohic.nl/wp-content/uploads/2021/01/152-18jan2021-ProceduralJusticeMeta.pdf</w:t>
        </w:r>
      </w:hyperlink>
      <w:r w:rsidR="00FD7C24">
        <w:t>.</w:t>
      </w:r>
    </w:p>
    <w:p w14:paraId="480C1295" w14:textId="40C0C020" w:rsidR="000F7214" w:rsidRPr="00587371" w:rsidRDefault="000F7214" w:rsidP="00312AE0">
      <w:pPr>
        <w:pStyle w:val="ListParagraph"/>
        <w:numPr>
          <w:ilvl w:val="0"/>
          <w:numId w:val="40"/>
        </w:numPr>
        <w:spacing w:after="240" w:line="360" w:lineRule="auto"/>
        <w:jc w:val="both"/>
        <w:rPr>
          <w:rStyle w:val="Hyperlink"/>
          <w:rFonts w:cs="Times New Roman"/>
          <w:color w:val="auto"/>
          <w:shd w:val="clear" w:color="auto" w:fill="FFFFFF"/>
        </w:rPr>
      </w:pPr>
      <w:r w:rsidRPr="00587371">
        <w:rPr>
          <w:rFonts w:cs="Times New Roman"/>
          <w:shd w:val="clear" w:color="auto" w:fill="FFFFFF"/>
        </w:rPr>
        <w:t>Patrick, H.O., Khalema, E., Abiolu, R.T.I. and Mbara, G. (2021). National Interest and Collective Security: Assessing the'Collectivity'of Global Security in the Covid-19 Era. </w:t>
      </w:r>
      <w:r w:rsidRPr="00587371">
        <w:rPr>
          <w:rFonts w:cs="Times New Roman"/>
          <w:i/>
          <w:iCs/>
          <w:shd w:val="clear" w:color="auto" w:fill="FFFFFF"/>
        </w:rPr>
        <w:t>Humanities and Social Sciences Review</w:t>
      </w:r>
      <w:r w:rsidRPr="00587371">
        <w:rPr>
          <w:rFonts w:cs="Times New Roman"/>
          <w:shd w:val="clear" w:color="auto" w:fill="FFFFFF"/>
        </w:rPr>
        <w:t>, </w:t>
      </w:r>
      <w:r w:rsidRPr="00587371">
        <w:rPr>
          <w:rFonts w:cs="Times New Roman"/>
          <w:i/>
          <w:iCs/>
          <w:shd w:val="clear" w:color="auto" w:fill="FFFFFF"/>
        </w:rPr>
        <w:t>9</w:t>
      </w:r>
      <w:r w:rsidRPr="00587371">
        <w:rPr>
          <w:rFonts w:cs="Times New Roman"/>
          <w:shd w:val="clear" w:color="auto" w:fill="FFFFFF"/>
        </w:rPr>
        <w:t xml:space="preserve">(2), pp.499-507. </w:t>
      </w:r>
      <w:hyperlink r:id="rId23" w:history="1">
        <w:r w:rsidRPr="00587371">
          <w:rPr>
            <w:rStyle w:val="Hyperlink"/>
            <w:rFonts w:cs="Times New Roman"/>
            <w:color w:val="auto"/>
            <w:shd w:val="clear" w:color="auto" w:fill="FFFFFF"/>
          </w:rPr>
          <w:t>http://markfoster.net/dcf/collective_security.pdf</w:t>
        </w:r>
      </w:hyperlink>
      <w:r w:rsidR="00FD7C24">
        <w:t>.</w:t>
      </w:r>
    </w:p>
    <w:p w14:paraId="1231B32D" w14:textId="3D97702E" w:rsidR="004C668E" w:rsidRPr="00587371" w:rsidRDefault="004C668E" w:rsidP="004C668E">
      <w:pPr>
        <w:pStyle w:val="ListParagraph"/>
        <w:numPr>
          <w:ilvl w:val="0"/>
          <w:numId w:val="40"/>
        </w:numPr>
        <w:spacing w:after="240" w:line="360" w:lineRule="auto"/>
        <w:jc w:val="both"/>
        <w:rPr>
          <w:rStyle w:val="Hyperlink"/>
          <w:rFonts w:cs="Times New Roman"/>
          <w:color w:val="auto"/>
          <w:u w:val="none"/>
          <w:shd w:val="clear" w:color="auto" w:fill="FFFFFF"/>
        </w:rPr>
      </w:pPr>
      <w:r w:rsidRPr="00587371">
        <w:rPr>
          <w:rStyle w:val="Hyperlink"/>
          <w:rFonts w:cs="Times New Roman"/>
          <w:color w:val="auto"/>
          <w:u w:val="none"/>
          <w:shd w:val="clear" w:color="auto" w:fill="FFFFFF"/>
        </w:rPr>
        <w:t xml:space="preserve">Quigg, Z., Smith, C., Hughes, K., Wilson, C., Butler, N., Jones, L. and Bellis, M.A. (2023). Everybody’s business: Early intervention and crime reduction. Understanding and enhancing the role of police and multi-agency partners in preventing harms that cross the public health and criminal justice landscape. </w:t>
      </w:r>
      <w:hyperlink r:id="rId24" w:history="1">
        <w:r w:rsidRPr="00587371">
          <w:rPr>
            <w:rStyle w:val="Hyperlink"/>
            <w:rFonts w:cs="Times New Roman"/>
            <w:color w:val="auto"/>
            <w:shd w:val="clear" w:color="auto" w:fill="FFFFFF"/>
          </w:rPr>
          <w:t>https://researchonline.ljmu.ac.uk/id/eprint/22243/1/Everybody's%20Business%20Early%20Intervention%20Crime%20Reduction%20LJMUPHW%20November%202023.pdf</w:t>
        </w:r>
      </w:hyperlink>
      <w:r w:rsidRPr="00587371">
        <w:rPr>
          <w:rStyle w:val="Hyperlink"/>
          <w:rFonts w:cs="Times New Roman"/>
          <w:color w:val="auto"/>
          <w:u w:val="none"/>
          <w:shd w:val="clear" w:color="auto" w:fill="FFFFFF"/>
        </w:rPr>
        <w:t xml:space="preserve"> </w:t>
      </w:r>
      <w:r w:rsidR="00FD7C24">
        <w:rPr>
          <w:rStyle w:val="Hyperlink"/>
          <w:rFonts w:cs="Times New Roman"/>
          <w:color w:val="auto"/>
          <w:u w:val="none"/>
          <w:shd w:val="clear" w:color="auto" w:fill="FFFFFF"/>
        </w:rPr>
        <w:t>.</w:t>
      </w:r>
    </w:p>
    <w:p w14:paraId="17B37F0C" w14:textId="4FDE9F45" w:rsidR="00DA55DB" w:rsidRPr="00587371" w:rsidRDefault="00DF2E4C" w:rsidP="00DA55DB">
      <w:pPr>
        <w:pStyle w:val="NormalWeb"/>
        <w:numPr>
          <w:ilvl w:val="0"/>
          <w:numId w:val="40"/>
        </w:numPr>
        <w:spacing w:before="0" w:beforeAutospacing="0" w:after="240" w:afterAutospacing="0" w:line="360" w:lineRule="auto"/>
        <w:jc w:val="both"/>
      </w:pPr>
      <w:r w:rsidRPr="00587371">
        <w:rPr>
          <w:shd w:val="clear" w:color="auto" w:fill="FFFFFF"/>
        </w:rPr>
        <w:t xml:space="preserve">Simone, D. D. (2022). </w:t>
      </w:r>
      <w:r w:rsidRPr="00587371">
        <w:rPr>
          <w:i/>
          <w:shd w:val="clear" w:color="auto" w:fill="FFFFFF"/>
        </w:rPr>
        <w:t xml:space="preserve">Manchester Arena Inquiry: Secret evidence reveals what MI5 knew about Salman Abedi. </w:t>
      </w:r>
      <w:r w:rsidRPr="00587371">
        <w:t xml:space="preserve">[online] Available at: </w:t>
      </w:r>
      <w:hyperlink r:id="rId25" w:history="1">
        <w:r w:rsidRPr="00587371">
          <w:rPr>
            <w:rStyle w:val="Hyperlink"/>
            <w:color w:val="auto"/>
          </w:rPr>
          <w:t>https://www.bbc.com/news/uk-england-manchester-60391622</w:t>
        </w:r>
      </w:hyperlink>
      <w:r w:rsidRPr="00587371">
        <w:t xml:space="preserve"> </w:t>
      </w:r>
      <w:r w:rsidR="00C06C66">
        <w:t>(</w:t>
      </w:r>
      <w:r w:rsidRPr="00587371">
        <w:t>Accessed 6 November 2025</w:t>
      </w:r>
      <w:r w:rsidR="00C06C66">
        <w:t>)</w:t>
      </w:r>
      <w:r w:rsidRPr="00587371">
        <w:t>.</w:t>
      </w:r>
    </w:p>
    <w:p w14:paraId="5C1D9D97" w14:textId="66015235" w:rsidR="007B6835" w:rsidRPr="00587371" w:rsidRDefault="007B6835" w:rsidP="007B6835">
      <w:pPr>
        <w:pStyle w:val="NormalWeb"/>
        <w:numPr>
          <w:ilvl w:val="0"/>
          <w:numId w:val="40"/>
        </w:numPr>
        <w:spacing w:before="0" w:beforeAutospacing="0" w:after="240" w:afterAutospacing="0" w:line="360" w:lineRule="auto"/>
        <w:jc w:val="both"/>
      </w:pPr>
      <w:r w:rsidRPr="00587371">
        <w:t xml:space="preserve">Vanaisak, Ü. (2020). LAW ENFORCEMENT </w:t>
      </w:r>
      <w:r w:rsidR="00A11417">
        <w:t>OFFICIALS</w:t>
      </w:r>
      <w:r w:rsidRPr="00587371">
        <w:t xml:space="preserve"> OF FORCE: CHOICE OF MEANS AND LEGAL CERTAINTY. </w:t>
      </w:r>
      <w:r w:rsidRPr="00587371">
        <w:rPr>
          <w:i/>
        </w:rPr>
        <w:t>Public Security and Public Order</w:t>
      </w:r>
      <w:r w:rsidRPr="00587371">
        <w:t xml:space="preserve">, (24). </w:t>
      </w:r>
      <w:hyperlink r:id="rId26" w:history="1">
        <w:r w:rsidRPr="00587371">
          <w:rPr>
            <w:rStyle w:val="Hyperlink"/>
            <w:color w:val="auto"/>
          </w:rPr>
          <w:t>https://www3.mruni.eu/ojs/vsvt/article/view/5540/4741</w:t>
        </w:r>
      </w:hyperlink>
      <w:r w:rsidRPr="00587371">
        <w:t xml:space="preserve"> </w:t>
      </w:r>
      <w:r w:rsidR="00FD7C24">
        <w:t>.</w:t>
      </w:r>
    </w:p>
    <w:p w14:paraId="77338677" w14:textId="0F9C08A4" w:rsidR="00DA55DB" w:rsidRPr="00587371" w:rsidRDefault="00DA55DB" w:rsidP="00DA55DB">
      <w:pPr>
        <w:pStyle w:val="NormalWeb"/>
        <w:numPr>
          <w:ilvl w:val="0"/>
          <w:numId w:val="40"/>
        </w:numPr>
        <w:spacing w:before="0" w:beforeAutospacing="0" w:after="240" w:afterAutospacing="0" w:line="360" w:lineRule="auto"/>
        <w:jc w:val="both"/>
      </w:pPr>
      <w:r w:rsidRPr="00587371">
        <w:t xml:space="preserve"> Weeks, D. (2021). </w:t>
      </w:r>
      <w:r w:rsidRPr="00587371">
        <w:rPr>
          <w:i/>
        </w:rPr>
        <w:t>Lessons Learned from U.K. Efforts to Deradicalize Terror Offenders</w:t>
      </w:r>
      <w:r w:rsidRPr="00587371">
        <w:t xml:space="preserve">. [online] Available at: </w:t>
      </w:r>
      <w:hyperlink r:id="rId27" w:history="1">
        <w:r w:rsidRPr="00587371">
          <w:rPr>
            <w:rStyle w:val="Hyperlink"/>
            <w:color w:val="auto"/>
          </w:rPr>
          <w:t>https://ctc.westpoint.edu/lessons-learned-from-u-k-efforts-to-deradicalize-terror-offenders/</w:t>
        </w:r>
      </w:hyperlink>
      <w:r w:rsidRPr="00587371">
        <w:t xml:space="preserve"> </w:t>
      </w:r>
      <w:r w:rsidR="00A11417">
        <w:t>(</w:t>
      </w:r>
      <w:r w:rsidRPr="00587371">
        <w:t>Accessed 6 November 2025</w:t>
      </w:r>
      <w:r w:rsidR="00A11417">
        <w:t>)</w:t>
      </w:r>
      <w:r w:rsidRPr="00587371">
        <w:t>.</w:t>
      </w:r>
    </w:p>
    <w:p w14:paraId="0EBA708E" w14:textId="17BA38AD" w:rsidR="007B6835" w:rsidRPr="00587371" w:rsidRDefault="000F013D" w:rsidP="000F013D">
      <w:pPr>
        <w:pStyle w:val="NormalWeb"/>
        <w:numPr>
          <w:ilvl w:val="0"/>
          <w:numId w:val="40"/>
        </w:numPr>
        <w:spacing w:before="0" w:beforeAutospacing="0" w:after="240" w:afterAutospacing="0" w:line="360" w:lineRule="auto"/>
        <w:jc w:val="both"/>
      </w:pPr>
      <w:r w:rsidRPr="00587371">
        <w:t xml:space="preserve">Yang, Z., Yang, Z. and Teixeira, A.P. (2020). Comparative analysis of the impact of new inspection regime on port state control inspection. </w:t>
      </w:r>
      <w:r w:rsidRPr="00587371">
        <w:rPr>
          <w:i/>
        </w:rPr>
        <w:t>Transport Policy, 92</w:t>
      </w:r>
      <w:r w:rsidRPr="00587371">
        <w:t xml:space="preserve">, pp.65-80. </w:t>
      </w:r>
      <w:hyperlink r:id="rId28" w:history="1">
        <w:r w:rsidRPr="00587371">
          <w:rPr>
            <w:rStyle w:val="Hyperlink"/>
            <w:color w:val="auto"/>
          </w:rPr>
          <w:t>http://researchonline.ljmu.ac.uk/id/eprint/13160/3/Comparative%20Analysis%20of%20the%20Impact%20of%20New%20Inspection%20Regime%20on%20Port%20State%20Control%20Inspection%20.pdf</w:t>
        </w:r>
      </w:hyperlink>
      <w:r w:rsidRPr="00587371">
        <w:t xml:space="preserve"> </w:t>
      </w:r>
      <w:r w:rsidR="00FD7C24">
        <w:t>.</w:t>
      </w:r>
    </w:p>
    <w:p w14:paraId="217CABAA" w14:textId="77777777" w:rsidR="00DF2E4C" w:rsidRPr="00587371" w:rsidRDefault="00DF2E4C" w:rsidP="00DF2E4C">
      <w:pPr>
        <w:rPr>
          <w:i/>
          <w:shd w:val="clear" w:color="auto" w:fill="FFFFFF"/>
        </w:rPr>
      </w:pPr>
    </w:p>
    <w:p w14:paraId="46D25573" w14:textId="77777777" w:rsidR="000F7214" w:rsidRPr="00587371" w:rsidRDefault="000F7214" w:rsidP="00FE0C75">
      <w:pPr>
        <w:spacing w:line="360" w:lineRule="auto"/>
        <w:jc w:val="both"/>
        <w:rPr>
          <w:rFonts w:cs="Times New Roman"/>
          <w:lang w:val="en-IN"/>
        </w:rPr>
      </w:pPr>
    </w:p>
    <w:sectPr w:rsidR="000F7214" w:rsidRPr="00587371">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90150" w14:textId="77777777" w:rsidR="00345ED2" w:rsidRDefault="00345ED2" w:rsidP="00667912">
      <w:r>
        <w:separator/>
      </w:r>
    </w:p>
  </w:endnote>
  <w:endnote w:type="continuationSeparator" w:id="0">
    <w:p w14:paraId="195A7F71" w14:textId="77777777" w:rsidR="00345ED2" w:rsidRDefault="00345ED2" w:rsidP="00667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369942"/>
      <w:docPartObj>
        <w:docPartGallery w:val="Page Numbers (Bottom of Page)"/>
        <w:docPartUnique/>
      </w:docPartObj>
    </w:sdtPr>
    <w:sdtEndPr>
      <w:rPr>
        <w:noProof/>
      </w:rPr>
    </w:sdtEndPr>
    <w:sdtContent>
      <w:p w14:paraId="07FFBF81" w14:textId="77777777" w:rsidR="00667912" w:rsidRDefault="00667912">
        <w:pPr>
          <w:pStyle w:val="Footer"/>
          <w:jc w:val="right"/>
        </w:pPr>
        <w:r>
          <w:fldChar w:fldCharType="begin"/>
        </w:r>
        <w:r>
          <w:instrText xml:space="preserve"> PAGE   \* MERGEFORMAT </w:instrText>
        </w:r>
        <w:r>
          <w:fldChar w:fldCharType="separate"/>
        </w:r>
        <w:r w:rsidR="00E4749A">
          <w:rPr>
            <w:noProof/>
          </w:rPr>
          <w:t>13</w:t>
        </w:r>
        <w:r>
          <w:rPr>
            <w:noProof/>
          </w:rPr>
          <w:fldChar w:fldCharType="end"/>
        </w:r>
      </w:p>
    </w:sdtContent>
  </w:sdt>
  <w:p w14:paraId="79625A7A" w14:textId="77777777" w:rsidR="00667912" w:rsidRDefault="00667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F47D6" w14:textId="77777777" w:rsidR="00345ED2" w:rsidRDefault="00345ED2" w:rsidP="00667912">
      <w:r>
        <w:separator/>
      </w:r>
    </w:p>
  </w:footnote>
  <w:footnote w:type="continuationSeparator" w:id="0">
    <w:p w14:paraId="36F4D933" w14:textId="77777777" w:rsidR="00345ED2" w:rsidRDefault="00345ED2" w:rsidP="00667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4853"/>
    <w:multiLevelType w:val="hybridMultilevel"/>
    <w:tmpl w:val="D046A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75066"/>
    <w:multiLevelType w:val="hybridMultilevel"/>
    <w:tmpl w:val="4B042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945D6"/>
    <w:multiLevelType w:val="multilevel"/>
    <w:tmpl w:val="B4885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C15C2"/>
    <w:multiLevelType w:val="hybridMultilevel"/>
    <w:tmpl w:val="603C6E42"/>
    <w:lvl w:ilvl="0" w:tplc="431E4D6C">
      <w:start w:val="1"/>
      <w:numFmt w:val="decimal"/>
      <w:lvlText w:val="%1."/>
      <w:lvlJc w:val="left"/>
      <w:pPr>
        <w:ind w:left="644"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0512C"/>
    <w:multiLevelType w:val="hybridMultilevel"/>
    <w:tmpl w:val="90069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5385A"/>
    <w:multiLevelType w:val="hybridMultilevel"/>
    <w:tmpl w:val="49641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6B36F9"/>
    <w:multiLevelType w:val="hybridMultilevel"/>
    <w:tmpl w:val="5C1ACEAA"/>
    <w:lvl w:ilvl="0" w:tplc="086A2268">
      <w:start w:val="1"/>
      <w:numFmt w:val="bullet"/>
      <w:lvlText w:val="•"/>
      <w:lvlJc w:val="left"/>
      <w:pPr>
        <w:tabs>
          <w:tab w:val="num" w:pos="720"/>
        </w:tabs>
        <w:ind w:left="720" w:hanging="360"/>
      </w:pPr>
      <w:rPr>
        <w:rFonts w:ascii="Arial" w:hAnsi="Arial" w:hint="default"/>
      </w:rPr>
    </w:lvl>
    <w:lvl w:ilvl="1" w:tplc="689C94EE" w:tentative="1">
      <w:start w:val="1"/>
      <w:numFmt w:val="bullet"/>
      <w:lvlText w:val="•"/>
      <w:lvlJc w:val="left"/>
      <w:pPr>
        <w:tabs>
          <w:tab w:val="num" w:pos="1440"/>
        </w:tabs>
        <w:ind w:left="1440" w:hanging="360"/>
      </w:pPr>
      <w:rPr>
        <w:rFonts w:ascii="Arial" w:hAnsi="Arial" w:hint="default"/>
      </w:rPr>
    </w:lvl>
    <w:lvl w:ilvl="2" w:tplc="1AFA39BC" w:tentative="1">
      <w:start w:val="1"/>
      <w:numFmt w:val="bullet"/>
      <w:lvlText w:val="•"/>
      <w:lvlJc w:val="left"/>
      <w:pPr>
        <w:tabs>
          <w:tab w:val="num" w:pos="2160"/>
        </w:tabs>
        <w:ind w:left="2160" w:hanging="360"/>
      </w:pPr>
      <w:rPr>
        <w:rFonts w:ascii="Arial" w:hAnsi="Arial" w:hint="default"/>
      </w:rPr>
    </w:lvl>
    <w:lvl w:ilvl="3" w:tplc="4EEAC350" w:tentative="1">
      <w:start w:val="1"/>
      <w:numFmt w:val="bullet"/>
      <w:lvlText w:val="•"/>
      <w:lvlJc w:val="left"/>
      <w:pPr>
        <w:tabs>
          <w:tab w:val="num" w:pos="2880"/>
        </w:tabs>
        <w:ind w:left="2880" w:hanging="360"/>
      </w:pPr>
      <w:rPr>
        <w:rFonts w:ascii="Arial" w:hAnsi="Arial" w:hint="default"/>
      </w:rPr>
    </w:lvl>
    <w:lvl w:ilvl="4" w:tplc="66A8B754" w:tentative="1">
      <w:start w:val="1"/>
      <w:numFmt w:val="bullet"/>
      <w:lvlText w:val="•"/>
      <w:lvlJc w:val="left"/>
      <w:pPr>
        <w:tabs>
          <w:tab w:val="num" w:pos="3600"/>
        </w:tabs>
        <w:ind w:left="3600" w:hanging="360"/>
      </w:pPr>
      <w:rPr>
        <w:rFonts w:ascii="Arial" w:hAnsi="Arial" w:hint="default"/>
      </w:rPr>
    </w:lvl>
    <w:lvl w:ilvl="5" w:tplc="9C04C050" w:tentative="1">
      <w:start w:val="1"/>
      <w:numFmt w:val="bullet"/>
      <w:lvlText w:val="•"/>
      <w:lvlJc w:val="left"/>
      <w:pPr>
        <w:tabs>
          <w:tab w:val="num" w:pos="4320"/>
        </w:tabs>
        <w:ind w:left="4320" w:hanging="360"/>
      </w:pPr>
      <w:rPr>
        <w:rFonts w:ascii="Arial" w:hAnsi="Arial" w:hint="default"/>
      </w:rPr>
    </w:lvl>
    <w:lvl w:ilvl="6" w:tplc="40EE3D9C" w:tentative="1">
      <w:start w:val="1"/>
      <w:numFmt w:val="bullet"/>
      <w:lvlText w:val="•"/>
      <w:lvlJc w:val="left"/>
      <w:pPr>
        <w:tabs>
          <w:tab w:val="num" w:pos="5040"/>
        </w:tabs>
        <w:ind w:left="5040" w:hanging="360"/>
      </w:pPr>
      <w:rPr>
        <w:rFonts w:ascii="Arial" w:hAnsi="Arial" w:hint="default"/>
      </w:rPr>
    </w:lvl>
    <w:lvl w:ilvl="7" w:tplc="0E90FA7A" w:tentative="1">
      <w:start w:val="1"/>
      <w:numFmt w:val="bullet"/>
      <w:lvlText w:val="•"/>
      <w:lvlJc w:val="left"/>
      <w:pPr>
        <w:tabs>
          <w:tab w:val="num" w:pos="5760"/>
        </w:tabs>
        <w:ind w:left="5760" w:hanging="360"/>
      </w:pPr>
      <w:rPr>
        <w:rFonts w:ascii="Arial" w:hAnsi="Arial" w:hint="default"/>
      </w:rPr>
    </w:lvl>
    <w:lvl w:ilvl="8" w:tplc="D5CED1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FB42504"/>
    <w:multiLevelType w:val="hybridMultilevel"/>
    <w:tmpl w:val="8A00B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1F4DE2"/>
    <w:multiLevelType w:val="hybridMultilevel"/>
    <w:tmpl w:val="515E0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369A5"/>
    <w:multiLevelType w:val="hybridMultilevel"/>
    <w:tmpl w:val="409E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925BD2"/>
    <w:multiLevelType w:val="hybridMultilevel"/>
    <w:tmpl w:val="8A02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0D5A36"/>
    <w:multiLevelType w:val="hybridMultilevel"/>
    <w:tmpl w:val="0900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723D4"/>
    <w:multiLevelType w:val="hybridMultilevel"/>
    <w:tmpl w:val="C5029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D299F"/>
    <w:multiLevelType w:val="hybridMultilevel"/>
    <w:tmpl w:val="069AB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5954F1"/>
    <w:multiLevelType w:val="hybridMultilevel"/>
    <w:tmpl w:val="BF62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DC70B5"/>
    <w:multiLevelType w:val="multilevel"/>
    <w:tmpl w:val="31201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9750C8"/>
    <w:multiLevelType w:val="multilevel"/>
    <w:tmpl w:val="A4386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DC072E"/>
    <w:multiLevelType w:val="hybridMultilevel"/>
    <w:tmpl w:val="2BB2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FF4B8D"/>
    <w:multiLevelType w:val="hybridMultilevel"/>
    <w:tmpl w:val="320C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F10BD4"/>
    <w:multiLevelType w:val="hybridMultilevel"/>
    <w:tmpl w:val="C9DA6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6158AE"/>
    <w:multiLevelType w:val="multilevel"/>
    <w:tmpl w:val="992C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D42134"/>
    <w:multiLevelType w:val="hybridMultilevel"/>
    <w:tmpl w:val="E3920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65453C"/>
    <w:multiLevelType w:val="hybridMultilevel"/>
    <w:tmpl w:val="8A7A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D92862"/>
    <w:multiLevelType w:val="hybridMultilevel"/>
    <w:tmpl w:val="18E6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B04E8"/>
    <w:multiLevelType w:val="hybridMultilevel"/>
    <w:tmpl w:val="F0D8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9D6A78"/>
    <w:multiLevelType w:val="hybridMultilevel"/>
    <w:tmpl w:val="8FD21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60CA3"/>
    <w:multiLevelType w:val="hybridMultilevel"/>
    <w:tmpl w:val="1834F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712A35"/>
    <w:multiLevelType w:val="hybridMultilevel"/>
    <w:tmpl w:val="C47A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D7279"/>
    <w:multiLevelType w:val="hybridMultilevel"/>
    <w:tmpl w:val="D06EB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6B1F24"/>
    <w:multiLevelType w:val="hybridMultilevel"/>
    <w:tmpl w:val="B89856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BA919F6"/>
    <w:multiLevelType w:val="hybridMultilevel"/>
    <w:tmpl w:val="3B94E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6378F1"/>
    <w:multiLevelType w:val="hybridMultilevel"/>
    <w:tmpl w:val="EE12E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109F0"/>
    <w:multiLevelType w:val="hybridMultilevel"/>
    <w:tmpl w:val="C760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332C52"/>
    <w:multiLevelType w:val="hybridMultilevel"/>
    <w:tmpl w:val="F300FC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9D1660"/>
    <w:multiLevelType w:val="hybridMultilevel"/>
    <w:tmpl w:val="4B1E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B6F7E"/>
    <w:multiLevelType w:val="hybridMultilevel"/>
    <w:tmpl w:val="27A89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3934AC"/>
    <w:multiLevelType w:val="hybridMultilevel"/>
    <w:tmpl w:val="E474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480531"/>
    <w:multiLevelType w:val="multilevel"/>
    <w:tmpl w:val="B952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D56666"/>
    <w:multiLevelType w:val="hybridMultilevel"/>
    <w:tmpl w:val="6B925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9C6A73"/>
    <w:multiLevelType w:val="hybridMultilevel"/>
    <w:tmpl w:val="2ED63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355650">
    <w:abstractNumId w:val="1"/>
  </w:num>
  <w:num w:numId="2" w16cid:durableId="241451956">
    <w:abstractNumId w:val="27"/>
  </w:num>
  <w:num w:numId="3" w16cid:durableId="1021855851">
    <w:abstractNumId w:val="17"/>
  </w:num>
  <w:num w:numId="4" w16cid:durableId="1239631059">
    <w:abstractNumId w:val="11"/>
  </w:num>
  <w:num w:numId="5" w16cid:durableId="709691216">
    <w:abstractNumId w:val="7"/>
  </w:num>
  <w:num w:numId="6" w16cid:durableId="2101637489">
    <w:abstractNumId w:val="32"/>
  </w:num>
  <w:num w:numId="7" w16cid:durableId="1872574355">
    <w:abstractNumId w:val="21"/>
  </w:num>
  <w:num w:numId="8" w16cid:durableId="10378432">
    <w:abstractNumId w:val="13"/>
  </w:num>
  <w:num w:numId="9" w16cid:durableId="2044668316">
    <w:abstractNumId w:val="30"/>
  </w:num>
  <w:num w:numId="10" w16cid:durableId="992375300">
    <w:abstractNumId w:val="9"/>
  </w:num>
  <w:num w:numId="11" w16cid:durableId="1944653123">
    <w:abstractNumId w:val="18"/>
  </w:num>
  <w:num w:numId="12" w16cid:durableId="1680430949">
    <w:abstractNumId w:val="14"/>
  </w:num>
  <w:num w:numId="13" w16cid:durableId="2125611405">
    <w:abstractNumId w:val="0"/>
  </w:num>
  <w:num w:numId="14" w16cid:durableId="1744058134">
    <w:abstractNumId w:val="34"/>
  </w:num>
  <w:num w:numId="15" w16cid:durableId="1472400582">
    <w:abstractNumId w:val="35"/>
  </w:num>
  <w:num w:numId="16" w16cid:durableId="107821275">
    <w:abstractNumId w:val="8"/>
  </w:num>
  <w:num w:numId="17" w16cid:durableId="588776620">
    <w:abstractNumId w:val="10"/>
  </w:num>
  <w:num w:numId="18" w16cid:durableId="564334939">
    <w:abstractNumId w:val="22"/>
  </w:num>
  <w:num w:numId="19" w16cid:durableId="1006665715">
    <w:abstractNumId w:val="15"/>
  </w:num>
  <w:num w:numId="20" w16cid:durableId="332535670">
    <w:abstractNumId w:val="2"/>
  </w:num>
  <w:num w:numId="21" w16cid:durableId="1905679587">
    <w:abstractNumId w:val="16"/>
  </w:num>
  <w:num w:numId="22" w16cid:durableId="1857038122">
    <w:abstractNumId w:val="20"/>
  </w:num>
  <w:num w:numId="23" w16cid:durableId="780607602">
    <w:abstractNumId w:val="37"/>
  </w:num>
  <w:num w:numId="24" w16cid:durableId="1353340697">
    <w:abstractNumId w:val="12"/>
  </w:num>
  <w:num w:numId="25" w16cid:durableId="1868175323">
    <w:abstractNumId w:val="38"/>
  </w:num>
  <w:num w:numId="26" w16cid:durableId="813762484">
    <w:abstractNumId w:val="24"/>
  </w:num>
  <w:num w:numId="27" w16cid:durableId="1154952670">
    <w:abstractNumId w:val="19"/>
  </w:num>
  <w:num w:numId="28" w16cid:durableId="1651211347">
    <w:abstractNumId w:val="5"/>
  </w:num>
  <w:num w:numId="29" w16cid:durableId="1293900893">
    <w:abstractNumId w:val="29"/>
  </w:num>
  <w:num w:numId="30" w16cid:durableId="2037732491">
    <w:abstractNumId w:val="33"/>
  </w:num>
  <w:num w:numId="31" w16cid:durableId="1095399395">
    <w:abstractNumId w:val="25"/>
  </w:num>
  <w:num w:numId="32" w16cid:durableId="1813205632">
    <w:abstractNumId w:val="4"/>
  </w:num>
  <w:num w:numId="33" w16cid:durableId="224798002">
    <w:abstractNumId w:val="26"/>
  </w:num>
  <w:num w:numId="34" w16cid:durableId="997611668">
    <w:abstractNumId w:val="6"/>
  </w:num>
  <w:num w:numId="35" w16cid:durableId="2107067181">
    <w:abstractNumId w:val="28"/>
  </w:num>
  <w:num w:numId="36" w16cid:durableId="598952058">
    <w:abstractNumId w:val="23"/>
  </w:num>
  <w:num w:numId="37" w16cid:durableId="413817844">
    <w:abstractNumId w:val="39"/>
  </w:num>
  <w:num w:numId="38" w16cid:durableId="152920373">
    <w:abstractNumId w:val="31"/>
  </w:num>
  <w:num w:numId="39" w16cid:durableId="1515993779">
    <w:abstractNumId w:val="36"/>
  </w:num>
  <w:num w:numId="40" w16cid:durableId="720060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58D4"/>
    <w:rsid w:val="00020367"/>
    <w:rsid w:val="00027AB7"/>
    <w:rsid w:val="00033F6C"/>
    <w:rsid w:val="00047CBA"/>
    <w:rsid w:val="00064DC8"/>
    <w:rsid w:val="00091350"/>
    <w:rsid w:val="00094FA0"/>
    <w:rsid w:val="000F013D"/>
    <w:rsid w:val="000F7214"/>
    <w:rsid w:val="00111E44"/>
    <w:rsid w:val="001304A8"/>
    <w:rsid w:val="001435E4"/>
    <w:rsid w:val="001479C6"/>
    <w:rsid w:val="00172C94"/>
    <w:rsid w:val="0017317B"/>
    <w:rsid w:val="00177290"/>
    <w:rsid w:val="00185DE4"/>
    <w:rsid w:val="00186509"/>
    <w:rsid w:val="00195A08"/>
    <w:rsid w:val="001972A3"/>
    <w:rsid w:val="001A6270"/>
    <w:rsid w:val="001B156B"/>
    <w:rsid w:val="001B219D"/>
    <w:rsid w:val="001C1F1A"/>
    <w:rsid w:val="001C69F1"/>
    <w:rsid w:val="001E72E6"/>
    <w:rsid w:val="001F5629"/>
    <w:rsid w:val="00206266"/>
    <w:rsid w:val="00241BFC"/>
    <w:rsid w:val="002665B1"/>
    <w:rsid w:val="002777C5"/>
    <w:rsid w:val="002E52E4"/>
    <w:rsid w:val="002F4A51"/>
    <w:rsid w:val="00304A99"/>
    <w:rsid w:val="00312AE0"/>
    <w:rsid w:val="00345ED2"/>
    <w:rsid w:val="003653E6"/>
    <w:rsid w:val="00373BF8"/>
    <w:rsid w:val="0038458D"/>
    <w:rsid w:val="00384CBC"/>
    <w:rsid w:val="003B6876"/>
    <w:rsid w:val="003C0CF8"/>
    <w:rsid w:val="003D5E98"/>
    <w:rsid w:val="003E6908"/>
    <w:rsid w:val="00420074"/>
    <w:rsid w:val="00456F0A"/>
    <w:rsid w:val="00462060"/>
    <w:rsid w:val="00463186"/>
    <w:rsid w:val="00464D43"/>
    <w:rsid w:val="004663BD"/>
    <w:rsid w:val="00477D35"/>
    <w:rsid w:val="004B6185"/>
    <w:rsid w:val="004C1D3B"/>
    <w:rsid w:val="004C668E"/>
    <w:rsid w:val="004F3A07"/>
    <w:rsid w:val="00524006"/>
    <w:rsid w:val="00537115"/>
    <w:rsid w:val="00557A9C"/>
    <w:rsid w:val="00563222"/>
    <w:rsid w:val="00565A1A"/>
    <w:rsid w:val="00571567"/>
    <w:rsid w:val="00584B2A"/>
    <w:rsid w:val="00587371"/>
    <w:rsid w:val="005A77C8"/>
    <w:rsid w:val="005B78B8"/>
    <w:rsid w:val="005C608E"/>
    <w:rsid w:val="005D61A3"/>
    <w:rsid w:val="00604E3E"/>
    <w:rsid w:val="00630313"/>
    <w:rsid w:val="00631C60"/>
    <w:rsid w:val="0063203D"/>
    <w:rsid w:val="006548AA"/>
    <w:rsid w:val="00667912"/>
    <w:rsid w:val="00687FC1"/>
    <w:rsid w:val="006917BA"/>
    <w:rsid w:val="006A6D61"/>
    <w:rsid w:val="006B27D9"/>
    <w:rsid w:val="006C0E80"/>
    <w:rsid w:val="006D2DA9"/>
    <w:rsid w:val="006D6C5B"/>
    <w:rsid w:val="006E1F45"/>
    <w:rsid w:val="007138E9"/>
    <w:rsid w:val="007164B7"/>
    <w:rsid w:val="0071727B"/>
    <w:rsid w:val="00753D7B"/>
    <w:rsid w:val="0076526B"/>
    <w:rsid w:val="00792B1F"/>
    <w:rsid w:val="0079448D"/>
    <w:rsid w:val="007B6835"/>
    <w:rsid w:val="007C7A87"/>
    <w:rsid w:val="007D7E82"/>
    <w:rsid w:val="007E1669"/>
    <w:rsid w:val="007E39D2"/>
    <w:rsid w:val="007E44A8"/>
    <w:rsid w:val="00807A67"/>
    <w:rsid w:val="00845D5D"/>
    <w:rsid w:val="0086399C"/>
    <w:rsid w:val="00874C41"/>
    <w:rsid w:val="00875D2F"/>
    <w:rsid w:val="008873E6"/>
    <w:rsid w:val="008B0F3E"/>
    <w:rsid w:val="008D6084"/>
    <w:rsid w:val="008E07A0"/>
    <w:rsid w:val="0092129C"/>
    <w:rsid w:val="00926316"/>
    <w:rsid w:val="009301FC"/>
    <w:rsid w:val="00930858"/>
    <w:rsid w:val="009333D1"/>
    <w:rsid w:val="009617AA"/>
    <w:rsid w:val="00967B39"/>
    <w:rsid w:val="00970818"/>
    <w:rsid w:val="0098682A"/>
    <w:rsid w:val="00995278"/>
    <w:rsid w:val="00997452"/>
    <w:rsid w:val="009B08B6"/>
    <w:rsid w:val="009F6379"/>
    <w:rsid w:val="00A11417"/>
    <w:rsid w:val="00A2522E"/>
    <w:rsid w:val="00A2621A"/>
    <w:rsid w:val="00A27316"/>
    <w:rsid w:val="00A56F70"/>
    <w:rsid w:val="00A57808"/>
    <w:rsid w:val="00A628AF"/>
    <w:rsid w:val="00AB493A"/>
    <w:rsid w:val="00AC317C"/>
    <w:rsid w:val="00AD3A5E"/>
    <w:rsid w:val="00AE783D"/>
    <w:rsid w:val="00B07B2D"/>
    <w:rsid w:val="00B3238A"/>
    <w:rsid w:val="00B558D4"/>
    <w:rsid w:val="00B618FB"/>
    <w:rsid w:val="00B62899"/>
    <w:rsid w:val="00B712FF"/>
    <w:rsid w:val="00B72741"/>
    <w:rsid w:val="00B80696"/>
    <w:rsid w:val="00B97FFC"/>
    <w:rsid w:val="00BB24D1"/>
    <w:rsid w:val="00BC33A1"/>
    <w:rsid w:val="00BC398D"/>
    <w:rsid w:val="00BD418C"/>
    <w:rsid w:val="00BD7258"/>
    <w:rsid w:val="00BF56CA"/>
    <w:rsid w:val="00C021E0"/>
    <w:rsid w:val="00C06C66"/>
    <w:rsid w:val="00C66CB1"/>
    <w:rsid w:val="00C724CC"/>
    <w:rsid w:val="00C8054A"/>
    <w:rsid w:val="00C90E94"/>
    <w:rsid w:val="00C94CE1"/>
    <w:rsid w:val="00CD0996"/>
    <w:rsid w:val="00D25177"/>
    <w:rsid w:val="00D34FDF"/>
    <w:rsid w:val="00D655B3"/>
    <w:rsid w:val="00D66B4E"/>
    <w:rsid w:val="00D74164"/>
    <w:rsid w:val="00D823D2"/>
    <w:rsid w:val="00D82935"/>
    <w:rsid w:val="00DA55DB"/>
    <w:rsid w:val="00DF2E4C"/>
    <w:rsid w:val="00E1026C"/>
    <w:rsid w:val="00E1151C"/>
    <w:rsid w:val="00E33121"/>
    <w:rsid w:val="00E4749A"/>
    <w:rsid w:val="00E55526"/>
    <w:rsid w:val="00E67D82"/>
    <w:rsid w:val="00E77DDF"/>
    <w:rsid w:val="00E97CB7"/>
    <w:rsid w:val="00EA7FFE"/>
    <w:rsid w:val="00ED0206"/>
    <w:rsid w:val="00EF1DAA"/>
    <w:rsid w:val="00EF5B3B"/>
    <w:rsid w:val="00F56A58"/>
    <w:rsid w:val="00F63715"/>
    <w:rsid w:val="00F953A1"/>
    <w:rsid w:val="00FB5B17"/>
    <w:rsid w:val="00FB6BB4"/>
    <w:rsid w:val="00FC6FCE"/>
    <w:rsid w:val="00FD5D61"/>
    <w:rsid w:val="00FD7C24"/>
    <w:rsid w:val="00FE0C75"/>
    <w:rsid w:val="00FE5DDD"/>
    <w:rsid w:val="00FF506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71198"/>
  <w15:docId w15:val="{70CE7C27-ED4B-46E2-BA45-1B7015FC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7B"/>
    <w:pPr>
      <w:spacing w:after="0" w:line="240" w:lineRule="auto"/>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557A9C"/>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71727B"/>
    <w:pPr>
      <w:keepNext/>
      <w:keepLines/>
      <w:spacing w:before="20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A9C"/>
    <w:rPr>
      <w:rFonts w:ascii="Times New Roman" w:eastAsiaTheme="majorEastAsia" w:hAnsi="Times New Roman" w:cstheme="majorBidi"/>
      <w:b/>
      <w:bCs/>
      <w:color w:val="000000" w:themeColor="text1"/>
      <w:kern w:val="2"/>
      <w:sz w:val="24"/>
      <w:szCs w:val="28"/>
      <w14:ligatures w14:val="standardContextual"/>
    </w:rPr>
  </w:style>
  <w:style w:type="character" w:styleId="Hyperlink">
    <w:name w:val="Hyperlink"/>
    <w:basedOn w:val="DefaultParagraphFont"/>
    <w:uiPriority w:val="99"/>
    <w:unhideWhenUsed/>
    <w:rsid w:val="00B558D4"/>
    <w:rPr>
      <w:color w:val="0000FF" w:themeColor="hyperlink"/>
      <w:u w:val="single"/>
    </w:rPr>
  </w:style>
  <w:style w:type="paragraph" w:styleId="ListParagraph">
    <w:name w:val="List Paragraph"/>
    <w:basedOn w:val="Normal"/>
    <w:uiPriority w:val="34"/>
    <w:qFormat/>
    <w:rsid w:val="00B558D4"/>
    <w:pPr>
      <w:ind w:left="720"/>
      <w:contextualSpacing/>
    </w:pPr>
  </w:style>
  <w:style w:type="paragraph" w:styleId="NormalWeb">
    <w:name w:val="Normal (Web)"/>
    <w:basedOn w:val="Normal"/>
    <w:uiPriority w:val="99"/>
    <w:unhideWhenUsed/>
    <w:rsid w:val="00B558D4"/>
    <w:pPr>
      <w:spacing w:before="100" w:beforeAutospacing="1" w:after="100" w:afterAutospacing="1"/>
    </w:pPr>
    <w:rPr>
      <w:rFonts w:eastAsia="Times New Roman" w:cs="Times New Roman"/>
      <w:lang w:val="en-IN" w:eastAsia="en-IN"/>
    </w:rPr>
  </w:style>
  <w:style w:type="character" w:styleId="Strong">
    <w:name w:val="Strong"/>
    <w:basedOn w:val="DefaultParagraphFont"/>
    <w:uiPriority w:val="22"/>
    <w:qFormat/>
    <w:rsid w:val="00B558D4"/>
    <w:rPr>
      <w:b/>
      <w:bCs/>
    </w:rPr>
  </w:style>
  <w:style w:type="character" w:customStyle="1" w:styleId="Heading2Char">
    <w:name w:val="Heading 2 Char"/>
    <w:basedOn w:val="DefaultParagraphFont"/>
    <w:link w:val="Heading2"/>
    <w:uiPriority w:val="9"/>
    <w:rsid w:val="0071727B"/>
    <w:rPr>
      <w:rFonts w:ascii="Times New Roman" w:eastAsiaTheme="majorEastAsia" w:hAnsi="Times New Roman" w:cstheme="majorBidi"/>
      <w:b/>
      <w:bCs/>
      <w:color w:val="000000" w:themeColor="text1"/>
      <w:kern w:val="2"/>
      <w:sz w:val="24"/>
      <w:szCs w:val="26"/>
      <w14:ligatures w14:val="standardContextual"/>
    </w:rPr>
  </w:style>
  <w:style w:type="paragraph" w:styleId="BalloonText">
    <w:name w:val="Balloon Text"/>
    <w:basedOn w:val="Normal"/>
    <w:link w:val="BalloonTextChar"/>
    <w:uiPriority w:val="99"/>
    <w:semiHidden/>
    <w:unhideWhenUsed/>
    <w:rsid w:val="001479C6"/>
    <w:rPr>
      <w:rFonts w:ascii="Tahoma" w:hAnsi="Tahoma" w:cs="Tahoma"/>
      <w:sz w:val="16"/>
      <w:szCs w:val="16"/>
    </w:rPr>
  </w:style>
  <w:style w:type="character" w:customStyle="1" w:styleId="BalloonTextChar">
    <w:name w:val="Balloon Text Char"/>
    <w:basedOn w:val="DefaultParagraphFont"/>
    <w:link w:val="BalloonText"/>
    <w:uiPriority w:val="99"/>
    <w:semiHidden/>
    <w:rsid w:val="001479C6"/>
    <w:rPr>
      <w:rFonts w:ascii="Tahoma" w:hAnsi="Tahoma" w:cs="Tahoma"/>
      <w:sz w:val="16"/>
      <w:szCs w:val="16"/>
    </w:rPr>
  </w:style>
  <w:style w:type="table" w:styleId="TableGrid">
    <w:name w:val="Table Grid"/>
    <w:basedOn w:val="TableNormal"/>
    <w:uiPriority w:val="59"/>
    <w:rsid w:val="00FC6FC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C6FCE"/>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71727B"/>
    <w:pPr>
      <w:spacing w:after="100"/>
    </w:pPr>
  </w:style>
  <w:style w:type="paragraph" w:styleId="TOC2">
    <w:name w:val="toc 2"/>
    <w:basedOn w:val="Normal"/>
    <w:next w:val="Normal"/>
    <w:autoRedefine/>
    <w:uiPriority w:val="39"/>
    <w:unhideWhenUsed/>
    <w:rsid w:val="0071727B"/>
    <w:pPr>
      <w:spacing w:after="100"/>
      <w:ind w:left="240"/>
    </w:pPr>
  </w:style>
  <w:style w:type="paragraph" w:styleId="Header">
    <w:name w:val="header"/>
    <w:basedOn w:val="Normal"/>
    <w:link w:val="HeaderChar"/>
    <w:uiPriority w:val="99"/>
    <w:unhideWhenUsed/>
    <w:rsid w:val="00667912"/>
    <w:pPr>
      <w:tabs>
        <w:tab w:val="center" w:pos="4513"/>
        <w:tab w:val="right" w:pos="9026"/>
      </w:tabs>
    </w:pPr>
  </w:style>
  <w:style w:type="character" w:customStyle="1" w:styleId="HeaderChar">
    <w:name w:val="Header Char"/>
    <w:basedOn w:val="DefaultParagraphFont"/>
    <w:link w:val="Header"/>
    <w:uiPriority w:val="99"/>
    <w:rsid w:val="00667912"/>
    <w:rPr>
      <w:rFonts w:ascii="Times New Roman" w:hAnsi="Times New Roman"/>
      <w:kern w:val="2"/>
      <w:sz w:val="24"/>
      <w:szCs w:val="24"/>
      <w14:ligatures w14:val="standardContextual"/>
    </w:rPr>
  </w:style>
  <w:style w:type="paragraph" w:styleId="Footer">
    <w:name w:val="footer"/>
    <w:basedOn w:val="Normal"/>
    <w:link w:val="FooterChar"/>
    <w:uiPriority w:val="99"/>
    <w:unhideWhenUsed/>
    <w:rsid w:val="00667912"/>
    <w:pPr>
      <w:tabs>
        <w:tab w:val="center" w:pos="4513"/>
        <w:tab w:val="right" w:pos="9026"/>
      </w:tabs>
    </w:pPr>
  </w:style>
  <w:style w:type="character" w:customStyle="1" w:styleId="FooterChar">
    <w:name w:val="Footer Char"/>
    <w:basedOn w:val="DefaultParagraphFont"/>
    <w:link w:val="Footer"/>
    <w:uiPriority w:val="99"/>
    <w:rsid w:val="00667912"/>
    <w:rPr>
      <w:rFonts w:ascii="Times New Roman" w:hAnsi="Times New Roman"/>
      <w:kern w:val="2"/>
      <w:sz w:val="24"/>
      <w:szCs w:val="24"/>
      <w14:ligatures w14:val="standardContextual"/>
    </w:rPr>
  </w:style>
  <w:style w:type="character" w:styleId="FollowedHyperlink">
    <w:name w:val="FollowedHyperlink"/>
    <w:basedOn w:val="DefaultParagraphFont"/>
    <w:uiPriority w:val="99"/>
    <w:semiHidden/>
    <w:unhideWhenUsed/>
    <w:rsid w:val="00DF2E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6905">
      <w:bodyDiv w:val="1"/>
      <w:marLeft w:val="0"/>
      <w:marRight w:val="0"/>
      <w:marTop w:val="0"/>
      <w:marBottom w:val="0"/>
      <w:divBdr>
        <w:top w:val="none" w:sz="0" w:space="0" w:color="auto"/>
        <w:left w:val="none" w:sz="0" w:space="0" w:color="auto"/>
        <w:bottom w:val="none" w:sz="0" w:space="0" w:color="auto"/>
        <w:right w:val="none" w:sz="0" w:space="0" w:color="auto"/>
      </w:divBdr>
    </w:div>
    <w:div w:id="95057797">
      <w:bodyDiv w:val="1"/>
      <w:marLeft w:val="0"/>
      <w:marRight w:val="0"/>
      <w:marTop w:val="0"/>
      <w:marBottom w:val="0"/>
      <w:divBdr>
        <w:top w:val="none" w:sz="0" w:space="0" w:color="auto"/>
        <w:left w:val="none" w:sz="0" w:space="0" w:color="auto"/>
        <w:bottom w:val="none" w:sz="0" w:space="0" w:color="auto"/>
        <w:right w:val="none" w:sz="0" w:space="0" w:color="auto"/>
      </w:divBdr>
    </w:div>
    <w:div w:id="181632100">
      <w:bodyDiv w:val="1"/>
      <w:marLeft w:val="0"/>
      <w:marRight w:val="0"/>
      <w:marTop w:val="0"/>
      <w:marBottom w:val="0"/>
      <w:divBdr>
        <w:top w:val="none" w:sz="0" w:space="0" w:color="auto"/>
        <w:left w:val="none" w:sz="0" w:space="0" w:color="auto"/>
        <w:bottom w:val="none" w:sz="0" w:space="0" w:color="auto"/>
        <w:right w:val="none" w:sz="0" w:space="0" w:color="auto"/>
      </w:divBdr>
    </w:div>
    <w:div w:id="207492172">
      <w:bodyDiv w:val="1"/>
      <w:marLeft w:val="0"/>
      <w:marRight w:val="0"/>
      <w:marTop w:val="0"/>
      <w:marBottom w:val="0"/>
      <w:divBdr>
        <w:top w:val="none" w:sz="0" w:space="0" w:color="auto"/>
        <w:left w:val="none" w:sz="0" w:space="0" w:color="auto"/>
        <w:bottom w:val="none" w:sz="0" w:space="0" w:color="auto"/>
        <w:right w:val="none" w:sz="0" w:space="0" w:color="auto"/>
      </w:divBdr>
    </w:div>
    <w:div w:id="282807894">
      <w:bodyDiv w:val="1"/>
      <w:marLeft w:val="0"/>
      <w:marRight w:val="0"/>
      <w:marTop w:val="0"/>
      <w:marBottom w:val="0"/>
      <w:divBdr>
        <w:top w:val="none" w:sz="0" w:space="0" w:color="auto"/>
        <w:left w:val="none" w:sz="0" w:space="0" w:color="auto"/>
        <w:bottom w:val="none" w:sz="0" w:space="0" w:color="auto"/>
        <w:right w:val="none" w:sz="0" w:space="0" w:color="auto"/>
      </w:divBdr>
    </w:div>
    <w:div w:id="308216945">
      <w:bodyDiv w:val="1"/>
      <w:marLeft w:val="0"/>
      <w:marRight w:val="0"/>
      <w:marTop w:val="0"/>
      <w:marBottom w:val="0"/>
      <w:divBdr>
        <w:top w:val="none" w:sz="0" w:space="0" w:color="auto"/>
        <w:left w:val="none" w:sz="0" w:space="0" w:color="auto"/>
        <w:bottom w:val="none" w:sz="0" w:space="0" w:color="auto"/>
        <w:right w:val="none" w:sz="0" w:space="0" w:color="auto"/>
      </w:divBdr>
    </w:div>
    <w:div w:id="323431409">
      <w:bodyDiv w:val="1"/>
      <w:marLeft w:val="0"/>
      <w:marRight w:val="0"/>
      <w:marTop w:val="0"/>
      <w:marBottom w:val="0"/>
      <w:divBdr>
        <w:top w:val="none" w:sz="0" w:space="0" w:color="auto"/>
        <w:left w:val="none" w:sz="0" w:space="0" w:color="auto"/>
        <w:bottom w:val="none" w:sz="0" w:space="0" w:color="auto"/>
        <w:right w:val="none" w:sz="0" w:space="0" w:color="auto"/>
      </w:divBdr>
    </w:div>
    <w:div w:id="385111689">
      <w:bodyDiv w:val="1"/>
      <w:marLeft w:val="0"/>
      <w:marRight w:val="0"/>
      <w:marTop w:val="0"/>
      <w:marBottom w:val="0"/>
      <w:divBdr>
        <w:top w:val="none" w:sz="0" w:space="0" w:color="auto"/>
        <w:left w:val="none" w:sz="0" w:space="0" w:color="auto"/>
        <w:bottom w:val="none" w:sz="0" w:space="0" w:color="auto"/>
        <w:right w:val="none" w:sz="0" w:space="0" w:color="auto"/>
      </w:divBdr>
    </w:div>
    <w:div w:id="411240785">
      <w:bodyDiv w:val="1"/>
      <w:marLeft w:val="0"/>
      <w:marRight w:val="0"/>
      <w:marTop w:val="0"/>
      <w:marBottom w:val="0"/>
      <w:divBdr>
        <w:top w:val="none" w:sz="0" w:space="0" w:color="auto"/>
        <w:left w:val="none" w:sz="0" w:space="0" w:color="auto"/>
        <w:bottom w:val="none" w:sz="0" w:space="0" w:color="auto"/>
        <w:right w:val="none" w:sz="0" w:space="0" w:color="auto"/>
      </w:divBdr>
    </w:div>
    <w:div w:id="595098389">
      <w:bodyDiv w:val="1"/>
      <w:marLeft w:val="0"/>
      <w:marRight w:val="0"/>
      <w:marTop w:val="0"/>
      <w:marBottom w:val="0"/>
      <w:divBdr>
        <w:top w:val="none" w:sz="0" w:space="0" w:color="auto"/>
        <w:left w:val="none" w:sz="0" w:space="0" w:color="auto"/>
        <w:bottom w:val="none" w:sz="0" w:space="0" w:color="auto"/>
        <w:right w:val="none" w:sz="0" w:space="0" w:color="auto"/>
      </w:divBdr>
    </w:div>
    <w:div w:id="614406392">
      <w:bodyDiv w:val="1"/>
      <w:marLeft w:val="0"/>
      <w:marRight w:val="0"/>
      <w:marTop w:val="0"/>
      <w:marBottom w:val="0"/>
      <w:divBdr>
        <w:top w:val="none" w:sz="0" w:space="0" w:color="auto"/>
        <w:left w:val="none" w:sz="0" w:space="0" w:color="auto"/>
        <w:bottom w:val="none" w:sz="0" w:space="0" w:color="auto"/>
        <w:right w:val="none" w:sz="0" w:space="0" w:color="auto"/>
      </w:divBdr>
    </w:div>
    <w:div w:id="637145390">
      <w:bodyDiv w:val="1"/>
      <w:marLeft w:val="0"/>
      <w:marRight w:val="0"/>
      <w:marTop w:val="0"/>
      <w:marBottom w:val="0"/>
      <w:divBdr>
        <w:top w:val="none" w:sz="0" w:space="0" w:color="auto"/>
        <w:left w:val="none" w:sz="0" w:space="0" w:color="auto"/>
        <w:bottom w:val="none" w:sz="0" w:space="0" w:color="auto"/>
        <w:right w:val="none" w:sz="0" w:space="0" w:color="auto"/>
      </w:divBdr>
    </w:div>
    <w:div w:id="668213561">
      <w:bodyDiv w:val="1"/>
      <w:marLeft w:val="0"/>
      <w:marRight w:val="0"/>
      <w:marTop w:val="0"/>
      <w:marBottom w:val="0"/>
      <w:divBdr>
        <w:top w:val="none" w:sz="0" w:space="0" w:color="auto"/>
        <w:left w:val="none" w:sz="0" w:space="0" w:color="auto"/>
        <w:bottom w:val="none" w:sz="0" w:space="0" w:color="auto"/>
        <w:right w:val="none" w:sz="0" w:space="0" w:color="auto"/>
      </w:divBdr>
    </w:div>
    <w:div w:id="686445376">
      <w:bodyDiv w:val="1"/>
      <w:marLeft w:val="0"/>
      <w:marRight w:val="0"/>
      <w:marTop w:val="0"/>
      <w:marBottom w:val="0"/>
      <w:divBdr>
        <w:top w:val="none" w:sz="0" w:space="0" w:color="auto"/>
        <w:left w:val="none" w:sz="0" w:space="0" w:color="auto"/>
        <w:bottom w:val="none" w:sz="0" w:space="0" w:color="auto"/>
        <w:right w:val="none" w:sz="0" w:space="0" w:color="auto"/>
      </w:divBdr>
    </w:div>
    <w:div w:id="693311952">
      <w:bodyDiv w:val="1"/>
      <w:marLeft w:val="0"/>
      <w:marRight w:val="0"/>
      <w:marTop w:val="0"/>
      <w:marBottom w:val="0"/>
      <w:divBdr>
        <w:top w:val="none" w:sz="0" w:space="0" w:color="auto"/>
        <w:left w:val="none" w:sz="0" w:space="0" w:color="auto"/>
        <w:bottom w:val="none" w:sz="0" w:space="0" w:color="auto"/>
        <w:right w:val="none" w:sz="0" w:space="0" w:color="auto"/>
      </w:divBdr>
    </w:div>
    <w:div w:id="728845961">
      <w:bodyDiv w:val="1"/>
      <w:marLeft w:val="0"/>
      <w:marRight w:val="0"/>
      <w:marTop w:val="0"/>
      <w:marBottom w:val="0"/>
      <w:divBdr>
        <w:top w:val="none" w:sz="0" w:space="0" w:color="auto"/>
        <w:left w:val="none" w:sz="0" w:space="0" w:color="auto"/>
        <w:bottom w:val="none" w:sz="0" w:space="0" w:color="auto"/>
        <w:right w:val="none" w:sz="0" w:space="0" w:color="auto"/>
      </w:divBdr>
    </w:div>
    <w:div w:id="755902759">
      <w:bodyDiv w:val="1"/>
      <w:marLeft w:val="0"/>
      <w:marRight w:val="0"/>
      <w:marTop w:val="0"/>
      <w:marBottom w:val="0"/>
      <w:divBdr>
        <w:top w:val="none" w:sz="0" w:space="0" w:color="auto"/>
        <w:left w:val="none" w:sz="0" w:space="0" w:color="auto"/>
        <w:bottom w:val="none" w:sz="0" w:space="0" w:color="auto"/>
        <w:right w:val="none" w:sz="0" w:space="0" w:color="auto"/>
      </w:divBdr>
    </w:div>
    <w:div w:id="763915433">
      <w:bodyDiv w:val="1"/>
      <w:marLeft w:val="0"/>
      <w:marRight w:val="0"/>
      <w:marTop w:val="0"/>
      <w:marBottom w:val="0"/>
      <w:divBdr>
        <w:top w:val="none" w:sz="0" w:space="0" w:color="auto"/>
        <w:left w:val="none" w:sz="0" w:space="0" w:color="auto"/>
        <w:bottom w:val="none" w:sz="0" w:space="0" w:color="auto"/>
        <w:right w:val="none" w:sz="0" w:space="0" w:color="auto"/>
      </w:divBdr>
    </w:div>
    <w:div w:id="801965470">
      <w:bodyDiv w:val="1"/>
      <w:marLeft w:val="0"/>
      <w:marRight w:val="0"/>
      <w:marTop w:val="0"/>
      <w:marBottom w:val="0"/>
      <w:divBdr>
        <w:top w:val="none" w:sz="0" w:space="0" w:color="auto"/>
        <w:left w:val="none" w:sz="0" w:space="0" w:color="auto"/>
        <w:bottom w:val="none" w:sz="0" w:space="0" w:color="auto"/>
        <w:right w:val="none" w:sz="0" w:space="0" w:color="auto"/>
      </w:divBdr>
    </w:div>
    <w:div w:id="810291423">
      <w:bodyDiv w:val="1"/>
      <w:marLeft w:val="0"/>
      <w:marRight w:val="0"/>
      <w:marTop w:val="0"/>
      <w:marBottom w:val="0"/>
      <w:divBdr>
        <w:top w:val="none" w:sz="0" w:space="0" w:color="auto"/>
        <w:left w:val="none" w:sz="0" w:space="0" w:color="auto"/>
        <w:bottom w:val="none" w:sz="0" w:space="0" w:color="auto"/>
        <w:right w:val="none" w:sz="0" w:space="0" w:color="auto"/>
      </w:divBdr>
    </w:div>
    <w:div w:id="819466601">
      <w:bodyDiv w:val="1"/>
      <w:marLeft w:val="0"/>
      <w:marRight w:val="0"/>
      <w:marTop w:val="0"/>
      <w:marBottom w:val="0"/>
      <w:divBdr>
        <w:top w:val="none" w:sz="0" w:space="0" w:color="auto"/>
        <w:left w:val="none" w:sz="0" w:space="0" w:color="auto"/>
        <w:bottom w:val="none" w:sz="0" w:space="0" w:color="auto"/>
        <w:right w:val="none" w:sz="0" w:space="0" w:color="auto"/>
      </w:divBdr>
    </w:div>
    <w:div w:id="840000579">
      <w:bodyDiv w:val="1"/>
      <w:marLeft w:val="0"/>
      <w:marRight w:val="0"/>
      <w:marTop w:val="0"/>
      <w:marBottom w:val="0"/>
      <w:divBdr>
        <w:top w:val="none" w:sz="0" w:space="0" w:color="auto"/>
        <w:left w:val="none" w:sz="0" w:space="0" w:color="auto"/>
        <w:bottom w:val="none" w:sz="0" w:space="0" w:color="auto"/>
        <w:right w:val="none" w:sz="0" w:space="0" w:color="auto"/>
      </w:divBdr>
    </w:div>
    <w:div w:id="877006278">
      <w:bodyDiv w:val="1"/>
      <w:marLeft w:val="0"/>
      <w:marRight w:val="0"/>
      <w:marTop w:val="0"/>
      <w:marBottom w:val="0"/>
      <w:divBdr>
        <w:top w:val="none" w:sz="0" w:space="0" w:color="auto"/>
        <w:left w:val="none" w:sz="0" w:space="0" w:color="auto"/>
        <w:bottom w:val="none" w:sz="0" w:space="0" w:color="auto"/>
        <w:right w:val="none" w:sz="0" w:space="0" w:color="auto"/>
      </w:divBdr>
    </w:div>
    <w:div w:id="877477074">
      <w:bodyDiv w:val="1"/>
      <w:marLeft w:val="0"/>
      <w:marRight w:val="0"/>
      <w:marTop w:val="0"/>
      <w:marBottom w:val="0"/>
      <w:divBdr>
        <w:top w:val="none" w:sz="0" w:space="0" w:color="auto"/>
        <w:left w:val="none" w:sz="0" w:space="0" w:color="auto"/>
        <w:bottom w:val="none" w:sz="0" w:space="0" w:color="auto"/>
        <w:right w:val="none" w:sz="0" w:space="0" w:color="auto"/>
      </w:divBdr>
    </w:div>
    <w:div w:id="968779447">
      <w:bodyDiv w:val="1"/>
      <w:marLeft w:val="0"/>
      <w:marRight w:val="0"/>
      <w:marTop w:val="0"/>
      <w:marBottom w:val="0"/>
      <w:divBdr>
        <w:top w:val="none" w:sz="0" w:space="0" w:color="auto"/>
        <w:left w:val="none" w:sz="0" w:space="0" w:color="auto"/>
        <w:bottom w:val="none" w:sz="0" w:space="0" w:color="auto"/>
        <w:right w:val="none" w:sz="0" w:space="0" w:color="auto"/>
      </w:divBdr>
    </w:div>
    <w:div w:id="975255675">
      <w:bodyDiv w:val="1"/>
      <w:marLeft w:val="0"/>
      <w:marRight w:val="0"/>
      <w:marTop w:val="0"/>
      <w:marBottom w:val="0"/>
      <w:divBdr>
        <w:top w:val="none" w:sz="0" w:space="0" w:color="auto"/>
        <w:left w:val="none" w:sz="0" w:space="0" w:color="auto"/>
        <w:bottom w:val="none" w:sz="0" w:space="0" w:color="auto"/>
        <w:right w:val="none" w:sz="0" w:space="0" w:color="auto"/>
      </w:divBdr>
    </w:div>
    <w:div w:id="1070156249">
      <w:bodyDiv w:val="1"/>
      <w:marLeft w:val="0"/>
      <w:marRight w:val="0"/>
      <w:marTop w:val="0"/>
      <w:marBottom w:val="0"/>
      <w:divBdr>
        <w:top w:val="none" w:sz="0" w:space="0" w:color="auto"/>
        <w:left w:val="none" w:sz="0" w:space="0" w:color="auto"/>
        <w:bottom w:val="none" w:sz="0" w:space="0" w:color="auto"/>
        <w:right w:val="none" w:sz="0" w:space="0" w:color="auto"/>
      </w:divBdr>
    </w:div>
    <w:div w:id="1149861533">
      <w:bodyDiv w:val="1"/>
      <w:marLeft w:val="0"/>
      <w:marRight w:val="0"/>
      <w:marTop w:val="0"/>
      <w:marBottom w:val="0"/>
      <w:divBdr>
        <w:top w:val="none" w:sz="0" w:space="0" w:color="auto"/>
        <w:left w:val="none" w:sz="0" w:space="0" w:color="auto"/>
        <w:bottom w:val="none" w:sz="0" w:space="0" w:color="auto"/>
        <w:right w:val="none" w:sz="0" w:space="0" w:color="auto"/>
      </w:divBdr>
      <w:divsChild>
        <w:div w:id="943685394">
          <w:marLeft w:val="547"/>
          <w:marRight w:val="0"/>
          <w:marTop w:val="86"/>
          <w:marBottom w:val="0"/>
          <w:divBdr>
            <w:top w:val="none" w:sz="0" w:space="0" w:color="auto"/>
            <w:left w:val="none" w:sz="0" w:space="0" w:color="auto"/>
            <w:bottom w:val="none" w:sz="0" w:space="0" w:color="auto"/>
            <w:right w:val="none" w:sz="0" w:space="0" w:color="auto"/>
          </w:divBdr>
        </w:div>
        <w:div w:id="804391417">
          <w:marLeft w:val="547"/>
          <w:marRight w:val="0"/>
          <w:marTop w:val="86"/>
          <w:marBottom w:val="0"/>
          <w:divBdr>
            <w:top w:val="none" w:sz="0" w:space="0" w:color="auto"/>
            <w:left w:val="none" w:sz="0" w:space="0" w:color="auto"/>
            <w:bottom w:val="none" w:sz="0" w:space="0" w:color="auto"/>
            <w:right w:val="none" w:sz="0" w:space="0" w:color="auto"/>
          </w:divBdr>
        </w:div>
        <w:div w:id="382364566">
          <w:marLeft w:val="547"/>
          <w:marRight w:val="0"/>
          <w:marTop w:val="86"/>
          <w:marBottom w:val="0"/>
          <w:divBdr>
            <w:top w:val="none" w:sz="0" w:space="0" w:color="auto"/>
            <w:left w:val="none" w:sz="0" w:space="0" w:color="auto"/>
            <w:bottom w:val="none" w:sz="0" w:space="0" w:color="auto"/>
            <w:right w:val="none" w:sz="0" w:space="0" w:color="auto"/>
          </w:divBdr>
        </w:div>
        <w:div w:id="1700550025">
          <w:marLeft w:val="547"/>
          <w:marRight w:val="0"/>
          <w:marTop w:val="86"/>
          <w:marBottom w:val="0"/>
          <w:divBdr>
            <w:top w:val="none" w:sz="0" w:space="0" w:color="auto"/>
            <w:left w:val="none" w:sz="0" w:space="0" w:color="auto"/>
            <w:bottom w:val="none" w:sz="0" w:space="0" w:color="auto"/>
            <w:right w:val="none" w:sz="0" w:space="0" w:color="auto"/>
          </w:divBdr>
        </w:div>
        <w:div w:id="1602564574">
          <w:marLeft w:val="547"/>
          <w:marRight w:val="0"/>
          <w:marTop w:val="86"/>
          <w:marBottom w:val="0"/>
          <w:divBdr>
            <w:top w:val="none" w:sz="0" w:space="0" w:color="auto"/>
            <w:left w:val="none" w:sz="0" w:space="0" w:color="auto"/>
            <w:bottom w:val="none" w:sz="0" w:space="0" w:color="auto"/>
            <w:right w:val="none" w:sz="0" w:space="0" w:color="auto"/>
          </w:divBdr>
        </w:div>
        <w:div w:id="1314944777">
          <w:marLeft w:val="547"/>
          <w:marRight w:val="0"/>
          <w:marTop w:val="86"/>
          <w:marBottom w:val="0"/>
          <w:divBdr>
            <w:top w:val="none" w:sz="0" w:space="0" w:color="auto"/>
            <w:left w:val="none" w:sz="0" w:space="0" w:color="auto"/>
            <w:bottom w:val="none" w:sz="0" w:space="0" w:color="auto"/>
            <w:right w:val="none" w:sz="0" w:space="0" w:color="auto"/>
          </w:divBdr>
        </w:div>
      </w:divsChild>
    </w:div>
    <w:div w:id="1227453037">
      <w:bodyDiv w:val="1"/>
      <w:marLeft w:val="0"/>
      <w:marRight w:val="0"/>
      <w:marTop w:val="0"/>
      <w:marBottom w:val="0"/>
      <w:divBdr>
        <w:top w:val="none" w:sz="0" w:space="0" w:color="auto"/>
        <w:left w:val="none" w:sz="0" w:space="0" w:color="auto"/>
        <w:bottom w:val="none" w:sz="0" w:space="0" w:color="auto"/>
        <w:right w:val="none" w:sz="0" w:space="0" w:color="auto"/>
      </w:divBdr>
    </w:div>
    <w:div w:id="1256405594">
      <w:bodyDiv w:val="1"/>
      <w:marLeft w:val="0"/>
      <w:marRight w:val="0"/>
      <w:marTop w:val="0"/>
      <w:marBottom w:val="0"/>
      <w:divBdr>
        <w:top w:val="none" w:sz="0" w:space="0" w:color="auto"/>
        <w:left w:val="none" w:sz="0" w:space="0" w:color="auto"/>
        <w:bottom w:val="none" w:sz="0" w:space="0" w:color="auto"/>
        <w:right w:val="none" w:sz="0" w:space="0" w:color="auto"/>
      </w:divBdr>
    </w:div>
    <w:div w:id="1312561681">
      <w:bodyDiv w:val="1"/>
      <w:marLeft w:val="0"/>
      <w:marRight w:val="0"/>
      <w:marTop w:val="0"/>
      <w:marBottom w:val="0"/>
      <w:divBdr>
        <w:top w:val="none" w:sz="0" w:space="0" w:color="auto"/>
        <w:left w:val="none" w:sz="0" w:space="0" w:color="auto"/>
        <w:bottom w:val="none" w:sz="0" w:space="0" w:color="auto"/>
        <w:right w:val="none" w:sz="0" w:space="0" w:color="auto"/>
      </w:divBdr>
    </w:div>
    <w:div w:id="1324238855">
      <w:bodyDiv w:val="1"/>
      <w:marLeft w:val="0"/>
      <w:marRight w:val="0"/>
      <w:marTop w:val="0"/>
      <w:marBottom w:val="0"/>
      <w:divBdr>
        <w:top w:val="none" w:sz="0" w:space="0" w:color="auto"/>
        <w:left w:val="none" w:sz="0" w:space="0" w:color="auto"/>
        <w:bottom w:val="none" w:sz="0" w:space="0" w:color="auto"/>
        <w:right w:val="none" w:sz="0" w:space="0" w:color="auto"/>
      </w:divBdr>
    </w:div>
    <w:div w:id="1364282680">
      <w:bodyDiv w:val="1"/>
      <w:marLeft w:val="0"/>
      <w:marRight w:val="0"/>
      <w:marTop w:val="0"/>
      <w:marBottom w:val="0"/>
      <w:divBdr>
        <w:top w:val="none" w:sz="0" w:space="0" w:color="auto"/>
        <w:left w:val="none" w:sz="0" w:space="0" w:color="auto"/>
        <w:bottom w:val="none" w:sz="0" w:space="0" w:color="auto"/>
        <w:right w:val="none" w:sz="0" w:space="0" w:color="auto"/>
      </w:divBdr>
    </w:div>
    <w:div w:id="1436169251">
      <w:bodyDiv w:val="1"/>
      <w:marLeft w:val="0"/>
      <w:marRight w:val="0"/>
      <w:marTop w:val="0"/>
      <w:marBottom w:val="0"/>
      <w:divBdr>
        <w:top w:val="none" w:sz="0" w:space="0" w:color="auto"/>
        <w:left w:val="none" w:sz="0" w:space="0" w:color="auto"/>
        <w:bottom w:val="none" w:sz="0" w:space="0" w:color="auto"/>
        <w:right w:val="none" w:sz="0" w:space="0" w:color="auto"/>
      </w:divBdr>
    </w:div>
    <w:div w:id="1461067170">
      <w:bodyDiv w:val="1"/>
      <w:marLeft w:val="0"/>
      <w:marRight w:val="0"/>
      <w:marTop w:val="0"/>
      <w:marBottom w:val="0"/>
      <w:divBdr>
        <w:top w:val="none" w:sz="0" w:space="0" w:color="auto"/>
        <w:left w:val="none" w:sz="0" w:space="0" w:color="auto"/>
        <w:bottom w:val="none" w:sz="0" w:space="0" w:color="auto"/>
        <w:right w:val="none" w:sz="0" w:space="0" w:color="auto"/>
      </w:divBdr>
    </w:div>
    <w:div w:id="1613241540">
      <w:bodyDiv w:val="1"/>
      <w:marLeft w:val="0"/>
      <w:marRight w:val="0"/>
      <w:marTop w:val="0"/>
      <w:marBottom w:val="0"/>
      <w:divBdr>
        <w:top w:val="none" w:sz="0" w:space="0" w:color="auto"/>
        <w:left w:val="none" w:sz="0" w:space="0" w:color="auto"/>
        <w:bottom w:val="none" w:sz="0" w:space="0" w:color="auto"/>
        <w:right w:val="none" w:sz="0" w:space="0" w:color="auto"/>
      </w:divBdr>
    </w:div>
    <w:div w:id="1731806248">
      <w:bodyDiv w:val="1"/>
      <w:marLeft w:val="0"/>
      <w:marRight w:val="0"/>
      <w:marTop w:val="0"/>
      <w:marBottom w:val="0"/>
      <w:divBdr>
        <w:top w:val="none" w:sz="0" w:space="0" w:color="auto"/>
        <w:left w:val="none" w:sz="0" w:space="0" w:color="auto"/>
        <w:bottom w:val="none" w:sz="0" w:space="0" w:color="auto"/>
        <w:right w:val="none" w:sz="0" w:space="0" w:color="auto"/>
      </w:divBdr>
    </w:div>
    <w:div w:id="1741127083">
      <w:bodyDiv w:val="1"/>
      <w:marLeft w:val="0"/>
      <w:marRight w:val="0"/>
      <w:marTop w:val="0"/>
      <w:marBottom w:val="0"/>
      <w:divBdr>
        <w:top w:val="none" w:sz="0" w:space="0" w:color="auto"/>
        <w:left w:val="none" w:sz="0" w:space="0" w:color="auto"/>
        <w:bottom w:val="none" w:sz="0" w:space="0" w:color="auto"/>
        <w:right w:val="none" w:sz="0" w:space="0" w:color="auto"/>
      </w:divBdr>
    </w:div>
    <w:div w:id="1781531828">
      <w:bodyDiv w:val="1"/>
      <w:marLeft w:val="0"/>
      <w:marRight w:val="0"/>
      <w:marTop w:val="0"/>
      <w:marBottom w:val="0"/>
      <w:divBdr>
        <w:top w:val="none" w:sz="0" w:space="0" w:color="auto"/>
        <w:left w:val="none" w:sz="0" w:space="0" w:color="auto"/>
        <w:bottom w:val="none" w:sz="0" w:space="0" w:color="auto"/>
        <w:right w:val="none" w:sz="0" w:space="0" w:color="auto"/>
      </w:divBdr>
    </w:div>
    <w:div w:id="1821267046">
      <w:bodyDiv w:val="1"/>
      <w:marLeft w:val="0"/>
      <w:marRight w:val="0"/>
      <w:marTop w:val="0"/>
      <w:marBottom w:val="0"/>
      <w:divBdr>
        <w:top w:val="none" w:sz="0" w:space="0" w:color="auto"/>
        <w:left w:val="none" w:sz="0" w:space="0" w:color="auto"/>
        <w:bottom w:val="none" w:sz="0" w:space="0" w:color="auto"/>
        <w:right w:val="none" w:sz="0" w:space="0" w:color="auto"/>
      </w:divBdr>
    </w:div>
    <w:div w:id="1905483298">
      <w:bodyDiv w:val="1"/>
      <w:marLeft w:val="0"/>
      <w:marRight w:val="0"/>
      <w:marTop w:val="0"/>
      <w:marBottom w:val="0"/>
      <w:divBdr>
        <w:top w:val="none" w:sz="0" w:space="0" w:color="auto"/>
        <w:left w:val="none" w:sz="0" w:space="0" w:color="auto"/>
        <w:bottom w:val="none" w:sz="0" w:space="0" w:color="auto"/>
        <w:right w:val="none" w:sz="0" w:space="0" w:color="auto"/>
      </w:divBdr>
    </w:div>
    <w:div w:id="2071493312">
      <w:bodyDiv w:val="1"/>
      <w:marLeft w:val="0"/>
      <w:marRight w:val="0"/>
      <w:marTop w:val="0"/>
      <w:marBottom w:val="0"/>
      <w:divBdr>
        <w:top w:val="none" w:sz="0" w:space="0" w:color="auto"/>
        <w:left w:val="none" w:sz="0" w:space="0" w:color="auto"/>
        <w:bottom w:val="none" w:sz="0" w:space="0" w:color="auto"/>
        <w:right w:val="none" w:sz="0" w:space="0" w:color="auto"/>
      </w:divBdr>
    </w:div>
    <w:div w:id="2077702215">
      <w:bodyDiv w:val="1"/>
      <w:marLeft w:val="0"/>
      <w:marRight w:val="0"/>
      <w:marTop w:val="0"/>
      <w:marBottom w:val="0"/>
      <w:divBdr>
        <w:top w:val="none" w:sz="0" w:space="0" w:color="auto"/>
        <w:left w:val="none" w:sz="0" w:space="0" w:color="auto"/>
        <w:bottom w:val="none" w:sz="0" w:space="0" w:color="auto"/>
        <w:right w:val="none" w:sz="0" w:space="0" w:color="auto"/>
      </w:divBdr>
    </w:div>
    <w:div w:id="211170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eliyon.2020.e05721" TargetMode="External"/><Relationship Id="rId13" Type="http://schemas.openxmlformats.org/officeDocument/2006/relationships/hyperlink" Target="https://doi.org/10.1093/police/paz049" TargetMode="External"/><Relationship Id="rId18" Type="http://schemas.openxmlformats.org/officeDocument/2006/relationships/hyperlink" Target="https://discovery.ucl.ac.uk/id/eprint/10155928/2/Lang_10155928_Thesis.pdf" TargetMode="External"/><Relationship Id="rId26" Type="http://schemas.openxmlformats.org/officeDocument/2006/relationships/hyperlink" Target="https://www3.mruni.eu/ojs/vsvt/article/view/5540/4741" TargetMode="External"/><Relationship Id="rId3" Type="http://schemas.openxmlformats.org/officeDocument/2006/relationships/styles" Target="styles.xml"/><Relationship Id="rId21" Type="http://schemas.openxmlformats.org/officeDocument/2006/relationships/hyperlink" Target="https://thejoas.com/index.php/thejoas/article/download/325/360" TargetMode="External"/><Relationship Id="rId7" Type="http://schemas.openxmlformats.org/officeDocument/2006/relationships/endnotes" Target="endnotes.xml"/><Relationship Id="rId12" Type="http://schemas.openxmlformats.org/officeDocument/2006/relationships/hyperlink" Target="https://www.counterterrorism.police.uk/what-we-do/counter-terrorism/prevent/" TargetMode="External"/><Relationship Id="rId17" Type="http://schemas.openxmlformats.org/officeDocument/2006/relationships/hyperlink" Target="https://hmicfrs.justiceinspectorates.gov.uk/publications/counter-terrorism-policing-an-inspection-of-the-polices-contribution-to-the-governments-prevent-programme/" TargetMode="External"/><Relationship Id="rId25" Type="http://schemas.openxmlformats.org/officeDocument/2006/relationships/hyperlink" Target="https://www.bbc.com/news/uk-england-manchester-60391622" TargetMode="External"/><Relationship Id="rId2" Type="http://schemas.openxmlformats.org/officeDocument/2006/relationships/numbering" Target="numbering.xml"/><Relationship Id="rId16" Type="http://schemas.openxmlformats.org/officeDocument/2006/relationships/hyperlink" Target="https://assets.publishing.service.gov.uk/media/650b1b8d52e73c000d54dc82/CONTEST_2023_English_updated.pdf" TargetMode="External"/><Relationship Id="rId20" Type="http://schemas.openxmlformats.org/officeDocument/2006/relationships/hyperlink" Target="https://journals.sagepub.com/doi/pdf/10.1177/0091450922112859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611-019-09827-8" TargetMode="External"/><Relationship Id="rId24" Type="http://schemas.openxmlformats.org/officeDocument/2006/relationships/hyperlink" Target="https://researchonline.ljmu.ac.uk/id/eprint/22243/1/Everybody's%20Business%20Early%20Intervention%20Crime%20Reduction%20LJMUPHW%20November%202023.pdf" TargetMode="External"/><Relationship Id="rId5" Type="http://schemas.openxmlformats.org/officeDocument/2006/relationships/webSettings" Target="webSettings.xml"/><Relationship Id="rId15" Type="http://schemas.openxmlformats.org/officeDocument/2006/relationships/hyperlink" Target="https://www.police-foundation.org.uk/wp-content/uploads/2010/10/insight_paper_1.pdf" TargetMode="External"/><Relationship Id="rId23" Type="http://schemas.openxmlformats.org/officeDocument/2006/relationships/hyperlink" Target="http://markfoster.net/dcf/collective_security.pdf" TargetMode="External"/><Relationship Id="rId28" Type="http://schemas.openxmlformats.org/officeDocument/2006/relationships/hyperlink" Target="http://researchonline.ljmu.ac.uk/id/eprint/13160/3/Comparative%20Analysis%20of%20the%20Impact%20of%20New%20Inspection%20Regime%20on%20Port%20State%20Control%20Inspection%20.pdf" TargetMode="External"/><Relationship Id="rId10" Type="http://schemas.openxmlformats.org/officeDocument/2006/relationships/hyperlink" Target="https://www.tandfonline.com/doi/pdf/10.1080/1057610X.2024.2327664" TargetMode="External"/><Relationship Id="rId19" Type="http://schemas.openxmlformats.org/officeDocument/2006/relationships/hyperlink" Target="https://link.springer.com/content/pdf/10.1057/s41284-024-00461-1.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mnesty.org.uk/files/2023-11/Amnesty%20UK%20Prevent%20report%20%281%29.pdf" TargetMode="External"/><Relationship Id="rId14" Type="http://schemas.openxmlformats.org/officeDocument/2006/relationships/hyperlink" Target="https://www.cambridge.org/core/services/aop-cambridge-core/content/view/E3A4A00ED8042819EEE5AA0DCE8A0FC4/S2057563722000037a.pdf/div-class-title-the-morality-of-security-a-theory-of-just-securitisation-div.pdf" TargetMode="External"/><Relationship Id="rId22" Type="http://schemas.openxmlformats.org/officeDocument/2006/relationships/hyperlink" Target="https://prohic.nl/wp-content/uploads/2021/01/152-18jan2021-ProceduralJusticeMeta.pdf" TargetMode="External"/><Relationship Id="rId27" Type="http://schemas.openxmlformats.org/officeDocument/2006/relationships/hyperlink" Target="https://ctc.westpoint.edu/lessons-learned-from-u-k-efforts-to-deradicalize-terror-offender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5BD7B-26B6-47A3-962A-D9D715C40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13</Pages>
  <Words>3508</Words>
  <Characters>22563</Characters>
  <Application>Microsoft Office Word</Application>
  <DocSecurity>0</DocSecurity>
  <Lines>425</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Cristina Martinica</cp:lastModifiedBy>
  <cp:revision>18</cp:revision>
  <dcterms:created xsi:type="dcterms:W3CDTF">2025-09-25T09:56:00Z</dcterms:created>
  <dcterms:modified xsi:type="dcterms:W3CDTF">2025-11-07T22:00:00Z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5a52dd96-8e83-4404-906c-aee58662d402</vt:lpwstr>
  </property>
</Properties>
</file>