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851C66" w14:textId="4BB2E43A" w:rsidR="00C0200D" w:rsidRDefault="00EE00B4" w:rsidP="00EE00B4">
      <w:pPr>
        <w:jc w:val="center"/>
        <w:rPr>
          <w:rFonts w:ascii="Times New Roman" w:hAnsi="Times New Roman" w:cs="Times New Roman"/>
          <w:b/>
          <w:bCs/>
          <w:sz w:val="20"/>
          <w:szCs w:val="20"/>
          <w:u w:val="single"/>
        </w:rPr>
      </w:pPr>
      <w:r>
        <w:rPr>
          <w:rFonts w:ascii="Times New Roman" w:hAnsi="Times New Roman" w:cs="Times New Roman"/>
          <w:b/>
          <w:bCs/>
          <w:sz w:val="20"/>
          <w:szCs w:val="20"/>
          <w:u w:val="single"/>
        </w:rPr>
        <w:t xml:space="preserve">On the Egyptian </w:t>
      </w:r>
      <w:r w:rsidRPr="00EE00B4">
        <w:rPr>
          <w:rFonts w:ascii="Times New Roman" w:hAnsi="Times New Roman" w:cs="Times New Roman"/>
          <w:b/>
          <w:bCs/>
          <w:sz w:val="20"/>
          <w:szCs w:val="20"/>
          <w:u w:val="single"/>
        </w:rPr>
        <w:t xml:space="preserve">Middle Kingdom </w:t>
      </w:r>
      <w:r>
        <w:rPr>
          <w:rFonts w:ascii="Times New Roman" w:hAnsi="Times New Roman" w:cs="Times New Roman"/>
          <w:b/>
          <w:bCs/>
          <w:sz w:val="20"/>
          <w:szCs w:val="20"/>
          <w:u w:val="single"/>
        </w:rPr>
        <w:t>S</w:t>
      </w:r>
      <w:r w:rsidRPr="00EE00B4">
        <w:rPr>
          <w:rFonts w:ascii="Times New Roman" w:hAnsi="Times New Roman" w:cs="Times New Roman"/>
          <w:b/>
          <w:bCs/>
          <w:sz w:val="20"/>
          <w:szCs w:val="20"/>
          <w:u w:val="single"/>
        </w:rPr>
        <w:t>tatuette</w:t>
      </w:r>
    </w:p>
    <w:p w14:paraId="565B66C2" w14:textId="547385C6" w:rsidR="00723C54" w:rsidRDefault="00EE00B4" w:rsidP="00EE00B4">
      <w:pPr>
        <w:jc w:val="both"/>
        <w:rPr>
          <w:rFonts w:ascii="Times New Roman" w:hAnsi="Times New Roman" w:cs="Times New Roman"/>
          <w:sz w:val="20"/>
          <w:szCs w:val="20"/>
        </w:rPr>
      </w:pPr>
      <w:r>
        <w:rPr>
          <w:rFonts w:ascii="Times New Roman" w:hAnsi="Times New Roman" w:cs="Times New Roman"/>
          <w:sz w:val="20"/>
          <w:szCs w:val="20"/>
        </w:rPr>
        <w:tab/>
        <w:t>Standing at 15.7cm tall, 4.8cm wide, and 4.5cm deep, this statuette is believed to have been constructed between 1986BC and 1550BC, in the Levantine region</w:t>
      </w:r>
      <w:r w:rsidR="007900D2">
        <w:rPr>
          <w:rStyle w:val="FootnoteReference"/>
          <w:rFonts w:ascii="Times New Roman" w:hAnsi="Times New Roman" w:cs="Times New Roman"/>
          <w:sz w:val="20"/>
          <w:szCs w:val="20"/>
        </w:rPr>
        <w:footnoteReference w:id="1"/>
      </w:r>
      <w:r w:rsidR="00EA1F7A">
        <w:rPr>
          <w:rFonts w:ascii="Times New Roman" w:hAnsi="Times New Roman" w:cs="Times New Roman"/>
          <w:sz w:val="20"/>
          <w:szCs w:val="20"/>
        </w:rPr>
        <w:t>. It is made from greywacke, a type of sandstone notable for being darker in colour, and harder than other types of sandstone, which is common the whole world over, o</w:t>
      </w:r>
      <w:r w:rsidR="007E565B">
        <w:rPr>
          <w:rFonts w:ascii="Times New Roman" w:hAnsi="Times New Roman" w:cs="Times New Roman"/>
          <w:sz w:val="20"/>
          <w:szCs w:val="20"/>
        </w:rPr>
        <w:t xml:space="preserve">f </w:t>
      </w:r>
      <w:r w:rsidR="00EA1F7A">
        <w:rPr>
          <w:rFonts w:ascii="Times New Roman" w:hAnsi="Times New Roman" w:cs="Times New Roman"/>
          <w:sz w:val="20"/>
          <w:szCs w:val="20"/>
        </w:rPr>
        <w:t xml:space="preserve">the sandstone in the Earth’s crust, greywacke makes up </w:t>
      </w:r>
      <w:r w:rsidR="007E565B">
        <w:rPr>
          <w:rFonts w:ascii="Times New Roman" w:hAnsi="Times New Roman" w:cs="Times New Roman"/>
          <w:sz w:val="20"/>
          <w:szCs w:val="20"/>
        </w:rPr>
        <w:t>one quarter</w:t>
      </w:r>
      <w:r w:rsidR="007E565B">
        <w:rPr>
          <w:rStyle w:val="FootnoteReference"/>
          <w:rFonts w:ascii="Times New Roman" w:hAnsi="Times New Roman" w:cs="Times New Roman"/>
          <w:sz w:val="20"/>
          <w:szCs w:val="20"/>
        </w:rPr>
        <w:footnoteReference w:id="2"/>
      </w:r>
      <w:r w:rsidR="007E565B">
        <w:rPr>
          <w:rFonts w:ascii="Times New Roman" w:hAnsi="Times New Roman" w:cs="Times New Roman"/>
          <w:sz w:val="20"/>
          <w:szCs w:val="20"/>
        </w:rPr>
        <w:t xml:space="preserve">. </w:t>
      </w:r>
      <w:r w:rsidR="007900D2">
        <w:rPr>
          <w:rFonts w:ascii="Times New Roman" w:hAnsi="Times New Roman" w:cs="Times New Roman"/>
          <w:sz w:val="20"/>
          <w:szCs w:val="20"/>
        </w:rPr>
        <w:t>The statuette is of a roughly humanoid figure, a rather crude depiction, assuming minimal genetic drift between Second Millennium BC homo-sapiens, and their modern descendants, notable for the broad</w:t>
      </w:r>
      <w:r w:rsidR="003D3FAB">
        <w:rPr>
          <w:rFonts w:ascii="Times New Roman" w:hAnsi="Times New Roman" w:cs="Times New Roman"/>
          <w:sz w:val="20"/>
          <w:szCs w:val="20"/>
        </w:rPr>
        <w:t xml:space="preserve"> </w:t>
      </w:r>
      <w:r w:rsidR="007900D2">
        <w:rPr>
          <w:rFonts w:ascii="Times New Roman" w:hAnsi="Times New Roman" w:cs="Times New Roman"/>
          <w:sz w:val="20"/>
          <w:szCs w:val="20"/>
        </w:rPr>
        <w:t>face,</w:t>
      </w:r>
      <w:r w:rsidR="003D3FAB">
        <w:rPr>
          <w:rFonts w:ascii="Times New Roman" w:hAnsi="Times New Roman" w:cs="Times New Roman"/>
          <w:sz w:val="20"/>
          <w:szCs w:val="20"/>
        </w:rPr>
        <w:t xml:space="preserve"> large ears,</w:t>
      </w:r>
      <w:r w:rsidR="007900D2">
        <w:rPr>
          <w:rFonts w:ascii="Times New Roman" w:hAnsi="Times New Roman" w:cs="Times New Roman"/>
          <w:sz w:val="20"/>
          <w:szCs w:val="20"/>
        </w:rPr>
        <w:t xml:space="preserve"> and oversized hands</w:t>
      </w:r>
      <w:r w:rsidR="003D3FAB">
        <w:rPr>
          <w:rStyle w:val="FootnoteReference"/>
          <w:rFonts w:ascii="Times New Roman" w:hAnsi="Times New Roman" w:cs="Times New Roman"/>
          <w:sz w:val="20"/>
          <w:szCs w:val="20"/>
        </w:rPr>
        <w:footnoteReference w:id="3"/>
      </w:r>
      <w:r w:rsidR="007900D2">
        <w:rPr>
          <w:rFonts w:ascii="Times New Roman" w:hAnsi="Times New Roman" w:cs="Times New Roman"/>
          <w:sz w:val="20"/>
          <w:szCs w:val="20"/>
        </w:rPr>
        <w:t>. On it is inscribed</w:t>
      </w:r>
      <w:r w:rsidR="003D3FAB">
        <w:rPr>
          <w:rFonts w:ascii="Times New Roman" w:hAnsi="Times New Roman" w:cs="Times New Roman"/>
          <w:sz w:val="20"/>
          <w:szCs w:val="20"/>
        </w:rPr>
        <w:t xml:space="preserve"> the name and position of Horsiese, High Priest of Memphis, but this is not the original inscription, which is lost, erased according to the historian Fischer, </w:t>
      </w:r>
      <w:r w:rsidR="0043779E">
        <w:rPr>
          <w:rFonts w:ascii="Times New Roman" w:hAnsi="Times New Roman" w:cs="Times New Roman"/>
          <w:sz w:val="20"/>
          <w:szCs w:val="20"/>
        </w:rPr>
        <w:t>owing to the absences – either by design, accident, or decay - of much of the bottom of the figure’s robe</w:t>
      </w:r>
      <w:r w:rsidR="0043779E">
        <w:rPr>
          <w:rStyle w:val="FootnoteReference"/>
          <w:rFonts w:ascii="Times New Roman" w:hAnsi="Times New Roman" w:cs="Times New Roman"/>
          <w:sz w:val="20"/>
          <w:szCs w:val="20"/>
        </w:rPr>
        <w:footnoteReference w:id="4"/>
      </w:r>
      <w:r w:rsidR="0043779E">
        <w:rPr>
          <w:rFonts w:ascii="Times New Roman" w:hAnsi="Times New Roman" w:cs="Times New Roman"/>
          <w:sz w:val="20"/>
          <w:szCs w:val="20"/>
        </w:rPr>
        <w:t>.</w:t>
      </w:r>
    </w:p>
    <w:p w14:paraId="2B890E60" w14:textId="0CCEB7AD" w:rsidR="0043779E" w:rsidRDefault="00723C54" w:rsidP="00EE00B4">
      <w:pPr>
        <w:jc w:val="both"/>
        <w:rPr>
          <w:rFonts w:ascii="Times New Roman" w:hAnsi="Times New Roman" w:cs="Times New Roman"/>
          <w:sz w:val="20"/>
          <w:szCs w:val="20"/>
        </w:rPr>
      </w:pPr>
      <w:r>
        <w:rPr>
          <w:rFonts w:ascii="Times New Roman" w:hAnsi="Times New Roman" w:cs="Times New Roman"/>
          <w:sz w:val="20"/>
          <w:szCs w:val="20"/>
        </w:rPr>
        <w:tab/>
        <w:t>In his 1974 article, the historian Fischer dates this statuette</w:t>
      </w:r>
      <w:r w:rsidR="00721BF2">
        <w:rPr>
          <w:rFonts w:ascii="Times New Roman" w:hAnsi="Times New Roman" w:cs="Times New Roman"/>
          <w:sz w:val="20"/>
          <w:szCs w:val="20"/>
        </w:rPr>
        <w:t>’s making</w:t>
      </w:r>
      <w:r>
        <w:rPr>
          <w:rFonts w:ascii="Times New Roman" w:hAnsi="Times New Roman" w:cs="Times New Roman"/>
          <w:sz w:val="20"/>
          <w:szCs w:val="20"/>
        </w:rPr>
        <w:t xml:space="preserve"> to </w:t>
      </w:r>
      <w:r w:rsidR="00721BF2">
        <w:rPr>
          <w:rFonts w:ascii="Times New Roman" w:hAnsi="Times New Roman" w:cs="Times New Roman"/>
          <w:sz w:val="20"/>
          <w:szCs w:val="20"/>
        </w:rPr>
        <w:t>the early Twelfth Dynasty, made no later than the reign of Sesostris I</w:t>
      </w:r>
      <w:r w:rsidR="00721BF2">
        <w:rPr>
          <w:rStyle w:val="FootnoteReference"/>
          <w:rFonts w:ascii="Times New Roman" w:hAnsi="Times New Roman" w:cs="Times New Roman"/>
          <w:sz w:val="20"/>
          <w:szCs w:val="20"/>
        </w:rPr>
        <w:footnoteReference w:id="5"/>
      </w:r>
      <w:r w:rsidR="00721BF2">
        <w:rPr>
          <w:rFonts w:ascii="Times New Roman" w:hAnsi="Times New Roman" w:cs="Times New Roman"/>
          <w:sz w:val="20"/>
          <w:szCs w:val="20"/>
        </w:rPr>
        <w:t>. Sesostris I was the second king of that dynasty, reigning between 1908-1875BC</w:t>
      </w:r>
      <w:r w:rsidR="007609CF">
        <w:rPr>
          <w:rFonts w:ascii="Times New Roman" w:hAnsi="Times New Roman" w:cs="Times New Roman"/>
          <w:sz w:val="20"/>
          <w:szCs w:val="20"/>
        </w:rPr>
        <w:t>, and his dynasty – according to many academic works – founded the Middle Kingdom era</w:t>
      </w:r>
      <w:r w:rsidR="007609CF">
        <w:rPr>
          <w:rStyle w:val="FootnoteReference"/>
          <w:rFonts w:ascii="Times New Roman" w:hAnsi="Times New Roman" w:cs="Times New Roman"/>
          <w:sz w:val="20"/>
          <w:szCs w:val="20"/>
        </w:rPr>
        <w:footnoteReference w:id="6"/>
      </w:r>
      <w:r w:rsidR="00727C15">
        <w:rPr>
          <w:rFonts w:ascii="Times New Roman" w:hAnsi="Times New Roman" w:cs="Times New Roman"/>
          <w:sz w:val="20"/>
          <w:szCs w:val="20"/>
        </w:rPr>
        <w:t xml:space="preserve">. </w:t>
      </w:r>
      <w:r w:rsidR="00F452B3">
        <w:rPr>
          <w:rFonts w:ascii="Times New Roman" w:hAnsi="Times New Roman" w:cs="Times New Roman"/>
          <w:sz w:val="20"/>
          <w:szCs w:val="20"/>
        </w:rPr>
        <w:t>The statuette certainly seems to typify this era, as described above it is crude – as might be expected from a statue made during the aftermath of the artistic decline of the First Intermediate Period – and more over imitative of Old Kingdom art</w:t>
      </w:r>
      <w:r w:rsidR="00A15DA0">
        <w:rPr>
          <w:rFonts w:ascii="Times New Roman" w:hAnsi="Times New Roman" w:cs="Times New Roman"/>
          <w:sz w:val="20"/>
          <w:szCs w:val="20"/>
        </w:rPr>
        <w:t xml:space="preserve">, </w:t>
      </w:r>
      <w:r w:rsidR="00C833C0">
        <w:rPr>
          <w:rFonts w:ascii="Times New Roman" w:hAnsi="Times New Roman" w:cs="Times New Roman"/>
          <w:sz w:val="20"/>
          <w:szCs w:val="20"/>
        </w:rPr>
        <w:t>in an early example of archaism</w:t>
      </w:r>
      <w:r w:rsidR="00A15DA0">
        <w:rPr>
          <w:rStyle w:val="FootnoteReference"/>
          <w:rFonts w:ascii="Times New Roman" w:hAnsi="Times New Roman" w:cs="Times New Roman"/>
          <w:sz w:val="20"/>
          <w:szCs w:val="20"/>
        </w:rPr>
        <w:footnoteReference w:id="7"/>
      </w:r>
      <w:r w:rsidR="00A15DA0">
        <w:rPr>
          <w:rFonts w:ascii="Times New Roman" w:hAnsi="Times New Roman" w:cs="Times New Roman"/>
          <w:sz w:val="20"/>
          <w:szCs w:val="20"/>
        </w:rPr>
        <w:t xml:space="preserve">. An example of this imitation can be seen in the pose, which is </w:t>
      </w:r>
      <w:r w:rsidR="0043451C">
        <w:rPr>
          <w:rFonts w:ascii="Times New Roman" w:hAnsi="Times New Roman" w:cs="Times New Roman"/>
          <w:sz w:val="20"/>
          <w:szCs w:val="20"/>
        </w:rPr>
        <w:t>very similar to that of the Third Dynasty Sepa, and Nesa Standing statue, and the broad face, and distinct hair style, which are reminiscent of the Third Dynasty Ankh Seated With Hands Clasped statue</w:t>
      </w:r>
      <w:r w:rsidR="0043451C">
        <w:rPr>
          <w:rStyle w:val="FootnoteReference"/>
          <w:rFonts w:ascii="Times New Roman" w:hAnsi="Times New Roman" w:cs="Times New Roman"/>
          <w:sz w:val="20"/>
          <w:szCs w:val="20"/>
        </w:rPr>
        <w:footnoteReference w:id="8"/>
      </w:r>
      <w:r w:rsidR="0043451C">
        <w:rPr>
          <w:rFonts w:ascii="Times New Roman" w:hAnsi="Times New Roman" w:cs="Times New Roman"/>
          <w:sz w:val="20"/>
          <w:szCs w:val="20"/>
        </w:rPr>
        <w:t xml:space="preserve">. This apparent imitation of Old Kingdom art is apt of a Twelfth Dynasty work, being as that dynasty </w:t>
      </w:r>
      <w:r w:rsidR="00C833C0">
        <w:rPr>
          <w:rFonts w:ascii="Times New Roman" w:hAnsi="Times New Roman" w:cs="Times New Roman"/>
          <w:sz w:val="20"/>
          <w:szCs w:val="20"/>
        </w:rPr>
        <w:t>– following the novelty of the Eleventh Dynasty’s regime – seemed determined to imitate the Old Kingdom, shown by, for example; their returning to the vicinity of Memphis, the capital city throughout the Old Kingdom era, with their new capital of Itj-tway, near modern Lisht, as opposed to remaining in Thebes, where the preceding Eleventh Dynasty had ruled from, and where they originated from</w:t>
      </w:r>
      <w:r w:rsidR="0054726C">
        <w:rPr>
          <w:rFonts w:ascii="Times New Roman" w:hAnsi="Times New Roman" w:cs="Times New Roman"/>
          <w:sz w:val="20"/>
          <w:szCs w:val="20"/>
        </w:rPr>
        <w:t>, as well as their construction of pyramids</w:t>
      </w:r>
      <w:r w:rsidR="0054726C">
        <w:rPr>
          <w:rStyle w:val="FootnoteReference"/>
          <w:rFonts w:ascii="Times New Roman" w:hAnsi="Times New Roman" w:cs="Times New Roman"/>
          <w:sz w:val="20"/>
          <w:szCs w:val="20"/>
        </w:rPr>
        <w:footnoteReference w:id="9"/>
      </w:r>
      <w:r w:rsidR="0054726C">
        <w:rPr>
          <w:rFonts w:ascii="Times New Roman" w:hAnsi="Times New Roman" w:cs="Times New Roman"/>
          <w:sz w:val="20"/>
          <w:szCs w:val="20"/>
        </w:rPr>
        <w:t>.</w:t>
      </w:r>
    </w:p>
    <w:p w14:paraId="71691A6C" w14:textId="7B7961A7" w:rsidR="00591C82" w:rsidRDefault="00591C82" w:rsidP="00EE00B4">
      <w:pPr>
        <w:jc w:val="both"/>
        <w:rPr>
          <w:rFonts w:ascii="Times New Roman" w:hAnsi="Times New Roman" w:cs="Times New Roman"/>
          <w:sz w:val="20"/>
          <w:szCs w:val="20"/>
        </w:rPr>
      </w:pPr>
      <w:r>
        <w:rPr>
          <w:rFonts w:ascii="Times New Roman" w:hAnsi="Times New Roman" w:cs="Times New Roman"/>
          <w:sz w:val="20"/>
          <w:szCs w:val="20"/>
        </w:rPr>
        <w:tab/>
        <w:t xml:space="preserve">Though we do not know the identity of the original model for this statue, much can be supposed. </w:t>
      </w:r>
      <w:r w:rsidR="00572F22">
        <w:rPr>
          <w:rFonts w:ascii="Times New Roman" w:hAnsi="Times New Roman" w:cs="Times New Roman"/>
          <w:sz w:val="20"/>
          <w:szCs w:val="20"/>
        </w:rPr>
        <w:t>They were male, as the anatomy of figure clearly shows, and likely of middling status</w:t>
      </w:r>
      <w:r w:rsidR="00572F22">
        <w:rPr>
          <w:rStyle w:val="FootnoteReference"/>
          <w:rFonts w:ascii="Times New Roman" w:hAnsi="Times New Roman" w:cs="Times New Roman"/>
          <w:sz w:val="20"/>
          <w:szCs w:val="20"/>
        </w:rPr>
        <w:footnoteReference w:id="10"/>
      </w:r>
      <w:r w:rsidR="00572F22">
        <w:rPr>
          <w:rFonts w:ascii="Times New Roman" w:hAnsi="Times New Roman" w:cs="Times New Roman"/>
          <w:sz w:val="20"/>
          <w:szCs w:val="20"/>
        </w:rPr>
        <w:t>. This last can be derived from the relative simplicity of the statue; it lacks the decoration which would be expected of a depiction of a higher status individual, such as that which can be seen on the sarcophagus of the Eleventh Dynasty Queen Kawit, as described by Aldred</w:t>
      </w:r>
      <w:r w:rsidR="00951C2A">
        <w:rPr>
          <w:rFonts w:ascii="Times New Roman" w:hAnsi="Times New Roman" w:cs="Times New Roman"/>
          <w:sz w:val="20"/>
          <w:szCs w:val="20"/>
        </w:rPr>
        <w:t>; and the fact that an artisan saw fit to inscribe upon it a new name, and – possibly – to damage it</w:t>
      </w:r>
      <w:r w:rsidR="00951C2A">
        <w:rPr>
          <w:rStyle w:val="FootnoteReference"/>
          <w:rFonts w:ascii="Times New Roman" w:hAnsi="Times New Roman" w:cs="Times New Roman"/>
          <w:sz w:val="20"/>
          <w:szCs w:val="20"/>
        </w:rPr>
        <w:footnoteReference w:id="11"/>
      </w:r>
      <w:r w:rsidR="00951C2A">
        <w:rPr>
          <w:rFonts w:ascii="Times New Roman" w:hAnsi="Times New Roman" w:cs="Times New Roman"/>
          <w:sz w:val="20"/>
          <w:szCs w:val="20"/>
        </w:rPr>
        <w:t xml:space="preserve">. The man for whom it was re-inscribed was the High Priest of Memphis in the either the Twenty-First, or </w:t>
      </w:r>
      <w:r w:rsidR="00951C2A">
        <w:rPr>
          <w:rFonts w:ascii="Times New Roman" w:hAnsi="Times New Roman" w:cs="Times New Roman"/>
          <w:sz w:val="20"/>
          <w:szCs w:val="20"/>
        </w:rPr>
        <w:lastRenderedPageBreak/>
        <w:t xml:space="preserve">Twenty-Second, Dynasty, more likely the Twenty-Second according to Fischer, </w:t>
      </w:r>
      <w:r w:rsidR="000D497B">
        <w:rPr>
          <w:rFonts w:ascii="Times New Roman" w:hAnsi="Times New Roman" w:cs="Times New Roman"/>
          <w:sz w:val="20"/>
          <w:szCs w:val="20"/>
        </w:rPr>
        <w:t xml:space="preserve">the time of the Third Intermediate Period, </w:t>
      </w:r>
      <w:r w:rsidR="00864A67">
        <w:rPr>
          <w:rFonts w:ascii="Times New Roman" w:hAnsi="Times New Roman" w:cs="Times New Roman"/>
          <w:sz w:val="20"/>
          <w:szCs w:val="20"/>
        </w:rPr>
        <w:t>and the height of archaism</w:t>
      </w:r>
      <w:r w:rsidR="00864A67">
        <w:rPr>
          <w:rStyle w:val="FootnoteReference"/>
          <w:rFonts w:ascii="Times New Roman" w:hAnsi="Times New Roman" w:cs="Times New Roman"/>
          <w:sz w:val="20"/>
          <w:szCs w:val="20"/>
        </w:rPr>
        <w:footnoteReference w:id="12"/>
      </w:r>
      <w:r w:rsidR="00864A67">
        <w:rPr>
          <w:rFonts w:ascii="Times New Roman" w:hAnsi="Times New Roman" w:cs="Times New Roman"/>
          <w:sz w:val="20"/>
          <w:szCs w:val="20"/>
        </w:rPr>
        <w:t>. Within the context of archaism</w:t>
      </w:r>
      <w:r w:rsidR="006E5A87">
        <w:rPr>
          <w:rFonts w:ascii="Times New Roman" w:hAnsi="Times New Roman" w:cs="Times New Roman"/>
          <w:sz w:val="20"/>
          <w:szCs w:val="20"/>
        </w:rPr>
        <w:t>, it is odd that any older work would be defaced as this statuette has been, being as artisans often based their works directly off of older works, certainly the statue of a high status individual, a king</w:t>
      </w:r>
      <w:r w:rsidR="00EA08B4">
        <w:rPr>
          <w:rFonts w:ascii="Times New Roman" w:hAnsi="Times New Roman" w:cs="Times New Roman"/>
          <w:sz w:val="20"/>
          <w:szCs w:val="20"/>
        </w:rPr>
        <w:t xml:space="preserve"> for example, </w:t>
      </w:r>
      <w:r w:rsidR="006E5A87">
        <w:rPr>
          <w:rFonts w:ascii="Times New Roman" w:hAnsi="Times New Roman" w:cs="Times New Roman"/>
          <w:sz w:val="20"/>
          <w:szCs w:val="20"/>
        </w:rPr>
        <w:t>would have been conserved</w:t>
      </w:r>
      <w:r w:rsidR="006E5A87">
        <w:rPr>
          <w:rStyle w:val="FootnoteReference"/>
          <w:rFonts w:ascii="Times New Roman" w:hAnsi="Times New Roman" w:cs="Times New Roman"/>
          <w:sz w:val="20"/>
          <w:szCs w:val="20"/>
        </w:rPr>
        <w:footnoteReference w:id="13"/>
      </w:r>
      <w:r w:rsidR="00EA08B4">
        <w:rPr>
          <w:rFonts w:ascii="Times New Roman" w:hAnsi="Times New Roman" w:cs="Times New Roman"/>
          <w:sz w:val="20"/>
          <w:szCs w:val="20"/>
        </w:rPr>
        <w:t>. Furthermore, the material, greywacke, is a common one, such that a high-status individual would be unlikely to use it. As such it is unlikely that the model for this statue would be of particularly high status, nor are they likely to be of particularly low status, as such an individual would be unlikely to hire an artisan. Specifically, the model may have been a minor nomarch – such an individual would have better reason than most to want a statue of himself – certainly, the crudity of this statuette would seem to suggest it was of provincial construction, superior artisans being exclusive to the centres of power.</w:t>
      </w:r>
    </w:p>
    <w:p w14:paraId="7AA42AB1" w14:textId="702AE93A" w:rsidR="00FD6C9C" w:rsidRPr="00807286" w:rsidRDefault="00FD6C9C" w:rsidP="00744E90">
      <w:pPr>
        <w:rPr>
          <w:rFonts w:ascii="Times New Roman" w:hAnsi="Times New Roman" w:cs="Times New Roman"/>
          <w:b/>
          <w:bCs/>
          <w:sz w:val="20"/>
          <w:szCs w:val="20"/>
          <w:u w:val="single"/>
        </w:rPr>
      </w:pPr>
      <w:r w:rsidRPr="00807286">
        <w:rPr>
          <w:rFonts w:ascii="Times New Roman" w:hAnsi="Times New Roman" w:cs="Times New Roman"/>
          <w:b/>
          <w:bCs/>
          <w:sz w:val="20"/>
          <w:szCs w:val="20"/>
          <w:u w:val="single"/>
        </w:rPr>
        <w:t>Bibliography</w:t>
      </w:r>
    </w:p>
    <w:p w14:paraId="39425573" w14:textId="68EAA3DE" w:rsidR="00744E90" w:rsidRPr="00744E90" w:rsidRDefault="00744E90" w:rsidP="00744E90">
      <w:pPr>
        <w:rPr>
          <w:rFonts w:ascii="Times New Roman" w:hAnsi="Times New Roman" w:cs="Times New Roman"/>
          <w:b/>
          <w:bCs/>
          <w:sz w:val="20"/>
          <w:szCs w:val="20"/>
        </w:rPr>
      </w:pPr>
      <w:r w:rsidRPr="00744E90">
        <w:rPr>
          <w:rFonts w:ascii="Times New Roman" w:hAnsi="Times New Roman" w:cs="Times New Roman"/>
          <w:b/>
          <w:bCs/>
          <w:sz w:val="20"/>
          <w:szCs w:val="20"/>
        </w:rPr>
        <w:t>Secondary Sources</w:t>
      </w:r>
      <w:bookmarkStart w:id="10" w:name="_GoBack"/>
      <w:bookmarkEnd w:id="10"/>
    </w:p>
    <w:p w14:paraId="0C9D7137" w14:textId="1E5CA221" w:rsidR="00744E90" w:rsidRPr="00744E90" w:rsidRDefault="00744E90" w:rsidP="00744E90">
      <w:pPr>
        <w:rPr>
          <w:rFonts w:ascii="Times New Roman" w:hAnsi="Times New Roman" w:cs="Times New Roman"/>
          <w:sz w:val="20"/>
          <w:szCs w:val="20"/>
        </w:rPr>
      </w:pPr>
      <w:r w:rsidRPr="00744E90">
        <w:rPr>
          <w:rFonts w:ascii="Times New Roman" w:hAnsi="Times New Roman" w:cs="Times New Roman"/>
          <w:sz w:val="20"/>
          <w:szCs w:val="20"/>
        </w:rPr>
        <w:t xml:space="preserve">Aldred, C., </w:t>
      </w:r>
      <w:r w:rsidRPr="00744E90">
        <w:rPr>
          <w:rFonts w:ascii="Times New Roman" w:hAnsi="Times New Roman" w:cs="Times New Roman"/>
          <w:i/>
          <w:iCs/>
          <w:sz w:val="20"/>
          <w:szCs w:val="20"/>
        </w:rPr>
        <w:t>Middle Kingdom Art in Ancient Egypt, 2300-1590 B.C.</w:t>
      </w:r>
      <w:r w:rsidRPr="00744E90">
        <w:rPr>
          <w:rFonts w:ascii="Times New Roman" w:hAnsi="Times New Roman" w:cs="Times New Roman"/>
          <w:sz w:val="20"/>
          <w:szCs w:val="20"/>
        </w:rPr>
        <w:t>, (Minnesota, A. Tiranti, 1950)</w:t>
      </w:r>
      <w:r w:rsidR="00807286">
        <w:rPr>
          <w:rFonts w:ascii="Times New Roman" w:hAnsi="Times New Roman" w:cs="Times New Roman"/>
          <w:sz w:val="20"/>
          <w:szCs w:val="20"/>
        </w:rPr>
        <w:t>.</w:t>
      </w:r>
    </w:p>
    <w:p w14:paraId="56A88EFB" w14:textId="77777777" w:rsidR="00744E90" w:rsidRPr="00744E90" w:rsidRDefault="00744E90" w:rsidP="00744E90">
      <w:pPr>
        <w:pStyle w:val="FootnoteText"/>
        <w:rPr>
          <w:rFonts w:ascii="Times New Roman" w:hAnsi="Times New Roman" w:cs="Times New Roman"/>
        </w:rPr>
      </w:pPr>
      <w:r w:rsidRPr="00744E90">
        <w:rPr>
          <w:rFonts w:ascii="Times New Roman" w:hAnsi="Times New Roman" w:cs="Times New Roman"/>
        </w:rPr>
        <w:t xml:space="preserve">Arnold, D., ‘Amenemhat I and the Early Twelfth Dynasty at Thebes’, </w:t>
      </w:r>
      <w:r w:rsidRPr="00744E90">
        <w:rPr>
          <w:rFonts w:ascii="Times New Roman" w:hAnsi="Times New Roman" w:cs="Times New Roman"/>
          <w:i/>
          <w:iCs/>
        </w:rPr>
        <w:t>Metropolitan Museum Journal,</w:t>
      </w:r>
    </w:p>
    <w:p w14:paraId="478BB4F4" w14:textId="7C27CFD2" w:rsidR="00744E90" w:rsidRPr="00744E90" w:rsidRDefault="00744E90" w:rsidP="00744E90">
      <w:pPr>
        <w:rPr>
          <w:rFonts w:ascii="Times New Roman" w:hAnsi="Times New Roman" w:cs="Times New Roman"/>
          <w:sz w:val="20"/>
          <w:szCs w:val="20"/>
        </w:rPr>
      </w:pPr>
      <w:r w:rsidRPr="00744E90">
        <w:rPr>
          <w:rFonts w:ascii="Times New Roman" w:hAnsi="Times New Roman" w:cs="Times New Roman"/>
          <w:sz w:val="20"/>
          <w:szCs w:val="20"/>
        </w:rPr>
        <w:t>Volume 26 (1991)</w:t>
      </w:r>
      <w:r w:rsidR="00807286">
        <w:rPr>
          <w:rFonts w:ascii="Times New Roman" w:hAnsi="Times New Roman" w:cs="Times New Roman"/>
          <w:sz w:val="20"/>
          <w:szCs w:val="20"/>
        </w:rPr>
        <w:t>.</w:t>
      </w:r>
    </w:p>
    <w:p w14:paraId="1708E9AA" w14:textId="6904E73C" w:rsidR="00744E90" w:rsidRPr="00744E90" w:rsidRDefault="00744E90" w:rsidP="00744E90">
      <w:pPr>
        <w:rPr>
          <w:rFonts w:ascii="Times New Roman" w:hAnsi="Times New Roman" w:cs="Times New Roman"/>
          <w:sz w:val="20"/>
          <w:szCs w:val="20"/>
        </w:rPr>
      </w:pPr>
      <w:r w:rsidRPr="00744E90">
        <w:rPr>
          <w:rFonts w:ascii="Times New Roman" w:hAnsi="Times New Roman" w:cs="Times New Roman"/>
          <w:sz w:val="20"/>
          <w:szCs w:val="20"/>
        </w:rPr>
        <w:t xml:space="preserve">Brewer, D. J., and Teeter, E., </w:t>
      </w:r>
      <w:r w:rsidRPr="00744E90">
        <w:rPr>
          <w:rFonts w:ascii="Times New Roman" w:hAnsi="Times New Roman" w:cs="Times New Roman"/>
          <w:i/>
          <w:iCs/>
          <w:sz w:val="20"/>
          <w:szCs w:val="20"/>
        </w:rPr>
        <w:t>Egypt and the Egyptians</w:t>
      </w:r>
      <w:r w:rsidRPr="00744E90">
        <w:rPr>
          <w:rFonts w:ascii="Times New Roman" w:hAnsi="Times New Roman" w:cs="Times New Roman"/>
          <w:sz w:val="20"/>
          <w:szCs w:val="20"/>
        </w:rPr>
        <w:t>, Second Edition, (Cambridge, Cambridge University Press, 2007)</w:t>
      </w:r>
      <w:r w:rsidR="00807286">
        <w:rPr>
          <w:rFonts w:ascii="Times New Roman" w:hAnsi="Times New Roman" w:cs="Times New Roman"/>
          <w:sz w:val="20"/>
          <w:szCs w:val="20"/>
        </w:rPr>
        <w:t>.</w:t>
      </w:r>
    </w:p>
    <w:p w14:paraId="0D08D36D" w14:textId="6C6B3CB5" w:rsidR="00FD6C9C" w:rsidRPr="00744E90" w:rsidRDefault="00FD6C9C" w:rsidP="00744E90">
      <w:pPr>
        <w:rPr>
          <w:rFonts w:ascii="Times New Roman" w:hAnsi="Times New Roman" w:cs="Times New Roman"/>
          <w:sz w:val="20"/>
          <w:szCs w:val="20"/>
        </w:rPr>
      </w:pPr>
      <w:r w:rsidRPr="00744E90">
        <w:rPr>
          <w:rFonts w:ascii="Times New Roman" w:hAnsi="Times New Roman" w:cs="Times New Roman"/>
          <w:sz w:val="20"/>
          <w:szCs w:val="20"/>
        </w:rPr>
        <w:t>Fischer,</w:t>
      </w:r>
      <w:r w:rsidR="00744E90" w:rsidRPr="00744E90">
        <w:rPr>
          <w:rFonts w:ascii="Times New Roman" w:hAnsi="Times New Roman" w:cs="Times New Roman"/>
          <w:sz w:val="20"/>
          <w:szCs w:val="20"/>
        </w:rPr>
        <w:t xml:space="preserve"> H. G.,</w:t>
      </w:r>
      <w:r w:rsidRPr="00744E90">
        <w:rPr>
          <w:rFonts w:ascii="Times New Roman" w:hAnsi="Times New Roman" w:cs="Times New Roman"/>
          <w:sz w:val="20"/>
          <w:szCs w:val="20"/>
        </w:rPr>
        <w:t xml:space="preserve"> ‘The Mark of a Second Hand on Egyptian Antiquities’, </w:t>
      </w:r>
      <w:r w:rsidRPr="00744E90">
        <w:rPr>
          <w:rFonts w:ascii="Times New Roman" w:hAnsi="Times New Roman" w:cs="Times New Roman"/>
          <w:i/>
          <w:iCs/>
          <w:sz w:val="20"/>
          <w:szCs w:val="20"/>
        </w:rPr>
        <w:t>Metropolitan Museum Journal</w:t>
      </w:r>
      <w:r w:rsidRPr="00744E90">
        <w:rPr>
          <w:rFonts w:ascii="Times New Roman" w:hAnsi="Times New Roman" w:cs="Times New Roman"/>
          <w:sz w:val="20"/>
          <w:szCs w:val="20"/>
        </w:rPr>
        <w:t>, Volume 9 (1974)</w:t>
      </w:r>
      <w:r w:rsidR="00807286">
        <w:rPr>
          <w:rFonts w:ascii="Times New Roman" w:hAnsi="Times New Roman" w:cs="Times New Roman"/>
          <w:sz w:val="20"/>
          <w:szCs w:val="20"/>
        </w:rPr>
        <w:t>.</w:t>
      </w:r>
    </w:p>
    <w:p w14:paraId="190A2FC2" w14:textId="5F376D5C" w:rsidR="00FD6C9C" w:rsidRPr="00744E90" w:rsidRDefault="00FD6C9C" w:rsidP="00744E90">
      <w:pPr>
        <w:rPr>
          <w:rFonts w:ascii="Times New Roman" w:hAnsi="Times New Roman" w:cs="Times New Roman"/>
          <w:sz w:val="20"/>
          <w:szCs w:val="20"/>
        </w:rPr>
      </w:pPr>
      <w:r w:rsidRPr="00744E90">
        <w:rPr>
          <w:rFonts w:ascii="Times New Roman" w:hAnsi="Times New Roman" w:cs="Times New Roman"/>
          <w:sz w:val="20"/>
          <w:szCs w:val="20"/>
        </w:rPr>
        <w:t>Haldar,</w:t>
      </w:r>
      <w:r w:rsidR="00744E90" w:rsidRPr="00744E90">
        <w:rPr>
          <w:rFonts w:ascii="Times New Roman" w:hAnsi="Times New Roman" w:cs="Times New Roman"/>
          <w:sz w:val="20"/>
          <w:szCs w:val="20"/>
        </w:rPr>
        <w:t xml:space="preserve"> S. K.,</w:t>
      </w:r>
      <w:r w:rsidRPr="00744E90">
        <w:rPr>
          <w:rFonts w:ascii="Times New Roman" w:hAnsi="Times New Roman" w:cs="Times New Roman"/>
          <w:sz w:val="20"/>
          <w:szCs w:val="20"/>
        </w:rPr>
        <w:t xml:space="preserve"> and Tišljar,</w:t>
      </w:r>
      <w:r w:rsidR="00744E90" w:rsidRPr="00744E90">
        <w:rPr>
          <w:rFonts w:ascii="Times New Roman" w:hAnsi="Times New Roman" w:cs="Times New Roman"/>
          <w:sz w:val="20"/>
          <w:szCs w:val="20"/>
        </w:rPr>
        <w:t xml:space="preserve"> J.,</w:t>
      </w:r>
      <w:r w:rsidRPr="00744E90">
        <w:rPr>
          <w:rFonts w:ascii="Times New Roman" w:hAnsi="Times New Roman" w:cs="Times New Roman"/>
          <w:sz w:val="20"/>
          <w:szCs w:val="20"/>
        </w:rPr>
        <w:t xml:space="preserve"> </w:t>
      </w:r>
      <w:r w:rsidRPr="00744E90">
        <w:rPr>
          <w:rFonts w:ascii="Times New Roman" w:hAnsi="Times New Roman" w:cs="Times New Roman"/>
          <w:i/>
          <w:iCs/>
          <w:sz w:val="20"/>
          <w:szCs w:val="20"/>
        </w:rPr>
        <w:t>Introduction to Mineralogy and Petrology</w:t>
      </w:r>
      <w:r w:rsidRPr="00744E90">
        <w:rPr>
          <w:rFonts w:ascii="Times New Roman" w:hAnsi="Times New Roman" w:cs="Times New Roman"/>
          <w:sz w:val="20"/>
          <w:szCs w:val="20"/>
        </w:rPr>
        <w:t>, (Amsterdam, Elsevier, 2014</w:t>
      </w:r>
      <w:r w:rsidRPr="00744E90">
        <w:rPr>
          <w:rFonts w:ascii="Times New Roman" w:hAnsi="Times New Roman" w:cs="Times New Roman"/>
          <w:sz w:val="20"/>
          <w:szCs w:val="20"/>
        </w:rPr>
        <w:t>)</w:t>
      </w:r>
      <w:r w:rsidR="00807286">
        <w:rPr>
          <w:rFonts w:ascii="Times New Roman" w:hAnsi="Times New Roman" w:cs="Times New Roman"/>
          <w:sz w:val="20"/>
          <w:szCs w:val="20"/>
        </w:rPr>
        <w:t>.</w:t>
      </w:r>
    </w:p>
    <w:p w14:paraId="4BA8C40E" w14:textId="6DAB49B4" w:rsidR="00744E90" w:rsidRPr="00744E90" w:rsidRDefault="00744E90" w:rsidP="00744E90">
      <w:pPr>
        <w:rPr>
          <w:rFonts w:ascii="Times New Roman" w:hAnsi="Times New Roman" w:cs="Times New Roman"/>
          <w:sz w:val="20"/>
          <w:szCs w:val="20"/>
        </w:rPr>
      </w:pPr>
      <w:r w:rsidRPr="00744E90">
        <w:rPr>
          <w:rFonts w:ascii="Times New Roman" w:hAnsi="Times New Roman" w:cs="Times New Roman"/>
          <w:sz w:val="20"/>
          <w:szCs w:val="20"/>
        </w:rPr>
        <w:t xml:space="preserve">The Metropolitan Museum of Art, </w:t>
      </w:r>
      <w:r w:rsidRPr="00744E90">
        <w:rPr>
          <w:rFonts w:ascii="Times New Roman" w:hAnsi="Times New Roman" w:cs="Times New Roman"/>
          <w:i/>
          <w:iCs/>
          <w:sz w:val="20"/>
          <w:szCs w:val="20"/>
        </w:rPr>
        <w:t>Egyptian Art in the Age of the Pyramids</w:t>
      </w:r>
      <w:r w:rsidRPr="00744E90">
        <w:rPr>
          <w:rFonts w:ascii="Times New Roman" w:hAnsi="Times New Roman" w:cs="Times New Roman"/>
          <w:sz w:val="20"/>
          <w:szCs w:val="20"/>
        </w:rPr>
        <w:t>, (New York, Metropolitan Museum of Art, 1999)</w:t>
      </w:r>
      <w:r w:rsidR="00807286">
        <w:rPr>
          <w:rFonts w:ascii="Times New Roman" w:hAnsi="Times New Roman" w:cs="Times New Roman"/>
          <w:sz w:val="20"/>
          <w:szCs w:val="20"/>
        </w:rPr>
        <w:t>.</w:t>
      </w:r>
    </w:p>
    <w:p w14:paraId="3DA092A6" w14:textId="057ED483" w:rsidR="00FD6C9C" w:rsidRPr="00744E90" w:rsidRDefault="00FD6C9C" w:rsidP="00744E90">
      <w:pPr>
        <w:rPr>
          <w:rFonts w:ascii="Times New Roman" w:hAnsi="Times New Roman" w:cs="Times New Roman"/>
          <w:sz w:val="20"/>
          <w:szCs w:val="20"/>
        </w:rPr>
      </w:pPr>
      <w:r w:rsidRPr="00744E90">
        <w:rPr>
          <w:rFonts w:ascii="Times New Roman" w:hAnsi="Times New Roman" w:cs="Times New Roman"/>
          <w:sz w:val="20"/>
          <w:szCs w:val="20"/>
        </w:rPr>
        <w:t>Wilkinson,</w:t>
      </w:r>
      <w:r w:rsidR="00744E90" w:rsidRPr="00744E90">
        <w:rPr>
          <w:rFonts w:ascii="Times New Roman" w:hAnsi="Times New Roman" w:cs="Times New Roman"/>
          <w:sz w:val="20"/>
          <w:szCs w:val="20"/>
        </w:rPr>
        <w:t xml:space="preserve"> T.,</w:t>
      </w:r>
      <w:r w:rsidRPr="00744E90">
        <w:rPr>
          <w:rFonts w:ascii="Times New Roman" w:hAnsi="Times New Roman" w:cs="Times New Roman"/>
          <w:sz w:val="20"/>
          <w:szCs w:val="20"/>
        </w:rPr>
        <w:t xml:space="preserve"> ‘Ancient Egyptian Chronology and King List’, in </w:t>
      </w:r>
      <w:r w:rsidRPr="00744E90">
        <w:rPr>
          <w:rFonts w:ascii="Times New Roman" w:hAnsi="Times New Roman" w:cs="Times New Roman"/>
          <w:i/>
          <w:iCs/>
          <w:sz w:val="20"/>
          <w:szCs w:val="20"/>
        </w:rPr>
        <w:t>The Egyptian World</w:t>
      </w:r>
      <w:r w:rsidRPr="00744E90">
        <w:rPr>
          <w:rFonts w:ascii="Times New Roman" w:hAnsi="Times New Roman" w:cs="Times New Roman"/>
          <w:sz w:val="20"/>
          <w:szCs w:val="20"/>
        </w:rPr>
        <w:t>, ed. by Wilkinson,</w:t>
      </w:r>
      <w:r w:rsidR="00744E90" w:rsidRPr="00744E90">
        <w:rPr>
          <w:rFonts w:ascii="Times New Roman" w:hAnsi="Times New Roman" w:cs="Times New Roman"/>
          <w:sz w:val="20"/>
          <w:szCs w:val="20"/>
        </w:rPr>
        <w:t xml:space="preserve"> T.,</w:t>
      </w:r>
      <w:r w:rsidRPr="00744E90">
        <w:rPr>
          <w:rFonts w:ascii="Times New Roman" w:hAnsi="Times New Roman" w:cs="Times New Roman"/>
          <w:sz w:val="20"/>
          <w:szCs w:val="20"/>
        </w:rPr>
        <w:t xml:space="preserve"> (Abingdon, Routledge, 2010</w:t>
      </w:r>
      <w:r w:rsidR="00744E90" w:rsidRPr="00744E90">
        <w:rPr>
          <w:rFonts w:ascii="Times New Roman" w:hAnsi="Times New Roman" w:cs="Times New Roman"/>
          <w:sz w:val="20"/>
          <w:szCs w:val="20"/>
        </w:rPr>
        <w:t>)</w:t>
      </w:r>
      <w:r w:rsidR="00807286">
        <w:rPr>
          <w:rFonts w:ascii="Times New Roman" w:hAnsi="Times New Roman" w:cs="Times New Roman"/>
          <w:sz w:val="20"/>
          <w:szCs w:val="20"/>
        </w:rPr>
        <w:t>.</w:t>
      </w:r>
    </w:p>
    <w:p w14:paraId="41051715" w14:textId="3F43EE74" w:rsidR="00744E90" w:rsidRPr="00744E90" w:rsidRDefault="00744E90" w:rsidP="00744E90">
      <w:pPr>
        <w:rPr>
          <w:rFonts w:ascii="Times New Roman" w:hAnsi="Times New Roman" w:cs="Times New Roman"/>
          <w:b/>
          <w:bCs/>
          <w:sz w:val="20"/>
          <w:szCs w:val="20"/>
        </w:rPr>
      </w:pPr>
      <w:r w:rsidRPr="00744E90">
        <w:rPr>
          <w:rFonts w:ascii="Times New Roman" w:hAnsi="Times New Roman" w:cs="Times New Roman"/>
          <w:b/>
          <w:bCs/>
          <w:sz w:val="20"/>
          <w:szCs w:val="20"/>
        </w:rPr>
        <w:t>Electronic Sources</w:t>
      </w:r>
    </w:p>
    <w:p w14:paraId="479C93EF" w14:textId="4DC28E9A" w:rsidR="00744E90" w:rsidRPr="00744E90" w:rsidRDefault="00744E90" w:rsidP="00744E90">
      <w:pPr>
        <w:rPr>
          <w:rFonts w:ascii="Times New Roman" w:hAnsi="Times New Roman" w:cs="Times New Roman"/>
          <w:sz w:val="20"/>
          <w:szCs w:val="20"/>
        </w:rPr>
      </w:pPr>
      <w:r w:rsidRPr="00744E90">
        <w:rPr>
          <w:rFonts w:ascii="Times New Roman" w:hAnsi="Times New Roman" w:cs="Times New Roman"/>
          <w:sz w:val="20"/>
          <w:szCs w:val="20"/>
        </w:rPr>
        <w:t>Kahl,</w:t>
      </w:r>
      <w:r w:rsidRPr="00744E90">
        <w:rPr>
          <w:rFonts w:ascii="Times New Roman" w:hAnsi="Times New Roman" w:cs="Times New Roman"/>
          <w:sz w:val="20"/>
          <w:szCs w:val="20"/>
        </w:rPr>
        <w:t xml:space="preserve"> J.,</w:t>
      </w:r>
      <w:r w:rsidRPr="00744E90">
        <w:rPr>
          <w:rFonts w:ascii="Times New Roman" w:hAnsi="Times New Roman" w:cs="Times New Roman"/>
          <w:sz w:val="20"/>
          <w:szCs w:val="20"/>
        </w:rPr>
        <w:t xml:space="preserve"> ‘Archaism’, UCLA Encyclopedia of Egyptology, Volume 1 (2010), Pp. 3-5 (P.5), https://escholarship.org/content/qt3tn7q1pf/qt3tn7q1pf.pdf [Accessed: 30/03/2020].</w:t>
      </w:r>
    </w:p>
    <w:p w14:paraId="3BE57686" w14:textId="3845D373" w:rsidR="00744E90" w:rsidRPr="00744E90" w:rsidRDefault="00744E90" w:rsidP="00744E90">
      <w:pPr>
        <w:rPr>
          <w:rFonts w:ascii="Times New Roman" w:hAnsi="Times New Roman" w:cs="Times New Roman"/>
          <w:sz w:val="20"/>
          <w:szCs w:val="20"/>
        </w:rPr>
      </w:pPr>
      <w:r w:rsidRPr="00744E90">
        <w:rPr>
          <w:rFonts w:ascii="Times New Roman" w:hAnsi="Times New Roman" w:cs="Times New Roman"/>
          <w:sz w:val="20"/>
          <w:szCs w:val="20"/>
        </w:rPr>
        <w:t>Mark, J. J., ‘First Intermediate Period of Egypt’, Ancient History Encyclopedia (2016), https://www.ancient.eu/First_Intermediate_Period_of_Egypt/ [Accessed: 28/03/2020].</w:t>
      </w:r>
    </w:p>
    <w:p w14:paraId="1B939E8C" w14:textId="3544BB23" w:rsidR="00744E90" w:rsidRPr="00744E90" w:rsidRDefault="00744E90" w:rsidP="00744E90">
      <w:pPr>
        <w:rPr>
          <w:rFonts w:ascii="Times New Roman" w:hAnsi="Times New Roman" w:cs="Times New Roman"/>
          <w:sz w:val="20"/>
          <w:szCs w:val="20"/>
        </w:rPr>
      </w:pPr>
      <w:r w:rsidRPr="00744E90">
        <w:rPr>
          <w:rFonts w:ascii="Times New Roman" w:hAnsi="Times New Roman" w:cs="Times New Roman"/>
          <w:sz w:val="20"/>
          <w:szCs w:val="20"/>
        </w:rPr>
        <w:t>Oppenheim,</w:t>
      </w:r>
      <w:r w:rsidRPr="00744E90">
        <w:rPr>
          <w:rFonts w:ascii="Times New Roman" w:hAnsi="Times New Roman" w:cs="Times New Roman"/>
          <w:sz w:val="20"/>
          <w:szCs w:val="20"/>
        </w:rPr>
        <w:t xml:space="preserve"> A.,</w:t>
      </w:r>
      <w:r w:rsidRPr="00744E90">
        <w:rPr>
          <w:rFonts w:ascii="Times New Roman" w:hAnsi="Times New Roman" w:cs="Times New Roman"/>
          <w:sz w:val="20"/>
          <w:szCs w:val="20"/>
        </w:rPr>
        <w:t xml:space="preserve"> ‘Egypt in the Middle Kingdom (c.a. 2030-1650 B. C.)’</w:t>
      </w:r>
      <w:r w:rsidRPr="00744E90">
        <w:rPr>
          <w:rFonts w:ascii="Times New Roman" w:hAnsi="Times New Roman" w:cs="Times New Roman"/>
          <w:i/>
          <w:iCs/>
          <w:sz w:val="20"/>
          <w:szCs w:val="20"/>
        </w:rPr>
        <w:t xml:space="preserve">, </w:t>
      </w:r>
      <w:r w:rsidRPr="00744E90">
        <w:rPr>
          <w:rFonts w:ascii="Times New Roman" w:hAnsi="Times New Roman" w:cs="Times New Roman"/>
          <w:sz w:val="20"/>
          <w:szCs w:val="20"/>
        </w:rPr>
        <w:t xml:space="preserve">in </w:t>
      </w:r>
      <w:r w:rsidRPr="00744E90">
        <w:rPr>
          <w:rFonts w:ascii="Times New Roman" w:hAnsi="Times New Roman" w:cs="Times New Roman"/>
          <w:i/>
          <w:iCs/>
          <w:sz w:val="20"/>
          <w:szCs w:val="20"/>
        </w:rPr>
        <w:t>Heilbrunn Timeline of Art History</w:t>
      </w:r>
      <w:r w:rsidRPr="00744E90">
        <w:rPr>
          <w:rFonts w:ascii="Times New Roman" w:hAnsi="Times New Roman" w:cs="Times New Roman"/>
          <w:sz w:val="20"/>
          <w:szCs w:val="20"/>
        </w:rPr>
        <w:t>, ed. by The Metropolitan Museum of Art, (New York, The Metropolitan Museum of Art, 2000), https://www.metmuseum.org/toah/hd/mking/hd_mking.htm [Accessed 28/03/2020].</w:t>
      </w:r>
    </w:p>
    <w:p w14:paraId="2465BCFC" w14:textId="560B2B09" w:rsidR="00744E90" w:rsidRPr="00744E90" w:rsidRDefault="00744E90" w:rsidP="00744E90">
      <w:pPr>
        <w:rPr>
          <w:rFonts w:ascii="Times New Roman" w:hAnsi="Times New Roman" w:cs="Times New Roman"/>
          <w:sz w:val="20"/>
          <w:szCs w:val="20"/>
        </w:rPr>
      </w:pPr>
      <w:r w:rsidRPr="00744E90">
        <w:rPr>
          <w:rFonts w:ascii="Times New Roman" w:hAnsi="Times New Roman" w:cs="Times New Roman"/>
          <w:sz w:val="20"/>
          <w:szCs w:val="20"/>
        </w:rPr>
        <w:t>The Editors of the Encyclopaedia Britannica, ‘Sesostris I: KING OF EGYPT’, Encyclopaedia Britannica (2014). https://www.britannica.com/biography/Sesostris-I [Accessed: 28/03/2020]</w:t>
      </w:r>
      <w:r w:rsidR="00807286">
        <w:rPr>
          <w:rFonts w:ascii="Times New Roman" w:hAnsi="Times New Roman" w:cs="Times New Roman"/>
          <w:sz w:val="20"/>
          <w:szCs w:val="20"/>
        </w:rPr>
        <w:t>.</w:t>
      </w:r>
    </w:p>
    <w:p w14:paraId="2C1FA29F" w14:textId="77777777" w:rsidR="00744E90" w:rsidRPr="00744E90" w:rsidRDefault="00744E90" w:rsidP="00744E90">
      <w:pPr>
        <w:rPr>
          <w:sz w:val="20"/>
          <w:szCs w:val="20"/>
        </w:rPr>
      </w:pPr>
    </w:p>
    <w:sectPr w:rsidR="00744E90" w:rsidRPr="00744E9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077A92" w14:textId="77777777" w:rsidR="00FA36DC" w:rsidRDefault="00FA36DC" w:rsidP="00EE00B4">
      <w:pPr>
        <w:spacing w:after="0" w:line="240" w:lineRule="auto"/>
      </w:pPr>
      <w:r>
        <w:separator/>
      </w:r>
    </w:p>
  </w:endnote>
  <w:endnote w:type="continuationSeparator" w:id="0">
    <w:p w14:paraId="70335B94" w14:textId="77777777" w:rsidR="00FA36DC" w:rsidRDefault="00FA36DC" w:rsidP="00EE00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CE2592" w14:textId="77777777" w:rsidR="00FA36DC" w:rsidRDefault="00FA36DC" w:rsidP="00EE00B4">
      <w:pPr>
        <w:spacing w:after="0" w:line="240" w:lineRule="auto"/>
      </w:pPr>
      <w:r>
        <w:separator/>
      </w:r>
    </w:p>
  </w:footnote>
  <w:footnote w:type="continuationSeparator" w:id="0">
    <w:p w14:paraId="291B16D3" w14:textId="77777777" w:rsidR="00FA36DC" w:rsidRDefault="00FA36DC" w:rsidP="00EE00B4">
      <w:pPr>
        <w:spacing w:after="0" w:line="240" w:lineRule="auto"/>
      </w:pPr>
      <w:r>
        <w:continuationSeparator/>
      </w:r>
    </w:p>
  </w:footnote>
  <w:footnote w:id="1">
    <w:p w14:paraId="2A26CE30" w14:textId="041FFCBE" w:rsidR="007900D2" w:rsidRPr="0043779E" w:rsidRDefault="007900D2">
      <w:pPr>
        <w:pStyle w:val="FootnoteText"/>
        <w:rPr>
          <w:rFonts w:ascii="Times New Roman" w:hAnsi="Times New Roman" w:cs="Times New Roman"/>
        </w:rPr>
      </w:pPr>
      <w:r w:rsidRPr="00766B63">
        <w:rPr>
          <w:rStyle w:val="FootnoteReference"/>
          <w:rFonts w:ascii="Times New Roman" w:hAnsi="Times New Roman" w:cs="Times New Roman"/>
        </w:rPr>
        <w:footnoteRef/>
      </w:r>
      <w:r w:rsidRPr="00766B63">
        <w:rPr>
          <w:rFonts w:ascii="Times New Roman" w:hAnsi="Times New Roman" w:cs="Times New Roman"/>
        </w:rPr>
        <w:t xml:space="preserve"> </w:t>
      </w:r>
      <w:bookmarkStart w:id="0" w:name="_Hlk36580286"/>
      <w:r w:rsidRPr="00766B63">
        <w:rPr>
          <w:rFonts w:ascii="Times New Roman" w:hAnsi="Times New Roman" w:cs="Times New Roman"/>
        </w:rPr>
        <w:t>H. G. Fischer, ‘The Mark of a Second Hand</w:t>
      </w:r>
      <w:r w:rsidR="00766B63" w:rsidRPr="00766B63">
        <w:rPr>
          <w:rFonts w:ascii="Times New Roman" w:hAnsi="Times New Roman" w:cs="Times New Roman"/>
        </w:rPr>
        <w:t xml:space="preserve"> on Egyptian Antiquities’, </w:t>
      </w:r>
      <w:r w:rsidR="00766B63" w:rsidRPr="00766B63">
        <w:rPr>
          <w:rFonts w:ascii="Times New Roman" w:hAnsi="Times New Roman" w:cs="Times New Roman"/>
          <w:i/>
          <w:iCs/>
        </w:rPr>
        <w:t>Metropolitan Museum Journal</w:t>
      </w:r>
      <w:r w:rsidR="00766B63" w:rsidRPr="00766B63">
        <w:rPr>
          <w:rFonts w:ascii="Times New Roman" w:hAnsi="Times New Roman" w:cs="Times New Roman"/>
        </w:rPr>
        <w:t xml:space="preserve">, Volume </w:t>
      </w:r>
      <w:r w:rsidR="00766B63" w:rsidRPr="0043779E">
        <w:rPr>
          <w:rFonts w:ascii="Times New Roman" w:hAnsi="Times New Roman" w:cs="Times New Roman"/>
        </w:rPr>
        <w:t>9 (1974)</w:t>
      </w:r>
      <w:bookmarkEnd w:id="0"/>
      <w:r w:rsidR="00766B63" w:rsidRPr="0043779E">
        <w:rPr>
          <w:rFonts w:ascii="Times New Roman" w:hAnsi="Times New Roman" w:cs="Times New Roman"/>
        </w:rPr>
        <w:t>, Pp. 14-18 (P. 14).</w:t>
      </w:r>
    </w:p>
  </w:footnote>
  <w:footnote w:id="2">
    <w:p w14:paraId="3483D5F4" w14:textId="77777777" w:rsidR="00727C15" w:rsidRDefault="007E565B">
      <w:pPr>
        <w:pStyle w:val="FootnoteText"/>
        <w:rPr>
          <w:rFonts w:ascii="Times New Roman" w:hAnsi="Times New Roman" w:cs="Times New Roman"/>
        </w:rPr>
      </w:pPr>
      <w:r w:rsidRPr="0043779E">
        <w:rPr>
          <w:rStyle w:val="FootnoteReference"/>
          <w:rFonts w:ascii="Times New Roman" w:hAnsi="Times New Roman" w:cs="Times New Roman"/>
        </w:rPr>
        <w:footnoteRef/>
      </w:r>
      <w:r w:rsidRPr="0043779E">
        <w:rPr>
          <w:rFonts w:ascii="Times New Roman" w:hAnsi="Times New Roman" w:cs="Times New Roman"/>
        </w:rPr>
        <w:t xml:space="preserve"> </w:t>
      </w:r>
      <w:r w:rsidR="00766B63" w:rsidRPr="0043779E">
        <w:rPr>
          <w:rFonts w:ascii="Times New Roman" w:hAnsi="Times New Roman" w:cs="Times New Roman"/>
        </w:rPr>
        <w:t xml:space="preserve">Fischer, ‘The Mark of a Second Hand on Egyptian Antiquities’, P. 14. </w:t>
      </w:r>
    </w:p>
    <w:p w14:paraId="5374CB78" w14:textId="58118E10" w:rsidR="007E565B" w:rsidRPr="00CE2AC0" w:rsidRDefault="00766B63">
      <w:pPr>
        <w:pStyle w:val="FootnoteText"/>
        <w:rPr>
          <w:rFonts w:ascii="Times New Roman" w:hAnsi="Times New Roman" w:cs="Times New Roman"/>
        </w:rPr>
      </w:pPr>
      <w:r w:rsidRPr="0043779E">
        <w:rPr>
          <w:rFonts w:ascii="Times New Roman" w:hAnsi="Times New Roman" w:cs="Times New Roman"/>
        </w:rPr>
        <w:t xml:space="preserve">&amp; </w:t>
      </w:r>
      <w:bookmarkStart w:id="1" w:name="_Hlk36580343"/>
      <w:r w:rsidR="007E565B" w:rsidRPr="0043779E">
        <w:rPr>
          <w:rFonts w:ascii="Times New Roman" w:hAnsi="Times New Roman" w:cs="Times New Roman"/>
        </w:rPr>
        <w:t xml:space="preserve">S. K. Haldar, and J. Tišljar, </w:t>
      </w:r>
      <w:r w:rsidR="007E565B" w:rsidRPr="00CE2AC0">
        <w:rPr>
          <w:rFonts w:ascii="Times New Roman" w:hAnsi="Times New Roman" w:cs="Times New Roman"/>
          <w:i/>
          <w:iCs/>
        </w:rPr>
        <w:t>Introduction to Mineralogy and Petrology</w:t>
      </w:r>
      <w:r w:rsidR="007E565B" w:rsidRPr="00CE2AC0">
        <w:rPr>
          <w:rFonts w:ascii="Times New Roman" w:hAnsi="Times New Roman" w:cs="Times New Roman"/>
        </w:rPr>
        <w:t>, (Amsterdam, Elsevier, 2014</w:t>
      </w:r>
      <w:bookmarkEnd w:id="1"/>
      <w:r w:rsidR="007E565B" w:rsidRPr="00CE2AC0">
        <w:rPr>
          <w:rFonts w:ascii="Times New Roman" w:hAnsi="Times New Roman" w:cs="Times New Roman"/>
        </w:rPr>
        <w:t>), Pp. 121-212.</w:t>
      </w:r>
    </w:p>
  </w:footnote>
  <w:footnote w:id="3">
    <w:p w14:paraId="67121247" w14:textId="487B372E" w:rsidR="003D3FAB" w:rsidRPr="00CE2AC0" w:rsidRDefault="003D3FAB">
      <w:pPr>
        <w:pStyle w:val="FootnoteText"/>
        <w:rPr>
          <w:rFonts w:ascii="Times New Roman" w:hAnsi="Times New Roman" w:cs="Times New Roman"/>
        </w:rPr>
      </w:pPr>
      <w:bookmarkStart w:id="2" w:name="_Hlk36575955"/>
      <w:r w:rsidRPr="00CE2AC0">
        <w:rPr>
          <w:rStyle w:val="FootnoteReference"/>
          <w:rFonts w:ascii="Times New Roman" w:hAnsi="Times New Roman" w:cs="Times New Roman"/>
        </w:rPr>
        <w:footnoteRef/>
      </w:r>
      <w:r w:rsidRPr="00CE2AC0">
        <w:rPr>
          <w:rFonts w:ascii="Times New Roman" w:hAnsi="Times New Roman" w:cs="Times New Roman"/>
        </w:rPr>
        <w:t xml:space="preserve"> Fischer, ‘The Mark of a Second Hand on Egyptian Antiquities’, P. 15</w:t>
      </w:r>
      <w:bookmarkEnd w:id="2"/>
      <w:r w:rsidRPr="00CE2AC0">
        <w:rPr>
          <w:rFonts w:ascii="Times New Roman" w:hAnsi="Times New Roman" w:cs="Times New Roman"/>
        </w:rPr>
        <w:t>.</w:t>
      </w:r>
    </w:p>
  </w:footnote>
  <w:footnote w:id="4">
    <w:p w14:paraId="698CA914" w14:textId="097ABDEB" w:rsidR="0043779E" w:rsidRPr="00CE2AC0" w:rsidRDefault="0043779E">
      <w:pPr>
        <w:pStyle w:val="FootnoteText"/>
        <w:rPr>
          <w:rFonts w:ascii="Times New Roman" w:hAnsi="Times New Roman" w:cs="Times New Roman"/>
        </w:rPr>
      </w:pPr>
      <w:r w:rsidRPr="00CE2AC0">
        <w:rPr>
          <w:rStyle w:val="FootnoteReference"/>
          <w:rFonts w:ascii="Times New Roman" w:hAnsi="Times New Roman" w:cs="Times New Roman"/>
        </w:rPr>
        <w:footnoteRef/>
      </w:r>
      <w:r w:rsidRPr="00CE2AC0">
        <w:rPr>
          <w:rFonts w:ascii="Times New Roman" w:hAnsi="Times New Roman" w:cs="Times New Roman"/>
        </w:rPr>
        <w:t xml:space="preserve"> Ibid, P. 16.</w:t>
      </w:r>
    </w:p>
  </w:footnote>
  <w:footnote w:id="5">
    <w:p w14:paraId="36B5FE01" w14:textId="12147049" w:rsidR="00721BF2" w:rsidRPr="00CE2AC0" w:rsidRDefault="00721BF2">
      <w:pPr>
        <w:pStyle w:val="FootnoteText"/>
        <w:rPr>
          <w:rFonts w:ascii="Times New Roman" w:hAnsi="Times New Roman" w:cs="Times New Roman"/>
        </w:rPr>
      </w:pPr>
      <w:r w:rsidRPr="00CE2AC0">
        <w:rPr>
          <w:rStyle w:val="FootnoteReference"/>
          <w:rFonts w:ascii="Times New Roman" w:hAnsi="Times New Roman" w:cs="Times New Roman"/>
        </w:rPr>
        <w:footnoteRef/>
      </w:r>
      <w:r w:rsidRPr="00CE2AC0">
        <w:rPr>
          <w:rFonts w:ascii="Times New Roman" w:hAnsi="Times New Roman" w:cs="Times New Roman"/>
        </w:rPr>
        <w:t xml:space="preserve"> Ibid, P.16</w:t>
      </w:r>
    </w:p>
  </w:footnote>
  <w:footnote w:id="6">
    <w:p w14:paraId="55CF4A83" w14:textId="77AA8C68" w:rsidR="00727C15" w:rsidRDefault="007609CF" w:rsidP="007609CF">
      <w:pPr>
        <w:pStyle w:val="FootnoteText"/>
        <w:rPr>
          <w:rFonts w:ascii="Times New Roman" w:hAnsi="Times New Roman" w:cs="Times New Roman"/>
        </w:rPr>
      </w:pPr>
      <w:r w:rsidRPr="00CE2AC0">
        <w:rPr>
          <w:rStyle w:val="FootnoteReference"/>
          <w:rFonts w:ascii="Times New Roman" w:hAnsi="Times New Roman" w:cs="Times New Roman"/>
        </w:rPr>
        <w:footnoteRef/>
      </w:r>
      <w:r w:rsidRPr="00CE2AC0">
        <w:rPr>
          <w:rFonts w:ascii="Times New Roman" w:hAnsi="Times New Roman" w:cs="Times New Roman"/>
        </w:rPr>
        <w:t xml:space="preserve"> The Editors of the Encyclopaedia Britannica, ‘Sesostris I: KING OF EGYPT’, </w:t>
      </w:r>
      <w:r w:rsidRPr="00CE2AC0">
        <w:rPr>
          <w:rFonts w:ascii="Times New Roman" w:hAnsi="Times New Roman" w:cs="Times New Roman"/>
          <w:i/>
          <w:iCs/>
        </w:rPr>
        <w:t>Encyclopaedia Britannica</w:t>
      </w:r>
      <w:r w:rsidR="00A15DA0">
        <w:rPr>
          <w:rFonts w:ascii="Times New Roman" w:hAnsi="Times New Roman" w:cs="Times New Roman"/>
        </w:rPr>
        <w:t xml:space="preserve"> (</w:t>
      </w:r>
      <w:r w:rsidR="00CE2AC0" w:rsidRPr="00CE2AC0">
        <w:rPr>
          <w:rFonts w:ascii="Times New Roman" w:hAnsi="Times New Roman" w:cs="Times New Roman"/>
        </w:rPr>
        <w:t>2014). https://www.britannica.com/biography/Sesostris-I [Accessed: 28/03/2020]</w:t>
      </w:r>
      <w:r w:rsidR="00727C15">
        <w:rPr>
          <w:rFonts w:ascii="Times New Roman" w:hAnsi="Times New Roman" w:cs="Times New Roman"/>
        </w:rPr>
        <w:t xml:space="preserve">. </w:t>
      </w:r>
    </w:p>
    <w:p w14:paraId="49C63F8F" w14:textId="558120AC" w:rsidR="00727C15" w:rsidRPr="00A15DA0" w:rsidRDefault="00727C15" w:rsidP="007609CF">
      <w:pPr>
        <w:pStyle w:val="FootnoteText"/>
        <w:rPr>
          <w:rFonts w:ascii="Times New Roman" w:hAnsi="Times New Roman" w:cs="Times New Roman"/>
        </w:rPr>
      </w:pPr>
      <w:r w:rsidRPr="00A15DA0">
        <w:rPr>
          <w:rFonts w:ascii="Times New Roman" w:hAnsi="Times New Roman" w:cs="Times New Roman"/>
        </w:rPr>
        <w:t>&amp;</w:t>
      </w:r>
      <w:bookmarkStart w:id="3" w:name="_Hlk36580413"/>
      <w:r w:rsidR="00CE2AC0" w:rsidRPr="00A15DA0">
        <w:rPr>
          <w:rFonts w:ascii="Times New Roman" w:hAnsi="Times New Roman" w:cs="Times New Roman"/>
        </w:rPr>
        <w:t xml:space="preserve"> </w:t>
      </w:r>
      <w:r w:rsidRPr="00A15DA0">
        <w:rPr>
          <w:rFonts w:ascii="Times New Roman" w:hAnsi="Times New Roman" w:cs="Times New Roman"/>
        </w:rPr>
        <w:t xml:space="preserve">D. J. Brewer, and E. Teeter, </w:t>
      </w:r>
      <w:r w:rsidRPr="00A15DA0">
        <w:rPr>
          <w:rFonts w:ascii="Times New Roman" w:hAnsi="Times New Roman" w:cs="Times New Roman"/>
          <w:i/>
          <w:iCs/>
        </w:rPr>
        <w:t>Egypt and the Egyptians</w:t>
      </w:r>
      <w:r w:rsidRPr="00A15DA0">
        <w:rPr>
          <w:rFonts w:ascii="Times New Roman" w:hAnsi="Times New Roman" w:cs="Times New Roman"/>
        </w:rPr>
        <w:t>, Second Edition, (Cambridge, Cambridge University Press, 2007)</w:t>
      </w:r>
      <w:bookmarkEnd w:id="3"/>
      <w:r w:rsidRPr="00A15DA0">
        <w:rPr>
          <w:rFonts w:ascii="Times New Roman" w:hAnsi="Times New Roman" w:cs="Times New Roman"/>
        </w:rPr>
        <w:t>, P. XIV.</w:t>
      </w:r>
    </w:p>
    <w:p w14:paraId="579357A9" w14:textId="0C6A703D" w:rsidR="007609CF" w:rsidRPr="0054726C" w:rsidRDefault="00727C15" w:rsidP="007609CF">
      <w:pPr>
        <w:pStyle w:val="FootnoteText"/>
        <w:rPr>
          <w:rFonts w:ascii="Times New Roman" w:hAnsi="Times New Roman" w:cs="Times New Roman"/>
        </w:rPr>
      </w:pPr>
      <w:r w:rsidRPr="0054726C">
        <w:rPr>
          <w:rFonts w:ascii="Times New Roman" w:hAnsi="Times New Roman" w:cs="Times New Roman"/>
        </w:rPr>
        <w:t xml:space="preserve">&amp; </w:t>
      </w:r>
      <w:bookmarkStart w:id="4" w:name="_Hlk36580435"/>
      <w:r w:rsidRPr="0054726C">
        <w:rPr>
          <w:rFonts w:ascii="Times New Roman" w:hAnsi="Times New Roman" w:cs="Times New Roman"/>
        </w:rPr>
        <w:t xml:space="preserve">T. Wilkinson, ‘Ancient Egyptian Chronology and King List’, in </w:t>
      </w:r>
      <w:r w:rsidRPr="0054726C">
        <w:rPr>
          <w:rFonts w:ascii="Times New Roman" w:hAnsi="Times New Roman" w:cs="Times New Roman"/>
          <w:i/>
          <w:iCs/>
        </w:rPr>
        <w:t>The Egyptian World</w:t>
      </w:r>
      <w:r w:rsidRPr="0054726C">
        <w:rPr>
          <w:rFonts w:ascii="Times New Roman" w:hAnsi="Times New Roman" w:cs="Times New Roman"/>
        </w:rPr>
        <w:t>, ed. by T. Wilkinson, (Abingdon, Routledge, 2010</w:t>
      </w:r>
      <w:bookmarkEnd w:id="4"/>
      <w:r w:rsidRPr="0054726C">
        <w:rPr>
          <w:rFonts w:ascii="Times New Roman" w:hAnsi="Times New Roman" w:cs="Times New Roman"/>
        </w:rPr>
        <w:t>), P. XVII.</w:t>
      </w:r>
    </w:p>
  </w:footnote>
  <w:footnote w:id="7">
    <w:p w14:paraId="369C8C9C" w14:textId="38CCAEC7" w:rsidR="00A15DA0" w:rsidRPr="0054726C" w:rsidRDefault="00A15DA0">
      <w:pPr>
        <w:pStyle w:val="FootnoteText"/>
        <w:rPr>
          <w:rFonts w:ascii="Times New Roman" w:hAnsi="Times New Roman" w:cs="Times New Roman"/>
        </w:rPr>
      </w:pPr>
      <w:r w:rsidRPr="0054726C">
        <w:rPr>
          <w:rStyle w:val="FootnoteReference"/>
          <w:rFonts w:ascii="Times New Roman" w:hAnsi="Times New Roman" w:cs="Times New Roman"/>
        </w:rPr>
        <w:footnoteRef/>
      </w:r>
      <w:r w:rsidRPr="0054726C">
        <w:rPr>
          <w:rFonts w:ascii="Times New Roman" w:hAnsi="Times New Roman" w:cs="Times New Roman"/>
        </w:rPr>
        <w:t xml:space="preserve"> J.J. Mark, ‘First Intermediate Period of Egypt’, </w:t>
      </w:r>
      <w:r w:rsidRPr="0054726C">
        <w:rPr>
          <w:rFonts w:ascii="Times New Roman" w:hAnsi="Times New Roman" w:cs="Times New Roman"/>
          <w:i/>
          <w:iCs/>
        </w:rPr>
        <w:t>Ancient History Encyclopedia</w:t>
      </w:r>
      <w:r w:rsidRPr="0054726C">
        <w:rPr>
          <w:rFonts w:ascii="Times New Roman" w:hAnsi="Times New Roman" w:cs="Times New Roman"/>
        </w:rPr>
        <w:t xml:space="preserve"> (2016), https://www.ancient.eu/First_Intermediate_Period_of_Egypt/ [Accessed: 28/03/2020].</w:t>
      </w:r>
    </w:p>
    <w:p w14:paraId="1F59E85A" w14:textId="760F4678" w:rsidR="00A15DA0" w:rsidRDefault="00A15DA0">
      <w:pPr>
        <w:pStyle w:val="FootnoteText"/>
        <w:rPr>
          <w:rFonts w:ascii="Times New Roman" w:hAnsi="Times New Roman" w:cs="Times New Roman"/>
        </w:rPr>
      </w:pPr>
      <w:r w:rsidRPr="0054726C">
        <w:rPr>
          <w:rFonts w:ascii="Times New Roman" w:hAnsi="Times New Roman" w:cs="Times New Roman"/>
        </w:rPr>
        <w:t xml:space="preserve">&amp; </w:t>
      </w:r>
      <w:bookmarkStart w:id="5" w:name="_Hlk36580480"/>
      <w:r w:rsidRPr="0054726C">
        <w:rPr>
          <w:rFonts w:ascii="Times New Roman" w:hAnsi="Times New Roman" w:cs="Times New Roman"/>
        </w:rPr>
        <w:t xml:space="preserve">The Metropolitan Museum of Art, </w:t>
      </w:r>
      <w:r w:rsidRPr="0054726C">
        <w:rPr>
          <w:rFonts w:ascii="Times New Roman" w:hAnsi="Times New Roman" w:cs="Times New Roman"/>
          <w:i/>
          <w:iCs/>
        </w:rPr>
        <w:t>Egyptian Art in the Age of the Pyramids</w:t>
      </w:r>
      <w:r w:rsidRPr="0054726C">
        <w:rPr>
          <w:rFonts w:ascii="Times New Roman" w:hAnsi="Times New Roman" w:cs="Times New Roman"/>
        </w:rPr>
        <w:t xml:space="preserve">, (New York, Metropolitan </w:t>
      </w:r>
      <w:r w:rsidRPr="00951C2A">
        <w:rPr>
          <w:rFonts w:ascii="Times New Roman" w:hAnsi="Times New Roman" w:cs="Times New Roman"/>
        </w:rPr>
        <w:t>Museum of Art, 1999)</w:t>
      </w:r>
      <w:bookmarkEnd w:id="5"/>
      <w:r w:rsidRPr="00951C2A">
        <w:rPr>
          <w:rFonts w:ascii="Times New Roman" w:hAnsi="Times New Roman" w:cs="Times New Roman"/>
        </w:rPr>
        <w:t>, Pp. 180-18</w:t>
      </w:r>
      <w:r w:rsidR="0043451C" w:rsidRPr="00951C2A">
        <w:rPr>
          <w:rFonts w:ascii="Times New Roman" w:hAnsi="Times New Roman" w:cs="Times New Roman"/>
        </w:rPr>
        <w:t>5</w:t>
      </w:r>
    </w:p>
    <w:p w14:paraId="430F6141" w14:textId="3F1482DD" w:rsidR="000D497B" w:rsidRPr="00864A67" w:rsidRDefault="000D497B">
      <w:pPr>
        <w:pStyle w:val="FootnoteText"/>
        <w:rPr>
          <w:rFonts w:ascii="Times New Roman" w:hAnsi="Times New Roman" w:cs="Times New Roman"/>
        </w:rPr>
      </w:pPr>
      <w:bookmarkStart w:id="6" w:name="_Hlk36580518"/>
      <w:r>
        <w:rPr>
          <w:rFonts w:ascii="Times New Roman" w:hAnsi="Times New Roman" w:cs="Times New Roman"/>
        </w:rPr>
        <w:t>&amp; A. Oppenheim, ‘Egypt in the Middle Kingdom (c.a</w:t>
      </w:r>
      <w:r w:rsidR="00864A67">
        <w:rPr>
          <w:rFonts w:ascii="Times New Roman" w:hAnsi="Times New Roman" w:cs="Times New Roman"/>
        </w:rPr>
        <w:t>. 2030-1650 B. C.)’</w:t>
      </w:r>
      <w:r w:rsidR="00864A67">
        <w:rPr>
          <w:rFonts w:ascii="Times New Roman" w:hAnsi="Times New Roman" w:cs="Times New Roman"/>
          <w:i/>
          <w:iCs/>
        </w:rPr>
        <w:t xml:space="preserve">, </w:t>
      </w:r>
      <w:r w:rsidR="00864A67">
        <w:rPr>
          <w:rFonts w:ascii="Times New Roman" w:hAnsi="Times New Roman" w:cs="Times New Roman"/>
        </w:rPr>
        <w:t xml:space="preserve">in </w:t>
      </w:r>
      <w:r w:rsidR="00864A67" w:rsidRPr="00864A67">
        <w:rPr>
          <w:rFonts w:ascii="Times New Roman" w:hAnsi="Times New Roman" w:cs="Times New Roman"/>
          <w:i/>
          <w:iCs/>
        </w:rPr>
        <w:t>Heilbrunn Timeline of Art History</w:t>
      </w:r>
      <w:r w:rsidR="00864A67">
        <w:rPr>
          <w:rFonts w:ascii="Times New Roman" w:hAnsi="Times New Roman" w:cs="Times New Roman"/>
        </w:rPr>
        <w:t xml:space="preserve">, ed. by The Metropolitan Museum of Art, (New York, The Metropolitan Museum of Art, 2000), </w:t>
      </w:r>
      <w:r w:rsidR="00864A67" w:rsidRPr="00864A67">
        <w:rPr>
          <w:rFonts w:ascii="Times New Roman" w:hAnsi="Times New Roman" w:cs="Times New Roman"/>
        </w:rPr>
        <w:t>https://www.metmuseum.org/toah/hd/mking/hd_mking.htm</w:t>
      </w:r>
      <w:r w:rsidR="00864A67">
        <w:rPr>
          <w:rFonts w:ascii="Times New Roman" w:hAnsi="Times New Roman" w:cs="Times New Roman"/>
        </w:rPr>
        <w:t xml:space="preserve"> [Accessed 28/03/2020].</w:t>
      </w:r>
      <w:bookmarkEnd w:id="6"/>
    </w:p>
  </w:footnote>
  <w:footnote w:id="8">
    <w:p w14:paraId="03CD9AEA" w14:textId="5B5AA23D" w:rsidR="0043451C" w:rsidRPr="00951C2A" w:rsidRDefault="0043451C">
      <w:pPr>
        <w:pStyle w:val="FootnoteText"/>
        <w:rPr>
          <w:rFonts w:ascii="Times New Roman" w:hAnsi="Times New Roman" w:cs="Times New Roman"/>
        </w:rPr>
      </w:pPr>
      <w:r w:rsidRPr="00951C2A">
        <w:rPr>
          <w:rStyle w:val="FootnoteReference"/>
          <w:rFonts w:ascii="Times New Roman" w:hAnsi="Times New Roman" w:cs="Times New Roman"/>
        </w:rPr>
        <w:footnoteRef/>
      </w:r>
      <w:r w:rsidRPr="00951C2A">
        <w:rPr>
          <w:rFonts w:ascii="Times New Roman" w:hAnsi="Times New Roman" w:cs="Times New Roman"/>
        </w:rPr>
        <w:t xml:space="preserve"> The Metropolitan Museum of Art, </w:t>
      </w:r>
      <w:r w:rsidRPr="00951C2A">
        <w:rPr>
          <w:rFonts w:ascii="Times New Roman" w:hAnsi="Times New Roman" w:cs="Times New Roman"/>
          <w:i/>
          <w:iCs/>
        </w:rPr>
        <w:t>Egyptian Art</w:t>
      </w:r>
      <w:r w:rsidRPr="00951C2A">
        <w:rPr>
          <w:rFonts w:ascii="Times New Roman" w:hAnsi="Times New Roman" w:cs="Times New Roman"/>
        </w:rPr>
        <w:t>, P. 182, P.183, and P. 184.</w:t>
      </w:r>
    </w:p>
  </w:footnote>
  <w:footnote w:id="9">
    <w:p w14:paraId="1C9D9E5B" w14:textId="15D4AED0" w:rsidR="0054726C" w:rsidRPr="00951C2A" w:rsidRDefault="0054726C" w:rsidP="0054726C">
      <w:pPr>
        <w:pStyle w:val="FootnoteText"/>
        <w:rPr>
          <w:rFonts w:ascii="Times New Roman" w:hAnsi="Times New Roman" w:cs="Times New Roman"/>
        </w:rPr>
      </w:pPr>
      <w:bookmarkStart w:id="7" w:name="_Hlk36580563"/>
      <w:r w:rsidRPr="00951C2A">
        <w:rPr>
          <w:rStyle w:val="FootnoteReference"/>
          <w:rFonts w:ascii="Times New Roman" w:hAnsi="Times New Roman" w:cs="Times New Roman"/>
        </w:rPr>
        <w:footnoteRef/>
      </w:r>
      <w:r w:rsidRPr="00951C2A">
        <w:rPr>
          <w:rFonts w:ascii="Times New Roman" w:hAnsi="Times New Roman" w:cs="Times New Roman"/>
        </w:rPr>
        <w:t xml:space="preserve"> D. Arnold, ‘Amenemhat I and the Early Twelfth Dynasty at Thebes’, </w:t>
      </w:r>
      <w:r w:rsidRPr="00951C2A">
        <w:rPr>
          <w:rFonts w:ascii="Times New Roman" w:hAnsi="Times New Roman" w:cs="Times New Roman"/>
          <w:i/>
          <w:iCs/>
        </w:rPr>
        <w:t>Metropolitan Museum Journal,</w:t>
      </w:r>
    </w:p>
    <w:p w14:paraId="7A9F9330" w14:textId="5DD21B7D" w:rsidR="0054726C" w:rsidRPr="00951C2A" w:rsidRDefault="0054726C" w:rsidP="0054726C">
      <w:pPr>
        <w:pStyle w:val="FootnoteText"/>
        <w:rPr>
          <w:rFonts w:ascii="Times New Roman" w:hAnsi="Times New Roman" w:cs="Times New Roman"/>
          <w:i/>
          <w:iCs/>
        </w:rPr>
      </w:pPr>
      <w:r w:rsidRPr="00951C2A">
        <w:rPr>
          <w:rFonts w:ascii="Times New Roman" w:hAnsi="Times New Roman" w:cs="Times New Roman"/>
        </w:rPr>
        <w:t>Volume 26 (1991</w:t>
      </w:r>
      <w:bookmarkEnd w:id="7"/>
      <w:r w:rsidRPr="00951C2A">
        <w:rPr>
          <w:rFonts w:ascii="Times New Roman" w:hAnsi="Times New Roman" w:cs="Times New Roman"/>
        </w:rPr>
        <w:t>), Pp. 14-16 (P. 14).</w:t>
      </w:r>
    </w:p>
  </w:footnote>
  <w:footnote w:id="10">
    <w:p w14:paraId="161061AF" w14:textId="38A7895F" w:rsidR="00572F22" w:rsidRPr="00951C2A" w:rsidRDefault="00572F22">
      <w:pPr>
        <w:pStyle w:val="FootnoteText"/>
        <w:rPr>
          <w:rFonts w:ascii="Times New Roman" w:hAnsi="Times New Roman" w:cs="Times New Roman"/>
        </w:rPr>
      </w:pPr>
      <w:r w:rsidRPr="00951C2A">
        <w:rPr>
          <w:rStyle w:val="FootnoteReference"/>
          <w:rFonts w:ascii="Times New Roman" w:hAnsi="Times New Roman" w:cs="Times New Roman"/>
        </w:rPr>
        <w:footnoteRef/>
      </w:r>
      <w:r w:rsidRPr="00951C2A">
        <w:rPr>
          <w:rFonts w:ascii="Times New Roman" w:hAnsi="Times New Roman" w:cs="Times New Roman"/>
        </w:rPr>
        <w:t xml:space="preserve"> </w:t>
      </w:r>
      <w:r w:rsidRPr="00951C2A">
        <w:rPr>
          <w:rFonts w:ascii="Times New Roman" w:hAnsi="Times New Roman" w:cs="Times New Roman"/>
        </w:rPr>
        <w:t>Fischer, ‘The Mark of a Second Hand on Egyptian Antiquities’, P. 1</w:t>
      </w:r>
      <w:r w:rsidRPr="00951C2A">
        <w:rPr>
          <w:rFonts w:ascii="Times New Roman" w:hAnsi="Times New Roman" w:cs="Times New Roman"/>
        </w:rPr>
        <w:t>6.</w:t>
      </w:r>
    </w:p>
  </w:footnote>
  <w:footnote w:id="11">
    <w:p w14:paraId="729C01EE" w14:textId="58EEA878" w:rsidR="00951C2A" w:rsidRPr="00951C2A" w:rsidRDefault="00951C2A">
      <w:pPr>
        <w:pStyle w:val="FootnoteText"/>
        <w:rPr>
          <w:rFonts w:ascii="Times New Roman" w:hAnsi="Times New Roman" w:cs="Times New Roman"/>
        </w:rPr>
      </w:pPr>
      <w:r w:rsidRPr="00951C2A">
        <w:rPr>
          <w:rStyle w:val="FootnoteReference"/>
          <w:rFonts w:ascii="Times New Roman" w:hAnsi="Times New Roman" w:cs="Times New Roman"/>
        </w:rPr>
        <w:footnoteRef/>
      </w:r>
      <w:r w:rsidRPr="00951C2A">
        <w:rPr>
          <w:rFonts w:ascii="Times New Roman" w:hAnsi="Times New Roman" w:cs="Times New Roman"/>
        </w:rPr>
        <w:t xml:space="preserve"> C</w:t>
      </w:r>
      <w:bookmarkStart w:id="8" w:name="_Hlk36580609"/>
      <w:r w:rsidRPr="00951C2A">
        <w:rPr>
          <w:rFonts w:ascii="Times New Roman" w:hAnsi="Times New Roman" w:cs="Times New Roman"/>
        </w:rPr>
        <w:t xml:space="preserve">. Aldred, </w:t>
      </w:r>
      <w:r w:rsidRPr="00951C2A">
        <w:rPr>
          <w:rFonts w:ascii="Times New Roman" w:hAnsi="Times New Roman" w:cs="Times New Roman"/>
          <w:i/>
          <w:iCs/>
        </w:rPr>
        <w:t>Middle Kingdom Art in Ancient Egypt, 2300-1590 B.C.</w:t>
      </w:r>
      <w:r w:rsidRPr="00951C2A">
        <w:rPr>
          <w:rFonts w:ascii="Times New Roman" w:hAnsi="Times New Roman" w:cs="Times New Roman"/>
        </w:rPr>
        <w:t xml:space="preserve">, (Minnesota, A. Tiranti, 1950), </w:t>
      </w:r>
      <w:bookmarkEnd w:id="8"/>
      <w:r w:rsidRPr="00951C2A">
        <w:rPr>
          <w:rFonts w:ascii="Times New Roman" w:hAnsi="Times New Roman" w:cs="Times New Roman"/>
        </w:rPr>
        <w:t>P.35.</w:t>
      </w:r>
    </w:p>
  </w:footnote>
  <w:footnote w:id="12">
    <w:p w14:paraId="2360F0D5" w14:textId="646BB6F1" w:rsidR="00864A67" w:rsidRPr="006E5A87" w:rsidRDefault="00864A67">
      <w:pPr>
        <w:pStyle w:val="FootnoteText"/>
        <w:rPr>
          <w:rFonts w:ascii="Times New Roman" w:hAnsi="Times New Roman" w:cs="Times New Roman"/>
        </w:rPr>
      </w:pPr>
      <w:r w:rsidRPr="006E5A87">
        <w:rPr>
          <w:rStyle w:val="FootnoteReference"/>
          <w:rFonts w:ascii="Times New Roman" w:hAnsi="Times New Roman" w:cs="Times New Roman"/>
        </w:rPr>
        <w:footnoteRef/>
      </w:r>
      <w:r w:rsidRPr="006E5A87">
        <w:rPr>
          <w:rFonts w:ascii="Times New Roman" w:hAnsi="Times New Roman" w:cs="Times New Roman"/>
        </w:rPr>
        <w:t xml:space="preserve"> </w:t>
      </w:r>
      <w:r w:rsidRPr="006E5A87">
        <w:rPr>
          <w:rFonts w:ascii="Times New Roman" w:hAnsi="Times New Roman" w:cs="Times New Roman"/>
        </w:rPr>
        <w:t>Fischer, ‘The Mark of a Second Hand on Egyptian Antiquities’, P. 1</w:t>
      </w:r>
      <w:r w:rsidRPr="006E5A87">
        <w:rPr>
          <w:rFonts w:ascii="Times New Roman" w:hAnsi="Times New Roman" w:cs="Times New Roman"/>
        </w:rPr>
        <w:t>7</w:t>
      </w:r>
      <w:r w:rsidRPr="006E5A87">
        <w:rPr>
          <w:rFonts w:ascii="Times New Roman" w:hAnsi="Times New Roman" w:cs="Times New Roman"/>
        </w:rPr>
        <w:t>.</w:t>
      </w:r>
    </w:p>
  </w:footnote>
  <w:footnote w:id="13">
    <w:p w14:paraId="6BF13E40" w14:textId="446A234D" w:rsidR="006E5A87" w:rsidRPr="006E5A87" w:rsidRDefault="006E5A87">
      <w:pPr>
        <w:pStyle w:val="FootnoteText"/>
        <w:rPr>
          <w:i/>
          <w:iCs/>
        </w:rPr>
      </w:pPr>
      <w:r w:rsidRPr="006E5A87">
        <w:rPr>
          <w:rStyle w:val="FootnoteReference"/>
          <w:rFonts w:ascii="Times New Roman" w:hAnsi="Times New Roman" w:cs="Times New Roman"/>
        </w:rPr>
        <w:footnoteRef/>
      </w:r>
      <w:r w:rsidRPr="006E5A87">
        <w:rPr>
          <w:rFonts w:ascii="Times New Roman" w:hAnsi="Times New Roman" w:cs="Times New Roman"/>
        </w:rPr>
        <w:t xml:space="preserve"> </w:t>
      </w:r>
      <w:bookmarkStart w:id="9" w:name="_Hlk36580631"/>
      <w:r w:rsidRPr="006E5A87">
        <w:rPr>
          <w:rFonts w:ascii="Times New Roman" w:hAnsi="Times New Roman" w:cs="Times New Roman"/>
        </w:rPr>
        <w:t xml:space="preserve">J. Kahl, ‘Archaism’, </w:t>
      </w:r>
      <w:r w:rsidRPr="006E5A87">
        <w:rPr>
          <w:rFonts w:ascii="Times New Roman" w:hAnsi="Times New Roman" w:cs="Times New Roman"/>
        </w:rPr>
        <w:t>UCLA Encyclopedia of Egyptology,</w:t>
      </w:r>
      <w:r w:rsidRPr="006E5A87">
        <w:rPr>
          <w:rFonts w:ascii="Times New Roman" w:hAnsi="Times New Roman" w:cs="Times New Roman"/>
        </w:rPr>
        <w:t xml:space="preserve"> Volume 1 (2010), Pp. 3-5 (P.5), </w:t>
      </w:r>
      <w:r w:rsidRPr="006E5A87">
        <w:rPr>
          <w:rFonts w:ascii="Times New Roman" w:hAnsi="Times New Roman" w:cs="Times New Roman"/>
        </w:rPr>
        <w:t>https://escholarship.org/content/qt3tn7q1pf/qt3tn7q1pf.pdf</w:t>
      </w:r>
      <w:r w:rsidRPr="006E5A87">
        <w:rPr>
          <w:rFonts w:ascii="Times New Roman" w:hAnsi="Times New Roman" w:cs="Times New Roman"/>
        </w:rPr>
        <w:t xml:space="preserve"> [Accessed: 30/03/2020]</w:t>
      </w:r>
      <w:r>
        <w:rPr>
          <w:rFonts w:ascii="Times New Roman" w:hAnsi="Times New Roman" w:cs="Times New Roman"/>
        </w:rPr>
        <w:t>.</w:t>
      </w:r>
      <w:bookmarkEnd w:id="9"/>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97943" w14:textId="60E23FDF" w:rsidR="00EE00B4" w:rsidRPr="00EE00B4" w:rsidRDefault="00EE00B4" w:rsidP="00EE00B4">
    <w:pPr>
      <w:pStyle w:val="Header"/>
      <w:jc w:val="center"/>
      <w:rPr>
        <w:rFonts w:ascii="Times New Roman" w:hAnsi="Times New Roman" w:cs="Times New Roman"/>
        <w:sz w:val="20"/>
        <w:szCs w:val="20"/>
      </w:rPr>
    </w:pPr>
    <w:r>
      <w:rPr>
        <w:rFonts w:ascii="Times New Roman" w:hAnsi="Times New Roman" w:cs="Times New Roman"/>
        <w:sz w:val="20"/>
        <w:szCs w:val="20"/>
      </w:rPr>
      <w:t>Samuel Lawrence – Pharaohs, Phoenicians, and Peoples of the Sea – Object Analysis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AD0589"/>
    <w:multiLevelType w:val="hybridMultilevel"/>
    <w:tmpl w:val="A76EAA5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0B4"/>
    <w:rsid w:val="000D497B"/>
    <w:rsid w:val="003D3FAB"/>
    <w:rsid w:val="0043451C"/>
    <w:rsid w:val="0043779E"/>
    <w:rsid w:val="0054726C"/>
    <w:rsid w:val="00572F22"/>
    <w:rsid w:val="00591C82"/>
    <w:rsid w:val="006E5A87"/>
    <w:rsid w:val="00721BF2"/>
    <w:rsid w:val="00723C54"/>
    <w:rsid w:val="00727C15"/>
    <w:rsid w:val="00744E90"/>
    <w:rsid w:val="007609CF"/>
    <w:rsid w:val="00766B63"/>
    <w:rsid w:val="007900D2"/>
    <w:rsid w:val="007E565B"/>
    <w:rsid w:val="00807286"/>
    <w:rsid w:val="00864A67"/>
    <w:rsid w:val="00951C2A"/>
    <w:rsid w:val="00A15DA0"/>
    <w:rsid w:val="00B83E0A"/>
    <w:rsid w:val="00C0200D"/>
    <w:rsid w:val="00C833C0"/>
    <w:rsid w:val="00CE2AC0"/>
    <w:rsid w:val="00EA08B4"/>
    <w:rsid w:val="00EA1F7A"/>
    <w:rsid w:val="00EE00B4"/>
    <w:rsid w:val="00EE14AA"/>
    <w:rsid w:val="00F452B3"/>
    <w:rsid w:val="00FA36DC"/>
    <w:rsid w:val="00FD6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403C2"/>
  <w15:chartTrackingRefBased/>
  <w15:docId w15:val="{CA141B22-5D6B-4B0D-9D66-4C917841F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00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00B4"/>
  </w:style>
  <w:style w:type="paragraph" w:styleId="Footer">
    <w:name w:val="footer"/>
    <w:basedOn w:val="Normal"/>
    <w:link w:val="FooterChar"/>
    <w:uiPriority w:val="99"/>
    <w:unhideWhenUsed/>
    <w:rsid w:val="00EE00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00B4"/>
  </w:style>
  <w:style w:type="paragraph" w:styleId="FootnoteText">
    <w:name w:val="footnote text"/>
    <w:basedOn w:val="Normal"/>
    <w:link w:val="FootnoteTextChar"/>
    <w:uiPriority w:val="99"/>
    <w:semiHidden/>
    <w:unhideWhenUsed/>
    <w:rsid w:val="00EE00B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E00B4"/>
    <w:rPr>
      <w:sz w:val="20"/>
      <w:szCs w:val="20"/>
    </w:rPr>
  </w:style>
  <w:style w:type="character" w:styleId="FootnoteReference">
    <w:name w:val="footnote reference"/>
    <w:basedOn w:val="DefaultParagraphFont"/>
    <w:uiPriority w:val="99"/>
    <w:semiHidden/>
    <w:unhideWhenUsed/>
    <w:rsid w:val="00EE00B4"/>
    <w:rPr>
      <w:vertAlign w:val="superscript"/>
    </w:rPr>
  </w:style>
  <w:style w:type="character" w:styleId="Hyperlink">
    <w:name w:val="Hyperlink"/>
    <w:basedOn w:val="DefaultParagraphFont"/>
    <w:uiPriority w:val="99"/>
    <w:unhideWhenUsed/>
    <w:rsid w:val="00CE2AC0"/>
    <w:rPr>
      <w:color w:val="0563C1" w:themeColor="hyperlink"/>
      <w:u w:val="single"/>
    </w:rPr>
  </w:style>
  <w:style w:type="character" w:styleId="UnresolvedMention">
    <w:name w:val="Unresolved Mention"/>
    <w:basedOn w:val="DefaultParagraphFont"/>
    <w:uiPriority w:val="99"/>
    <w:semiHidden/>
    <w:unhideWhenUsed/>
    <w:rsid w:val="00CE2AC0"/>
    <w:rPr>
      <w:color w:val="605E5C"/>
      <w:shd w:val="clear" w:color="auto" w:fill="E1DFDD"/>
    </w:rPr>
  </w:style>
  <w:style w:type="paragraph" w:styleId="ListParagraph">
    <w:name w:val="List Paragraph"/>
    <w:basedOn w:val="Normal"/>
    <w:uiPriority w:val="34"/>
    <w:qFormat/>
    <w:rsid w:val="00744E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4432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6039A6-0144-4272-977A-16CABF3E1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2</Pages>
  <Words>852</Words>
  <Characters>4862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Lawrence</dc:creator>
  <cp:keywords/>
  <dc:description/>
  <cp:lastModifiedBy>Samuel Lawrence</cp:lastModifiedBy>
  <cp:revision>3</cp:revision>
  <dcterms:created xsi:type="dcterms:W3CDTF">2020-03-24T15:42:00Z</dcterms:created>
  <dcterms:modified xsi:type="dcterms:W3CDTF">2020-03-31T20:05:00Z</dcterms:modified>
</cp:coreProperties>
</file>