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546402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14891">
              <w:rPr>
                <w:rFonts w:ascii="Times New Roman" w:hAnsi="Times New Roman" w:cs="Times New Roman"/>
                <w:b/>
                <w:color w:val="auto"/>
                <w:sz w:val="48"/>
              </w:rPr>
              <w:t xml:space="preserve">Caitlin Baxter </w:t>
            </w:r>
          </w:p>
          <w:p w14:paraId="0B6CD0DB" w14:textId="36BA23ED"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A609555" w:rsidR="00986B43"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14891">
              <w:rPr>
                <w:rFonts w:ascii="Times New Roman" w:hAnsi="Times New Roman" w:cs="Times New Roman"/>
                <w:b/>
                <w:color w:val="auto"/>
                <w:sz w:val="48"/>
              </w:rPr>
              <w:t xml:space="preserve"> </w:t>
            </w:r>
            <w:hyperlink r:id="rId11" w:history="1">
              <w:r w:rsidR="00114891" w:rsidRPr="00A4446C">
                <w:rPr>
                  <w:rStyle w:val="Hyperlink"/>
                  <w:rFonts w:ascii="Times New Roman" w:hAnsi="Times New Roman" w:cs="Times New Roman"/>
                  <w:b/>
                  <w:sz w:val="48"/>
                </w:rPr>
                <w:t>1910081@uwtsd.student.ac.uk</w:t>
              </w:r>
            </w:hyperlink>
            <w:r w:rsidR="00114891">
              <w:rPr>
                <w:rFonts w:ascii="Times New Roman" w:hAnsi="Times New Roman" w:cs="Times New Roman"/>
                <w:b/>
                <w:color w:val="auto"/>
                <w:sz w:val="48"/>
              </w:rPr>
              <w:t xml:space="preserve"> </w:t>
            </w:r>
          </w:p>
          <w:p w14:paraId="443CCDEC" w14:textId="77777777" w:rsidR="00114891" w:rsidRDefault="00114891"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0E7F79B" w:rsidR="0085230E" w:rsidRDefault="0011489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1910081</w:t>
            </w:r>
          </w:p>
          <w:p w14:paraId="1DAE0F83" w14:textId="77777777" w:rsidR="00114891" w:rsidRPr="005D3F07" w:rsidRDefault="00114891"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3CA5A8C4" w14:textId="5EE972D2" w:rsidR="00114891" w:rsidRPr="00114891" w:rsidRDefault="00114891" w:rsidP="00114891">
            <w:pPr>
              <w:rPr>
                <w:sz w:val="22"/>
                <w:szCs w:val="22"/>
              </w:rPr>
            </w:pPr>
            <w:r w:rsidRPr="00114891">
              <w:rPr>
                <w:sz w:val="22"/>
                <w:szCs w:val="22"/>
              </w:rPr>
              <w:t>Children’s Social Services play a</w:t>
            </w:r>
            <w:r w:rsidR="00B64E19">
              <w:rPr>
                <w:sz w:val="22"/>
                <w:szCs w:val="22"/>
              </w:rPr>
              <w:t xml:space="preserve">n important </w:t>
            </w:r>
            <w:r w:rsidRPr="00114891">
              <w:rPr>
                <w:sz w:val="22"/>
                <w:szCs w:val="22"/>
              </w:rPr>
              <w:t xml:space="preserve">role in safeguarding children from </w:t>
            </w:r>
            <w:r w:rsidR="00B64E19">
              <w:rPr>
                <w:sz w:val="22"/>
                <w:szCs w:val="22"/>
              </w:rPr>
              <w:t xml:space="preserve">harm, </w:t>
            </w:r>
            <w:r w:rsidRPr="00114891">
              <w:rPr>
                <w:sz w:val="22"/>
                <w:szCs w:val="22"/>
              </w:rPr>
              <w:t xml:space="preserve">abuse, neglect, and exploitation while </w:t>
            </w:r>
            <w:r w:rsidR="00B64E19" w:rsidRPr="00114891">
              <w:rPr>
                <w:sz w:val="22"/>
                <w:szCs w:val="22"/>
              </w:rPr>
              <w:t>supporting</w:t>
            </w:r>
            <w:r w:rsidRPr="00114891">
              <w:rPr>
                <w:sz w:val="22"/>
                <w:szCs w:val="22"/>
              </w:rPr>
              <w:t xml:space="preserve"> their welfare and wellbeing. In Wales, safeguarding practice is </w:t>
            </w:r>
            <w:r w:rsidR="00B64E19">
              <w:rPr>
                <w:sz w:val="22"/>
                <w:szCs w:val="22"/>
              </w:rPr>
              <w:t>informed</w:t>
            </w:r>
            <w:r w:rsidRPr="00114891">
              <w:rPr>
                <w:sz w:val="22"/>
                <w:szCs w:val="22"/>
              </w:rPr>
              <w:t xml:space="preserve"> by the Social Services and Well-being (Wales) Act 2014 (SSWBA), the Children Act 1989, the </w:t>
            </w:r>
            <w:proofErr w:type="gramStart"/>
            <w:r w:rsidR="00B64E19">
              <w:rPr>
                <w:sz w:val="22"/>
                <w:szCs w:val="22"/>
              </w:rPr>
              <w:t xml:space="preserve">All </w:t>
            </w:r>
            <w:r w:rsidRPr="00114891">
              <w:rPr>
                <w:sz w:val="22"/>
                <w:szCs w:val="22"/>
              </w:rPr>
              <w:t>Wales</w:t>
            </w:r>
            <w:proofErr w:type="gramEnd"/>
            <w:r w:rsidRPr="00114891">
              <w:rPr>
                <w:sz w:val="22"/>
                <w:szCs w:val="22"/>
              </w:rPr>
              <w:t xml:space="preserve"> Safeguarding Procedures</w:t>
            </w:r>
            <w:r w:rsidR="00B64E19">
              <w:rPr>
                <w:sz w:val="22"/>
                <w:szCs w:val="22"/>
              </w:rPr>
              <w:t xml:space="preserve"> 2019</w:t>
            </w:r>
            <w:r w:rsidRPr="00114891">
              <w:rPr>
                <w:sz w:val="22"/>
                <w:szCs w:val="22"/>
              </w:rPr>
              <w:t>, and the principles of the United Nations Convention on the Rights of the Child (UNCRC) (United Nations, 1989; Social Services and Well-being (Wales) Act 2014).</w:t>
            </w:r>
          </w:p>
          <w:p w14:paraId="3A482937" w14:textId="143D7CD3" w:rsidR="00114891" w:rsidRPr="00114891" w:rsidRDefault="00114891" w:rsidP="00114891">
            <w:pPr>
              <w:rPr>
                <w:sz w:val="22"/>
                <w:szCs w:val="22"/>
              </w:rPr>
            </w:pPr>
            <w:r w:rsidRPr="00114891">
              <w:rPr>
                <w:sz w:val="22"/>
                <w:szCs w:val="22"/>
              </w:rPr>
              <w:t>Safeguarding is everyone’s responsibility, meaning that members of the public and professionals across health, education, social care, police, and voluntary agencies have a duty to</w:t>
            </w:r>
            <w:r w:rsidR="00B64E19">
              <w:rPr>
                <w:sz w:val="22"/>
                <w:szCs w:val="22"/>
              </w:rPr>
              <w:t xml:space="preserve"> report concerns that they identify. With relevant partners</w:t>
            </w:r>
            <w:r w:rsidRPr="00114891">
              <w:rPr>
                <w:sz w:val="22"/>
                <w:szCs w:val="22"/>
              </w:rPr>
              <w:t xml:space="preserve"> shar</w:t>
            </w:r>
            <w:r w:rsidR="00B64E19">
              <w:rPr>
                <w:sz w:val="22"/>
                <w:szCs w:val="22"/>
              </w:rPr>
              <w:t>ing</w:t>
            </w:r>
            <w:r w:rsidRPr="00114891">
              <w:rPr>
                <w:sz w:val="22"/>
                <w:szCs w:val="22"/>
              </w:rPr>
              <w:t xml:space="preserve"> information appropriately. </w:t>
            </w:r>
            <w:r w:rsidR="00B64E19">
              <w:rPr>
                <w:sz w:val="22"/>
                <w:szCs w:val="22"/>
              </w:rPr>
              <w:t>Within the</w:t>
            </w:r>
            <w:r w:rsidRPr="00114891">
              <w:rPr>
                <w:sz w:val="22"/>
                <w:szCs w:val="22"/>
              </w:rPr>
              <w:t xml:space="preserve"> SSWBA, relevant partners must report children who are at risk of abuse, neglect, or harm (Social Services and Well-being (Wales) Act 2014). </w:t>
            </w:r>
            <w:r w:rsidR="00B64E19">
              <w:rPr>
                <w:sz w:val="22"/>
                <w:szCs w:val="22"/>
              </w:rPr>
              <w:t xml:space="preserve">With </w:t>
            </w:r>
            <w:r w:rsidRPr="00114891">
              <w:rPr>
                <w:sz w:val="22"/>
                <w:szCs w:val="22"/>
              </w:rPr>
              <w:t>Children’s Social Services hav</w:t>
            </w:r>
            <w:r w:rsidR="00B64E19">
              <w:rPr>
                <w:sz w:val="22"/>
                <w:szCs w:val="22"/>
              </w:rPr>
              <w:t>ing</w:t>
            </w:r>
            <w:r w:rsidRPr="00114891">
              <w:rPr>
                <w:sz w:val="22"/>
                <w:szCs w:val="22"/>
              </w:rPr>
              <w:t xml:space="preserve"> the lead responsibility for coordinating safeguarding responses and undertaking statutory </w:t>
            </w:r>
            <w:r w:rsidR="00B64E19">
              <w:rPr>
                <w:sz w:val="22"/>
                <w:szCs w:val="22"/>
              </w:rPr>
              <w:t>investigations</w:t>
            </w:r>
            <w:r w:rsidRPr="00114891">
              <w:rPr>
                <w:sz w:val="22"/>
                <w:szCs w:val="22"/>
              </w:rPr>
              <w:t xml:space="preserve"> when concerns reach the threshold for child protection.</w:t>
            </w:r>
          </w:p>
          <w:p w14:paraId="7D61FDCA" w14:textId="1A72E4F7" w:rsidR="00114891" w:rsidRPr="00114891" w:rsidRDefault="00114891" w:rsidP="00114891">
            <w:pPr>
              <w:rPr>
                <w:sz w:val="22"/>
                <w:szCs w:val="22"/>
              </w:rPr>
            </w:pPr>
            <w:r w:rsidRPr="00114891">
              <w:rPr>
                <w:sz w:val="22"/>
                <w:szCs w:val="22"/>
              </w:rPr>
              <w:t xml:space="preserve">Social workers have a professional duty of care to act in the best interests of children and take reasonable action to prevent harm. </w:t>
            </w:r>
            <w:r w:rsidR="00B64E19">
              <w:rPr>
                <w:sz w:val="22"/>
                <w:szCs w:val="22"/>
              </w:rPr>
              <w:t>The</w:t>
            </w:r>
            <w:r w:rsidRPr="00114891">
              <w:rPr>
                <w:sz w:val="22"/>
                <w:szCs w:val="22"/>
              </w:rPr>
              <w:t xml:space="preserve"> Children</w:t>
            </w:r>
            <w:r w:rsidR="00B64E19">
              <w:rPr>
                <w:sz w:val="22"/>
                <w:szCs w:val="22"/>
              </w:rPr>
              <w:t>’s</w:t>
            </w:r>
            <w:r w:rsidRPr="00114891">
              <w:rPr>
                <w:sz w:val="22"/>
                <w:szCs w:val="22"/>
              </w:rPr>
              <w:t xml:space="preserve"> Act 1989 </w:t>
            </w:r>
            <w:r w:rsidR="00B64E19">
              <w:rPr>
                <w:sz w:val="22"/>
                <w:szCs w:val="22"/>
              </w:rPr>
              <w:t xml:space="preserve">state </w:t>
            </w:r>
            <w:r w:rsidRPr="00114891">
              <w:rPr>
                <w:sz w:val="22"/>
                <w:szCs w:val="22"/>
              </w:rPr>
              <w:t>that the child’s welfare is paramount</w:t>
            </w:r>
            <w:r w:rsidR="00B64E19">
              <w:rPr>
                <w:sz w:val="22"/>
                <w:szCs w:val="22"/>
              </w:rPr>
              <w:t>, and social service investigations support this</w:t>
            </w:r>
            <w:r w:rsidRPr="00114891">
              <w:rPr>
                <w:sz w:val="22"/>
                <w:szCs w:val="22"/>
              </w:rPr>
              <w:t>. Safeguarding practice must also uphold children’s rights under the UNCRC, including the right to protection from harm (Article 19), the right to have their views heard (Article 12), and the requirement that their best interests are a primary consideration in decision-making (Article 3) (United Nations, 1989; Welsh Government, 2011).</w:t>
            </w:r>
          </w:p>
          <w:p w14:paraId="33523448" w14:textId="17EA9132" w:rsidR="00114891" w:rsidRPr="00114891" w:rsidRDefault="00B64E19" w:rsidP="00114891">
            <w:pPr>
              <w:rPr>
                <w:sz w:val="22"/>
                <w:szCs w:val="22"/>
              </w:rPr>
            </w:pPr>
            <w:r>
              <w:rPr>
                <w:sz w:val="22"/>
                <w:szCs w:val="22"/>
              </w:rPr>
              <w:t>Whilst m</w:t>
            </w:r>
            <w:r w:rsidR="00114891" w:rsidRPr="00114891">
              <w:rPr>
                <w:sz w:val="22"/>
                <w:szCs w:val="22"/>
              </w:rPr>
              <w:t>any families benefit from early intervention and support services, the threshold for statutory child protection involvement is the presence of an ongoing risk of significant harm. Under Section 47 of the Children Act 1989, local authorities must make enquiries where there is reasonable cause to suspect that a child is suffering, or is likely to suffer, significant harm (Children Act 1989). Significant harm may result from physical, emotional, or sexual abuse, neglect, domestic abuse, parental substance misuse, parental mental health, or other factors affecting a child’s safety and wellbeing.</w:t>
            </w:r>
          </w:p>
          <w:p w14:paraId="73AC7868" w14:textId="58C216AC" w:rsidR="00114891" w:rsidRPr="00114891" w:rsidRDefault="00114891" w:rsidP="00114891">
            <w:pPr>
              <w:rPr>
                <w:sz w:val="22"/>
                <w:szCs w:val="22"/>
              </w:rPr>
            </w:pPr>
            <w:r w:rsidRPr="00114891">
              <w:rPr>
                <w:sz w:val="22"/>
                <w:szCs w:val="22"/>
              </w:rPr>
              <w:t xml:space="preserve">When concerns are identified, Children’s Services will undertake screening and information gathering. If there is evidence of potential significant harm, a strategy discussion is </w:t>
            </w:r>
            <w:r w:rsidR="00B64E19">
              <w:rPr>
                <w:sz w:val="22"/>
                <w:szCs w:val="22"/>
              </w:rPr>
              <w:t>undertaken collaboratively with</w:t>
            </w:r>
            <w:r w:rsidRPr="00114891">
              <w:rPr>
                <w:sz w:val="22"/>
                <w:szCs w:val="22"/>
              </w:rPr>
              <w:t xml:space="preserve"> </w:t>
            </w:r>
            <w:r w:rsidR="00B64E19">
              <w:rPr>
                <w:sz w:val="22"/>
                <w:szCs w:val="22"/>
              </w:rPr>
              <w:t>relevant partner agencies</w:t>
            </w:r>
            <w:r w:rsidRPr="00114891">
              <w:rPr>
                <w:sz w:val="22"/>
                <w:szCs w:val="22"/>
              </w:rPr>
              <w:t xml:space="preserve">. </w:t>
            </w:r>
            <w:r w:rsidR="00B64E19">
              <w:rPr>
                <w:sz w:val="22"/>
                <w:szCs w:val="22"/>
              </w:rPr>
              <w:t xml:space="preserve">Here, </w:t>
            </w:r>
            <w:r w:rsidRPr="00114891">
              <w:rPr>
                <w:sz w:val="22"/>
                <w:szCs w:val="22"/>
              </w:rPr>
              <w:t>available information</w:t>
            </w:r>
            <w:r w:rsidR="00B64E19">
              <w:rPr>
                <w:sz w:val="22"/>
                <w:szCs w:val="22"/>
              </w:rPr>
              <w:t xml:space="preserve"> including </w:t>
            </w:r>
            <w:r w:rsidRPr="00114891">
              <w:rPr>
                <w:sz w:val="22"/>
                <w:szCs w:val="22"/>
              </w:rPr>
              <w:t>risk</w:t>
            </w:r>
            <w:r w:rsidR="00B64E19">
              <w:rPr>
                <w:sz w:val="22"/>
                <w:szCs w:val="22"/>
              </w:rPr>
              <w:t xml:space="preserve"> information and assessments </w:t>
            </w:r>
            <w:r w:rsidRPr="00114891">
              <w:rPr>
                <w:sz w:val="22"/>
                <w:szCs w:val="22"/>
              </w:rPr>
              <w:t>determines whether a Section 47 enquiry is required (Wales Safeguarding Procedures, 2025).</w:t>
            </w:r>
          </w:p>
          <w:p w14:paraId="3A942E36" w14:textId="417E3592" w:rsidR="00114891" w:rsidRPr="00114891" w:rsidRDefault="00B64E19" w:rsidP="00114891">
            <w:pPr>
              <w:rPr>
                <w:sz w:val="22"/>
                <w:szCs w:val="22"/>
              </w:rPr>
            </w:pPr>
            <w:r>
              <w:rPr>
                <w:sz w:val="22"/>
                <w:szCs w:val="22"/>
              </w:rPr>
              <w:lastRenderedPageBreak/>
              <w:t xml:space="preserve">Such </w:t>
            </w:r>
            <w:r w:rsidR="00114891" w:rsidRPr="00114891">
              <w:rPr>
                <w:sz w:val="22"/>
                <w:szCs w:val="22"/>
              </w:rPr>
              <w:t xml:space="preserve">enquiries are led by Children’s Social Services and aim to </w:t>
            </w:r>
            <w:r>
              <w:rPr>
                <w:sz w:val="22"/>
                <w:szCs w:val="22"/>
              </w:rPr>
              <w:t>identify</w:t>
            </w:r>
            <w:r w:rsidR="00114891" w:rsidRPr="00114891">
              <w:rPr>
                <w:sz w:val="22"/>
                <w:szCs w:val="22"/>
              </w:rPr>
              <w:t xml:space="preserve"> whether the child is suffering, or likely to suffer, significant harm and what action is required to keep them safe (Children Act 1989). Following completion of enquiries, a multi-agency decision is made regarding the level of risk. Where concerns are </w:t>
            </w:r>
            <w:r>
              <w:rPr>
                <w:sz w:val="22"/>
                <w:szCs w:val="22"/>
              </w:rPr>
              <w:t>identified</w:t>
            </w:r>
            <w:r w:rsidR="00114891" w:rsidRPr="00114891">
              <w:rPr>
                <w:sz w:val="22"/>
                <w:szCs w:val="22"/>
              </w:rPr>
              <w:t xml:space="preserve"> and the child remains at ongoing risk, an Initial Child Protection Conference (ICPC) should take place ideally with 15 days (Wales Safeguarding Procedures, 2025).</w:t>
            </w:r>
          </w:p>
          <w:p w14:paraId="61BD8DFB" w14:textId="03436424" w:rsidR="00114891" w:rsidRPr="00114891" w:rsidRDefault="00114891" w:rsidP="00114891">
            <w:pPr>
              <w:rPr>
                <w:sz w:val="22"/>
                <w:szCs w:val="22"/>
              </w:rPr>
            </w:pPr>
            <w:r w:rsidRPr="00114891">
              <w:rPr>
                <w:sz w:val="22"/>
                <w:szCs w:val="22"/>
              </w:rPr>
              <w:t xml:space="preserve">A </w:t>
            </w:r>
            <w:r w:rsidR="00B64E19">
              <w:rPr>
                <w:sz w:val="22"/>
                <w:szCs w:val="22"/>
              </w:rPr>
              <w:t>collaborative</w:t>
            </w:r>
            <w:r w:rsidRPr="00114891">
              <w:rPr>
                <w:sz w:val="22"/>
                <w:szCs w:val="22"/>
              </w:rPr>
              <w:t xml:space="preserve"> approach is essential throughout the safeguarding process</w:t>
            </w:r>
            <w:r w:rsidR="00B64E19">
              <w:rPr>
                <w:sz w:val="22"/>
                <w:szCs w:val="22"/>
              </w:rPr>
              <w:t xml:space="preserve"> to ensure effective safeguarding practice</w:t>
            </w:r>
            <w:r w:rsidRPr="00114891">
              <w:rPr>
                <w:sz w:val="22"/>
                <w:szCs w:val="22"/>
              </w:rPr>
              <w:t xml:space="preserve">. </w:t>
            </w:r>
            <w:r w:rsidR="001C42B4">
              <w:rPr>
                <w:sz w:val="22"/>
                <w:szCs w:val="22"/>
              </w:rPr>
              <w:t>I</w:t>
            </w:r>
            <w:r w:rsidRPr="00114891">
              <w:rPr>
                <w:sz w:val="22"/>
                <w:szCs w:val="22"/>
              </w:rPr>
              <w:t>nformation sharing, and professional challenge between agencies</w:t>
            </w:r>
            <w:r w:rsidR="001C42B4">
              <w:rPr>
                <w:sz w:val="22"/>
                <w:szCs w:val="22"/>
              </w:rPr>
              <w:t xml:space="preserve"> are key in identifying risk of ongoing significant harm</w:t>
            </w:r>
            <w:r w:rsidRPr="00114891">
              <w:rPr>
                <w:sz w:val="22"/>
                <w:szCs w:val="22"/>
              </w:rPr>
              <w:t xml:space="preserve">. </w:t>
            </w:r>
            <w:r w:rsidR="001C42B4">
              <w:rPr>
                <w:sz w:val="22"/>
                <w:szCs w:val="22"/>
              </w:rPr>
              <w:t xml:space="preserve">Partner agencies such </w:t>
            </w:r>
            <w:r w:rsidRPr="00114891">
              <w:rPr>
                <w:sz w:val="22"/>
                <w:szCs w:val="22"/>
              </w:rPr>
              <w:t xml:space="preserve">Health professionals, teachers, police officers, and social workers each contribute </w:t>
            </w:r>
            <w:r w:rsidR="001C42B4">
              <w:rPr>
                <w:sz w:val="22"/>
                <w:szCs w:val="22"/>
              </w:rPr>
              <w:t>important</w:t>
            </w:r>
            <w:r w:rsidRPr="00114891">
              <w:rPr>
                <w:sz w:val="22"/>
                <w:szCs w:val="22"/>
              </w:rPr>
              <w:t xml:space="preserve"> information that assists in understanding risk and planning interventions. </w:t>
            </w:r>
            <w:r w:rsidR="001C42B4">
              <w:rPr>
                <w:sz w:val="22"/>
                <w:szCs w:val="22"/>
              </w:rPr>
              <w:t>Collaborative</w:t>
            </w:r>
            <w:r w:rsidRPr="00114891">
              <w:rPr>
                <w:sz w:val="22"/>
                <w:szCs w:val="22"/>
              </w:rPr>
              <w:t xml:space="preserve"> working supports decision-making, ensures a child </w:t>
            </w:r>
            <w:r w:rsidR="001C42B4">
              <w:rPr>
                <w:sz w:val="22"/>
                <w:szCs w:val="22"/>
              </w:rPr>
              <w:t>centred</w:t>
            </w:r>
            <w:r w:rsidRPr="00114891">
              <w:rPr>
                <w:sz w:val="22"/>
                <w:szCs w:val="22"/>
              </w:rPr>
              <w:t xml:space="preserve"> approach, and promotes better safeguarding outcomes for children and families.</w:t>
            </w:r>
          </w:p>
          <w:p w14:paraId="6EC5FDC7" w14:textId="2159779C" w:rsidR="00114891" w:rsidRDefault="00114891" w:rsidP="00FF7EBB">
            <w:pPr>
              <w:jc w:val="both"/>
              <w:rPr>
                <w:sz w:val="28"/>
                <w:szCs w:val="28"/>
              </w:rPr>
            </w:pPr>
          </w:p>
          <w:p w14:paraId="5A2D74B9" w14:textId="4D4FE12E" w:rsidR="00114891" w:rsidRPr="00114891" w:rsidRDefault="00114891" w:rsidP="00FF7EBB">
            <w:pPr>
              <w:jc w:val="both"/>
              <w:rPr>
                <w:sz w:val="24"/>
                <w:szCs w:val="24"/>
              </w:rPr>
            </w:pPr>
            <w:r>
              <w:rPr>
                <w:sz w:val="24"/>
                <w:szCs w:val="24"/>
              </w:rPr>
              <w:t>(</w:t>
            </w:r>
            <w:proofErr w:type="gramStart"/>
            <w:r>
              <w:rPr>
                <w:sz w:val="24"/>
                <w:szCs w:val="24"/>
              </w:rPr>
              <w:t>5</w:t>
            </w:r>
            <w:r w:rsidR="001C42B4">
              <w:rPr>
                <w:sz w:val="24"/>
                <w:szCs w:val="24"/>
              </w:rPr>
              <w:t xml:space="preserve">34 </w:t>
            </w:r>
            <w:r>
              <w:rPr>
                <w:sz w:val="24"/>
                <w:szCs w:val="24"/>
              </w:rPr>
              <w:t xml:space="preserve"> words</w:t>
            </w:r>
            <w:proofErr w:type="gramEnd"/>
            <w:r>
              <w:rPr>
                <w:sz w:val="24"/>
                <w:szCs w:val="24"/>
              </w:rPr>
              <w:t>)</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1D74B1E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FF100B">
              <w:rPr>
                <w:sz w:val="24"/>
                <w:szCs w:val="24"/>
              </w:rPr>
              <w:t xml:space="preserve">. </w:t>
            </w:r>
          </w:p>
          <w:p w14:paraId="1CA2448A" w14:textId="77777777" w:rsidR="00FF100B" w:rsidRDefault="00FF100B" w:rsidP="00FC0334">
            <w:pPr>
              <w:jc w:val="both"/>
              <w:rPr>
                <w:sz w:val="24"/>
                <w:szCs w:val="24"/>
              </w:rPr>
            </w:pPr>
          </w:p>
          <w:p w14:paraId="5757CC90" w14:textId="0CD64A85" w:rsidR="002D7E98" w:rsidRPr="002D7E98" w:rsidRDefault="002D7E98" w:rsidP="002D7E98">
            <w:pPr>
              <w:jc w:val="both"/>
              <w:rPr>
                <w:sz w:val="24"/>
                <w:szCs w:val="24"/>
              </w:rPr>
            </w:pPr>
            <w:r w:rsidRPr="002D7E98">
              <w:rPr>
                <w:sz w:val="24"/>
                <w:szCs w:val="24"/>
              </w:rPr>
              <w:t xml:space="preserve">Through reflection and research, I have identified key differences between safeguarding legislation, policies and processes within children’s and adults’ services. While both </w:t>
            </w:r>
            <w:r w:rsidR="00AF69BD">
              <w:rPr>
                <w:sz w:val="24"/>
                <w:szCs w:val="24"/>
              </w:rPr>
              <w:t>services</w:t>
            </w:r>
            <w:r w:rsidRPr="002D7E98">
              <w:rPr>
                <w:sz w:val="24"/>
                <w:szCs w:val="24"/>
              </w:rPr>
              <w:t xml:space="preserve"> aim to protect individuals from abuse, neglect, exploitation and harm, their approaches differ due to age, autonomy, capacity and vulnerability. In Wales, safeguarding practice is informed by the Social Services and Well-being (Wales) Act 2014 (SSWWA) and the Wales Safeguarding Procedures (Wales Safeguarding Procedures, 2019; Welsh Government, 2014). These frameworks promote wellbeing, prevention, empowerment and person-centred practice.</w:t>
            </w:r>
          </w:p>
          <w:p w14:paraId="5E4F94A4" w14:textId="5658D712" w:rsidR="002D7E98" w:rsidRPr="002D7E98" w:rsidRDefault="002D7E98" w:rsidP="002D7E98">
            <w:pPr>
              <w:jc w:val="both"/>
              <w:rPr>
                <w:sz w:val="24"/>
                <w:szCs w:val="24"/>
              </w:rPr>
            </w:pPr>
            <w:r w:rsidRPr="002D7E98">
              <w:rPr>
                <w:sz w:val="24"/>
                <w:szCs w:val="24"/>
              </w:rPr>
              <w:t xml:space="preserve">One difference is statutory responsibility. Where concerns arise that a child may be experiencing, or is at risk of, </w:t>
            </w:r>
            <w:r w:rsidR="00AD7706">
              <w:rPr>
                <w:sz w:val="24"/>
                <w:szCs w:val="24"/>
              </w:rPr>
              <w:t xml:space="preserve">experiencing </w:t>
            </w:r>
            <w:r w:rsidRPr="002D7E98">
              <w:rPr>
                <w:sz w:val="24"/>
                <w:szCs w:val="24"/>
              </w:rPr>
              <w:t>significant harm,</w:t>
            </w:r>
            <w:r w:rsidR="00AD7706">
              <w:rPr>
                <w:sz w:val="24"/>
                <w:szCs w:val="24"/>
              </w:rPr>
              <w:t xml:space="preserve"> </w:t>
            </w:r>
            <w:r w:rsidRPr="002D7E98">
              <w:rPr>
                <w:sz w:val="24"/>
                <w:szCs w:val="24"/>
              </w:rPr>
              <w:t>professionals have a duty to report and act on those concerns (Children Act, 1989). Similarly, the SSWWA places a duty on relevant partners</w:t>
            </w:r>
            <w:r w:rsidR="00AF69BD">
              <w:rPr>
                <w:sz w:val="24"/>
                <w:szCs w:val="24"/>
              </w:rPr>
              <w:t xml:space="preserve"> (those name</w:t>
            </w:r>
            <w:r w:rsidR="005204DE">
              <w:rPr>
                <w:sz w:val="24"/>
                <w:szCs w:val="24"/>
              </w:rPr>
              <w:t>d</w:t>
            </w:r>
            <w:r w:rsidR="00AF69BD">
              <w:rPr>
                <w:sz w:val="24"/>
                <w:szCs w:val="24"/>
              </w:rPr>
              <w:t xml:space="preserve"> within the act)</w:t>
            </w:r>
            <w:r w:rsidRPr="002D7E98">
              <w:rPr>
                <w:sz w:val="24"/>
                <w:szCs w:val="24"/>
              </w:rPr>
              <w:t xml:space="preserve"> to report adults at risk and requires local authorities to undertake enquiries where abuse or neglect is suspected (Welsh Government, 2014). However, adult safeguarding places emphasis on the wishes</w:t>
            </w:r>
            <w:r>
              <w:rPr>
                <w:sz w:val="24"/>
                <w:szCs w:val="24"/>
              </w:rPr>
              <w:t xml:space="preserve"> and outcomes of the individual</w:t>
            </w:r>
            <w:r w:rsidRPr="002D7E98">
              <w:rPr>
                <w:sz w:val="24"/>
                <w:szCs w:val="24"/>
              </w:rPr>
              <w:t>, reflecting the principle that safeguarding should be undertaken with people rather than to</w:t>
            </w:r>
            <w:r w:rsidR="005204DE">
              <w:rPr>
                <w:sz w:val="24"/>
                <w:szCs w:val="24"/>
              </w:rPr>
              <w:t xml:space="preserve"> </w:t>
            </w:r>
            <w:r w:rsidRPr="002D7E98">
              <w:rPr>
                <w:sz w:val="24"/>
                <w:szCs w:val="24"/>
              </w:rPr>
              <w:t>them. The Wales Safeguarding Procedures (2019) emphasise that reporting safeguarding concerns is not optional and that practitioners have a responsibility to act where abuse or neglect is suspected.</w:t>
            </w:r>
          </w:p>
          <w:p w14:paraId="2E0639BC" w14:textId="301D71C9" w:rsidR="002D7E98" w:rsidRPr="002D7E98" w:rsidRDefault="002D7E98" w:rsidP="002D7E98">
            <w:pPr>
              <w:jc w:val="both"/>
              <w:rPr>
                <w:sz w:val="24"/>
                <w:szCs w:val="24"/>
              </w:rPr>
            </w:pPr>
            <w:r w:rsidRPr="002D7E98">
              <w:rPr>
                <w:sz w:val="24"/>
                <w:szCs w:val="24"/>
              </w:rPr>
              <w:t>A</w:t>
            </w:r>
            <w:r>
              <w:rPr>
                <w:sz w:val="24"/>
                <w:szCs w:val="24"/>
              </w:rPr>
              <w:t xml:space="preserve">nother </w:t>
            </w:r>
            <w:r w:rsidRPr="002D7E98">
              <w:rPr>
                <w:sz w:val="24"/>
                <w:szCs w:val="24"/>
              </w:rPr>
              <w:t xml:space="preserve">difference </w:t>
            </w:r>
            <w:r w:rsidR="00AD7706">
              <w:rPr>
                <w:sz w:val="24"/>
                <w:szCs w:val="24"/>
              </w:rPr>
              <w:t>is</w:t>
            </w:r>
            <w:r w:rsidRPr="002D7E98">
              <w:rPr>
                <w:sz w:val="24"/>
                <w:szCs w:val="24"/>
              </w:rPr>
              <w:t xml:space="preserve"> the principle of paramount. </w:t>
            </w:r>
            <w:r w:rsidR="00AF69BD">
              <w:rPr>
                <w:sz w:val="24"/>
                <w:szCs w:val="24"/>
              </w:rPr>
              <w:t>The</w:t>
            </w:r>
            <w:r w:rsidRPr="002D7E98">
              <w:rPr>
                <w:sz w:val="24"/>
                <w:szCs w:val="24"/>
              </w:rPr>
              <w:t xml:space="preserve"> Children Act 1989,</w:t>
            </w:r>
            <w:r w:rsidR="00AF69BD">
              <w:rPr>
                <w:sz w:val="24"/>
                <w:szCs w:val="24"/>
              </w:rPr>
              <w:t xml:space="preserve"> states</w:t>
            </w:r>
            <w:r w:rsidRPr="002D7E98">
              <w:rPr>
                <w:sz w:val="24"/>
                <w:szCs w:val="24"/>
              </w:rPr>
              <w:t xml:space="preserve"> the welfare of the child is paramount in decisions affecting them (Children Act, 1989). </w:t>
            </w:r>
            <w:r w:rsidR="00AD7706">
              <w:rPr>
                <w:sz w:val="24"/>
                <w:szCs w:val="24"/>
              </w:rPr>
              <w:t>Although, c</w:t>
            </w:r>
            <w:r>
              <w:rPr>
                <w:sz w:val="24"/>
                <w:szCs w:val="24"/>
              </w:rPr>
              <w:t>hildren’s wishes should be considered;</w:t>
            </w:r>
            <w:r w:rsidR="00AD7706">
              <w:rPr>
                <w:sz w:val="24"/>
                <w:szCs w:val="24"/>
              </w:rPr>
              <w:t xml:space="preserve"> </w:t>
            </w:r>
            <w:r>
              <w:rPr>
                <w:sz w:val="24"/>
                <w:szCs w:val="24"/>
              </w:rPr>
              <w:t>their safety and wellbeing remain the priority</w:t>
            </w:r>
            <w:r w:rsidRPr="002D7E98">
              <w:rPr>
                <w:sz w:val="24"/>
                <w:szCs w:val="24"/>
              </w:rPr>
              <w:t xml:space="preserve">. </w:t>
            </w:r>
            <w:r w:rsidR="005204DE">
              <w:rPr>
                <w:sz w:val="24"/>
                <w:szCs w:val="24"/>
              </w:rPr>
              <w:t>I</w:t>
            </w:r>
            <w:r w:rsidRPr="002D7E98">
              <w:rPr>
                <w:sz w:val="24"/>
                <w:szCs w:val="24"/>
              </w:rPr>
              <w:t xml:space="preserve">ntervention may occur without consent </w:t>
            </w:r>
            <w:r w:rsidR="00AD7706">
              <w:rPr>
                <w:sz w:val="24"/>
                <w:szCs w:val="24"/>
              </w:rPr>
              <w:t>when</w:t>
            </w:r>
            <w:r w:rsidRPr="002D7E98">
              <w:rPr>
                <w:sz w:val="24"/>
                <w:szCs w:val="24"/>
              </w:rPr>
              <w:t xml:space="preserve"> there are concerns regarding significant harm. </w:t>
            </w:r>
            <w:r>
              <w:rPr>
                <w:sz w:val="24"/>
                <w:szCs w:val="24"/>
              </w:rPr>
              <w:t>A</w:t>
            </w:r>
            <w:r w:rsidRPr="002D7E98">
              <w:rPr>
                <w:sz w:val="24"/>
                <w:szCs w:val="24"/>
              </w:rPr>
              <w:t xml:space="preserve">dult safeguarding does not operate under a paramount principle. </w:t>
            </w:r>
            <w:r w:rsidR="00AD7706">
              <w:rPr>
                <w:sz w:val="24"/>
                <w:szCs w:val="24"/>
              </w:rPr>
              <w:t>Adults</w:t>
            </w:r>
            <w:r w:rsidRPr="002D7E98">
              <w:rPr>
                <w:sz w:val="24"/>
                <w:szCs w:val="24"/>
              </w:rPr>
              <w:t xml:space="preserve"> </w:t>
            </w:r>
            <w:r w:rsidR="00AD7706">
              <w:rPr>
                <w:sz w:val="24"/>
                <w:szCs w:val="24"/>
              </w:rPr>
              <w:t xml:space="preserve">have the right </w:t>
            </w:r>
            <w:r w:rsidRPr="002D7E98">
              <w:rPr>
                <w:sz w:val="24"/>
                <w:szCs w:val="24"/>
              </w:rPr>
              <w:t xml:space="preserve">to make their own decisions, including those involving risk, </w:t>
            </w:r>
            <w:r w:rsidR="00AD7706">
              <w:rPr>
                <w:sz w:val="24"/>
                <w:szCs w:val="24"/>
              </w:rPr>
              <w:t>if</w:t>
            </w:r>
            <w:r w:rsidRPr="002D7E98">
              <w:rPr>
                <w:sz w:val="24"/>
                <w:szCs w:val="24"/>
              </w:rPr>
              <w:t xml:space="preserve"> they have the </w:t>
            </w:r>
            <w:r w:rsidR="005204DE">
              <w:rPr>
                <w:sz w:val="24"/>
                <w:szCs w:val="24"/>
              </w:rPr>
              <w:t xml:space="preserve">mental </w:t>
            </w:r>
            <w:r w:rsidRPr="002D7E98">
              <w:rPr>
                <w:sz w:val="24"/>
                <w:szCs w:val="24"/>
              </w:rPr>
              <w:t xml:space="preserve">capacity to </w:t>
            </w:r>
            <w:r w:rsidR="00AD7706">
              <w:rPr>
                <w:sz w:val="24"/>
                <w:szCs w:val="24"/>
              </w:rPr>
              <w:t xml:space="preserve">do so </w:t>
            </w:r>
            <w:r w:rsidRPr="002D7E98">
              <w:rPr>
                <w:sz w:val="24"/>
                <w:szCs w:val="24"/>
              </w:rPr>
              <w:t>(Mental Capacity Act, 2005)</w:t>
            </w:r>
            <w:r w:rsidR="00AD7706">
              <w:rPr>
                <w:sz w:val="24"/>
                <w:szCs w:val="24"/>
              </w:rPr>
              <w:t xml:space="preserve">, if there are concerns about someone’s capacity, it is assessed specific </w:t>
            </w:r>
            <w:r w:rsidR="00AD7706">
              <w:rPr>
                <w:sz w:val="24"/>
                <w:szCs w:val="24"/>
              </w:rPr>
              <w:lastRenderedPageBreak/>
              <w:t xml:space="preserve">to the decision. Lacking capacity within one decision does not mean an individual lacks capacity within others. </w:t>
            </w:r>
          </w:p>
          <w:p w14:paraId="3FE1B930" w14:textId="61A15623" w:rsidR="002D7E98" w:rsidRPr="002D7E98" w:rsidRDefault="002D7E98" w:rsidP="002D7E98">
            <w:pPr>
              <w:jc w:val="both"/>
              <w:rPr>
                <w:sz w:val="24"/>
                <w:szCs w:val="24"/>
              </w:rPr>
            </w:pPr>
            <w:r w:rsidRPr="002D7E98">
              <w:rPr>
                <w:sz w:val="24"/>
                <w:szCs w:val="24"/>
              </w:rPr>
              <w:t xml:space="preserve">The issue of consent further highlights this </w:t>
            </w:r>
            <w:r>
              <w:rPr>
                <w:sz w:val="24"/>
                <w:szCs w:val="24"/>
              </w:rPr>
              <w:t>difference</w:t>
            </w:r>
            <w:r w:rsidRPr="002D7E98">
              <w:rPr>
                <w:sz w:val="24"/>
                <w:szCs w:val="24"/>
              </w:rPr>
              <w:t xml:space="preserve">. In children’s services, consent may be overridden to safeguard a child. In adult services, consent should generally be sought before information is shared or interventions are undertaken. This </w:t>
            </w:r>
            <w:r>
              <w:rPr>
                <w:sz w:val="24"/>
                <w:szCs w:val="24"/>
              </w:rPr>
              <w:t>adheres to</w:t>
            </w:r>
            <w:r w:rsidRPr="002D7E98">
              <w:rPr>
                <w:sz w:val="24"/>
                <w:szCs w:val="24"/>
              </w:rPr>
              <w:t xml:space="preserve"> the Mental Capacity Act 2005, which applies to individuals aged 16 and over, presumes capacity unless proven otherwise, and recognises the right to make unwise decisions. </w:t>
            </w:r>
          </w:p>
          <w:p w14:paraId="518A42C0" w14:textId="0572762D" w:rsidR="002D7E98" w:rsidRPr="002D7E98" w:rsidRDefault="002D7E98" w:rsidP="002D7E98">
            <w:pPr>
              <w:jc w:val="both"/>
              <w:rPr>
                <w:sz w:val="24"/>
                <w:szCs w:val="24"/>
              </w:rPr>
            </w:pPr>
            <w:r w:rsidRPr="002D7E98">
              <w:rPr>
                <w:sz w:val="24"/>
                <w:szCs w:val="24"/>
              </w:rPr>
              <w:t xml:space="preserve">Although individuals under 18 are legally defined as children, Gillick competence and the Fraser Guidelines acknowledge that some young people may </w:t>
            </w:r>
            <w:r>
              <w:rPr>
                <w:sz w:val="24"/>
                <w:szCs w:val="24"/>
              </w:rPr>
              <w:t>have</w:t>
            </w:r>
            <w:r w:rsidRPr="002D7E98">
              <w:rPr>
                <w:sz w:val="24"/>
                <w:szCs w:val="24"/>
              </w:rPr>
              <w:t xml:space="preserve"> understanding and maturity to make specific decisions independently (Gillick v West Norfolk and Wisbech Area Health Authority, 1985). However, these principles do not override safeguarding duties or the paramountcy principle. </w:t>
            </w:r>
          </w:p>
          <w:p w14:paraId="71AF18E2" w14:textId="1336B056" w:rsidR="002D7E98" w:rsidRPr="002D7E98" w:rsidRDefault="00AD7706" w:rsidP="002D7E98">
            <w:pPr>
              <w:jc w:val="both"/>
              <w:rPr>
                <w:sz w:val="24"/>
                <w:szCs w:val="24"/>
              </w:rPr>
            </w:pPr>
            <w:r>
              <w:rPr>
                <w:sz w:val="24"/>
                <w:szCs w:val="24"/>
              </w:rPr>
              <w:t>C</w:t>
            </w:r>
            <w:r w:rsidR="002D7E98" w:rsidRPr="002D7E98">
              <w:rPr>
                <w:sz w:val="24"/>
                <w:szCs w:val="24"/>
              </w:rPr>
              <w:t>hildren’s safeguarding prioritises welfare and protection, whereas adult safeguarding seeks to balance protection with autonomy, capacity, consent and human rights. Understanding this distinction is essential for effective social work practice.</w:t>
            </w:r>
          </w:p>
          <w:p w14:paraId="40D2B3CD" w14:textId="30879FB5" w:rsidR="001357FC" w:rsidRDefault="001357FC" w:rsidP="00FC0334">
            <w:pPr>
              <w:jc w:val="both"/>
              <w:rPr>
                <w:sz w:val="24"/>
                <w:szCs w:val="24"/>
              </w:rPr>
            </w:pPr>
          </w:p>
          <w:p w14:paraId="6FEF7D99" w14:textId="69632057" w:rsidR="001357FC" w:rsidRDefault="006D4293" w:rsidP="00FC0334">
            <w:pPr>
              <w:jc w:val="both"/>
              <w:rPr>
                <w:sz w:val="24"/>
                <w:szCs w:val="24"/>
              </w:rPr>
            </w:pPr>
            <w:r>
              <w:rPr>
                <w:sz w:val="24"/>
                <w:szCs w:val="24"/>
              </w:rPr>
              <w:t>(4</w:t>
            </w:r>
            <w:r w:rsidR="005204DE">
              <w:rPr>
                <w:sz w:val="24"/>
                <w:szCs w:val="24"/>
              </w:rPr>
              <w:t xml:space="preserve">65 </w:t>
            </w:r>
            <w:r>
              <w:rPr>
                <w:sz w:val="24"/>
                <w:szCs w:val="24"/>
              </w:rPr>
              <w:t>words)</w:t>
            </w:r>
          </w:p>
          <w:p w14:paraId="00DF3F39" w14:textId="1A191F3B" w:rsidR="00FF100B" w:rsidRDefault="00FF100B" w:rsidP="00FC0334">
            <w:pPr>
              <w:jc w:val="both"/>
              <w:rPr>
                <w:sz w:val="24"/>
                <w:szCs w:val="24"/>
              </w:rPr>
            </w:pPr>
          </w:p>
          <w:p w14:paraId="4CABE426"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54636" w14:textId="77777777" w:rsidR="00961269" w:rsidRDefault="00961269">
      <w:r>
        <w:separator/>
      </w:r>
    </w:p>
  </w:endnote>
  <w:endnote w:type="continuationSeparator" w:id="0">
    <w:p w14:paraId="2C04BD0C" w14:textId="77777777" w:rsidR="00961269" w:rsidRDefault="009612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1D16A2" w14:textId="77777777" w:rsidR="00961269" w:rsidRDefault="00961269">
      <w:r>
        <w:separator/>
      </w:r>
    </w:p>
  </w:footnote>
  <w:footnote w:type="continuationSeparator" w:id="0">
    <w:p w14:paraId="41F915B3" w14:textId="77777777" w:rsidR="00961269" w:rsidRDefault="009612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891"/>
    <w:rsid w:val="00114F52"/>
    <w:rsid w:val="00130119"/>
    <w:rsid w:val="00132812"/>
    <w:rsid w:val="001347F8"/>
    <w:rsid w:val="001357FC"/>
    <w:rsid w:val="001359EE"/>
    <w:rsid w:val="00137BB5"/>
    <w:rsid w:val="00137E05"/>
    <w:rsid w:val="00143B1F"/>
    <w:rsid w:val="001447F6"/>
    <w:rsid w:val="00147DE3"/>
    <w:rsid w:val="00150794"/>
    <w:rsid w:val="00151DA6"/>
    <w:rsid w:val="001608C4"/>
    <w:rsid w:val="00164832"/>
    <w:rsid w:val="00171418"/>
    <w:rsid w:val="0017451A"/>
    <w:rsid w:val="001772BF"/>
    <w:rsid w:val="001772DE"/>
    <w:rsid w:val="0019496C"/>
    <w:rsid w:val="001961CF"/>
    <w:rsid w:val="001A59BB"/>
    <w:rsid w:val="001A607E"/>
    <w:rsid w:val="001A6A51"/>
    <w:rsid w:val="001A79C4"/>
    <w:rsid w:val="001B331A"/>
    <w:rsid w:val="001C0237"/>
    <w:rsid w:val="001C0E74"/>
    <w:rsid w:val="001C266D"/>
    <w:rsid w:val="001C42B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E98"/>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04DE"/>
    <w:rsid w:val="00521123"/>
    <w:rsid w:val="00521221"/>
    <w:rsid w:val="0052250B"/>
    <w:rsid w:val="005305C6"/>
    <w:rsid w:val="00540EEC"/>
    <w:rsid w:val="005414F4"/>
    <w:rsid w:val="005439B5"/>
    <w:rsid w:val="00546187"/>
    <w:rsid w:val="00547B11"/>
    <w:rsid w:val="0055793E"/>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429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D20"/>
    <w:rsid w:val="007D3EB4"/>
    <w:rsid w:val="007D3F16"/>
    <w:rsid w:val="007F10BD"/>
    <w:rsid w:val="007F312E"/>
    <w:rsid w:val="007F3F7E"/>
    <w:rsid w:val="007F4BA4"/>
    <w:rsid w:val="007F648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003"/>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126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7706"/>
    <w:rsid w:val="00AE134C"/>
    <w:rsid w:val="00AE1868"/>
    <w:rsid w:val="00AE2564"/>
    <w:rsid w:val="00AE301F"/>
    <w:rsid w:val="00AE3302"/>
    <w:rsid w:val="00AE5BA6"/>
    <w:rsid w:val="00AE6231"/>
    <w:rsid w:val="00AE7077"/>
    <w:rsid w:val="00AF61C2"/>
    <w:rsid w:val="00AF69BD"/>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4E19"/>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432"/>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5F1"/>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A5FA6"/>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1EA1"/>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00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114891"/>
    <w:rPr>
      <w:color w:val="605E5C"/>
      <w:shd w:val="clear" w:color="auto" w:fill="E1DFDD"/>
    </w:rPr>
  </w:style>
  <w:style w:type="paragraph" w:styleId="NormalWeb">
    <w:name w:val="Normal (Web)"/>
    <w:basedOn w:val="Normal"/>
    <w:uiPriority w:val="99"/>
    <w:semiHidden/>
    <w:unhideWhenUsed/>
    <w:rsid w:val="007D3D2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1910081@uwtsd.student.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4</Pages>
  <Words>1267</Words>
  <Characters>7223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Cait Baxter</cp:lastModifiedBy>
  <cp:revision>6</cp:revision>
  <cp:lastPrinted>2020-02-11T19:20:00Z</cp:lastPrinted>
  <dcterms:created xsi:type="dcterms:W3CDTF">2025-09-08T10:08:00Z</dcterms:created>
  <dcterms:modified xsi:type="dcterms:W3CDTF">2026-09-25T10:10:00Z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