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7170EC" w14:textId="0578E0C5" w:rsidR="00D45D5F" w:rsidRPr="00731E12" w:rsidRDefault="00D45D5F" w:rsidP="00731E12">
      <w:pPr>
        <w:jc w:val="center"/>
        <w:rPr>
          <w:rFonts w:ascii="Arial" w:hAnsi="Arial" w:cs="Arial"/>
          <w:sz w:val="40"/>
          <w:szCs w:val="40"/>
        </w:rPr>
      </w:pPr>
    </w:p>
    <w:p w14:paraId="2805F596" w14:textId="77777777" w:rsidR="00D45D5F" w:rsidRPr="00731E12" w:rsidRDefault="00D45D5F" w:rsidP="00D45D5F">
      <w:pPr>
        <w:jc w:val="center"/>
        <w:rPr>
          <w:rFonts w:ascii="Arial" w:hAnsi="Arial" w:cs="Arial"/>
          <w:sz w:val="40"/>
          <w:szCs w:val="40"/>
        </w:rPr>
      </w:pPr>
    </w:p>
    <w:p w14:paraId="5922547C" w14:textId="77777777" w:rsidR="00731E12" w:rsidRPr="00731E12" w:rsidRDefault="00731E12" w:rsidP="00D45D5F">
      <w:pPr>
        <w:jc w:val="center"/>
        <w:rPr>
          <w:rFonts w:ascii="Arial" w:hAnsi="Arial" w:cs="Arial"/>
          <w:sz w:val="40"/>
          <w:szCs w:val="40"/>
        </w:rPr>
      </w:pPr>
    </w:p>
    <w:p w14:paraId="7C79660B" w14:textId="77777777" w:rsidR="00731E12" w:rsidRPr="00737429" w:rsidRDefault="00731E12" w:rsidP="00737429">
      <w:pPr>
        <w:pStyle w:val="Heading1"/>
        <w:jc w:val="center"/>
        <w:rPr>
          <w:rFonts w:ascii="Arial" w:hAnsi="Arial" w:cs="Arial"/>
          <w:b/>
          <w:bCs/>
          <w:color w:val="000000" w:themeColor="text1"/>
        </w:rPr>
      </w:pPr>
    </w:p>
    <w:p w14:paraId="07AB4C0B" w14:textId="4033BFB7" w:rsidR="00D45D5F" w:rsidRPr="008B59C1" w:rsidRDefault="00D45D5F" w:rsidP="008B59C1">
      <w:pPr>
        <w:jc w:val="center"/>
        <w:rPr>
          <w:rFonts w:ascii="Arial" w:hAnsi="Arial" w:cs="Arial"/>
          <w:b/>
          <w:bCs/>
          <w:sz w:val="40"/>
          <w:szCs w:val="40"/>
        </w:rPr>
      </w:pPr>
      <w:r w:rsidRPr="008B59C1">
        <w:rPr>
          <w:rFonts w:ascii="Arial" w:hAnsi="Arial" w:cs="Arial"/>
          <w:b/>
          <w:bCs/>
          <w:sz w:val="40"/>
          <w:szCs w:val="40"/>
        </w:rPr>
        <w:t>Global Challenges</w:t>
      </w:r>
      <w:r w:rsidR="00731E12" w:rsidRPr="008B59C1">
        <w:rPr>
          <w:rFonts w:ascii="Arial" w:hAnsi="Arial" w:cs="Arial"/>
          <w:b/>
          <w:bCs/>
          <w:sz w:val="40"/>
          <w:szCs w:val="40"/>
        </w:rPr>
        <w:t xml:space="preserve"> Report</w:t>
      </w:r>
    </w:p>
    <w:p w14:paraId="5190FF96" w14:textId="77777777" w:rsidR="00D45D5F" w:rsidRPr="008B59C1" w:rsidRDefault="00D45D5F" w:rsidP="008B59C1">
      <w:pPr>
        <w:jc w:val="center"/>
        <w:rPr>
          <w:rFonts w:ascii="Arial" w:hAnsi="Arial" w:cs="Arial"/>
          <w:b/>
          <w:bCs/>
          <w:sz w:val="40"/>
          <w:szCs w:val="40"/>
        </w:rPr>
      </w:pPr>
      <w:r w:rsidRPr="008B59C1">
        <w:rPr>
          <w:rFonts w:ascii="Arial" w:hAnsi="Arial" w:cs="Arial"/>
          <w:b/>
          <w:bCs/>
          <w:sz w:val="40"/>
          <w:szCs w:val="40"/>
        </w:rPr>
        <w:t>Procter&amp; Gamble</w:t>
      </w:r>
    </w:p>
    <w:p w14:paraId="13FF5A66" w14:textId="77777777" w:rsidR="00D45D5F" w:rsidRPr="00731E12" w:rsidRDefault="00D45D5F" w:rsidP="00D45D5F">
      <w:pPr>
        <w:rPr>
          <w:rFonts w:ascii="Arial" w:hAnsi="Arial" w:cs="Arial"/>
          <w:sz w:val="40"/>
          <w:szCs w:val="40"/>
        </w:rPr>
      </w:pPr>
    </w:p>
    <w:p w14:paraId="4E63E22B" w14:textId="77777777" w:rsidR="00D45D5F" w:rsidRPr="00731E12" w:rsidRDefault="00D45D5F" w:rsidP="00D45D5F">
      <w:pPr>
        <w:rPr>
          <w:rFonts w:ascii="Arial" w:hAnsi="Arial" w:cs="Arial"/>
          <w:sz w:val="40"/>
          <w:szCs w:val="40"/>
        </w:rPr>
      </w:pPr>
    </w:p>
    <w:p w14:paraId="68E87724" w14:textId="77777777" w:rsidR="00D45D5F" w:rsidRDefault="00D45D5F" w:rsidP="00D45D5F">
      <w:pPr>
        <w:jc w:val="center"/>
        <w:rPr>
          <w:rFonts w:ascii="Arial" w:hAnsi="Arial" w:cs="Arial"/>
          <w:sz w:val="36"/>
          <w:szCs w:val="36"/>
        </w:rPr>
      </w:pPr>
    </w:p>
    <w:p w14:paraId="4C80EDF6" w14:textId="77777777" w:rsidR="008B59C1" w:rsidRPr="00731E12" w:rsidRDefault="008B59C1" w:rsidP="00D45D5F">
      <w:pPr>
        <w:jc w:val="center"/>
        <w:rPr>
          <w:rFonts w:ascii="Arial" w:hAnsi="Arial" w:cs="Arial"/>
          <w:sz w:val="36"/>
          <w:szCs w:val="36"/>
        </w:rPr>
      </w:pPr>
    </w:p>
    <w:p w14:paraId="6C837FF3" w14:textId="77777777" w:rsidR="00731E12" w:rsidRPr="00731E12" w:rsidRDefault="00731E12" w:rsidP="00731E12">
      <w:pPr>
        <w:spacing w:line="240" w:lineRule="auto"/>
        <w:jc w:val="center"/>
        <w:rPr>
          <w:rFonts w:ascii="Arial" w:hAnsi="Arial" w:cs="Arial"/>
          <w:sz w:val="36"/>
          <w:szCs w:val="36"/>
        </w:rPr>
      </w:pPr>
    </w:p>
    <w:p w14:paraId="392F9305" w14:textId="77777777" w:rsidR="00D45D5F" w:rsidRPr="00731E12" w:rsidRDefault="00D45D5F" w:rsidP="00731E12">
      <w:pPr>
        <w:spacing w:line="240" w:lineRule="auto"/>
        <w:jc w:val="center"/>
        <w:rPr>
          <w:rFonts w:ascii="Arial" w:hAnsi="Arial" w:cs="Arial"/>
          <w:sz w:val="22"/>
          <w:szCs w:val="22"/>
        </w:rPr>
      </w:pPr>
      <w:r w:rsidRPr="00731E12">
        <w:rPr>
          <w:rFonts w:ascii="Arial" w:hAnsi="Arial" w:cs="Arial"/>
          <w:sz w:val="22"/>
          <w:szCs w:val="22"/>
        </w:rPr>
        <w:t>Module details</w:t>
      </w:r>
    </w:p>
    <w:p w14:paraId="7127F2B7" w14:textId="77777777" w:rsidR="00D45D5F" w:rsidRPr="00731E12" w:rsidRDefault="00D45D5F" w:rsidP="00731E12">
      <w:pPr>
        <w:spacing w:line="240" w:lineRule="auto"/>
        <w:jc w:val="center"/>
        <w:rPr>
          <w:rFonts w:ascii="Arial" w:hAnsi="Arial" w:cs="Arial"/>
          <w:sz w:val="22"/>
          <w:szCs w:val="22"/>
        </w:rPr>
      </w:pPr>
      <w:r w:rsidRPr="00731E12">
        <w:rPr>
          <w:rFonts w:ascii="Arial" w:hAnsi="Arial" w:cs="Arial"/>
          <w:sz w:val="22"/>
          <w:szCs w:val="22"/>
        </w:rPr>
        <w:t>Global Business Challenges</w:t>
      </w:r>
    </w:p>
    <w:p w14:paraId="249756C2" w14:textId="77777777" w:rsidR="00D45D5F" w:rsidRPr="00731E12" w:rsidRDefault="00D45D5F" w:rsidP="00731E12">
      <w:pPr>
        <w:spacing w:line="240" w:lineRule="auto"/>
        <w:jc w:val="center"/>
        <w:rPr>
          <w:rFonts w:ascii="Arial" w:hAnsi="Arial" w:cs="Arial"/>
          <w:sz w:val="22"/>
          <w:szCs w:val="22"/>
        </w:rPr>
      </w:pPr>
      <w:r w:rsidRPr="00731E12">
        <w:rPr>
          <w:rFonts w:ascii="Arial" w:hAnsi="Arial" w:cs="Arial"/>
          <w:sz w:val="22"/>
          <w:szCs w:val="22"/>
        </w:rPr>
        <w:t>Tutor: Anthony Burns</w:t>
      </w:r>
    </w:p>
    <w:p w14:paraId="5CE8291E" w14:textId="77777777" w:rsidR="00D45D5F" w:rsidRPr="00731E12" w:rsidRDefault="00D45D5F" w:rsidP="00731E12">
      <w:pPr>
        <w:spacing w:line="240" w:lineRule="auto"/>
        <w:jc w:val="center"/>
        <w:rPr>
          <w:rFonts w:ascii="Arial" w:hAnsi="Arial" w:cs="Arial"/>
          <w:sz w:val="22"/>
          <w:szCs w:val="22"/>
        </w:rPr>
      </w:pPr>
      <w:r w:rsidRPr="00731E12">
        <w:rPr>
          <w:rFonts w:ascii="Arial" w:hAnsi="Arial" w:cs="Arial"/>
          <w:sz w:val="22"/>
          <w:szCs w:val="22"/>
        </w:rPr>
        <w:t>Code: BMMB7006D</w:t>
      </w:r>
    </w:p>
    <w:p w14:paraId="517E392B" w14:textId="77777777" w:rsidR="00D45D5F" w:rsidRPr="00731E12" w:rsidRDefault="00D45D5F" w:rsidP="00731E12">
      <w:pPr>
        <w:spacing w:line="240" w:lineRule="auto"/>
        <w:jc w:val="center"/>
        <w:rPr>
          <w:rFonts w:ascii="Arial" w:hAnsi="Arial" w:cs="Arial"/>
          <w:sz w:val="22"/>
          <w:szCs w:val="22"/>
        </w:rPr>
      </w:pPr>
    </w:p>
    <w:p w14:paraId="7263F538" w14:textId="77777777" w:rsidR="00D45D5F" w:rsidRPr="00731E12" w:rsidRDefault="00D45D5F" w:rsidP="00731E12">
      <w:pPr>
        <w:spacing w:line="240" w:lineRule="auto"/>
        <w:jc w:val="center"/>
        <w:rPr>
          <w:rFonts w:ascii="Arial" w:hAnsi="Arial" w:cs="Arial"/>
          <w:sz w:val="22"/>
          <w:szCs w:val="22"/>
        </w:rPr>
      </w:pPr>
    </w:p>
    <w:p w14:paraId="7FC353EF" w14:textId="77777777" w:rsidR="00D45D5F" w:rsidRPr="00731E12" w:rsidRDefault="00D45D5F" w:rsidP="00731E12">
      <w:pPr>
        <w:spacing w:line="240" w:lineRule="auto"/>
        <w:jc w:val="center"/>
        <w:rPr>
          <w:rFonts w:ascii="Arial" w:hAnsi="Arial" w:cs="Arial"/>
          <w:sz w:val="22"/>
          <w:szCs w:val="22"/>
        </w:rPr>
      </w:pPr>
      <w:r w:rsidRPr="00731E12">
        <w:rPr>
          <w:rFonts w:ascii="Arial" w:hAnsi="Arial" w:cs="Arial"/>
          <w:sz w:val="22"/>
          <w:szCs w:val="22"/>
        </w:rPr>
        <w:t>Student Details</w:t>
      </w:r>
    </w:p>
    <w:p w14:paraId="0377FBED" w14:textId="77777777" w:rsidR="00D45D5F" w:rsidRPr="00731E12" w:rsidRDefault="00D45D5F" w:rsidP="00731E12">
      <w:pPr>
        <w:spacing w:line="240" w:lineRule="auto"/>
        <w:jc w:val="center"/>
        <w:rPr>
          <w:rFonts w:ascii="Arial" w:hAnsi="Arial" w:cs="Arial"/>
          <w:sz w:val="22"/>
          <w:szCs w:val="22"/>
        </w:rPr>
      </w:pPr>
      <w:r w:rsidRPr="00731E12">
        <w:rPr>
          <w:rFonts w:ascii="Arial" w:hAnsi="Arial" w:cs="Arial"/>
          <w:sz w:val="22"/>
          <w:szCs w:val="22"/>
        </w:rPr>
        <w:t>Liliana-Melania Gaina</w:t>
      </w:r>
    </w:p>
    <w:p w14:paraId="07EDD65A" w14:textId="10E8821F" w:rsidR="00C33209" w:rsidRPr="00731E12" w:rsidRDefault="00D45D5F" w:rsidP="00731E12">
      <w:pPr>
        <w:spacing w:line="240" w:lineRule="auto"/>
        <w:jc w:val="center"/>
        <w:rPr>
          <w:rFonts w:ascii="Arial" w:hAnsi="Arial" w:cs="Arial"/>
          <w:sz w:val="22"/>
          <w:szCs w:val="22"/>
        </w:rPr>
      </w:pPr>
      <w:r w:rsidRPr="00731E12">
        <w:rPr>
          <w:rFonts w:ascii="Arial" w:hAnsi="Arial" w:cs="Arial"/>
          <w:sz w:val="22"/>
          <w:szCs w:val="22"/>
        </w:rPr>
        <w:t>Number: 2508297</w:t>
      </w:r>
    </w:p>
    <w:p w14:paraId="38C69192" w14:textId="144A00AC" w:rsidR="00E75805" w:rsidRPr="00731E12" w:rsidRDefault="00E75805" w:rsidP="00731E12">
      <w:pPr>
        <w:jc w:val="center"/>
        <w:rPr>
          <w:rFonts w:ascii="Arial" w:hAnsi="Arial" w:cs="Arial"/>
        </w:rPr>
      </w:pPr>
    </w:p>
    <w:p w14:paraId="59570BE4" w14:textId="77777777" w:rsidR="00731E12" w:rsidRPr="00731E12" w:rsidRDefault="00731E12" w:rsidP="00731E12">
      <w:pPr>
        <w:jc w:val="center"/>
        <w:rPr>
          <w:rFonts w:ascii="Arial" w:hAnsi="Arial" w:cs="Arial"/>
        </w:rPr>
      </w:pPr>
    </w:p>
    <w:p w14:paraId="7F525D42" w14:textId="77777777" w:rsidR="00BC7015" w:rsidRDefault="00BC7015" w:rsidP="00731E12">
      <w:pPr>
        <w:pStyle w:val="Heading2"/>
        <w:rPr>
          <w:rFonts w:ascii="Arial" w:hAnsi="Arial" w:cs="Arial"/>
          <w:color w:val="000000" w:themeColor="text1"/>
        </w:rPr>
      </w:pPr>
    </w:p>
    <w:sdt>
      <w:sdtPr>
        <w:id w:val="37176751"/>
        <w:docPartObj>
          <w:docPartGallery w:val="Table of Contents"/>
          <w:docPartUnique/>
        </w:docPartObj>
      </w:sdtPr>
      <w:sdtEndPr>
        <w:rPr>
          <w:rFonts w:asciiTheme="minorHAnsi" w:eastAsiaTheme="minorHAnsi" w:hAnsiTheme="minorHAnsi" w:cstheme="minorBidi"/>
          <w:noProof/>
          <w:color w:val="auto"/>
          <w:kern w:val="2"/>
          <w:sz w:val="24"/>
          <w:szCs w:val="24"/>
          <w:lang w:val="en-CZ"/>
          <w14:ligatures w14:val="standardContextual"/>
        </w:rPr>
      </w:sdtEndPr>
      <w:sdtContent>
        <w:p w14:paraId="69DB1FC1" w14:textId="00FA7CE1" w:rsidR="00BC7015" w:rsidRPr="008B59C1" w:rsidRDefault="00BC7015" w:rsidP="00BC7015">
          <w:pPr>
            <w:pStyle w:val="TOCHeading"/>
            <w:spacing w:line="360" w:lineRule="auto"/>
            <w:rPr>
              <w:rFonts w:ascii="Arial" w:hAnsi="Arial" w:cs="Arial"/>
              <w:b w:val="0"/>
              <w:bCs w:val="0"/>
              <w:color w:val="000000" w:themeColor="text1"/>
              <w:kern w:val="2"/>
              <w:sz w:val="32"/>
              <w:szCs w:val="32"/>
              <w:lang w:val="en-CZ"/>
              <w14:ligatures w14:val="standardContextual"/>
            </w:rPr>
          </w:pPr>
          <w:r w:rsidRPr="008B59C1">
            <w:rPr>
              <w:rFonts w:ascii="Arial" w:hAnsi="Arial" w:cs="Arial"/>
              <w:b w:val="0"/>
              <w:bCs w:val="0"/>
              <w:color w:val="000000" w:themeColor="text1"/>
              <w:kern w:val="2"/>
              <w:sz w:val="32"/>
              <w:szCs w:val="32"/>
              <w:lang w:val="en-CZ"/>
              <w14:ligatures w14:val="standardContextual"/>
            </w:rPr>
            <w:t>Table of Contents</w:t>
          </w:r>
        </w:p>
        <w:p w14:paraId="1B935C9F" w14:textId="27469682" w:rsidR="008B59C1" w:rsidRPr="008B59C1" w:rsidRDefault="00BC7015">
          <w:pPr>
            <w:pStyle w:val="TOC2"/>
            <w:tabs>
              <w:tab w:val="right" w:leader="dot" w:pos="9350"/>
            </w:tabs>
            <w:rPr>
              <w:rFonts w:eastAsiaTheme="minorEastAsia"/>
              <w:b w:val="0"/>
              <w:bCs w:val="0"/>
              <w:noProof/>
              <w:sz w:val="24"/>
              <w:szCs w:val="24"/>
            </w:rPr>
          </w:pPr>
          <w:r w:rsidRPr="008B59C1">
            <w:rPr>
              <w:rFonts w:ascii="Arial" w:hAnsi="Arial" w:cs="Arial"/>
              <w:b w:val="0"/>
              <w:bCs w:val="0"/>
            </w:rPr>
            <w:fldChar w:fldCharType="begin"/>
          </w:r>
          <w:r w:rsidRPr="008B59C1">
            <w:rPr>
              <w:rFonts w:ascii="Arial" w:hAnsi="Arial" w:cs="Arial"/>
              <w:b w:val="0"/>
              <w:bCs w:val="0"/>
            </w:rPr>
            <w:instrText xml:space="preserve"> TOC \o "1-3" \h \z \u </w:instrText>
          </w:r>
          <w:r w:rsidRPr="008B59C1">
            <w:rPr>
              <w:rFonts w:ascii="Arial" w:hAnsi="Arial" w:cs="Arial"/>
              <w:b w:val="0"/>
              <w:bCs w:val="0"/>
            </w:rPr>
            <w:fldChar w:fldCharType="separate"/>
          </w:r>
          <w:hyperlink w:anchor="_Toc216278884" w:history="1">
            <w:r w:rsidR="008B59C1" w:rsidRPr="008B59C1">
              <w:rPr>
                <w:rStyle w:val="Hyperlink"/>
                <w:rFonts w:ascii="Arial" w:hAnsi="Arial" w:cs="Arial"/>
                <w:b w:val="0"/>
                <w:bCs w:val="0"/>
                <w:noProof/>
              </w:rPr>
              <w:t>Executive Summary</w:t>
            </w:r>
            <w:r w:rsidR="008B59C1" w:rsidRPr="008B59C1">
              <w:rPr>
                <w:b w:val="0"/>
                <w:bCs w:val="0"/>
                <w:noProof/>
                <w:webHidden/>
              </w:rPr>
              <w:tab/>
            </w:r>
            <w:r w:rsidR="008B59C1" w:rsidRPr="008B59C1">
              <w:rPr>
                <w:b w:val="0"/>
                <w:bCs w:val="0"/>
                <w:noProof/>
                <w:webHidden/>
              </w:rPr>
              <w:fldChar w:fldCharType="begin"/>
            </w:r>
            <w:r w:rsidR="008B59C1" w:rsidRPr="008B59C1">
              <w:rPr>
                <w:b w:val="0"/>
                <w:bCs w:val="0"/>
                <w:noProof/>
                <w:webHidden/>
              </w:rPr>
              <w:instrText xml:space="preserve"> PAGEREF _Toc216278884 \h </w:instrText>
            </w:r>
            <w:r w:rsidR="008B59C1" w:rsidRPr="008B59C1">
              <w:rPr>
                <w:b w:val="0"/>
                <w:bCs w:val="0"/>
                <w:noProof/>
                <w:webHidden/>
              </w:rPr>
            </w:r>
            <w:r w:rsidR="008B59C1" w:rsidRPr="008B59C1">
              <w:rPr>
                <w:b w:val="0"/>
                <w:bCs w:val="0"/>
                <w:noProof/>
                <w:webHidden/>
              </w:rPr>
              <w:fldChar w:fldCharType="separate"/>
            </w:r>
            <w:r w:rsidR="008B59C1" w:rsidRPr="008B59C1">
              <w:rPr>
                <w:b w:val="0"/>
                <w:bCs w:val="0"/>
                <w:noProof/>
                <w:webHidden/>
              </w:rPr>
              <w:t>2</w:t>
            </w:r>
            <w:r w:rsidR="008B59C1" w:rsidRPr="008B59C1">
              <w:rPr>
                <w:b w:val="0"/>
                <w:bCs w:val="0"/>
                <w:noProof/>
                <w:webHidden/>
              </w:rPr>
              <w:fldChar w:fldCharType="end"/>
            </w:r>
          </w:hyperlink>
        </w:p>
        <w:p w14:paraId="7F5503A5" w14:textId="1D937C00" w:rsidR="008B59C1" w:rsidRPr="008B59C1" w:rsidRDefault="008B59C1">
          <w:pPr>
            <w:pStyle w:val="TOC2"/>
            <w:tabs>
              <w:tab w:val="right" w:leader="dot" w:pos="9350"/>
            </w:tabs>
            <w:rPr>
              <w:rFonts w:eastAsiaTheme="minorEastAsia"/>
              <w:b w:val="0"/>
              <w:bCs w:val="0"/>
              <w:noProof/>
              <w:sz w:val="24"/>
              <w:szCs w:val="24"/>
            </w:rPr>
          </w:pPr>
          <w:hyperlink w:anchor="_Toc216278885" w:history="1">
            <w:r w:rsidRPr="008B59C1">
              <w:rPr>
                <w:rStyle w:val="Hyperlink"/>
                <w:rFonts w:ascii="Arial" w:hAnsi="Arial" w:cs="Arial"/>
                <w:b w:val="0"/>
                <w:bCs w:val="0"/>
                <w:noProof/>
              </w:rPr>
              <w:t>Introduction</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_Toc216278885 \h </w:instrText>
            </w:r>
            <w:r w:rsidRPr="008B59C1">
              <w:rPr>
                <w:b w:val="0"/>
                <w:bCs w:val="0"/>
                <w:noProof/>
                <w:webHidden/>
              </w:rPr>
            </w:r>
            <w:r w:rsidRPr="008B59C1">
              <w:rPr>
                <w:b w:val="0"/>
                <w:bCs w:val="0"/>
                <w:noProof/>
                <w:webHidden/>
              </w:rPr>
              <w:fldChar w:fldCharType="separate"/>
            </w:r>
            <w:r w:rsidRPr="008B59C1">
              <w:rPr>
                <w:b w:val="0"/>
                <w:bCs w:val="0"/>
                <w:noProof/>
                <w:webHidden/>
              </w:rPr>
              <w:t>4</w:t>
            </w:r>
            <w:r w:rsidRPr="008B59C1">
              <w:rPr>
                <w:b w:val="0"/>
                <w:bCs w:val="0"/>
                <w:noProof/>
                <w:webHidden/>
              </w:rPr>
              <w:fldChar w:fldCharType="end"/>
            </w:r>
          </w:hyperlink>
        </w:p>
        <w:p w14:paraId="7B79C082" w14:textId="71E58EA2" w:rsidR="008B59C1" w:rsidRPr="008B59C1" w:rsidRDefault="008B59C1">
          <w:pPr>
            <w:pStyle w:val="TOC2"/>
            <w:tabs>
              <w:tab w:val="right" w:leader="dot" w:pos="9350"/>
            </w:tabs>
            <w:rPr>
              <w:rFonts w:eastAsiaTheme="minorEastAsia"/>
              <w:b w:val="0"/>
              <w:bCs w:val="0"/>
              <w:noProof/>
              <w:sz w:val="24"/>
              <w:szCs w:val="24"/>
            </w:rPr>
          </w:pPr>
          <w:hyperlink w:anchor="_Toc216278886" w:history="1">
            <w:r w:rsidRPr="008B59C1">
              <w:rPr>
                <w:rStyle w:val="Hyperlink"/>
                <w:rFonts w:ascii="Arial" w:hAnsi="Arial" w:cs="Arial"/>
                <w:b w:val="0"/>
                <w:bCs w:val="0"/>
                <w:noProof/>
              </w:rPr>
              <w:t>PESTEL Analysis</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_Toc216278886 \h </w:instrText>
            </w:r>
            <w:r w:rsidRPr="008B59C1">
              <w:rPr>
                <w:b w:val="0"/>
                <w:bCs w:val="0"/>
                <w:noProof/>
                <w:webHidden/>
              </w:rPr>
            </w:r>
            <w:r w:rsidRPr="008B59C1">
              <w:rPr>
                <w:b w:val="0"/>
                <w:bCs w:val="0"/>
                <w:noProof/>
                <w:webHidden/>
              </w:rPr>
              <w:fldChar w:fldCharType="separate"/>
            </w:r>
            <w:r w:rsidRPr="008B59C1">
              <w:rPr>
                <w:b w:val="0"/>
                <w:bCs w:val="0"/>
                <w:noProof/>
                <w:webHidden/>
              </w:rPr>
              <w:t>7</w:t>
            </w:r>
            <w:r w:rsidRPr="008B59C1">
              <w:rPr>
                <w:b w:val="0"/>
                <w:bCs w:val="0"/>
                <w:noProof/>
                <w:webHidden/>
              </w:rPr>
              <w:fldChar w:fldCharType="end"/>
            </w:r>
          </w:hyperlink>
        </w:p>
        <w:p w14:paraId="08DB26E7" w14:textId="59950F7D" w:rsidR="008B59C1" w:rsidRPr="008B59C1" w:rsidRDefault="008B59C1">
          <w:pPr>
            <w:pStyle w:val="TOC2"/>
            <w:tabs>
              <w:tab w:val="right" w:leader="dot" w:pos="9350"/>
            </w:tabs>
            <w:rPr>
              <w:rFonts w:eastAsiaTheme="minorEastAsia"/>
              <w:b w:val="0"/>
              <w:bCs w:val="0"/>
              <w:noProof/>
              <w:sz w:val="24"/>
              <w:szCs w:val="24"/>
            </w:rPr>
          </w:pPr>
          <w:hyperlink w:anchor="_Toc216278887" w:history="1">
            <w:r w:rsidRPr="008B59C1">
              <w:rPr>
                <w:rStyle w:val="Hyperlink"/>
                <w:rFonts w:ascii="Arial" w:hAnsi="Arial" w:cs="Arial"/>
                <w:b w:val="0"/>
                <w:bCs w:val="0"/>
                <w:noProof/>
              </w:rPr>
              <w:t>Political</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_Toc216278887 \h </w:instrText>
            </w:r>
            <w:r w:rsidRPr="008B59C1">
              <w:rPr>
                <w:b w:val="0"/>
                <w:bCs w:val="0"/>
                <w:noProof/>
                <w:webHidden/>
              </w:rPr>
            </w:r>
            <w:r w:rsidRPr="008B59C1">
              <w:rPr>
                <w:b w:val="0"/>
                <w:bCs w:val="0"/>
                <w:noProof/>
                <w:webHidden/>
              </w:rPr>
              <w:fldChar w:fldCharType="separate"/>
            </w:r>
            <w:r w:rsidRPr="008B59C1">
              <w:rPr>
                <w:b w:val="0"/>
                <w:bCs w:val="0"/>
                <w:noProof/>
                <w:webHidden/>
              </w:rPr>
              <w:t>8</w:t>
            </w:r>
            <w:r w:rsidRPr="008B59C1">
              <w:rPr>
                <w:b w:val="0"/>
                <w:bCs w:val="0"/>
                <w:noProof/>
                <w:webHidden/>
              </w:rPr>
              <w:fldChar w:fldCharType="end"/>
            </w:r>
          </w:hyperlink>
        </w:p>
        <w:p w14:paraId="5A702024" w14:textId="3B55D391" w:rsidR="008B59C1" w:rsidRPr="008B59C1" w:rsidRDefault="008B59C1">
          <w:pPr>
            <w:pStyle w:val="TOC2"/>
            <w:tabs>
              <w:tab w:val="right" w:leader="dot" w:pos="9350"/>
            </w:tabs>
            <w:rPr>
              <w:rFonts w:eastAsiaTheme="minorEastAsia"/>
              <w:b w:val="0"/>
              <w:bCs w:val="0"/>
              <w:noProof/>
              <w:sz w:val="24"/>
              <w:szCs w:val="24"/>
            </w:rPr>
          </w:pPr>
          <w:hyperlink w:anchor="_Toc216278888" w:history="1">
            <w:r w:rsidRPr="008B59C1">
              <w:rPr>
                <w:rStyle w:val="Hyperlink"/>
                <w:rFonts w:ascii="Arial" w:hAnsi="Arial" w:cs="Arial"/>
                <w:b w:val="0"/>
                <w:bCs w:val="0"/>
                <w:noProof/>
              </w:rPr>
              <w:t>Social</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_Toc216278888 \h </w:instrText>
            </w:r>
            <w:r w:rsidRPr="008B59C1">
              <w:rPr>
                <w:b w:val="0"/>
                <w:bCs w:val="0"/>
                <w:noProof/>
                <w:webHidden/>
              </w:rPr>
            </w:r>
            <w:r w:rsidRPr="008B59C1">
              <w:rPr>
                <w:b w:val="0"/>
                <w:bCs w:val="0"/>
                <w:noProof/>
                <w:webHidden/>
              </w:rPr>
              <w:fldChar w:fldCharType="separate"/>
            </w:r>
            <w:r w:rsidRPr="008B59C1">
              <w:rPr>
                <w:b w:val="0"/>
                <w:bCs w:val="0"/>
                <w:noProof/>
                <w:webHidden/>
              </w:rPr>
              <w:t>9</w:t>
            </w:r>
            <w:r w:rsidRPr="008B59C1">
              <w:rPr>
                <w:b w:val="0"/>
                <w:bCs w:val="0"/>
                <w:noProof/>
                <w:webHidden/>
              </w:rPr>
              <w:fldChar w:fldCharType="end"/>
            </w:r>
          </w:hyperlink>
        </w:p>
        <w:p w14:paraId="1A8DF613" w14:textId="768A82E0" w:rsidR="008B59C1" w:rsidRPr="008B59C1" w:rsidRDefault="008B59C1">
          <w:pPr>
            <w:pStyle w:val="TOC2"/>
            <w:tabs>
              <w:tab w:val="right" w:leader="dot" w:pos="9350"/>
            </w:tabs>
            <w:rPr>
              <w:rFonts w:eastAsiaTheme="minorEastAsia"/>
              <w:b w:val="0"/>
              <w:bCs w:val="0"/>
              <w:noProof/>
              <w:sz w:val="24"/>
              <w:szCs w:val="24"/>
            </w:rPr>
          </w:pPr>
          <w:hyperlink w:anchor="_Toc216278889" w:history="1">
            <w:r w:rsidRPr="008B59C1">
              <w:rPr>
                <w:rStyle w:val="Hyperlink"/>
                <w:rFonts w:ascii="Arial" w:hAnsi="Arial" w:cs="Arial"/>
                <w:b w:val="0"/>
                <w:bCs w:val="0"/>
                <w:noProof/>
              </w:rPr>
              <w:t>Environmental</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_Toc216278889 \h </w:instrText>
            </w:r>
            <w:r w:rsidRPr="008B59C1">
              <w:rPr>
                <w:b w:val="0"/>
                <w:bCs w:val="0"/>
                <w:noProof/>
                <w:webHidden/>
              </w:rPr>
            </w:r>
            <w:r w:rsidRPr="008B59C1">
              <w:rPr>
                <w:b w:val="0"/>
                <w:bCs w:val="0"/>
                <w:noProof/>
                <w:webHidden/>
              </w:rPr>
              <w:fldChar w:fldCharType="separate"/>
            </w:r>
            <w:r w:rsidRPr="008B59C1">
              <w:rPr>
                <w:b w:val="0"/>
                <w:bCs w:val="0"/>
                <w:noProof/>
                <w:webHidden/>
              </w:rPr>
              <w:t>11</w:t>
            </w:r>
            <w:r w:rsidRPr="008B59C1">
              <w:rPr>
                <w:b w:val="0"/>
                <w:bCs w:val="0"/>
                <w:noProof/>
                <w:webHidden/>
              </w:rPr>
              <w:fldChar w:fldCharType="end"/>
            </w:r>
          </w:hyperlink>
        </w:p>
        <w:p w14:paraId="5325E715" w14:textId="361FEC2B" w:rsidR="008B59C1" w:rsidRPr="008B59C1" w:rsidRDefault="008B59C1">
          <w:pPr>
            <w:pStyle w:val="TOC2"/>
            <w:tabs>
              <w:tab w:val="right" w:leader="dot" w:pos="9350"/>
            </w:tabs>
            <w:rPr>
              <w:rFonts w:eastAsiaTheme="minorEastAsia"/>
              <w:b w:val="0"/>
              <w:bCs w:val="0"/>
              <w:noProof/>
              <w:sz w:val="24"/>
              <w:szCs w:val="24"/>
            </w:rPr>
          </w:pPr>
          <w:hyperlink w:anchor="_Toc216278890" w:history="1">
            <w:r w:rsidRPr="008B59C1">
              <w:rPr>
                <w:rStyle w:val="Hyperlink"/>
                <w:rFonts w:ascii="Arial" w:hAnsi="Arial" w:cs="Arial"/>
                <w:b w:val="0"/>
                <w:bCs w:val="0"/>
                <w:noProof/>
              </w:rPr>
              <w:t>Legal</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_Toc216278890 \h </w:instrText>
            </w:r>
            <w:r w:rsidRPr="008B59C1">
              <w:rPr>
                <w:b w:val="0"/>
                <w:bCs w:val="0"/>
                <w:noProof/>
                <w:webHidden/>
              </w:rPr>
            </w:r>
            <w:r w:rsidRPr="008B59C1">
              <w:rPr>
                <w:b w:val="0"/>
                <w:bCs w:val="0"/>
                <w:noProof/>
                <w:webHidden/>
              </w:rPr>
              <w:fldChar w:fldCharType="separate"/>
            </w:r>
            <w:r w:rsidRPr="008B59C1">
              <w:rPr>
                <w:b w:val="0"/>
                <w:bCs w:val="0"/>
                <w:noProof/>
                <w:webHidden/>
              </w:rPr>
              <w:t>12</w:t>
            </w:r>
            <w:r w:rsidRPr="008B59C1">
              <w:rPr>
                <w:b w:val="0"/>
                <w:bCs w:val="0"/>
                <w:noProof/>
                <w:webHidden/>
              </w:rPr>
              <w:fldChar w:fldCharType="end"/>
            </w:r>
          </w:hyperlink>
        </w:p>
        <w:p w14:paraId="701EE299" w14:textId="706FC3FB" w:rsidR="008B59C1" w:rsidRPr="008B59C1" w:rsidRDefault="008B59C1">
          <w:pPr>
            <w:pStyle w:val="TOC2"/>
            <w:tabs>
              <w:tab w:val="right" w:leader="dot" w:pos="9350"/>
            </w:tabs>
            <w:rPr>
              <w:rFonts w:eastAsiaTheme="minorEastAsia"/>
              <w:b w:val="0"/>
              <w:bCs w:val="0"/>
              <w:noProof/>
              <w:sz w:val="24"/>
              <w:szCs w:val="24"/>
            </w:rPr>
          </w:pPr>
          <w:hyperlink w:anchor="_Toc216278891" w:history="1">
            <w:r w:rsidRPr="008B59C1">
              <w:rPr>
                <w:rStyle w:val="Hyperlink"/>
                <w:rFonts w:ascii="Arial" w:hAnsi="Arial" w:cs="Arial"/>
                <w:b w:val="0"/>
                <w:bCs w:val="0"/>
                <w:noProof/>
              </w:rPr>
              <w:t>Porter's Five Forces Analysis</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_Toc216278891 \h </w:instrText>
            </w:r>
            <w:r w:rsidRPr="008B59C1">
              <w:rPr>
                <w:b w:val="0"/>
                <w:bCs w:val="0"/>
                <w:noProof/>
                <w:webHidden/>
              </w:rPr>
            </w:r>
            <w:r w:rsidRPr="008B59C1">
              <w:rPr>
                <w:b w:val="0"/>
                <w:bCs w:val="0"/>
                <w:noProof/>
                <w:webHidden/>
              </w:rPr>
              <w:fldChar w:fldCharType="separate"/>
            </w:r>
            <w:r w:rsidRPr="008B59C1">
              <w:rPr>
                <w:b w:val="0"/>
                <w:bCs w:val="0"/>
                <w:noProof/>
                <w:webHidden/>
              </w:rPr>
              <w:t>13</w:t>
            </w:r>
            <w:r w:rsidRPr="008B59C1">
              <w:rPr>
                <w:b w:val="0"/>
                <w:bCs w:val="0"/>
                <w:noProof/>
                <w:webHidden/>
              </w:rPr>
              <w:fldChar w:fldCharType="end"/>
            </w:r>
          </w:hyperlink>
        </w:p>
        <w:p w14:paraId="6BE7FCD8" w14:textId="437071A9" w:rsidR="008B59C1" w:rsidRPr="008B59C1" w:rsidRDefault="008B59C1">
          <w:pPr>
            <w:pStyle w:val="TOC3"/>
            <w:tabs>
              <w:tab w:val="right" w:leader="dot" w:pos="9350"/>
            </w:tabs>
            <w:rPr>
              <w:rFonts w:eastAsiaTheme="minorEastAsia"/>
              <w:noProof/>
              <w:sz w:val="24"/>
              <w:szCs w:val="24"/>
            </w:rPr>
          </w:pPr>
          <w:hyperlink w:anchor="_Toc216278892" w:history="1">
            <w:r w:rsidRPr="008B59C1">
              <w:rPr>
                <w:rStyle w:val="Hyperlink"/>
                <w:rFonts w:ascii="Arial" w:hAnsi="Arial" w:cs="Arial"/>
                <w:noProof/>
              </w:rPr>
              <w:t>Competitive Rivalry</w:t>
            </w:r>
            <w:r w:rsidRPr="008B59C1">
              <w:rPr>
                <w:noProof/>
                <w:webHidden/>
              </w:rPr>
              <w:tab/>
            </w:r>
            <w:r w:rsidRPr="008B59C1">
              <w:rPr>
                <w:noProof/>
                <w:webHidden/>
              </w:rPr>
              <w:fldChar w:fldCharType="begin"/>
            </w:r>
            <w:r w:rsidRPr="008B59C1">
              <w:rPr>
                <w:noProof/>
                <w:webHidden/>
              </w:rPr>
              <w:instrText xml:space="preserve"> PAGEREF _Toc216278892 \h </w:instrText>
            </w:r>
            <w:r w:rsidRPr="008B59C1">
              <w:rPr>
                <w:noProof/>
                <w:webHidden/>
              </w:rPr>
            </w:r>
            <w:r w:rsidRPr="008B59C1">
              <w:rPr>
                <w:noProof/>
                <w:webHidden/>
              </w:rPr>
              <w:fldChar w:fldCharType="separate"/>
            </w:r>
            <w:r w:rsidRPr="008B59C1">
              <w:rPr>
                <w:noProof/>
                <w:webHidden/>
              </w:rPr>
              <w:t>13</w:t>
            </w:r>
            <w:r w:rsidRPr="008B59C1">
              <w:rPr>
                <w:noProof/>
                <w:webHidden/>
              </w:rPr>
              <w:fldChar w:fldCharType="end"/>
            </w:r>
          </w:hyperlink>
        </w:p>
        <w:p w14:paraId="3DDBCEA6" w14:textId="67ED8640" w:rsidR="008B59C1" w:rsidRPr="008B59C1" w:rsidRDefault="008B59C1">
          <w:pPr>
            <w:pStyle w:val="TOC3"/>
            <w:tabs>
              <w:tab w:val="right" w:leader="dot" w:pos="9350"/>
            </w:tabs>
            <w:rPr>
              <w:rFonts w:eastAsiaTheme="minorEastAsia"/>
              <w:noProof/>
              <w:sz w:val="24"/>
              <w:szCs w:val="24"/>
            </w:rPr>
          </w:pPr>
          <w:hyperlink w:anchor="_Toc216278893" w:history="1">
            <w:r w:rsidRPr="008B59C1">
              <w:rPr>
                <w:rStyle w:val="Hyperlink"/>
                <w:rFonts w:ascii="Arial" w:hAnsi="Arial" w:cs="Arial"/>
                <w:noProof/>
              </w:rPr>
              <w:t>Threat of Substitutes</w:t>
            </w:r>
            <w:r w:rsidRPr="008B59C1">
              <w:rPr>
                <w:noProof/>
                <w:webHidden/>
              </w:rPr>
              <w:tab/>
            </w:r>
            <w:r w:rsidRPr="008B59C1">
              <w:rPr>
                <w:noProof/>
                <w:webHidden/>
              </w:rPr>
              <w:fldChar w:fldCharType="begin"/>
            </w:r>
            <w:r w:rsidRPr="008B59C1">
              <w:rPr>
                <w:noProof/>
                <w:webHidden/>
              </w:rPr>
              <w:instrText xml:space="preserve"> PAGEREF _Toc216278893 \h </w:instrText>
            </w:r>
            <w:r w:rsidRPr="008B59C1">
              <w:rPr>
                <w:noProof/>
                <w:webHidden/>
              </w:rPr>
            </w:r>
            <w:r w:rsidRPr="008B59C1">
              <w:rPr>
                <w:noProof/>
                <w:webHidden/>
              </w:rPr>
              <w:fldChar w:fldCharType="separate"/>
            </w:r>
            <w:r w:rsidRPr="008B59C1">
              <w:rPr>
                <w:noProof/>
                <w:webHidden/>
              </w:rPr>
              <w:t>13</w:t>
            </w:r>
            <w:r w:rsidRPr="008B59C1">
              <w:rPr>
                <w:noProof/>
                <w:webHidden/>
              </w:rPr>
              <w:fldChar w:fldCharType="end"/>
            </w:r>
          </w:hyperlink>
        </w:p>
        <w:p w14:paraId="34938A9A" w14:textId="3BF2A745" w:rsidR="008B59C1" w:rsidRPr="008B59C1" w:rsidRDefault="008B59C1">
          <w:pPr>
            <w:pStyle w:val="TOC3"/>
            <w:tabs>
              <w:tab w:val="right" w:leader="dot" w:pos="9350"/>
            </w:tabs>
            <w:rPr>
              <w:rFonts w:eastAsiaTheme="minorEastAsia"/>
              <w:noProof/>
              <w:sz w:val="24"/>
              <w:szCs w:val="24"/>
            </w:rPr>
          </w:pPr>
          <w:hyperlink w:anchor="_Toc216278894" w:history="1">
            <w:r w:rsidRPr="008B59C1">
              <w:rPr>
                <w:rStyle w:val="Hyperlink"/>
                <w:rFonts w:ascii="Arial" w:hAnsi="Arial" w:cs="Arial"/>
                <w:noProof/>
              </w:rPr>
              <w:t>Threat of New Entrants</w:t>
            </w:r>
            <w:r w:rsidRPr="008B59C1">
              <w:rPr>
                <w:noProof/>
                <w:webHidden/>
              </w:rPr>
              <w:tab/>
            </w:r>
            <w:r w:rsidRPr="008B59C1">
              <w:rPr>
                <w:noProof/>
                <w:webHidden/>
              </w:rPr>
              <w:fldChar w:fldCharType="begin"/>
            </w:r>
            <w:r w:rsidRPr="008B59C1">
              <w:rPr>
                <w:noProof/>
                <w:webHidden/>
              </w:rPr>
              <w:instrText xml:space="preserve"> PAGEREF _Toc216278894 \h </w:instrText>
            </w:r>
            <w:r w:rsidRPr="008B59C1">
              <w:rPr>
                <w:noProof/>
                <w:webHidden/>
              </w:rPr>
            </w:r>
            <w:r w:rsidRPr="008B59C1">
              <w:rPr>
                <w:noProof/>
                <w:webHidden/>
              </w:rPr>
              <w:fldChar w:fldCharType="separate"/>
            </w:r>
            <w:r w:rsidRPr="008B59C1">
              <w:rPr>
                <w:noProof/>
                <w:webHidden/>
              </w:rPr>
              <w:t>13</w:t>
            </w:r>
            <w:r w:rsidRPr="008B59C1">
              <w:rPr>
                <w:noProof/>
                <w:webHidden/>
              </w:rPr>
              <w:fldChar w:fldCharType="end"/>
            </w:r>
          </w:hyperlink>
        </w:p>
        <w:p w14:paraId="1B38F6B0" w14:textId="33B74304" w:rsidR="008B59C1" w:rsidRPr="008B59C1" w:rsidRDefault="008B59C1">
          <w:pPr>
            <w:pStyle w:val="TOC3"/>
            <w:tabs>
              <w:tab w:val="right" w:leader="dot" w:pos="9350"/>
            </w:tabs>
            <w:rPr>
              <w:rFonts w:eastAsiaTheme="minorEastAsia"/>
              <w:noProof/>
              <w:sz w:val="24"/>
              <w:szCs w:val="24"/>
            </w:rPr>
          </w:pPr>
          <w:hyperlink w:anchor="_Toc216278895" w:history="1">
            <w:r w:rsidRPr="008B59C1">
              <w:rPr>
                <w:rStyle w:val="Hyperlink"/>
                <w:rFonts w:ascii="Arial" w:hAnsi="Arial" w:cs="Arial"/>
                <w:noProof/>
              </w:rPr>
              <w:t>Bargaining Power of Suppliers</w:t>
            </w:r>
            <w:r w:rsidRPr="008B59C1">
              <w:rPr>
                <w:noProof/>
                <w:webHidden/>
              </w:rPr>
              <w:tab/>
            </w:r>
            <w:r w:rsidRPr="008B59C1">
              <w:rPr>
                <w:noProof/>
                <w:webHidden/>
              </w:rPr>
              <w:fldChar w:fldCharType="begin"/>
            </w:r>
            <w:r w:rsidRPr="008B59C1">
              <w:rPr>
                <w:noProof/>
                <w:webHidden/>
              </w:rPr>
              <w:instrText xml:space="preserve"> PAGEREF _Toc216278895 \h </w:instrText>
            </w:r>
            <w:r w:rsidRPr="008B59C1">
              <w:rPr>
                <w:noProof/>
                <w:webHidden/>
              </w:rPr>
            </w:r>
            <w:r w:rsidRPr="008B59C1">
              <w:rPr>
                <w:noProof/>
                <w:webHidden/>
              </w:rPr>
              <w:fldChar w:fldCharType="separate"/>
            </w:r>
            <w:r w:rsidRPr="008B59C1">
              <w:rPr>
                <w:noProof/>
                <w:webHidden/>
              </w:rPr>
              <w:t>14</w:t>
            </w:r>
            <w:r w:rsidRPr="008B59C1">
              <w:rPr>
                <w:noProof/>
                <w:webHidden/>
              </w:rPr>
              <w:fldChar w:fldCharType="end"/>
            </w:r>
          </w:hyperlink>
        </w:p>
        <w:p w14:paraId="735C6F03" w14:textId="4ED27A2C" w:rsidR="008B59C1" w:rsidRPr="008B59C1" w:rsidRDefault="008B59C1">
          <w:pPr>
            <w:pStyle w:val="TOC3"/>
            <w:tabs>
              <w:tab w:val="right" w:leader="dot" w:pos="9350"/>
            </w:tabs>
            <w:rPr>
              <w:rFonts w:eastAsiaTheme="minorEastAsia"/>
              <w:noProof/>
              <w:sz w:val="24"/>
              <w:szCs w:val="24"/>
            </w:rPr>
          </w:pPr>
          <w:hyperlink w:anchor="_Toc216278896" w:history="1">
            <w:r w:rsidRPr="008B59C1">
              <w:rPr>
                <w:rStyle w:val="Hyperlink"/>
                <w:rFonts w:ascii="Arial" w:hAnsi="Arial" w:cs="Arial"/>
                <w:noProof/>
              </w:rPr>
              <w:t>Bargaining Power of Buyers</w:t>
            </w:r>
            <w:r w:rsidRPr="008B59C1">
              <w:rPr>
                <w:noProof/>
                <w:webHidden/>
              </w:rPr>
              <w:tab/>
            </w:r>
            <w:r w:rsidRPr="008B59C1">
              <w:rPr>
                <w:noProof/>
                <w:webHidden/>
              </w:rPr>
              <w:fldChar w:fldCharType="begin"/>
            </w:r>
            <w:r w:rsidRPr="008B59C1">
              <w:rPr>
                <w:noProof/>
                <w:webHidden/>
              </w:rPr>
              <w:instrText xml:space="preserve"> PAGEREF _Toc216278896 \h </w:instrText>
            </w:r>
            <w:r w:rsidRPr="008B59C1">
              <w:rPr>
                <w:noProof/>
                <w:webHidden/>
              </w:rPr>
            </w:r>
            <w:r w:rsidRPr="008B59C1">
              <w:rPr>
                <w:noProof/>
                <w:webHidden/>
              </w:rPr>
              <w:fldChar w:fldCharType="separate"/>
            </w:r>
            <w:r w:rsidRPr="008B59C1">
              <w:rPr>
                <w:noProof/>
                <w:webHidden/>
              </w:rPr>
              <w:t>14</w:t>
            </w:r>
            <w:r w:rsidRPr="008B59C1">
              <w:rPr>
                <w:noProof/>
                <w:webHidden/>
              </w:rPr>
              <w:fldChar w:fldCharType="end"/>
            </w:r>
          </w:hyperlink>
        </w:p>
        <w:p w14:paraId="3C1BC552" w14:textId="22CED662" w:rsidR="008B59C1" w:rsidRPr="008B59C1" w:rsidRDefault="008B59C1">
          <w:pPr>
            <w:pStyle w:val="TOC2"/>
            <w:tabs>
              <w:tab w:val="right" w:leader="dot" w:pos="9350"/>
            </w:tabs>
            <w:rPr>
              <w:rFonts w:eastAsiaTheme="minorEastAsia"/>
              <w:b w:val="0"/>
              <w:bCs w:val="0"/>
              <w:noProof/>
              <w:sz w:val="24"/>
              <w:szCs w:val="24"/>
            </w:rPr>
          </w:pPr>
          <w:hyperlink w:anchor="_Toc216278897" w:history="1">
            <w:r w:rsidRPr="008B59C1">
              <w:rPr>
                <w:rStyle w:val="Hyperlink"/>
                <w:rFonts w:ascii="Arial" w:hAnsi="Arial" w:cs="Arial"/>
                <w:b w:val="0"/>
                <w:bCs w:val="0"/>
                <w:noProof/>
              </w:rPr>
              <w:t>SWOT Analysis and Critical Discussion</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_Toc216278897 \h </w:instrText>
            </w:r>
            <w:r w:rsidRPr="008B59C1">
              <w:rPr>
                <w:b w:val="0"/>
                <w:bCs w:val="0"/>
                <w:noProof/>
                <w:webHidden/>
              </w:rPr>
            </w:r>
            <w:r w:rsidRPr="008B59C1">
              <w:rPr>
                <w:b w:val="0"/>
                <w:bCs w:val="0"/>
                <w:noProof/>
                <w:webHidden/>
              </w:rPr>
              <w:fldChar w:fldCharType="separate"/>
            </w:r>
            <w:r w:rsidRPr="008B59C1">
              <w:rPr>
                <w:b w:val="0"/>
                <w:bCs w:val="0"/>
                <w:noProof/>
                <w:webHidden/>
              </w:rPr>
              <w:t>15</w:t>
            </w:r>
            <w:r w:rsidRPr="008B59C1">
              <w:rPr>
                <w:b w:val="0"/>
                <w:bCs w:val="0"/>
                <w:noProof/>
                <w:webHidden/>
              </w:rPr>
              <w:fldChar w:fldCharType="end"/>
            </w:r>
          </w:hyperlink>
        </w:p>
        <w:p w14:paraId="106D9EC1" w14:textId="3C5FD128" w:rsidR="008B59C1" w:rsidRPr="008B59C1" w:rsidRDefault="008B59C1">
          <w:pPr>
            <w:pStyle w:val="TOC2"/>
            <w:tabs>
              <w:tab w:val="right" w:leader="dot" w:pos="9350"/>
            </w:tabs>
            <w:rPr>
              <w:rFonts w:eastAsiaTheme="minorEastAsia"/>
              <w:b w:val="0"/>
              <w:bCs w:val="0"/>
              <w:noProof/>
              <w:sz w:val="24"/>
              <w:szCs w:val="24"/>
            </w:rPr>
          </w:pPr>
          <w:hyperlink w:anchor="_Toc216278898" w:history="1">
            <w:r w:rsidRPr="008B59C1">
              <w:rPr>
                <w:rStyle w:val="Hyperlink"/>
                <w:rFonts w:ascii="Arial" w:eastAsia="Times New Roman" w:hAnsi="Arial" w:cs="Arial"/>
                <w:b w:val="0"/>
                <w:bCs w:val="0"/>
                <w:noProof/>
              </w:rPr>
              <w:t>Strengths</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_Toc216278898 \h </w:instrText>
            </w:r>
            <w:r w:rsidRPr="008B59C1">
              <w:rPr>
                <w:b w:val="0"/>
                <w:bCs w:val="0"/>
                <w:noProof/>
                <w:webHidden/>
              </w:rPr>
            </w:r>
            <w:r w:rsidRPr="008B59C1">
              <w:rPr>
                <w:b w:val="0"/>
                <w:bCs w:val="0"/>
                <w:noProof/>
                <w:webHidden/>
              </w:rPr>
              <w:fldChar w:fldCharType="separate"/>
            </w:r>
            <w:r w:rsidRPr="008B59C1">
              <w:rPr>
                <w:b w:val="0"/>
                <w:bCs w:val="0"/>
                <w:noProof/>
                <w:webHidden/>
              </w:rPr>
              <w:t>15</w:t>
            </w:r>
            <w:r w:rsidRPr="008B59C1">
              <w:rPr>
                <w:b w:val="0"/>
                <w:bCs w:val="0"/>
                <w:noProof/>
                <w:webHidden/>
              </w:rPr>
              <w:fldChar w:fldCharType="end"/>
            </w:r>
          </w:hyperlink>
        </w:p>
        <w:p w14:paraId="586FFBEC" w14:textId="4DABC04A" w:rsidR="008B59C1" w:rsidRPr="008B59C1" w:rsidRDefault="008B59C1">
          <w:pPr>
            <w:pStyle w:val="TOC2"/>
            <w:tabs>
              <w:tab w:val="right" w:leader="dot" w:pos="9350"/>
            </w:tabs>
            <w:rPr>
              <w:rFonts w:eastAsiaTheme="minorEastAsia"/>
              <w:b w:val="0"/>
              <w:bCs w:val="0"/>
              <w:noProof/>
              <w:sz w:val="24"/>
              <w:szCs w:val="24"/>
            </w:rPr>
          </w:pPr>
          <w:hyperlink w:anchor="_Toc216278899" w:history="1">
            <w:r w:rsidRPr="008B59C1">
              <w:rPr>
                <w:rStyle w:val="Hyperlink"/>
                <w:rFonts w:ascii="Arial" w:eastAsia="Times New Roman" w:hAnsi="Arial" w:cs="Arial"/>
                <w:b w:val="0"/>
                <w:bCs w:val="0"/>
                <w:noProof/>
              </w:rPr>
              <w:t>Weaknesses</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_Toc216278899 \h </w:instrText>
            </w:r>
            <w:r w:rsidRPr="008B59C1">
              <w:rPr>
                <w:b w:val="0"/>
                <w:bCs w:val="0"/>
                <w:noProof/>
                <w:webHidden/>
              </w:rPr>
            </w:r>
            <w:r w:rsidRPr="008B59C1">
              <w:rPr>
                <w:b w:val="0"/>
                <w:bCs w:val="0"/>
                <w:noProof/>
                <w:webHidden/>
              </w:rPr>
              <w:fldChar w:fldCharType="separate"/>
            </w:r>
            <w:r w:rsidRPr="008B59C1">
              <w:rPr>
                <w:b w:val="0"/>
                <w:bCs w:val="0"/>
                <w:noProof/>
                <w:webHidden/>
              </w:rPr>
              <w:t>15</w:t>
            </w:r>
            <w:r w:rsidRPr="008B59C1">
              <w:rPr>
                <w:b w:val="0"/>
                <w:bCs w:val="0"/>
                <w:noProof/>
                <w:webHidden/>
              </w:rPr>
              <w:fldChar w:fldCharType="end"/>
            </w:r>
          </w:hyperlink>
        </w:p>
        <w:p w14:paraId="5B207436" w14:textId="0BE31A8D" w:rsidR="008B59C1" w:rsidRPr="008B59C1" w:rsidRDefault="008B59C1">
          <w:pPr>
            <w:pStyle w:val="TOC2"/>
            <w:tabs>
              <w:tab w:val="right" w:leader="dot" w:pos="9350"/>
            </w:tabs>
            <w:rPr>
              <w:rFonts w:eastAsiaTheme="minorEastAsia"/>
              <w:b w:val="0"/>
              <w:bCs w:val="0"/>
              <w:noProof/>
              <w:sz w:val="24"/>
              <w:szCs w:val="24"/>
            </w:rPr>
          </w:pPr>
          <w:hyperlink w:anchor="_Toc216278900" w:history="1">
            <w:r w:rsidRPr="008B59C1">
              <w:rPr>
                <w:rStyle w:val="Hyperlink"/>
                <w:rFonts w:ascii="Arial" w:eastAsia="Times New Roman" w:hAnsi="Arial" w:cs="Arial"/>
                <w:b w:val="0"/>
                <w:bCs w:val="0"/>
                <w:noProof/>
              </w:rPr>
              <w:t>Opportunities</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_Toc216278900 \h </w:instrText>
            </w:r>
            <w:r w:rsidRPr="008B59C1">
              <w:rPr>
                <w:b w:val="0"/>
                <w:bCs w:val="0"/>
                <w:noProof/>
                <w:webHidden/>
              </w:rPr>
            </w:r>
            <w:r w:rsidRPr="008B59C1">
              <w:rPr>
                <w:b w:val="0"/>
                <w:bCs w:val="0"/>
                <w:noProof/>
                <w:webHidden/>
              </w:rPr>
              <w:fldChar w:fldCharType="separate"/>
            </w:r>
            <w:r w:rsidRPr="008B59C1">
              <w:rPr>
                <w:b w:val="0"/>
                <w:bCs w:val="0"/>
                <w:noProof/>
                <w:webHidden/>
              </w:rPr>
              <w:t>16</w:t>
            </w:r>
            <w:r w:rsidRPr="008B59C1">
              <w:rPr>
                <w:b w:val="0"/>
                <w:bCs w:val="0"/>
                <w:noProof/>
                <w:webHidden/>
              </w:rPr>
              <w:fldChar w:fldCharType="end"/>
            </w:r>
          </w:hyperlink>
        </w:p>
        <w:p w14:paraId="07170F8A" w14:textId="622E89E7" w:rsidR="008B59C1" w:rsidRPr="008B59C1" w:rsidRDefault="008B59C1">
          <w:pPr>
            <w:pStyle w:val="TOC2"/>
            <w:tabs>
              <w:tab w:val="right" w:leader="dot" w:pos="9350"/>
            </w:tabs>
            <w:rPr>
              <w:rFonts w:eastAsiaTheme="minorEastAsia"/>
              <w:b w:val="0"/>
              <w:bCs w:val="0"/>
              <w:noProof/>
              <w:sz w:val="24"/>
              <w:szCs w:val="24"/>
            </w:rPr>
          </w:pPr>
          <w:hyperlink w:anchor="_Toc216278901" w:history="1">
            <w:r w:rsidRPr="008B59C1">
              <w:rPr>
                <w:rStyle w:val="Hyperlink"/>
                <w:rFonts w:ascii="Arial" w:eastAsia="Times New Roman" w:hAnsi="Arial" w:cs="Arial"/>
                <w:b w:val="0"/>
                <w:bCs w:val="0"/>
                <w:noProof/>
              </w:rPr>
              <w:t>Threats</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_Toc216278901 \h </w:instrText>
            </w:r>
            <w:r w:rsidRPr="008B59C1">
              <w:rPr>
                <w:b w:val="0"/>
                <w:bCs w:val="0"/>
                <w:noProof/>
                <w:webHidden/>
              </w:rPr>
            </w:r>
            <w:r w:rsidRPr="008B59C1">
              <w:rPr>
                <w:b w:val="0"/>
                <w:bCs w:val="0"/>
                <w:noProof/>
                <w:webHidden/>
              </w:rPr>
              <w:fldChar w:fldCharType="separate"/>
            </w:r>
            <w:r w:rsidRPr="008B59C1">
              <w:rPr>
                <w:b w:val="0"/>
                <w:bCs w:val="0"/>
                <w:noProof/>
                <w:webHidden/>
              </w:rPr>
              <w:t>16</w:t>
            </w:r>
            <w:r w:rsidRPr="008B59C1">
              <w:rPr>
                <w:b w:val="0"/>
                <w:bCs w:val="0"/>
                <w:noProof/>
                <w:webHidden/>
              </w:rPr>
              <w:fldChar w:fldCharType="end"/>
            </w:r>
          </w:hyperlink>
        </w:p>
        <w:p w14:paraId="1ABBE565" w14:textId="33AEC2E3" w:rsidR="008B59C1" w:rsidRPr="008B59C1" w:rsidRDefault="008B59C1">
          <w:pPr>
            <w:pStyle w:val="TOC2"/>
            <w:tabs>
              <w:tab w:val="right" w:leader="dot" w:pos="9350"/>
            </w:tabs>
            <w:rPr>
              <w:rFonts w:eastAsiaTheme="minorEastAsia"/>
              <w:b w:val="0"/>
              <w:bCs w:val="0"/>
              <w:noProof/>
              <w:sz w:val="24"/>
              <w:szCs w:val="24"/>
            </w:rPr>
          </w:pPr>
          <w:hyperlink w:anchor="_Toc216278902" w:history="1">
            <w:r w:rsidRPr="008B59C1">
              <w:rPr>
                <w:rStyle w:val="Hyperlink"/>
                <w:rFonts w:ascii="Arial" w:hAnsi="Arial" w:cs="Arial"/>
                <w:b w:val="0"/>
                <w:bCs w:val="0"/>
                <w:noProof/>
              </w:rPr>
              <w:t>Conclusion</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_Toc216278902 \h </w:instrText>
            </w:r>
            <w:r w:rsidRPr="008B59C1">
              <w:rPr>
                <w:b w:val="0"/>
                <w:bCs w:val="0"/>
                <w:noProof/>
                <w:webHidden/>
              </w:rPr>
            </w:r>
            <w:r w:rsidRPr="008B59C1">
              <w:rPr>
                <w:b w:val="0"/>
                <w:bCs w:val="0"/>
                <w:noProof/>
                <w:webHidden/>
              </w:rPr>
              <w:fldChar w:fldCharType="separate"/>
            </w:r>
            <w:r w:rsidRPr="008B59C1">
              <w:rPr>
                <w:b w:val="0"/>
                <w:bCs w:val="0"/>
                <w:noProof/>
                <w:webHidden/>
              </w:rPr>
              <w:t>17</w:t>
            </w:r>
            <w:r w:rsidRPr="008B59C1">
              <w:rPr>
                <w:b w:val="0"/>
                <w:bCs w:val="0"/>
                <w:noProof/>
                <w:webHidden/>
              </w:rPr>
              <w:fldChar w:fldCharType="end"/>
            </w:r>
          </w:hyperlink>
        </w:p>
        <w:p w14:paraId="355C1960" w14:textId="4402A25C" w:rsidR="008B59C1" w:rsidRPr="008B59C1" w:rsidRDefault="008B59C1">
          <w:pPr>
            <w:pStyle w:val="TOC2"/>
            <w:tabs>
              <w:tab w:val="right" w:leader="dot" w:pos="9350"/>
            </w:tabs>
            <w:rPr>
              <w:rFonts w:eastAsiaTheme="minorEastAsia"/>
              <w:b w:val="0"/>
              <w:bCs w:val="0"/>
              <w:noProof/>
              <w:sz w:val="24"/>
              <w:szCs w:val="24"/>
            </w:rPr>
          </w:pPr>
          <w:hyperlink w:anchor="_Toc216278903" w:history="1">
            <w:r w:rsidRPr="008B59C1">
              <w:rPr>
                <w:rStyle w:val="Hyperlink"/>
                <w:rFonts w:ascii="Arial" w:hAnsi="Arial" w:cs="Arial"/>
                <w:b w:val="0"/>
                <w:bCs w:val="0"/>
                <w:noProof/>
              </w:rPr>
              <w:t>Recommendations</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_Toc216278903 \h </w:instrText>
            </w:r>
            <w:r w:rsidRPr="008B59C1">
              <w:rPr>
                <w:b w:val="0"/>
                <w:bCs w:val="0"/>
                <w:noProof/>
                <w:webHidden/>
              </w:rPr>
            </w:r>
            <w:r w:rsidRPr="008B59C1">
              <w:rPr>
                <w:b w:val="0"/>
                <w:bCs w:val="0"/>
                <w:noProof/>
                <w:webHidden/>
              </w:rPr>
              <w:fldChar w:fldCharType="separate"/>
            </w:r>
            <w:r w:rsidRPr="008B59C1">
              <w:rPr>
                <w:b w:val="0"/>
                <w:bCs w:val="0"/>
                <w:noProof/>
                <w:webHidden/>
              </w:rPr>
              <w:t>18</w:t>
            </w:r>
            <w:r w:rsidRPr="008B59C1">
              <w:rPr>
                <w:b w:val="0"/>
                <w:bCs w:val="0"/>
                <w:noProof/>
                <w:webHidden/>
              </w:rPr>
              <w:fldChar w:fldCharType="end"/>
            </w:r>
          </w:hyperlink>
        </w:p>
        <w:p w14:paraId="29464EDE" w14:textId="1AC725DD" w:rsidR="008B59C1" w:rsidRPr="008B59C1" w:rsidRDefault="008B59C1">
          <w:pPr>
            <w:pStyle w:val="TOC2"/>
            <w:tabs>
              <w:tab w:val="right" w:leader="dot" w:pos="9350"/>
            </w:tabs>
            <w:rPr>
              <w:rFonts w:eastAsiaTheme="minorEastAsia"/>
              <w:b w:val="0"/>
              <w:bCs w:val="0"/>
              <w:noProof/>
              <w:sz w:val="24"/>
              <w:szCs w:val="24"/>
            </w:rPr>
          </w:pPr>
          <w:hyperlink w:anchor="_Toc216278904" w:history="1">
            <w:r w:rsidRPr="008B59C1">
              <w:rPr>
                <w:rStyle w:val="Hyperlink"/>
                <w:rFonts w:ascii="Arial" w:hAnsi="Arial" w:cs="Arial"/>
                <w:b w:val="0"/>
                <w:bCs w:val="0"/>
                <w:noProof/>
              </w:rPr>
              <w:t>Bibliography</w:t>
            </w:r>
            <w:r w:rsidRPr="008B59C1">
              <w:rPr>
                <w:b w:val="0"/>
                <w:bCs w:val="0"/>
                <w:noProof/>
                <w:webHidden/>
              </w:rPr>
              <w:tab/>
            </w:r>
            <w:r w:rsidRPr="008B59C1">
              <w:rPr>
                <w:b w:val="0"/>
                <w:bCs w:val="0"/>
                <w:noProof/>
                <w:webHidden/>
              </w:rPr>
              <w:fldChar w:fldCharType="begin"/>
            </w:r>
            <w:r w:rsidRPr="008B59C1">
              <w:rPr>
                <w:b w:val="0"/>
                <w:bCs w:val="0"/>
                <w:noProof/>
                <w:webHidden/>
              </w:rPr>
              <w:instrText xml:space="preserve"> PAGEREF _Toc216278904 \h </w:instrText>
            </w:r>
            <w:r w:rsidRPr="008B59C1">
              <w:rPr>
                <w:b w:val="0"/>
                <w:bCs w:val="0"/>
                <w:noProof/>
                <w:webHidden/>
              </w:rPr>
            </w:r>
            <w:r w:rsidRPr="008B59C1">
              <w:rPr>
                <w:b w:val="0"/>
                <w:bCs w:val="0"/>
                <w:noProof/>
                <w:webHidden/>
              </w:rPr>
              <w:fldChar w:fldCharType="separate"/>
            </w:r>
            <w:r w:rsidRPr="008B59C1">
              <w:rPr>
                <w:b w:val="0"/>
                <w:bCs w:val="0"/>
                <w:noProof/>
                <w:webHidden/>
              </w:rPr>
              <w:t>20</w:t>
            </w:r>
            <w:r w:rsidRPr="008B59C1">
              <w:rPr>
                <w:b w:val="0"/>
                <w:bCs w:val="0"/>
                <w:noProof/>
                <w:webHidden/>
              </w:rPr>
              <w:fldChar w:fldCharType="end"/>
            </w:r>
          </w:hyperlink>
        </w:p>
        <w:p w14:paraId="165E2F18" w14:textId="094C7012" w:rsidR="00BC7015" w:rsidRDefault="00BC7015" w:rsidP="00BC7015">
          <w:pPr>
            <w:spacing w:line="360" w:lineRule="auto"/>
          </w:pPr>
          <w:r w:rsidRPr="008B59C1">
            <w:rPr>
              <w:rFonts w:ascii="Arial" w:hAnsi="Arial" w:cs="Arial"/>
              <w:noProof/>
              <w:sz w:val="22"/>
              <w:szCs w:val="22"/>
            </w:rPr>
            <w:fldChar w:fldCharType="end"/>
          </w:r>
        </w:p>
      </w:sdtContent>
    </w:sdt>
    <w:p w14:paraId="5DC246C8" w14:textId="77777777" w:rsidR="00BC7015" w:rsidRDefault="00BC7015" w:rsidP="00731E12">
      <w:pPr>
        <w:pStyle w:val="Heading2"/>
        <w:rPr>
          <w:rFonts w:ascii="Arial" w:hAnsi="Arial" w:cs="Arial"/>
          <w:color w:val="000000" w:themeColor="text1"/>
        </w:rPr>
      </w:pPr>
    </w:p>
    <w:p w14:paraId="124F73F5" w14:textId="77777777" w:rsidR="00BC7015" w:rsidRDefault="00BC7015" w:rsidP="00BC7015"/>
    <w:p w14:paraId="219B7855" w14:textId="77777777" w:rsidR="008B59C1" w:rsidRPr="00BC7015" w:rsidRDefault="008B59C1" w:rsidP="00BC7015"/>
    <w:p w14:paraId="2F8A1F05" w14:textId="73CB6A84" w:rsidR="00E75805" w:rsidRDefault="00E75805" w:rsidP="00731E12">
      <w:pPr>
        <w:pStyle w:val="Heading2"/>
        <w:rPr>
          <w:rFonts w:ascii="Arial" w:hAnsi="Arial" w:cs="Arial"/>
          <w:color w:val="000000" w:themeColor="text1"/>
        </w:rPr>
      </w:pPr>
      <w:bookmarkStart w:id="0" w:name="_Toc216278884"/>
      <w:r w:rsidRPr="00731E12">
        <w:rPr>
          <w:rFonts w:ascii="Arial" w:hAnsi="Arial" w:cs="Arial"/>
          <w:color w:val="000000" w:themeColor="text1"/>
        </w:rPr>
        <w:lastRenderedPageBreak/>
        <w:t>Executive Summary</w:t>
      </w:r>
      <w:bookmarkEnd w:id="0"/>
      <w:r w:rsidRPr="00731E12">
        <w:rPr>
          <w:rFonts w:ascii="Arial" w:hAnsi="Arial" w:cs="Arial"/>
          <w:color w:val="000000" w:themeColor="text1"/>
        </w:rPr>
        <w:t xml:space="preserve"> </w:t>
      </w:r>
    </w:p>
    <w:p w14:paraId="5303B044" w14:textId="77777777" w:rsidR="00731E12" w:rsidRPr="00731E12" w:rsidRDefault="00731E12" w:rsidP="00731E12"/>
    <w:p w14:paraId="67AE1B05" w14:textId="2139C803" w:rsidR="00231566" w:rsidRPr="00731E12" w:rsidRDefault="00C33209" w:rsidP="00731E12">
      <w:pPr>
        <w:spacing w:line="360" w:lineRule="auto"/>
        <w:jc w:val="both"/>
        <w:rPr>
          <w:rFonts w:ascii="Arial" w:hAnsi="Arial" w:cs="Arial"/>
          <w:sz w:val="22"/>
          <w:szCs w:val="22"/>
        </w:rPr>
      </w:pPr>
      <w:r w:rsidRPr="00731E12">
        <w:rPr>
          <w:rFonts w:ascii="Arial" w:hAnsi="Arial" w:cs="Arial"/>
          <w:sz w:val="22"/>
          <w:szCs w:val="22"/>
        </w:rPr>
        <w:t xml:space="preserve">The FMCG sector is characterised by intense competition, rapid technological change, vulnerability to geopolitical </w:t>
      </w:r>
      <w:r w:rsidR="000724A1" w:rsidRPr="00731E12">
        <w:rPr>
          <w:rFonts w:ascii="Arial" w:hAnsi="Arial" w:cs="Arial"/>
          <w:sz w:val="22"/>
          <w:szCs w:val="22"/>
        </w:rPr>
        <w:t>instability and supply chain</w:t>
      </w:r>
      <w:r w:rsidRPr="00731E12">
        <w:rPr>
          <w:rFonts w:ascii="Arial" w:hAnsi="Arial" w:cs="Arial"/>
          <w:sz w:val="22"/>
          <w:szCs w:val="22"/>
        </w:rPr>
        <w:t xml:space="preserve"> disruption, and price-sensitive </w:t>
      </w:r>
      <w:r w:rsidR="000724A1" w:rsidRPr="00731E12">
        <w:rPr>
          <w:rFonts w:ascii="Arial" w:hAnsi="Arial" w:cs="Arial"/>
          <w:sz w:val="22"/>
          <w:szCs w:val="22"/>
        </w:rPr>
        <w:t>consumer</w:t>
      </w:r>
      <w:r w:rsidRPr="00731E12">
        <w:rPr>
          <w:rFonts w:ascii="Arial" w:hAnsi="Arial" w:cs="Arial"/>
          <w:sz w:val="22"/>
          <w:szCs w:val="22"/>
        </w:rPr>
        <w:t xml:space="preserve"> behaviour</w:t>
      </w:r>
      <w:r w:rsidR="00EE706A" w:rsidRPr="00731E12">
        <w:rPr>
          <w:rFonts w:ascii="Arial" w:hAnsi="Arial" w:cs="Arial"/>
          <w:sz w:val="22"/>
          <w:szCs w:val="22"/>
        </w:rPr>
        <w:t xml:space="preserve"> (</w:t>
      </w:r>
      <w:r w:rsidR="00EE706A" w:rsidRPr="00731E12">
        <w:rPr>
          <w:rStyle w:val="text"/>
          <w:rFonts w:ascii="Arial" w:hAnsi="Arial" w:cs="Arial"/>
          <w:sz w:val="22"/>
          <w:szCs w:val="22"/>
        </w:rPr>
        <w:t>Wu</w:t>
      </w:r>
      <w:r w:rsidR="00731E12" w:rsidRPr="00731E12">
        <w:rPr>
          <w:rStyle w:val="text"/>
          <w:rFonts w:ascii="Arial" w:hAnsi="Arial" w:cs="Arial"/>
          <w:sz w:val="22"/>
          <w:szCs w:val="22"/>
        </w:rPr>
        <w:t xml:space="preserve">&amp; </w:t>
      </w:r>
      <w:r w:rsidR="00EE706A" w:rsidRPr="00731E12">
        <w:rPr>
          <w:rStyle w:val="text"/>
          <w:rFonts w:ascii="Arial" w:hAnsi="Arial" w:cs="Arial"/>
          <w:sz w:val="22"/>
          <w:szCs w:val="22"/>
        </w:rPr>
        <w:t>Lam</w:t>
      </w:r>
      <w:r w:rsidR="00EE706A" w:rsidRPr="00731E12">
        <w:rPr>
          <w:rStyle w:val="apple-converted-space"/>
          <w:rFonts w:ascii="Arial" w:hAnsi="Arial" w:cs="Arial"/>
          <w:sz w:val="22"/>
          <w:szCs w:val="22"/>
        </w:rPr>
        <w:t>, 2025)</w:t>
      </w:r>
      <w:r w:rsidR="002557C2" w:rsidRPr="00731E12">
        <w:rPr>
          <w:rFonts w:ascii="Arial" w:hAnsi="Arial" w:cs="Arial"/>
          <w:sz w:val="22"/>
          <w:szCs w:val="22"/>
        </w:rPr>
        <w:t>.</w:t>
      </w:r>
      <w:r w:rsidR="000724A1" w:rsidRPr="00731E12">
        <w:rPr>
          <w:rFonts w:ascii="Arial" w:hAnsi="Arial" w:cs="Arial"/>
          <w:sz w:val="22"/>
          <w:szCs w:val="22"/>
        </w:rPr>
        <w:t xml:space="preserve"> </w:t>
      </w:r>
      <w:r w:rsidR="002D1F45" w:rsidRPr="00731E12">
        <w:rPr>
          <w:rFonts w:ascii="Arial" w:hAnsi="Arial" w:cs="Arial"/>
          <w:sz w:val="22"/>
          <w:szCs w:val="22"/>
        </w:rPr>
        <w:t xml:space="preserve">The fast-moving </w:t>
      </w:r>
      <w:r w:rsidR="000724A1" w:rsidRPr="00731E12">
        <w:rPr>
          <w:rFonts w:ascii="Arial" w:hAnsi="Arial" w:cs="Arial"/>
          <w:sz w:val="22"/>
          <w:szCs w:val="22"/>
        </w:rPr>
        <w:t>consumer</w:t>
      </w:r>
      <w:r w:rsidR="002D1F45" w:rsidRPr="00731E12">
        <w:rPr>
          <w:rFonts w:ascii="Arial" w:hAnsi="Arial" w:cs="Arial"/>
          <w:sz w:val="22"/>
          <w:szCs w:val="22"/>
        </w:rPr>
        <w:t xml:space="preserve"> </w:t>
      </w:r>
      <w:r w:rsidR="000724A1" w:rsidRPr="00731E12">
        <w:rPr>
          <w:rFonts w:ascii="Arial" w:hAnsi="Arial" w:cs="Arial"/>
          <w:sz w:val="22"/>
          <w:szCs w:val="22"/>
        </w:rPr>
        <w:t xml:space="preserve">goods market </w:t>
      </w:r>
      <w:r w:rsidR="002D1F45" w:rsidRPr="00731E12">
        <w:rPr>
          <w:rFonts w:ascii="Arial" w:hAnsi="Arial" w:cs="Arial"/>
          <w:sz w:val="22"/>
          <w:szCs w:val="22"/>
        </w:rPr>
        <w:t xml:space="preserve">is </w:t>
      </w:r>
      <w:r w:rsidR="000724A1" w:rsidRPr="00731E12">
        <w:rPr>
          <w:rFonts w:ascii="Arial" w:hAnsi="Arial" w:cs="Arial"/>
          <w:sz w:val="22"/>
          <w:szCs w:val="22"/>
        </w:rPr>
        <w:t>highly</w:t>
      </w:r>
      <w:r w:rsidR="002D1F45" w:rsidRPr="00731E12">
        <w:rPr>
          <w:rFonts w:ascii="Arial" w:hAnsi="Arial" w:cs="Arial"/>
          <w:sz w:val="22"/>
          <w:szCs w:val="22"/>
        </w:rPr>
        <w:t xml:space="preserve"> competitive, with </w:t>
      </w:r>
      <w:r w:rsidR="000724A1" w:rsidRPr="00731E12">
        <w:rPr>
          <w:rFonts w:ascii="Arial" w:hAnsi="Arial" w:cs="Arial"/>
          <w:sz w:val="22"/>
          <w:szCs w:val="22"/>
        </w:rPr>
        <w:t>consumers</w:t>
      </w:r>
      <w:r w:rsidR="002D1F45" w:rsidRPr="00731E12">
        <w:rPr>
          <w:rFonts w:ascii="Arial" w:hAnsi="Arial" w:cs="Arial"/>
          <w:sz w:val="22"/>
          <w:szCs w:val="22"/>
        </w:rPr>
        <w:t xml:space="preserve"> </w:t>
      </w:r>
      <w:r w:rsidR="000724A1" w:rsidRPr="00731E12">
        <w:rPr>
          <w:rFonts w:ascii="Arial" w:hAnsi="Arial" w:cs="Arial"/>
          <w:sz w:val="22"/>
          <w:szCs w:val="22"/>
        </w:rPr>
        <w:t>constantly seeking</w:t>
      </w:r>
      <w:r w:rsidR="002D1F45" w:rsidRPr="00731E12">
        <w:rPr>
          <w:rFonts w:ascii="Arial" w:hAnsi="Arial" w:cs="Arial"/>
          <w:sz w:val="22"/>
          <w:szCs w:val="22"/>
        </w:rPr>
        <w:t xml:space="preserve"> new product ideas </w:t>
      </w:r>
      <w:r w:rsidR="000724A1" w:rsidRPr="00731E12">
        <w:rPr>
          <w:rFonts w:ascii="Arial" w:hAnsi="Arial" w:cs="Arial"/>
          <w:sz w:val="22"/>
          <w:szCs w:val="22"/>
        </w:rPr>
        <w:t>and innovations</w:t>
      </w:r>
      <w:r w:rsidR="002D1F45" w:rsidRPr="00731E12">
        <w:rPr>
          <w:rFonts w:ascii="Arial" w:hAnsi="Arial" w:cs="Arial"/>
          <w:sz w:val="22"/>
          <w:szCs w:val="22"/>
        </w:rPr>
        <w:t xml:space="preserve"> to </w:t>
      </w:r>
      <w:r w:rsidR="000724A1" w:rsidRPr="00731E12">
        <w:rPr>
          <w:rFonts w:ascii="Arial" w:hAnsi="Arial" w:cs="Arial"/>
          <w:sz w:val="22"/>
          <w:szCs w:val="22"/>
        </w:rPr>
        <w:t>meet</w:t>
      </w:r>
      <w:r w:rsidR="002D1F45" w:rsidRPr="00731E12">
        <w:rPr>
          <w:rFonts w:ascii="Arial" w:hAnsi="Arial" w:cs="Arial"/>
          <w:sz w:val="22"/>
          <w:szCs w:val="22"/>
        </w:rPr>
        <w:t xml:space="preserve"> customer demands.</w:t>
      </w:r>
      <w:r w:rsidR="000724A1" w:rsidRPr="00731E12">
        <w:rPr>
          <w:rFonts w:ascii="Arial" w:hAnsi="Arial" w:cs="Arial"/>
          <w:sz w:val="22"/>
          <w:szCs w:val="22"/>
        </w:rPr>
        <w:t xml:space="preserve"> </w:t>
      </w:r>
      <w:r w:rsidR="002D1F45" w:rsidRPr="00731E12">
        <w:rPr>
          <w:rFonts w:ascii="Arial" w:hAnsi="Arial" w:cs="Arial"/>
          <w:sz w:val="22"/>
          <w:szCs w:val="22"/>
        </w:rPr>
        <w:t>Major companies operating in this market include Nestlé, Procter</w:t>
      </w:r>
      <w:r w:rsidR="00731E12" w:rsidRPr="00731E12">
        <w:rPr>
          <w:rFonts w:ascii="Arial" w:hAnsi="Arial" w:cs="Arial"/>
          <w:sz w:val="22"/>
          <w:szCs w:val="22"/>
        </w:rPr>
        <w:t xml:space="preserve">&amp; </w:t>
      </w:r>
      <w:r w:rsidR="002D1F45" w:rsidRPr="00731E12">
        <w:rPr>
          <w:rFonts w:ascii="Arial" w:hAnsi="Arial" w:cs="Arial"/>
          <w:sz w:val="22"/>
          <w:szCs w:val="22"/>
        </w:rPr>
        <w:t>Gamble (P&amp;G), Unilever, PepsiCo, and The Coca-Cola Company (Statista, 2025)</w:t>
      </w:r>
      <w:r w:rsidR="00731E12" w:rsidRPr="00731E12">
        <w:rPr>
          <w:rFonts w:ascii="Arial" w:hAnsi="Arial" w:cs="Arial"/>
          <w:sz w:val="22"/>
          <w:szCs w:val="22"/>
        </w:rPr>
        <w:t>.</w:t>
      </w:r>
    </w:p>
    <w:p w14:paraId="3D65EF30" w14:textId="3D8AE13C" w:rsidR="00C15BA2" w:rsidRPr="00731E12" w:rsidRDefault="00E75805" w:rsidP="00731E12">
      <w:pPr>
        <w:spacing w:line="360" w:lineRule="auto"/>
        <w:jc w:val="both"/>
        <w:rPr>
          <w:rFonts w:ascii="Arial" w:hAnsi="Arial" w:cs="Arial"/>
          <w:sz w:val="22"/>
          <w:szCs w:val="22"/>
        </w:rPr>
      </w:pPr>
      <w:r w:rsidRPr="00731E12">
        <w:rPr>
          <w:rFonts w:ascii="Arial" w:hAnsi="Arial" w:cs="Arial"/>
          <w:sz w:val="22"/>
          <w:szCs w:val="22"/>
        </w:rPr>
        <w:t>Procter</w:t>
      </w:r>
      <w:r w:rsidR="00731E12" w:rsidRPr="00731E12">
        <w:rPr>
          <w:rFonts w:ascii="Arial" w:hAnsi="Arial" w:cs="Arial"/>
          <w:sz w:val="22"/>
          <w:szCs w:val="22"/>
        </w:rPr>
        <w:t xml:space="preserve">&amp; </w:t>
      </w:r>
      <w:r w:rsidRPr="00731E12">
        <w:rPr>
          <w:rFonts w:ascii="Arial" w:hAnsi="Arial" w:cs="Arial"/>
          <w:sz w:val="22"/>
          <w:szCs w:val="22"/>
        </w:rPr>
        <w:t>Gamble (P&amp;G) is one of the largest fast-moving consumer goods (FMCG) companies in the world, with products sold across more than 180 countries</w:t>
      </w:r>
      <w:r w:rsidR="000724A1" w:rsidRPr="00731E12">
        <w:rPr>
          <w:rFonts w:ascii="Arial" w:hAnsi="Arial" w:cs="Arial"/>
          <w:sz w:val="22"/>
          <w:szCs w:val="22"/>
        </w:rPr>
        <w:t xml:space="preserve"> </w:t>
      </w:r>
      <w:r w:rsidR="00EE706A" w:rsidRPr="00731E12">
        <w:rPr>
          <w:rFonts w:ascii="Arial" w:hAnsi="Arial" w:cs="Arial"/>
          <w:sz w:val="22"/>
          <w:szCs w:val="22"/>
        </w:rPr>
        <w:t>(Dividend One, 2025)</w:t>
      </w:r>
      <w:r w:rsidR="000724A1" w:rsidRPr="00731E12">
        <w:rPr>
          <w:rFonts w:ascii="Arial" w:hAnsi="Arial" w:cs="Arial"/>
          <w:sz w:val="22"/>
          <w:szCs w:val="22"/>
        </w:rPr>
        <w:t>. The company</w:t>
      </w:r>
      <w:r w:rsidR="00C15BA2" w:rsidRPr="00731E12">
        <w:rPr>
          <w:rFonts w:ascii="Arial" w:hAnsi="Arial" w:cs="Arial"/>
          <w:sz w:val="22"/>
          <w:szCs w:val="22"/>
        </w:rPr>
        <w:t xml:space="preserve"> is renowned for its diverse product portfolio and commitment to delivering high-quality, safe, and reliable products to </w:t>
      </w:r>
      <w:r w:rsidR="000724A1" w:rsidRPr="00731E12">
        <w:rPr>
          <w:rFonts w:ascii="Arial" w:hAnsi="Arial" w:cs="Arial"/>
          <w:sz w:val="22"/>
          <w:szCs w:val="22"/>
        </w:rPr>
        <w:t>consumers</w:t>
      </w:r>
      <w:r w:rsidR="00C15BA2" w:rsidRPr="00731E12">
        <w:rPr>
          <w:rFonts w:ascii="Arial" w:hAnsi="Arial" w:cs="Arial"/>
          <w:sz w:val="22"/>
          <w:szCs w:val="22"/>
        </w:rPr>
        <w:t>.</w:t>
      </w:r>
      <w:r w:rsidR="000724A1" w:rsidRPr="00731E12">
        <w:rPr>
          <w:rFonts w:ascii="Arial" w:hAnsi="Arial" w:cs="Arial"/>
          <w:sz w:val="22"/>
          <w:szCs w:val="22"/>
        </w:rPr>
        <w:t xml:space="preserve"> </w:t>
      </w:r>
      <w:r w:rsidRPr="00731E12">
        <w:rPr>
          <w:rFonts w:ascii="Arial" w:hAnsi="Arial" w:cs="Arial"/>
          <w:sz w:val="22"/>
          <w:szCs w:val="22"/>
        </w:rPr>
        <w:t>As a global organisation, P&amp;G is continuously exposed to complex environmental forces that shape its strategic decisions, operational outcomes and long-term competitiveness.</w:t>
      </w:r>
      <w:r w:rsidR="000724A1" w:rsidRPr="00731E12">
        <w:rPr>
          <w:rFonts w:ascii="Arial" w:hAnsi="Arial" w:cs="Arial"/>
          <w:sz w:val="22"/>
          <w:szCs w:val="22"/>
        </w:rPr>
        <w:t xml:space="preserve"> </w:t>
      </w:r>
      <w:r w:rsidRPr="00731E12">
        <w:rPr>
          <w:rFonts w:ascii="Arial" w:hAnsi="Arial" w:cs="Arial"/>
          <w:sz w:val="22"/>
          <w:szCs w:val="22"/>
        </w:rPr>
        <w:t>This report critically evaluates the macroeconomic, industry</w:t>
      </w:r>
      <w:r w:rsidR="00C33209" w:rsidRPr="00731E12">
        <w:rPr>
          <w:rFonts w:ascii="Arial" w:hAnsi="Arial" w:cs="Arial"/>
          <w:sz w:val="22"/>
          <w:szCs w:val="22"/>
        </w:rPr>
        <w:t>,</w:t>
      </w:r>
      <w:r w:rsidRPr="00731E12">
        <w:rPr>
          <w:rFonts w:ascii="Arial" w:hAnsi="Arial" w:cs="Arial"/>
          <w:sz w:val="22"/>
          <w:szCs w:val="22"/>
        </w:rPr>
        <w:t xml:space="preserve"> and competitive factors influencing P&amp;G and explores how the organisation can maintain a strong position in an increasingly dynamic and uncertain international environment.</w:t>
      </w:r>
    </w:p>
    <w:p w14:paraId="60C5EED7" w14:textId="7DC105D8" w:rsidR="00E75805" w:rsidRPr="00731E12" w:rsidRDefault="00E75805" w:rsidP="00731E12">
      <w:pPr>
        <w:spacing w:line="360" w:lineRule="auto"/>
        <w:jc w:val="both"/>
        <w:rPr>
          <w:rFonts w:ascii="Arial" w:hAnsi="Arial" w:cs="Arial"/>
          <w:sz w:val="22"/>
          <w:szCs w:val="22"/>
        </w:rPr>
      </w:pPr>
      <w:r w:rsidRPr="00731E12">
        <w:rPr>
          <w:rFonts w:ascii="Arial" w:hAnsi="Arial" w:cs="Arial"/>
          <w:sz w:val="22"/>
          <w:szCs w:val="22"/>
        </w:rPr>
        <w:t>A PESTEL analysis demonstrates that P&amp;G is highly affected by political and regulatory pressures, particularly re</w:t>
      </w:r>
      <w:r w:rsidR="00C33209" w:rsidRPr="00731E12">
        <w:rPr>
          <w:rFonts w:ascii="Arial" w:hAnsi="Arial" w:cs="Arial"/>
          <w:sz w:val="22"/>
          <w:szCs w:val="22"/>
        </w:rPr>
        <w:t>garding</w:t>
      </w:r>
      <w:r w:rsidRPr="00731E12">
        <w:rPr>
          <w:rFonts w:ascii="Arial" w:hAnsi="Arial" w:cs="Arial"/>
          <w:sz w:val="22"/>
          <w:szCs w:val="22"/>
        </w:rPr>
        <w:t xml:space="preserve"> environmental standards, product safety, packaging waste</w:t>
      </w:r>
      <w:r w:rsidR="00C33209" w:rsidRPr="00731E12">
        <w:rPr>
          <w:rFonts w:ascii="Arial" w:hAnsi="Arial" w:cs="Arial"/>
          <w:sz w:val="22"/>
          <w:szCs w:val="22"/>
        </w:rPr>
        <w:t>,</w:t>
      </w:r>
      <w:r w:rsidRPr="00731E12">
        <w:rPr>
          <w:rFonts w:ascii="Arial" w:hAnsi="Arial" w:cs="Arial"/>
          <w:sz w:val="22"/>
          <w:szCs w:val="22"/>
        </w:rPr>
        <w:t xml:space="preserve"> and trade restrictions.</w:t>
      </w:r>
      <w:r w:rsidR="000724A1" w:rsidRPr="00731E12">
        <w:rPr>
          <w:rFonts w:ascii="Arial" w:hAnsi="Arial" w:cs="Arial"/>
          <w:sz w:val="22"/>
          <w:szCs w:val="22"/>
        </w:rPr>
        <w:t xml:space="preserve"> </w:t>
      </w:r>
      <w:r w:rsidR="00EE706A" w:rsidRPr="00731E12">
        <w:rPr>
          <w:rFonts w:ascii="Arial" w:hAnsi="Arial" w:cs="Arial"/>
          <w:sz w:val="22"/>
          <w:szCs w:val="22"/>
        </w:rPr>
        <w:t xml:space="preserve">These external pressures demand strategic agility and continuous innovation from organisations operating at </w:t>
      </w:r>
      <w:r w:rsidR="000724A1" w:rsidRPr="00731E12">
        <w:rPr>
          <w:rFonts w:ascii="Arial" w:hAnsi="Arial" w:cs="Arial"/>
          <w:sz w:val="22"/>
          <w:szCs w:val="22"/>
        </w:rPr>
        <w:t>P&amp;G's</w:t>
      </w:r>
      <w:r w:rsidR="00EE706A" w:rsidRPr="00731E12">
        <w:rPr>
          <w:rFonts w:ascii="Arial" w:hAnsi="Arial" w:cs="Arial"/>
          <w:sz w:val="22"/>
          <w:szCs w:val="22"/>
        </w:rPr>
        <w:t xml:space="preserve"> scale in order to protect market share and sustain profitability.</w:t>
      </w:r>
      <w:r w:rsidR="000724A1" w:rsidRPr="00731E12">
        <w:rPr>
          <w:rFonts w:ascii="Arial" w:hAnsi="Arial" w:cs="Arial"/>
          <w:sz w:val="22"/>
          <w:szCs w:val="22"/>
        </w:rPr>
        <w:t xml:space="preserve"> </w:t>
      </w:r>
      <w:r w:rsidRPr="00731E12">
        <w:rPr>
          <w:rFonts w:ascii="Arial" w:hAnsi="Arial" w:cs="Arial"/>
          <w:sz w:val="22"/>
          <w:szCs w:val="22"/>
        </w:rPr>
        <w:t>Economic uncertainty, cost inflation and fluctuations in consumer demand represent significant risks, especially when customers seek cheaper alternatives during recessions.</w:t>
      </w:r>
      <w:r w:rsidR="000724A1" w:rsidRPr="00731E12">
        <w:rPr>
          <w:rFonts w:ascii="Arial" w:hAnsi="Arial" w:cs="Arial"/>
          <w:sz w:val="22"/>
          <w:szCs w:val="22"/>
        </w:rPr>
        <w:t xml:space="preserve"> </w:t>
      </w:r>
      <w:r w:rsidRPr="00731E12">
        <w:rPr>
          <w:rFonts w:ascii="Arial" w:hAnsi="Arial" w:cs="Arial"/>
          <w:sz w:val="22"/>
          <w:szCs w:val="22"/>
        </w:rPr>
        <w:t>At the same time, shifting societal attitudes towards sustainability and natural ingredients have changed purchasing behaviour, creating both challenges and opportunities.</w:t>
      </w:r>
    </w:p>
    <w:p w14:paraId="24689848" w14:textId="05304551" w:rsidR="00E75805" w:rsidRPr="00731E12" w:rsidRDefault="000724A1" w:rsidP="00731E12">
      <w:pPr>
        <w:spacing w:line="360" w:lineRule="auto"/>
        <w:jc w:val="both"/>
        <w:rPr>
          <w:rFonts w:ascii="Arial" w:hAnsi="Arial" w:cs="Arial"/>
          <w:sz w:val="22"/>
          <w:szCs w:val="22"/>
        </w:rPr>
      </w:pPr>
      <w:r w:rsidRPr="00731E12">
        <w:rPr>
          <w:rFonts w:ascii="Arial" w:hAnsi="Arial" w:cs="Arial"/>
          <w:sz w:val="22"/>
          <w:szCs w:val="22"/>
        </w:rPr>
        <w:t>Porter's</w:t>
      </w:r>
      <w:r w:rsidR="00E75805" w:rsidRPr="00731E12">
        <w:rPr>
          <w:rFonts w:ascii="Arial" w:hAnsi="Arial" w:cs="Arial"/>
          <w:sz w:val="22"/>
          <w:szCs w:val="22"/>
        </w:rPr>
        <w:t xml:space="preserve"> Five Forces analysis reveals that competition in the FMCG industry is intense.</w:t>
      </w:r>
      <w:r w:rsidRPr="00731E12">
        <w:rPr>
          <w:rFonts w:ascii="Arial" w:hAnsi="Arial" w:cs="Arial"/>
          <w:sz w:val="22"/>
          <w:szCs w:val="22"/>
        </w:rPr>
        <w:t xml:space="preserve"> </w:t>
      </w:r>
      <w:r w:rsidR="00E75805" w:rsidRPr="00731E12">
        <w:rPr>
          <w:rFonts w:ascii="Arial" w:hAnsi="Arial" w:cs="Arial"/>
          <w:sz w:val="22"/>
          <w:szCs w:val="22"/>
        </w:rPr>
        <w:t>P&amp;G competes against large multinational corporations such as Unilever and Colgate-Palmolive, as well as rapidly growing private-label brands.</w:t>
      </w:r>
      <w:r w:rsidRPr="00731E12">
        <w:rPr>
          <w:rFonts w:ascii="Arial" w:hAnsi="Arial" w:cs="Arial"/>
          <w:sz w:val="22"/>
          <w:szCs w:val="22"/>
        </w:rPr>
        <w:t xml:space="preserve"> </w:t>
      </w:r>
      <w:r w:rsidR="00E75805" w:rsidRPr="00731E12">
        <w:rPr>
          <w:rFonts w:ascii="Arial" w:hAnsi="Arial" w:cs="Arial"/>
          <w:sz w:val="22"/>
          <w:szCs w:val="22"/>
        </w:rPr>
        <w:t>While barriers to new entrants are high, the threat of substitutes and increasing buyer power are prominent forces that put pressure on pricing and profit margins.</w:t>
      </w:r>
    </w:p>
    <w:p w14:paraId="5BA6C464" w14:textId="1A460F44" w:rsidR="00E75805" w:rsidRPr="00731E12" w:rsidRDefault="00E75805" w:rsidP="00731E12">
      <w:pPr>
        <w:spacing w:line="360" w:lineRule="auto"/>
        <w:jc w:val="both"/>
        <w:rPr>
          <w:rFonts w:ascii="Arial" w:hAnsi="Arial" w:cs="Arial"/>
          <w:sz w:val="22"/>
          <w:szCs w:val="22"/>
        </w:rPr>
      </w:pPr>
      <w:r w:rsidRPr="00731E12">
        <w:rPr>
          <w:rFonts w:ascii="Arial" w:hAnsi="Arial" w:cs="Arial"/>
          <w:sz w:val="22"/>
          <w:szCs w:val="22"/>
        </w:rPr>
        <w:lastRenderedPageBreak/>
        <w:t>A SWOT analysis shows that P&amp;G benefits from s</w:t>
      </w:r>
      <w:r w:rsidR="00C33209" w:rsidRPr="00731E12">
        <w:rPr>
          <w:rFonts w:ascii="Arial" w:hAnsi="Arial" w:cs="Arial"/>
          <w:sz w:val="22"/>
          <w:szCs w:val="22"/>
        </w:rPr>
        <w:t>ubstantial</w:t>
      </w:r>
      <w:r w:rsidRPr="00731E12">
        <w:rPr>
          <w:rFonts w:ascii="Arial" w:hAnsi="Arial" w:cs="Arial"/>
          <w:sz w:val="22"/>
          <w:szCs w:val="22"/>
        </w:rPr>
        <w:t xml:space="preserve"> brand equity, global reach, economies of scale, and ongoing investment in research and development.</w:t>
      </w:r>
      <w:r w:rsidR="000724A1" w:rsidRPr="00731E12">
        <w:rPr>
          <w:rFonts w:ascii="Arial" w:hAnsi="Arial" w:cs="Arial"/>
          <w:sz w:val="22"/>
          <w:szCs w:val="22"/>
        </w:rPr>
        <w:t xml:space="preserve"> </w:t>
      </w:r>
      <w:r w:rsidRPr="00731E12">
        <w:rPr>
          <w:rFonts w:ascii="Arial" w:hAnsi="Arial" w:cs="Arial"/>
          <w:sz w:val="22"/>
          <w:szCs w:val="22"/>
        </w:rPr>
        <w:t>However, weaknesses include dependency on mature markets, operational complexity, and slow responsiveness to some emerging trends.</w:t>
      </w:r>
      <w:r w:rsidR="000724A1" w:rsidRPr="00731E12">
        <w:rPr>
          <w:rFonts w:ascii="Arial" w:hAnsi="Arial" w:cs="Arial"/>
          <w:sz w:val="22"/>
          <w:szCs w:val="22"/>
        </w:rPr>
        <w:t xml:space="preserve"> </w:t>
      </w:r>
      <w:r w:rsidRPr="00731E12">
        <w:rPr>
          <w:rFonts w:ascii="Arial" w:hAnsi="Arial" w:cs="Arial"/>
          <w:sz w:val="22"/>
          <w:szCs w:val="22"/>
        </w:rPr>
        <w:t>Opportunities lie in digital transformation, expansion into emerging markets, and innovation through sustainable product development.</w:t>
      </w:r>
      <w:r w:rsidR="000724A1" w:rsidRPr="00731E12">
        <w:rPr>
          <w:rFonts w:ascii="Arial" w:hAnsi="Arial" w:cs="Arial"/>
          <w:sz w:val="22"/>
          <w:szCs w:val="22"/>
        </w:rPr>
        <w:t xml:space="preserve"> </w:t>
      </w:r>
      <w:r w:rsidRPr="00731E12">
        <w:rPr>
          <w:rFonts w:ascii="Arial" w:hAnsi="Arial" w:cs="Arial"/>
          <w:sz w:val="22"/>
          <w:szCs w:val="22"/>
        </w:rPr>
        <w:t>Threats include volatile supply chains, rising raw-material costs, and more environmentally conscious competitors.</w:t>
      </w:r>
    </w:p>
    <w:p w14:paraId="27C9200C" w14:textId="454152A2" w:rsidR="00E75805" w:rsidRPr="00731E12" w:rsidRDefault="00E75805" w:rsidP="00731E12">
      <w:pPr>
        <w:spacing w:line="360" w:lineRule="auto"/>
        <w:jc w:val="both"/>
        <w:rPr>
          <w:rFonts w:ascii="Arial" w:hAnsi="Arial" w:cs="Arial"/>
          <w:sz w:val="22"/>
          <w:szCs w:val="22"/>
        </w:rPr>
      </w:pPr>
      <w:r w:rsidRPr="00731E12">
        <w:rPr>
          <w:rFonts w:ascii="Arial" w:hAnsi="Arial" w:cs="Arial"/>
          <w:sz w:val="22"/>
          <w:szCs w:val="22"/>
        </w:rPr>
        <w:t>The report concludes that P&amp;G remains one of the most resilient and influential players in the industry, but the business environment is changing quickly.</w:t>
      </w:r>
      <w:r w:rsidR="000724A1" w:rsidRPr="00731E12">
        <w:rPr>
          <w:rFonts w:ascii="Arial" w:hAnsi="Arial" w:cs="Arial"/>
          <w:sz w:val="22"/>
          <w:szCs w:val="22"/>
        </w:rPr>
        <w:t xml:space="preserve"> </w:t>
      </w:r>
      <w:r w:rsidRPr="00731E12">
        <w:rPr>
          <w:rFonts w:ascii="Arial" w:hAnsi="Arial" w:cs="Arial"/>
          <w:sz w:val="22"/>
          <w:szCs w:val="22"/>
        </w:rPr>
        <w:t xml:space="preserve">To sustain growth, P&amp;G must accelerate organisational agility, deepen its </w:t>
      </w:r>
      <w:r w:rsidR="00C33209" w:rsidRPr="00731E12">
        <w:rPr>
          <w:rFonts w:ascii="Arial" w:hAnsi="Arial" w:cs="Arial"/>
          <w:sz w:val="22"/>
          <w:szCs w:val="22"/>
        </w:rPr>
        <w:t>sustainability</w:t>
      </w:r>
      <w:r w:rsidRPr="00731E12">
        <w:rPr>
          <w:rFonts w:ascii="Arial" w:hAnsi="Arial" w:cs="Arial"/>
          <w:sz w:val="22"/>
          <w:szCs w:val="22"/>
        </w:rPr>
        <w:t xml:space="preserve"> </w:t>
      </w:r>
      <w:r w:rsidR="00C33209" w:rsidRPr="00731E12">
        <w:rPr>
          <w:rFonts w:ascii="Arial" w:hAnsi="Arial" w:cs="Arial"/>
          <w:sz w:val="22"/>
          <w:szCs w:val="22"/>
        </w:rPr>
        <w:t>focus</w:t>
      </w:r>
      <w:r w:rsidRPr="00731E12">
        <w:rPr>
          <w:rFonts w:ascii="Arial" w:hAnsi="Arial" w:cs="Arial"/>
          <w:sz w:val="22"/>
          <w:szCs w:val="22"/>
        </w:rPr>
        <w:t xml:space="preserve">, and strengthen </w:t>
      </w:r>
      <w:r w:rsidR="00C33209" w:rsidRPr="00731E12">
        <w:rPr>
          <w:rFonts w:ascii="Arial" w:hAnsi="Arial" w:cs="Arial"/>
          <w:sz w:val="22"/>
          <w:szCs w:val="22"/>
        </w:rPr>
        <w:t xml:space="preserve">its </w:t>
      </w:r>
      <w:r w:rsidRPr="00731E12">
        <w:rPr>
          <w:rFonts w:ascii="Arial" w:hAnsi="Arial" w:cs="Arial"/>
          <w:sz w:val="22"/>
          <w:szCs w:val="22"/>
        </w:rPr>
        <w:t>digital and direct-to-consumer channels.</w:t>
      </w:r>
      <w:r w:rsidR="000724A1" w:rsidRPr="00731E12">
        <w:rPr>
          <w:rFonts w:ascii="Arial" w:hAnsi="Arial" w:cs="Arial"/>
          <w:sz w:val="22"/>
          <w:szCs w:val="22"/>
        </w:rPr>
        <w:t xml:space="preserve"> </w:t>
      </w:r>
      <w:r w:rsidRPr="00731E12">
        <w:rPr>
          <w:rFonts w:ascii="Arial" w:hAnsi="Arial" w:cs="Arial"/>
          <w:sz w:val="22"/>
          <w:szCs w:val="22"/>
        </w:rPr>
        <w:t>Past strategies based on large-scale manufacturing, mass marketing</w:t>
      </w:r>
      <w:r w:rsidR="00C33209" w:rsidRPr="00731E12">
        <w:rPr>
          <w:rFonts w:ascii="Arial" w:hAnsi="Arial" w:cs="Arial"/>
          <w:sz w:val="22"/>
          <w:szCs w:val="22"/>
        </w:rPr>
        <w:t>,</w:t>
      </w:r>
      <w:r w:rsidRPr="00731E12">
        <w:rPr>
          <w:rFonts w:ascii="Arial" w:hAnsi="Arial" w:cs="Arial"/>
          <w:sz w:val="22"/>
          <w:szCs w:val="22"/>
        </w:rPr>
        <w:t xml:space="preserve"> and traditional retail relationships remain </w:t>
      </w:r>
      <w:r w:rsidR="00C33209" w:rsidRPr="00731E12">
        <w:rPr>
          <w:rFonts w:ascii="Arial" w:hAnsi="Arial" w:cs="Arial"/>
          <w:sz w:val="22"/>
          <w:szCs w:val="22"/>
        </w:rPr>
        <w:t>essential</w:t>
      </w:r>
      <w:r w:rsidRPr="00731E12">
        <w:rPr>
          <w:rFonts w:ascii="Arial" w:hAnsi="Arial" w:cs="Arial"/>
          <w:sz w:val="22"/>
          <w:szCs w:val="22"/>
        </w:rPr>
        <w:t xml:space="preserve"> but are </w:t>
      </w:r>
      <w:r w:rsidR="00C33209" w:rsidRPr="00731E12">
        <w:rPr>
          <w:rFonts w:ascii="Arial" w:hAnsi="Arial" w:cs="Arial"/>
          <w:sz w:val="22"/>
          <w:szCs w:val="22"/>
        </w:rPr>
        <w:t>in</w:t>
      </w:r>
      <w:r w:rsidRPr="00731E12">
        <w:rPr>
          <w:rFonts w:ascii="Arial" w:hAnsi="Arial" w:cs="Arial"/>
          <w:sz w:val="22"/>
          <w:szCs w:val="22"/>
        </w:rPr>
        <w:t>sufficient for future growth.</w:t>
      </w:r>
    </w:p>
    <w:p w14:paraId="232E271E" w14:textId="42C0D4AA" w:rsidR="00E75805" w:rsidRPr="00731E12" w:rsidRDefault="00E75805" w:rsidP="00731E12">
      <w:pPr>
        <w:spacing w:line="360" w:lineRule="auto"/>
        <w:jc w:val="both"/>
        <w:rPr>
          <w:rFonts w:ascii="Arial" w:hAnsi="Arial" w:cs="Arial"/>
          <w:sz w:val="22"/>
          <w:szCs w:val="22"/>
        </w:rPr>
      </w:pPr>
      <w:r w:rsidRPr="00731E12">
        <w:rPr>
          <w:rFonts w:ascii="Arial" w:hAnsi="Arial" w:cs="Arial"/>
          <w:sz w:val="22"/>
          <w:szCs w:val="22"/>
        </w:rPr>
        <w:t xml:space="preserve">Recommendations include expanding </w:t>
      </w:r>
      <w:r w:rsidR="000724A1" w:rsidRPr="00731E12">
        <w:rPr>
          <w:rFonts w:ascii="Arial" w:hAnsi="Arial" w:cs="Arial"/>
          <w:sz w:val="22"/>
          <w:szCs w:val="22"/>
        </w:rPr>
        <w:t>into</w:t>
      </w:r>
      <w:r w:rsidRPr="00731E12">
        <w:rPr>
          <w:rFonts w:ascii="Arial" w:hAnsi="Arial" w:cs="Arial"/>
          <w:sz w:val="22"/>
          <w:szCs w:val="22"/>
        </w:rPr>
        <w:t xml:space="preserve"> emerging markets, optimising the product portfolio, innovating sustainable packaging and formulations, and creating a more agile decision-making structure.</w:t>
      </w:r>
      <w:r w:rsidR="000724A1" w:rsidRPr="00731E12">
        <w:rPr>
          <w:rFonts w:ascii="Arial" w:hAnsi="Arial" w:cs="Arial"/>
          <w:sz w:val="22"/>
          <w:szCs w:val="22"/>
        </w:rPr>
        <w:t xml:space="preserve"> </w:t>
      </w:r>
      <w:r w:rsidRPr="00731E12">
        <w:rPr>
          <w:rFonts w:ascii="Arial" w:hAnsi="Arial" w:cs="Arial"/>
          <w:sz w:val="22"/>
          <w:szCs w:val="22"/>
        </w:rPr>
        <w:t>Digital investment, supply chain resilience and strategic cost management are also essential.</w:t>
      </w:r>
      <w:r w:rsidR="000724A1" w:rsidRPr="00731E12">
        <w:rPr>
          <w:rFonts w:ascii="Arial" w:hAnsi="Arial" w:cs="Arial"/>
          <w:sz w:val="22"/>
          <w:szCs w:val="22"/>
        </w:rPr>
        <w:t xml:space="preserve"> </w:t>
      </w:r>
      <w:r w:rsidRPr="00731E12">
        <w:rPr>
          <w:rFonts w:ascii="Arial" w:hAnsi="Arial" w:cs="Arial"/>
          <w:sz w:val="22"/>
          <w:szCs w:val="22"/>
        </w:rPr>
        <w:t xml:space="preserve">By adapting to environmental forces and </w:t>
      </w:r>
      <w:r w:rsidR="000724A1" w:rsidRPr="00731E12">
        <w:rPr>
          <w:rFonts w:ascii="Arial" w:hAnsi="Arial" w:cs="Arial"/>
          <w:sz w:val="22"/>
          <w:szCs w:val="22"/>
        </w:rPr>
        <w:t>anticipating future market changes</w:t>
      </w:r>
      <w:r w:rsidRPr="00731E12">
        <w:rPr>
          <w:rFonts w:ascii="Arial" w:hAnsi="Arial" w:cs="Arial"/>
          <w:sz w:val="22"/>
          <w:szCs w:val="22"/>
        </w:rPr>
        <w:t xml:space="preserve">, P&amp;G can maintain </w:t>
      </w:r>
      <w:r w:rsidR="00C33209" w:rsidRPr="00731E12">
        <w:rPr>
          <w:rFonts w:ascii="Arial" w:hAnsi="Arial" w:cs="Arial"/>
          <w:sz w:val="22"/>
          <w:szCs w:val="22"/>
        </w:rPr>
        <w:t xml:space="preserve">a </w:t>
      </w:r>
      <w:r w:rsidRPr="00731E12">
        <w:rPr>
          <w:rFonts w:ascii="Arial" w:hAnsi="Arial" w:cs="Arial"/>
          <w:sz w:val="22"/>
          <w:szCs w:val="22"/>
        </w:rPr>
        <w:t>competitive advantage and secure long-term international success.</w:t>
      </w:r>
    </w:p>
    <w:p w14:paraId="0772CE2D" w14:textId="77777777" w:rsidR="008218A8" w:rsidRPr="00731E12" w:rsidRDefault="008218A8" w:rsidP="008218A8">
      <w:pPr>
        <w:rPr>
          <w:rFonts w:ascii="Arial" w:hAnsi="Arial" w:cs="Arial"/>
          <w:sz w:val="22"/>
          <w:szCs w:val="22"/>
        </w:rPr>
      </w:pPr>
    </w:p>
    <w:p w14:paraId="6B175925" w14:textId="77777777" w:rsidR="008218A8" w:rsidRPr="00731E12" w:rsidRDefault="008218A8" w:rsidP="00E75805">
      <w:pPr>
        <w:rPr>
          <w:rFonts w:ascii="Arial" w:hAnsi="Arial" w:cs="Arial"/>
        </w:rPr>
      </w:pPr>
    </w:p>
    <w:p w14:paraId="681E27D3" w14:textId="77777777" w:rsidR="008218A8" w:rsidRPr="00731E12" w:rsidRDefault="008218A8" w:rsidP="00E75805">
      <w:pPr>
        <w:rPr>
          <w:rFonts w:ascii="Arial" w:hAnsi="Arial" w:cs="Arial"/>
        </w:rPr>
      </w:pPr>
    </w:p>
    <w:p w14:paraId="33603E7A" w14:textId="77777777" w:rsidR="008218A8" w:rsidRPr="00731E12" w:rsidRDefault="008218A8" w:rsidP="00E75805">
      <w:pPr>
        <w:rPr>
          <w:rFonts w:ascii="Arial" w:hAnsi="Arial" w:cs="Arial"/>
        </w:rPr>
      </w:pPr>
    </w:p>
    <w:p w14:paraId="37B16201" w14:textId="77777777" w:rsidR="008218A8" w:rsidRPr="00731E12" w:rsidRDefault="008218A8" w:rsidP="00E75805">
      <w:pPr>
        <w:rPr>
          <w:rFonts w:ascii="Arial" w:hAnsi="Arial" w:cs="Arial"/>
        </w:rPr>
      </w:pPr>
    </w:p>
    <w:p w14:paraId="271AB4D8" w14:textId="77777777" w:rsidR="008218A8" w:rsidRPr="00731E12" w:rsidRDefault="008218A8" w:rsidP="00E75805">
      <w:pPr>
        <w:rPr>
          <w:rFonts w:ascii="Arial" w:hAnsi="Arial" w:cs="Arial"/>
        </w:rPr>
      </w:pPr>
    </w:p>
    <w:p w14:paraId="66752298" w14:textId="77777777" w:rsidR="008218A8" w:rsidRPr="00731E12" w:rsidRDefault="008218A8" w:rsidP="00E75805">
      <w:pPr>
        <w:rPr>
          <w:rFonts w:ascii="Arial" w:hAnsi="Arial" w:cs="Arial"/>
        </w:rPr>
      </w:pPr>
    </w:p>
    <w:p w14:paraId="0F988AD8" w14:textId="77777777" w:rsidR="008218A8" w:rsidRPr="00731E12" w:rsidRDefault="008218A8" w:rsidP="00E75805">
      <w:pPr>
        <w:rPr>
          <w:rFonts w:ascii="Arial" w:hAnsi="Arial" w:cs="Arial"/>
        </w:rPr>
      </w:pPr>
    </w:p>
    <w:p w14:paraId="7C2FEE6E" w14:textId="77777777" w:rsidR="008218A8" w:rsidRPr="00731E12" w:rsidRDefault="008218A8" w:rsidP="00E75805">
      <w:pPr>
        <w:rPr>
          <w:rFonts w:ascii="Arial" w:hAnsi="Arial" w:cs="Arial"/>
        </w:rPr>
      </w:pPr>
    </w:p>
    <w:p w14:paraId="4A75136B" w14:textId="77777777" w:rsidR="008218A8" w:rsidRPr="00731E12" w:rsidRDefault="008218A8" w:rsidP="00E75805">
      <w:pPr>
        <w:rPr>
          <w:rFonts w:ascii="Arial" w:hAnsi="Arial" w:cs="Arial"/>
        </w:rPr>
      </w:pPr>
    </w:p>
    <w:p w14:paraId="52EB1CD8" w14:textId="77777777" w:rsidR="008218A8" w:rsidRPr="00731E12" w:rsidRDefault="008218A8" w:rsidP="00E75805">
      <w:pPr>
        <w:rPr>
          <w:rFonts w:ascii="Arial" w:hAnsi="Arial" w:cs="Arial"/>
        </w:rPr>
      </w:pPr>
    </w:p>
    <w:p w14:paraId="0E25A3A9" w14:textId="287B8B3B" w:rsidR="003D3B2B" w:rsidRPr="00731E12" w:rsidRDefault="00E75805" w:rsidP="00731E12">
      <w:pPr>
        <w:pStyle w:val="Heading2"/>
        <w:rPr>
          <w:rFonts w:ascii="Arial" w:hAnsi="Arial" w:cs="Arial"/>
          <w:color w:val="000000" w:themeColor="text1"/>
        </w:rPr>
      </w:pPr>
      <w:bookmarkStart w:id="1" w:name="_Toc216278885"/>
      <w:r w:rsidRPr="00731E12">
        <w:rPr>
          <w:rFonts w:ascii="Arial" w:hAnsi="Arial" w:cs="Arial"/>
          <w:color w:val="000000" w:themeColor="text1"/>
        </w:rPr>
        <w:lastRenderedPageBreak/>
        <w:t>I</w:t>
      </w:r>
      <w:r w:rsidR="00731E12">
        <w:rPr>
          <w:rFonts w:ascii="Arial" w:hAnsi="Arial" w:cs="Arial"/>
          <w:color w:val="000000" w:themeColor="text1"/>
        </w:rPr>
        <w:t>ntroduction</w:t>
      </w:r>
      <w:bookmarkEnd w:id="1"/>
    </w:p>
    <w:p w14:paraId="613C7907" w14:textId="5504351A" w:rsidR="00E75805" w:rsidRPr="00731E12" w:rsidRDefault="00E75805" w:rsidP="00257B7C">
      <w:pPr>
        <w:pStyle w:val="Heading2"/>
        <w:spacing w:line="360" w:lineRule="auto"/>
        <w:jc w:val="both"/>
        <w:rPr>
          <w:rFonts w:ascii="Arial" w:hAnsi="Arial" w:cs="Arial"/>
        </w:rPr>
      </w:pPr>
    </w:p>
    <w:p w14:paraId="1178C65E" w14:textId="3F6DFB2A" w:rsidR="00A56038" w:rsidRPr="00731E12" w:rsidRDefault="00A56038" w:rsidP="00257B7C">
      <w:pPr>
        <w:spacing w:line="360" w:lineRule="auto"/>
        <w:jc w:val="both"/>
        <w:rPr>
          <w:rFonts w:ascii="Arial" w:hAnsi="Arial" w:cs="Arial"/>
          <w:sz w:val="22"/>
          <w:szCs w:val="22"/>
        </w:rPr>
      </w:pPr>
      <w:r w:rsidRPr="00731E12">
        <w:rPr>
          <w:rFonts w:ascii="Arial" w:hAnsi="Arial" w:cs="Arial"/>
          <w:sz w:val="22"/>
          <w:szCs w:val="22"/>
        </w:rPr>
        <w:t>Procter</w:t>
      </w:r>
      <w:r w:rsidR="00731E12" w:rsidRPr="00731E12">
        <w:rPr>
          <w:rFonts w:ascii="Arial" w:hAnsi="Arial" w:cs="Arial"/>
          <w:sz w:val="22"/>
          <w:szCs w:val="22"/>
        </w:rPr>
        <w:t xml:space="preserve">&amp; </w:t>
      </w:r>
      <w:r w:rsidRPr="00731E12">
        <w:rPr>
          <w:rFonts w:ascii="Arial" w:hAnsi="Arial" w:cs="Arial"/>
          <w:sz w:val="22"/>
          <w:szCs w:val="22"/>
        </w:rPr>
        <w:t>Gamble (P&amp;G) is one of the most established and globally influential organisations within the fast-moving consumer goods (FMCG) industry. Founded in 1837 in Cincinnati, the company grew from a small soap and candle manufacturer into a multinational enterprise with annual revenues exceeding $80 billion and a portfolio of market-leading brands across personal care, household care, baby care, fabric care and health products (Procter</w:t>
      </w:r>
      <w:r w:rsidR="00731E12" w:rsidRPr="00731E12">
        <w:rPr>
          <w:rFonts w:ascii="Arial" w:hAnsi="Arial" w:cs="Arial"/>
          <w:sz w:val="22"/>
          <w:szCs w:val="22"/>
        </w:rPr>
        <w:t xml:space="preserve">&amp; </w:t>
      </w:r>
      <w:r w:rsidRPr="00731E12">
        <w:rPr>
          <w:rFonts w:ascii="Arial" w:hAnsi="Arial" w:cs="Arial"/>
          <w:sz w:val="22"/>
          <w:szCs w:val="22"/>
        </w:rPr>
        <w:t>Gamble, 2025; Encyclopaedia Britannica, 2025). Operating in more than 180 countries, P&amp;G has become a household name and a dominant force within international consumer markets. However, as with all large global organisations, its continued success depends on its ability to recognise, interpret and respond to a rapidly changing external environment.</w:t>
      </w:r>
    </w:p>
    <w:p w14:paraId="615EAE1B" w14:textId="77777777" w:rsidR="00A56038" w:rsidRPr="00731E12" w:rsidRDefault="00A56038" w:rsidP="00257B7C">
      <w:pPr>
        <w:spacing w:line="360" w:lineRule="auto"/>
        <w:jc w:val="both"/>
        <w:rPr>
          <w:rFonts w:ascii="Arial" w:hAnsi="Arial" w:cs="Arial"/>
          <w:sz w:val="22"/>
          <w:szCs w:val="22"/>
        </w:rPr>
      </w:pPr>
      <w:r w:rsidRPr="00731E12">
        <w:rPr>
          <w:rFonts w:ascii="Arial" w:hAnsi="Arial" w:cs="Arial"/>
          <w:sz w:val="22"/>
          <w:szCs w:val="22"/>
        </w:rPr>
        <w:t>The business environment in which P&amp;G operates is increasingly volatile. Global supply chains are more fragile, geopolitical tensions are more frequent, economic cycles are less predictable, and consumer expectations are evolving at unprecedented speed (Panmore, 2024). The FMCG sector is subject to particularly intense competitive pressure, as products are widely substitutable and brand loyalty can quickly diminish if an organisation fails to keep pace with trends and market demands (Free PESTEL Analysis, 2023). In this context, strategic agility and environmental awareness are vital in maintaining market share and organisational resilience.</w:t>
      </w:r>
    </w:p>
    <w:p w14:paraId="084A373A" w14:textId="77777777" w:rsidR="00A56038" w:rsidRPr="00731E12" w:rsidRDefault="00A56038" w:rsidP="00257B7C">
      <w:pPr>
        <w:spacing w:line="360" w:lineRule="auto"/>
        <w:jc w:val="both"/>
        <w:rPr>
          <w:rFonts w:ascii="Arial" w:hAnsi="Arial" w:cs="Arial"/>
          <w:sz w:val="22"/>
          <w:szCs w:val="22"/>
        </w:rPr>
      </w:pPr>
      <w:r w:rsidRPr="00731E12">
        <w:rPr>
          <w:rFonts w:ascii="Arial" w:hAnsi="Arial" w:cs="Arial"/>
          <w:sz w:val="22"/>
          <w:szCs w:val="22"/>
        </w:rPr>
        <w:t>The objective of this report is to critically evaluate the environmental forces currently affecting P&amp;G and assess their likely impact on organisational performance. The analysis draws on established strategic frameworks, including PESTEL, Porter's Five Forces and SWOT analysis (Johnson et al., 2017; Porter, 1980). These tools enable a systematic examination of the macro-environment, competitive dynamics and internal capabilities. They also support the development of conclusions and recommendations grounded in credible theory and applicable evidence.</w:t>
      </w:r>
    </w:p>
    <w:p w14:paraId="22355163" w14:textId="77777777" w:rsidR="00A56038" w:rsidRPr="00731E12" w:rsidRDefault="00A56038" w:rsidP="00257B7C">
      <w:pPr>
        <w:spacing w:line="360" w:lineRule="auto"/>
        <w:jc w:val="both"/>
        <w:rPr>
          <w:rFonts w:ascii="Arial" w:hAnsi="Arial" w:cs="Arial"/>
          <w:sz w:val="22"/>
          <w:szCs w:val="22"/>
        </w:rPr>
      </w:pPr>
      <w:r w:rsidRPr="00731E12">
        <w:rPr>
          <w:rFonts w:ascii="Arial" w:hAnsi="Arial" w:cs="Arial"/>
          <w:sz w:val="22"/>
          <w:szCs w:val="22"/>
        </w:rPr>
        <w:t xml:space="preserve">The PESTEL framework is used to consider the broader political, economic, social, technological, environmental, and legal factors influencing P&amp;G. These factors range from global inflationary pressures and fluctuating commodity prices to regulatory changes in packaging, emissions, and product safety (Hivelr, 2024). The FMCG sector is often heavily affected by shifts in consumer sentiment; therefore, social forces such as demographic change, sustainability awareness, health consciousness, and cultural values are highly relevant to the company's future positioning. At the </w:t>
      </w:r>
      <w:r w:rsidRPr="00731E12">
        <w:rPr>
          <w:rFonts w:ascii="Arial" w:hAnsi="Arial" w:cs="Arial"/>
          <w:sz w:val="22"/>
          <w:szCs w:val="22"/>
        </w:rPr>
        <w:lastRenderedPageBreak/>
        <w:t>same time, technological change is transforming product development, manufacturing, logistics and communication. Digital channels, artificial intelligence, data analytics and online retailing have all become strategic imperatives that can either support competitive advantage or expose weaknesses if neglected (Panmore, 2024).</w:t>
      </w:r>
    </w:p>
    <w:p w14:paraId="728007F9" w14:textId="0C4BDED8" w:rsidR="00A56038" w:rsidRPr="00731E12" w:rsidRDefault="00A56038" w:rsidP="00257B7C">
      <w:pPr>
        <w:spacing w:line="360" w:lineRule="auto"/>
        <w:jc w:val="both"/>
        <w:rPr>
          <w:rFonts w:ascii="Arial" w:hAnsi="Arial" w:cs="Arial"/>
          <w:sz w:val="22"/>
          <w:szCs w:val="22"/>
        </w:rPr>
      </w:pPr>
      <w:r w:rsidRPr="00731E12">
        <w:rPr>
          <w:rFonts w:ascii="Arial" w:hAnsi="Arial" w:cs="Arial"/>
          <w:sz w:val="22"/>
          <w:szCs w:val="22"/>
        </w:rPr>
        <w:t>While the macro-environment shapes opportunities and threats, competition within the FMCG marketplace is another critical factor. Porter's Five Forces model provides a structured way of assessing competitive intensity. Rivalry within the sector is exceptionally high, with P&amp;G competing against global corporations such as Unilever, Colgate-Palmolive and Johnson</w:t>
      </w:r>
      <w:r w:rsidR="00731E12" w:rsidRPr="00731E12">
        <w:rPr>
          <w:rFonts w:ascii="Arial" w:hAnsi="Arial" w:cs="Arial"/>
          <w:sz w:val="22"/>
          <w:szCs w:val="22"/>
        </w:rPr>
        <w:t xml:space="preserve">&amp; </w:t>
      </w:r>
      <w:r w:rsidRPr="00731E12">
        <w:rPr>
          <w:rFonts w:ascii="Arial" w:hAnsi="Arial" w:cs="Arial"/>
          <w:sz w:val="22"/>
          <w:szCs w:val="22"/>
        </w:rPr>
        <w:t>Johnson, as well as a growing number of private-label and value brands (Business Model Analyst, 2025; Nasdaq, 2025). The threat of substitutes is also increasing, particularly in product categories where cheaper alternatives, niche organic products or supermarket-owned brands offer comparable functionality. Meanwhile, bargaining power is strengthened among major retail chains and distributors, enabling them to demand favourable terms and influence shelf positioning (MBA Skool, 2025). These dynamics shape pricing strategies, brand investment and product innovation.</w:t>
      </w:r>
    </w:p>
    <w:p w14:paraId="34BEC076" w14:textId="77777777" w:rsidR="00A56038" w:rsidRPr="00731E12" w:rsidRDefault="00A56038" w:rsidP="00257B7C">
      <w:pPr>
        <w:spacing w:line="360" w:lineRule="auto"/>
        <w:jc w:val="both"/>
        <w:rPr>
          <w:rFonts w:ascii="Arial" w:hAnsi="Arial" w:cs="Arial"/>
          <w:sz w:val="22"/>
          <w:szCs w:val="22"/>
        </w:rPr>
      </w:pPr>
      <w:r w:rsidRPr="00731E12">
        <w:rPr>
          <w:rFonts w:ascii="Arial" w:hAnsi="Arial" w:cs="Arial"/>
          <w:sz w:val="22"/>
          <w:szCs w:val="22"/>
        </w:rPr>
        <w:t>Complementing the external analysis, a SWOT analysis is conducted to identify P&amp;G's internal strengths and weaknesses in relation to external opportunities and threats. Despite operating within a highly competitive and dynamic environment, the company continues to benefit from distinctive assets. These include its extensive brand portfolio, economies of scale, research capabilities, long-established distribution networks and strong consumer recognition (SWOT Analysis, 2025). Nonetheless, weaknesses such as organisational complexity, exposure to mature markets, and slower reaction to emerging trends can hinder responsiveness (Marketing91, 2024). The SWOT analysis highlights that aligning strengths and opportunities, and mitigating threats through innovation and strategic adjustments, will be essential to safeguard future performance.</w:t>
      </w:r>
    </w:p>
    <w:p w14:paraId="14EA4304" w14:textId="6763FB12" w:rsidR="00A56038" w:rsidRPr="00731E12" w:rsidRDefault="00A56038" w:rsidP="00257B7C">
      <w:pPr>
        <w:spacing w:line="360" w:lineRule="auto"/>
        <w:jc w:val="both"/>
        <w:rPr>
          <w:rFonts w:ascii="Arial" w:hAnsi="Arial" w:cs="Arial"/>
          <w:sz w:val="22"/>
          <w:szCs w:val="22"/>
        </w:rPr>
      </w:pPr>
      <w:r w:rsidRPr="00731E12">
        <w:rPr>
          <w:rFonts w:ascii="Arial" w:hAnsi="Arial" w:cs="Arial"/>
          <w:sz w:val="22"/>
          <w:szCs w:val="22"/>
        </w:rPr>
        <w:t xml:space="preserve">This report does not merely aim to describe the environment, but rather to critically assess how environmental forces influence current decisions and future strategies. In doing so, the report considers micro-economic decisions made by P&amp;G in recent years, such as brand streamlining, investment in sustainable innovation and adjustments to pricing strategies (Business News Today, 2025). These decisions are evaluated in relation to the external context to determine whether they remain appropriate or require alternative approaches. The discussion recognises that P&amp;G's </w:t>
      </w:r>
      <w:r w:rsidRPr="00731E12">
        <w:rPr>
          <w:rFonts w:ascii="Arial" w:hAnsi="Arial" w:cs="Arial"/>
          <w:sz w:val="22"/>
          <w:szCs w:val="22"/>
        </w:rPr>
        <w:lastRenderedPageBreak/>
        <w:t xml:space="preserve">previous strategic formula </w:t>
      </w:r>
      <w:r w:rsidR="00BC7015">
        <w:rPr>
          <w:rFonts w:ascii="Arial" w:hAnsi="Arial" w:cs="Arial"/>
          <w:sz w:val="22"/>
          <w:szCs w:val="22"/>
        </w:rPr>
        <w:t xml:space="preserve"> </w:t>
      </w:r>
      <w:r w:rsidRPr="00731E12">
        <w:rPr>
          <w:rFonts w:ascii="Arial" w:hAnsi="Arial" w:cs="Arial"/>
          <w:sz w:val="22"/>
          <w:szCs w:val="22"/>
        </w:rPr>
        <w:t xml:space="preserve"> mainly based on mass advertising, broad distribution and continuous product improvement </w:t>
      </w:r>
      <w:r w:rsidR="00BC7015">
        <w:rPr>
          <w:rFonts w:ascii="Arial" w:hAnsi="Arial" w:cs="Arial"/>
          <w:sz w:val="22"/>
          <w:szCs w:val="22"/>
        </w:rPr>
        <w:t xml:space="preserve"> </w:t>
      </w:r>
      <w:r w:rsidRPr="00731E12">
        <w:rPr>
          <w:rFonts w:ascii="Arial" w:hAnsi="Arial" w:cs="Arial"/>
          <w:sz w:val="22"/>
          <w:szCs w:val="22"/>
        </w:rPr>
        <w:t xml:space="preserve"> may not be sufficient in the future if markets become more fragmented and sustainability expectations more stringent.</w:t>
      </w:r>
    </w:p>
    <w:p w14:paraId="7A19A340" w14:textId="77777777" w:rsidR="00A56038" w:rsidRPr="00731E12" w:rsidRDefault="00A56038" w:rsidP="00257B7C">
      <w:pPr>
        <w:spacing w:line="360" w:lineRule="auto"/>
        <w:jc w:val="both"/>
        <w:rPr>
          <w:rFonts w:ascii="Arial" w:hAnsi="Arial" w:cs="Arial"/>
          <w:sz w:val="22"/>
          <w:szCs w:val="22"/>
        </w:rPr>
      </w:pPr>
      <w:r w:rsidRPr="00731E12">
        <w:rPr>
          <w:rFonts w:ascii="Arial" w:hAnsi="Arial" w:cs="Arial"/>
          <w:sz w:val="22"/>
          <w:szCs w:val="22"/>
        </w:rPr>
        <w:t>The remainder of the report is structured as follows. First, a detailed PESTEL analysis examines the macro-environmental factors influencing P&amp;G in both national and international markets. This is followed by an application of Porter's Five Forces to evaluate the competitive environment within the FMCG sector. A SWOT analysis then brings together internal and external considerations to form a holistic view of the organisation's strategic position. Based on these evaluations, the report presents a comprehensive conclusion regarding P&amp;G's current standing within the international market and identifies potential strategic paths. Finally, a set of recommendations is offered to guide future development.</w:t>
      </w:r>
    </w:p>
    <w:p w14:paraId="1AF6727A" w14:textId="4498D44C" w:rsidR="008218A8" w:rsidRPr="00731E12" w:rsidRDefault="00A56038" w:rsidP="00257B7C">
      <w:pPr>
        <w:spacing w:line="360" w:lineRule="auto"/>
        <w:jc w:val="both"/>
        <w:rPr>
          <w:rFonts w:ascii="Arial" w:hAnsi="Arial" w:cs="Arial"/>
          <w:color w:val="EE0000"/>
          <w:sz w:val="22"/>
          <w:szCs w:val="22"/>
        </w:rPr>
      </w:pPr>
      <w:r w:rsidRPr="00731E12">
        <w:rPr>
          <w:rFonts w:ascii="Arial" w:hAnsi="Arial" w:cs="Arial"/>
          <w:sz w:val="22"/>
          <w:szCs w:val="22"/>
        </w:rPr>
        <w:t>Through critical examination, this report demonstrates that while P&amp;G remains a market leader, it operates in an increasingly complex environment where traditional sources of competitive advantage are under pressure. The ability to evolve, innovate and differentiate will determine how effectively the organisation navigates this landscape in the coming years.</w:t>
      </w:r>
    </w:p>
    <w:p w14:paraId="3A8332D8" w14:textId="77777777" w:rsidR="008218A8" w:rsidRPr="00731E12" w:rsidRDefault="008218A8" w:rsidP="008218A8">
      <w:pPr>
        <w:rPr>
          <w:rFonts w:ascii="Arial" w:hAnsi="Arial" w:cs="Arial"/>
          <w:color w:val="EE0000"/>
          <w:sz w:val="22"/>
          <w:szCs w:val="22"/>
        </w:rPr>
      </w:pPr>
    </w:p>
    <w:p w14:paraId="714C7C8B" w14:textId="77777777" w:rsidR="004F0900" w:rsidRPr="00731E12" w:rsidRDefault="004F0900" w:rsidP="00086D38">
      <w:pPr>
        <w:pStyle w:val="Heading2"/>
        <w:rPr>
          <w:rFonts w:ascii="Arial" w:hAnsi="Arial" w:cs="Arial"/>
        </w:rPr>
      </w:pPr>
    </w:p>
    <w:p w14:paraId="68A07185" w14:textId="77777777" w:rsidR="004F0900" w:rsidRDefault="004F0900" w:rsidP="00086D38">
      <w:pPr>
        <w:pStyle w:val="Heading2"/>
        <w:rPr>
          <w:rFonts w:ascii="Arial" w:hAnsi="Arial" w:cs="Arial"/>
        </w:rPr>
      </w:pPr>
    </w:p>
    <w:p w14:paraId="321E3A6D" w14:textId="77777777" w:rsidR="00257B7C" w:rsidRDefault="00257B7C" w:rsidP="00257B7C"/>
    <w:p w14:paraId="3A42173B" w14:textId="77777777" w:rsidR="00257B7C" w:rsidRDefault="00257B7C" w:rsidP="00257B7C"/>
    <w:p w14:paraId="5B6E52FD" w14:textId="77777777" w:rsidR="00257B7C" w:rsidRDefault="00257B7C" w:rsidP="00257B7C"/>
    <w:p w14:paraId="72D10C99" w14:textId="77777777" w:rsidR="00257B7C" w:rsidRDefault="00257B7C" w:rsidP="00257B7C"/>
    <w:p w14:paraId="37FAC8AB" w14:textId="77777777" w:rsidR="00257B7C" w:rsidRDefault="00257B7C" w:rsidP="00257B7C"/>
    <w:p w14:paraId="7D35689E" w14:textId="77777777" w:rsidR="00257B7C" w:rsidRDefault="00257B7C" w:rsidP="00257B7C"/>
    <w:p w14:paraId="7885B30F" w14:textId="77777777" w:rsidR="00257B7C" w:rsidRDefault="00257B7C" w:rsidP="00731E12">
      <w:pPr>
        <w:pStyle w:val="Heading2"/>
        <w:rPr>
          <w:rFonts w:ascii="Arial" w:hAnsi="Arial" w:cs="Arial"/>
        </w:rPr>
      </w:pPr>
    </w:p>
    <w:p w14:paraId="24D5E961" w14:textId="77777777" w:rsidR="00257B7C" w:rsidRPr="00257B7C" w:rsidRDefault="00257B7C" w:rsidP="00257B7C"/>
    <w:p w14:paraId="1F70338D" w14:textId="3C334707" w:rsidR="00DA2B5E" w:rsidRDefault="00E75805" w:rsidP="00731E12">
      <w:pPr>
        <w:pStyle w:val="Heading2"/>
        <w:rPr>
          <w:rFonts w:ascii="Arial" w:hAnsi="Arial" w:cs="Arial"/>
          <w:color w:val="000000" w:themeColor="text1"/>
        </w:rPr>
      </w:pPr>
      <w:bookmarkStart w:id="2" w:name="_Toc216278886"/>
      <w:r w:rsidRPr="00731E12">
        <w:rPr>
          <w:rFonts w:ascii="Arial" w:hAnsi="Arial" w:cs="Arial"/>
          <w:color w:val="000000" w:themeColor="text1"/>
        </w:rPr>
        <w:lastRenderedPageBreak/>
        <w:t>PESTEL Analysis</w:t>
      </w:r>
      <w:bookmarkEnd w:id="2"/>
    </w:p>
    <w:p w14:paraId="4A622929" w14:textId="77777777" w:rsidR="00257B7C" w:rsidRPr="00257B7C" w:rsidRDefault="00257B7C" w:rsidP="00257B7C"/>
    <w:p w14:paraId="40BACEB5" w14:textId="128D0024" w:rsidR="004F0900" w:rsidRPr="00737429" w:rsidRDefault="004F0900" w:rsidP="00257B7C">
      <w:pPr>
        <w:pStyle w:val="Heading2"/>
        <w:spacing w:line="360" w:lineRule="auto"/>
        <w:jc w:val="both"/>
        <w:rPr>
          <w:rFonts w:ascii="Arial" w:hAnsi="Arial" w:cs="Arial"/>
          <w:b/>
          <w:bCs/>
          <w:color w:val="000000" w:themeColor="text1"/>
          <w:sz w:val="24"/>
          <w:szCs w:val="24"/>
        </w:rPr>
      </w:pPr>
      <w:bookmarkStart w:id="3" w:name="_Toc216278887"/>
      <w:r w:rsidRPr="00737429">
        <w:rPr>
          <w:rFonts w:ascii="Arial" w:hAnsi="Arial" w:cs="Arial"/>
          <w:b/>
          <w:bCs/>
          <w:color w:val="000000" w:themeColor="text1"/>
          <w:sz w:val="24"/>
          <w:szCs w:val="24"/>
        </w:rPr>
        <w:t>Political</w:t>
      </w:r>
      <w:bookmarkEnd w:id="3"/>
    </w:p>
    <w:p w14:paraId="5998D4FD" w14:textId="09BC17F4"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Procter</w:t>
      </w:r>
      <w:r w:rsidR="00731E12" w:rsidRPr="00731E12">
        <w:rPr>
          <w:rFonts w:ascii="Arial" w:hAnsi="Arial" w:cs="Arial"/>
          <w:sz w:val="22"/>
          <w:szCs w:val="22"/>
        </w:rPr>
        <w:t xml:space="preserve">&amp; </w:t>
      </w:r>
      <w:r w:rsidRPr="00731E12">
        <w:rPr>
          <w:rFonts w:ascii="Arial" w:hAnsi="Arial" w:cs="Arial"/>
          <w:sz w:val="22"/>
          <w:szCs w:val="22"/>
        </w:rPr>
        <w:t>Gamble (P&amp;G) operates in more than 180 countries, which means political stability, regulatory frameworks, and government priorities significantly influence its supply chains, pricing, and strategic decisions (Dividend One, 2025).</w:t>
      </w:r>
    </w:p>
    <w:p w14:paraId="572FC294" w14:textId="311036EC"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 xml:space="preserve">A major driver within the political landscape is government regulation of consumer goods. According to the Council of the European Union (2025), national and regional governments increasingly impose standards around safety, labelling, product composition, and environmental performance. For example, regulations on chemical use in detergents and personal care products require P&amp;G to </w:t>
      </w:r>
      <w:r w:rsidRPr="00731E12">
        <w:rPr>
          <w:rFonts w:ascii="Arial" w:hAnsi="Arial" w:cs="Arial"/>
          <w:sz w:val="22"/>
          <w:szCs w:val="22"/>
        </w:rPr>
        <w:t xml:space="preserve">continuously </w:t>
      </w:r>
      <w:r w:rsidRPr="00731E12">
        <w:rPr>
          <w:rFonts w:ascii="Arial" w:hAnsi="Arial" w:cs="Arial"/>
          <w:sz w:val="22"/>
          <w:szCs w:val="22"/>
        </w:rPr>
        <w:t>invest in reformulation and compliance. The company benefits from operating in largely stable political markets such as North America and Western Europe. However, it must also navigate volatile markets in emerging economies where currency controls, trade tariffs, or sudden policy changes may affect operations, logistics, or profitability.</w:t>
      </w:r>
    </w:p>
    <w:p w14:paraId="5E488B58" w14:textId="706B91F6"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International trade policies also play a significant role. When nations impose tariffs on imported goods, P&amp;G often responds by localising manufacturing to avoid the associated costs. This approach has enabled the company to maintain competitiveness while supporting local job creation. However, global tensions</w:t>
      </w:r>
      <w:r w:rsidR="00BC7015">
        <w:rPr>
          <w:rFonts w:ascii="Arial" w:hAnsi="Arial" w:cs="Arial"/>
          <w:sz w:val="22"/>
          <w:szCs w:val="22"/>
        </w:rPr>
        <w:t xml:space="preserve"> </w:t>
      </w:r>
      <w:r w:rsidRPr="00731E12">
        <w:rPr>
          <w:rFonts w:ascii="Arial" w:hAnsi="Arial" w:cs="Arial"/>
          <w:sz w:val="22"/>
          <w:szCs w:val="22"/>
        </w:rPr>
        <w:t>such as the US–China trade relationship</w:t>
      </w:r>
      <w:r w:rsidR="00BC7015">
        <w:rPr>
          <w:rFonts w:ascii="Arial" w:hAnsi="Arial" w:cs="Arial"/>
          <w:sz w:val="22"/>
          <w:szCs w:val="22"/>
        </w:rPr>
        <w:t xml:space="preserve"> </w:t>
      </w:r>
      <w:r w:rsidRPr="00731E12">
        <w:rPr>
          <w:rFonts w:ascii="Arial" w:hAnsi="Arial" w:cs="Arial"/>
          <w:sz w:val="22"/>
          <w:szCs w:val="22"/>
        </w:rPr>
        <w:t>have created uncertainty in P&amp;G’s sourcing and distribution networks. Similarly, the aftermath of Brexit has impacted supply chains across Europe, requiring careful planning to maintain product flow between the UK and the EU  (Priestman, 2024).</w:t>
      </w:r>
    </w:p>
    <w:p w14:paraId="05594669" w14:textId="77777777" w:rsidR="00257B7C" w:rsidRDefault="004F0900" w:rsidP="00257B7C">
      <w:pPr>
        <w:spacing w:line="360" w:lineRule="auto"/>
        <w:jc w:val="both"/>
        <w:rPr>
          <w:rFonts w:ascii="Arial" w:hAnsi="Arial" w:cs="Arial"/>
          <w:sz w:val="22"/>
          <w:szCs w:val="22"/>
        </w:rPr>
      </w:pPr>
      <w:r w:rsidRPr="00731E12">
        <w:rPr>
          <w:rFonts w:ascii="Arial" w:hAnsi="Arial" w:cs="Arial"/>
          <w:sz w:val="22"/>
          <w:szCs w:val="22"/>
        </w:rPr>
        <w:t>Finally, governments are increasingly imposing regulations on packaging and plastic waste, which pushes companies like P&amp;G to redesign their packaging and adopt circular economy principles (European Union, 2025). These policies create significant compliance costs but simultaneously open strategic opportunities for innovation and brand differentiation.</w:t>
      </w:r>
    </w:p>
    <w:p w14:paraId="1DD8845D" w14:textId="58CA03F9" w:rsidR="004F0900" w:rsidRPr="00737429" w:rsidRDefault="004F0900" w:rsidP="00737429">
      <w:r w:rsidRPr="00737429">
        <w:rPr>
          <w:rFonts w:ascii="Arial" w:eastAsiaTheme="majorEastAsia" w:hAnsi="Arial" w:cs="Arial"/>
          <w:b/>
          <w:bCs/>
          <w:color w:val="000000" w:themeColor="text1"/>
        </w:rPr>
        <w:t>Economic</w:t>
      </w:r>
      <w:r w:rsidR="00BC7015" w:rsidRPr="00737429">
        <w:rPr>
          <w:rFonts w:ascii="Arial" w:eastAsiaTheme="majorEastAsia" w:hAnsi="Arial" w:cs="Arial"/>
          <w:b/>
          <w:bCs/>
          <w:color w:val="000000" w:themeColor="text1"/>
        </w:rPr>
        <w:t>al</w:t>
      </w:r>
    </w:p>
    <w:p w14:paraId="165A95FD"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The economic environment directly affects consumer purchasing behaviour, raw material costs, manufacturing expenses, and global profitability. P&amp;G produces everyday essentials such as detergents, diapers, and personal care products: demand for these goods is generally resilient, but not immune to economic fluctuations.</w:t>
      </w:r>
    </w:p>
    <w:p w14:paraId="2C38D936"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lastRenderedPageBreak/>
        <w:t>Research shows that during economic downturns, consumers tend to shift toward value-oriented or private-label products (Lamey et al., 2007). In response, P&amp;G, despite its portfolio of premium brands, has strategically developed value options or repositioned existing brands to remain competitive, while leveraging substantial brand equity to maintain pricing power even in inflationary periods.</w:t>
      </w:r>
    </w:p>
    <w:p w14:paraId="1BF1BF57"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Over the past decade, prices for key raw materials, including pulp, oil, and chemicals, have fluctuated significantly. Such volatility forces companies like P&amp;G to choose between absorbing higher input costs, which can compress profit margins, or passing those costs on to consumers through higher retail prices, which may affect demand. Historically, P&amp;G has managed these challenges through a combination of cost-efficiency measures, strategic sourcing, and gradual price adjustments, thereby maintaining competitiveness despite market uncertainty (BTG Advisory, 2025).</w:t>
      </w:r>
    </w:p>
    <w:p w14:paraId="24463477"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Currency exchange rates also affect earnings. Operating in many countries means revenues may be generated in weaker currencies but reported in stronger ones, which can affect financial results. P&amp;G limits risk through hedging strategies and by locating production facilities close to major markets.</w:t>
      </w:r>
    </w:p>
    <w:p w14:paraId="34577420"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Economic expansion in emerging regions such as Latin America, Africa, and Asia is driving higher disposable incomes and a growing middle class. Consequently, more consumers can afford branded hygiene and personal care products, leading to increased market demand. This environment creates opportunities for companies like P&amp;G to capture growth by localising products, expanding distribution channels, and implementing targeted marketing strategies (Emergen Research, 2025).</w:t>
      </w:r>
    </w:p>
    <w:p w14:paraId="43007B2A" w14:textId="3BF3C9AF" w:rsidR="004F0900" w:rsidRPr="00737429" w:rsidRDefault="004F0900" w:rsidP="00257B7C">
      <w:pPr>
        <w:pStyle w:val="Heading2"/>
        <w:spacing w:line="360" w:lineRule="auto"/>
        <w:jc w:val="both"/>
        <w:rPr>
          <w:rFonts w:ascii="Arial" w:hAnsi="Arial" w:cs="Arial"/>
          <w:b/>
          <w:bCs/>
          <w:color w:val="000000" w:themeColor="text1"/>
          <w:sz w:val="24"/>
          <w:szCs w:val="24"/>
        </w:rPr>
      </w:pPr>
      <w:bookmarkStart w:id="4" w:name="_Toc216278888"/>
      <w:r w:rsidRPr="00737429">
        <w:rPr>
          <w:rFonts w:ascii="Arial" w:hAnsi="Arial" w:cs="Arial"/>
          <w:b/>
          <w:bCs/>
          <w:color w:val="000000" w:themeColor="text1"/>
          <w:sz w:val="24"/>
          <w:szCs w:val="24"/>
        </w:rPr>
        <w:t>Social</w:t>
      </w:r>
      <w:bookmarkEnd w:id="4"/>
    </w:p>
    <w:p w14:paraId="0481C737"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Social forces profoundly shape consumer tastes, product development, and brand strategy. One of the strongest trends relevant to P&amp;G is the increasing focus on health, hygiene, and well-being. Demand for cleaning products surged during and after the pandemic, reinforcing long-term habits of frequent household cleaning, hand washing, and personal care. These behavioural changes support sustained demand for P&amp;G’s portfolio across detergents and health-related brands.</w:t>
      </w:r>
    </w:p>
    <w:p w14:paraId="01C42B01"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 xml:space="preserve">At the same time, consumer expectations regarding ethical business, diversity, and transparency have grown significantly. Many consumers favour brands that reflect their values, prompting P&amp;G </w:t>
      </w:r>
      <w:r w:rsidRPr="00731E12">
        <w:rPr>
          <w:rFonts w:ascii="Arial" w:hAnsi="Arial" w:cs="Arial"/>
          <w:sz w:val="22"/>
          <w:szCs w:val="22"/>
        </w:rPr>
        <w:lastRenderedPageBreak/>
        <w:t>to develop campaigns that emphasise gender equality, community engagement and representation. The organisation has made diversity and inclusion central to marketing, talent management and brand communications, creating emotional connections with global audiences while addressing social expectations.</w:t>
      </w:r>
    </w:p>
    <w:p w14:paraId="1FBF0538" w14:textId="197066CF"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Social trends continue to strongly influence consumer preferences, product innovation, and brand strategies. One notable shift affecting P&amp;G is the heightened focus on health, hygiene, and overall well-being. During and following the COVID-19 pandemic, demand for household cleaning products, hand sanitisers, and personal care items surged, with many consumers maintaining these habits long-term, supporting ongoing demand for P&amp;G’s hygiene and health-focused portfolio (Grand View Research, 2023; Actual Market Research, 202</w:t>
      </w:r>
      <w:r w:rsidR="005D0F14">
        <w:rPr>
          <w:rFonts w:ascii="Arial" w:hAnsi="Arial" w:cs="Arial"/>
          <w:sz w:val="22"/>
          <w:szCs w:val="22"/>
        </w:rPr>
        <w:t>5</w:t>
      </w:r>
      <w:r w:rsidRPr="00731E12">
        <w:rPr>
          <w:rFonts w:ascii="Arial" w:hAnsi="Arial" w:cs="Arial"/>
          <w:sz w:val="22"/>
          <w:szCs w:val="22"/>
        </w:rPr>
        <w:t>).</w:t>
      </w:r>
      <w:r w:rsidR="00257B7C">
        <w:rPr>
          <w:rFonts w:ascii="Arial" w:hAnsi="Arial" w:cs="Arial"/>
          <w:sz w:val="22"/>
          <w:szCs w:val="22"/>
        </w:rPr>
        <w:t xml:space="preserve"> </w:t>
      </w:r>
      <w:r w:rsidRPr="00731E12">
        <w:rPr>
          <w:rFonts w:ascii="Arial" w:hAnsi="Arial" w:cs="Arial"/>
          <w:sz w:val="22"/>
          <w:szCs w:val="22"/>
        </w:rPr>
        <w:t>Simultaneously, consumer expectations regarding ethical business practices, diversity, and transparency have intensified. Modern buyers increasingly favour brands that align with their values, prompting P&amp;G to implement initiatives in gender equality, community engagement, and inclusive marketing. By prioritising diversity and inclusion in brand communications, marketing strategies, and talent management, P&amp;G strengthens emotional connections with global audiences while meeting social expectations (Research</w:t>
      </w:r>
      <w:r w:rsidR="00731E12" w:rsidRPr="00731E12">
        <w:rPr>
          <w:rFonts w:ascii="Arial" w:hAnsi="Arial" w:cs="Arial"/>
          <w:sz w:val="22"/>
          <w:szCs w:val="22"/>
        </w:rPr>
        <w:t xml:space="preserve">&amp; </w:t>
      </w:r>
      <w:r w:rsidRPr="00731E12">
        <w:rPr>
          <w:rFonts w:ascii="Arial" w:hAnsi="Arial" w:cs="Arial"/>
          <w:sz w:val="22"/>
          <w:szCs w:val="22"/>
        </w:rPr>
        <w:t>Markets, 2022).</w:t>
      </w:r>
    </w:p>
    <w:p w14:paraId="7E37E9A4"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Society’s shift towards sustainable lifestyles also influences purchasing patterns. There is greater scrutiny of plastic packaging, chemical ingredients and corporate environmental footprints. Increasing numbers of consumers are willing to switch brands for products that are perceived as cleaner, greener, or cruelty-free. For P&amp;G, this has driven investment into plant-based formulations, recyclable packaging, and commitments to reduce waste.</w:t>
      </w:r>
    </w:p>
    <w:p w14:paraId="76AAA357" w14:textId="77777777" w:rsidR="00257B7C" w:rsidRDefault="004F0900" w:rsidP="00257B7C">
      <w:pPr>
        <w:spacing w:line="360" w:lineRule="auto"/>
        <w:jc w:val="both"/>
        <w:rPr>
          <w:rFonts w:ascii="Arial" w:hAnsi="Arial" w:cs="Arial"/>
          <w:sz w:val="22"/>
          <w:szCs w:val="22"/>
        </w:rPr>
      </w:pPr>
      <w:r w:rsidRPr="00731E12">
        <w:rPr>
          <w:rFonts w:ascii="Arial" w:hAnsi="Arial" w:cs="Arial"/>
          <w:sz w:val="22"/>
          <w:szCs w:val="22"/>
        </w:rPr>
        <w:t>Demographic dynamics are increasingly shaping demand patterns in global consumer goods. In many developed markets, population ageing is accelerating demand for products tailored to older adults, while in developing regions, especially in parts of Asia and sub-Saharan Africa, youthful, rapidly growing populations are creating significant demand for family and baby care brands (UN DESA, 2023). As a result, firms like P&amp;G have the opportunity to tailor their product mix and marketing strategies: ageing populations may increase demand for senior-oriented care products, whereas younger demographics in emerging markets expand the base for diapers, infant care, and family hygiene products (Mordor Intelligence, 2024).</w:t>
      </w:r>
    </w:p>
    <w:p w14:paraId="60B5C7A4" w14:textId="77777777" w:rsidR="00737429" w:rsidRDefault="00737429" w:rsidP="00257B7C">
      <w:pPr>
        <w:spacing w:line="360" w:lineRule="auto"/>
        <w:jc w:val="both"/>
        <w:rPr>
          <w:rFonts w:ascii="Arial" w:hAnsi="Arial" w:cs="Arial"/>
          <w:b/>
          <w:bCs/>
          <w:color w:val="000000" w:themeColor="text1"/>
        </w:rPr>
      </w:pPr>
    </w:p>
    <w:p w14:paraId="5C8929CD" w14:textId="5D033FDC" w:rsidR="004F0900" w:rsidRPr="00737429" w:rsidRDefault="004F0900" w:rsidP="00257B7C">
      <w:pPr>
        <w:spacing w:line="360" w:lineRule="auto"/>
        <w:jc w:val="both"/>
        <w:rPr>
          <w:rFonts w:ascii="Arial" w:hAnsi="Arial" w:cs="Arial"/>
        </w:rPr>
      </w:pPr>
      <w:r w:rsidRPr="00737429">
        <w:rPr>
          <w:rFonts w:ascii="Arial" w:hAnsi="Arial" w:cs="Arial"/>
          <w:b/>
          <w:bCs/>
          <w:color w:val="000000" w:themeColor="text1"/>
        </w:rPr>
        <w:lastRenderedPageBreak/>
        <w:t>Technological</w:t>
      </w:r>
    </w:p>
    <w:p w14:paraId="15158B18" w14:textId="443D8CF0"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Innovation is a central element of Procter</w:t>
      </w:r>
      <w:r w:rsidR="00731E12" w:rsidRPr="00731E12">
        <w:rPr>
          <w:rFonts w:ascii="Arial" w:hAnsi="Arial" w:cs="Arial"/>
          <w:sz w:val="22"/>
          <w:szCs w:val="22"/>
        </w:rPr>
        <w:t xml:space="preserve">&amp; </w:t>
      </w:r>
      <w:r w:rsidRPr="00731E12">
        <w:rPr>
          <w:rFonts w:ascii="Arial" w:hAnsi="Arial" w:cs="Arial"/>
          <w:sz w:val="22"/>
          <w:szCs w:val="22"/>
        </w:rPr>
        <w:t>Gamble’s (P&amp;G) strategic priorities, shaping the way products are developed, supply chains function, and marketing engages with consumers. The company invests heavily in research and development to drive new product formulations, sustainable packaging, and improvements in manufacturing processes. According to P&amp;G (2024), continuous investment in R&amp;D allows the company to differentiate its products in competitive markets where many similar offerings exist. Technology further supports this innovation by optimising manufacturing efficiency and enhancing supply-chain responsiveness (Forbes, 2021). P&amp;G has also adopted an “open innovation” approach, integrating insights across all business functions to maintain a competitive edge and consistently deliver products that meet evolving consumer needs (Strategy+Business, 2022).</w:t>
      </w:r>
    </w:p>
    <w:p w14:paraId="0271C5C6" w14:textId="13ACDDEF" w:rsidR="004F0900" w:rsidRDefault="004F0900" w:rsidP="00257B7C">
      <w:pPr>
        <w:spacing w:line="360" w:lineRule="auto"/>
        <w:jc w:val="both"/>
        <w:rPr>
          <w:rFonts w:ascii="Arial" w:hAnsi="Arial" w:cs="Arial"/>
          <w:sz w:val="22"/>
          <w:szCs w:val="22"/>
        </w:rPr>
      </w:pPr>
      <w:r w:rsidRPr="00731E12">
        <w:rPr>
          <w:rFonts w:ascii="Arial" w:hAnsi="Arial" w:cs="Arial"/>
          <w:sz w:val="22"/>
          <w:szCs w:val="22"/>
        </w:rPr>
        <w:t>Digital transformation is reshaping operations. Automation and advanced manufacturing technologies help reduce waste, improve accuracy, and increase efficiency. Smart factories incorporate robotics, predictive analytics, and real-time monitoring to optimise output and reduce downtime.</w:t>
      </w:r>
      <w:r w:rsidR="00257B7C">
        <w:rPr>
          <w:rFonts w:ascii="Arial" w:hAnsi="Arial" w:cs="Arial"/>
          <w:sz w:val="22"/>
          <w:szCs w:val="22"/>
        </w:rPr>
        <w:t xml:space="preserve"> </w:t>
      </w:r>
      <w:r w:rsidRPr="00731E12">
        <w:rPr>
          <w:rFonts w:ascii="Arial" w:hAnsi="Arial" w:cs="Arial"/>
          <w:sz w:val="22"/>
          <w:szCs w:val="22"/>
        </w:rPr>
        <w:t>Technology is increasingly shaping the retail experience at Procter</w:t>
      </w:r>
      <w:r w:rsidR="00731E12" w:rsidRPr="00731E12">
        <w:rPr>
          <w:rFonts w:ascii="Arial" w:hAnsi="Arial" w:cs="Arial"/>
          <w:sz w:val="22"/>
          <w:szCs w:val="22"/>
        </w:rPr>
        <w:t xml:space="preserve">&amp; </w:t>
      </w:r>
      <w:r w:rsidRPr="00731E12">
        <w:rPr>
          <w:rFonts w:ascii="Arial" w:hAnsi="Arial" w:cs="Arial"/>
          <w:sz w:val="22"/>
          <w:szCs w:val="22"/>
        </w:rPr>
        <w:t>Gamble (P&amp;G). The growth of e-commerce, subscription services, and digital marketplaces has led the company to allocate more marketing resources toward online platforms, influencer collaborations, and personalised digital advertising. Direct-to-consumer channels not only generate sales but also provide critical consumer insights, enabling faster innovation through feedback from reviews and analytics (Dow, 2023). Packaging innovation has been another strategic focus, with lightweight materials, refillable systems, and recyclable solutions helping P&amp;G meet regulatory and consumer expectations for sustainability, while also enhancing competitiveness (Procter</w:t>
      </w:r>
      <w:r w:rsidR="00731E12" w:rsidRPr="00731E12">
        <w:rPr>
          <w:rFonts w:ascii="Arial" w:hAnsi="Arial" w:cs="Arial"/>
          <w:sz w:val="22"/>
          <w:szCs w:val="22"/>
        </w:rPr>
        <w:t xml:space="preserve">&amp; </w:t>
      </w:r>
      <w:r w:rsidRPr="00731E12">
        <w:rPr>
          <w:rFonts w:ascii="Arial" w:hAnsi="Arial" w:cs="Arial"/>
          <w:sz w:val="22"/>
          <w:szCs w:val="22"/>
        </w:rPr>
        <w:t>Gamble, 2024).</w:t>
      </w:r>
    </w:p>
    <w:p w14:paraId="61BCE04B" w14:textId="0D202ECA" w:rsidR="004F0900" w:rsidRPr="00737429" w:rsidRDefault="004F0900" w:rsidP="00257B7C">
      <w:pPr>
        <w:pStyle w:val="Heading2"/>
        <w:spacing w:line="360" w:lineRule="auto"/>
        <w:jc w:val="both"/>
        <w:rPr>
          <w:rFonts w:ascii="Arial" w:hAnsi="Arial" w:cs="Arial"/>
          <w:b/>
          <w:bCs/>
          <w:color w:val="000000" w:themeColor="text1"/>
          <w:sz w:val="24"/>
          <w:szCs w:val="24"/>
        </w:rPr>
      </w:pPr>
      <w:bookmarkStart w:id="5" w:name="_Toc216278889"/>
      <w:r w:rsidRPr="00737429">
        <w:rPr>
          <w:rFonts w:ascii="Arial" w:hAnsi="Arial" w:cs="Arial"/>
          <w:b/>
          <w:bCs/>
          <w:color w:val="000000" w:themeColor="text1"/>
          <w:sz w:val="24"/>
          <w:szCs w:val="24"/>
        </w:rPr>
        <w:t>Environmental</w:t>
      </w:r>
      <w:bookmarkEnd w:id="5"/>
    </w:p>
    <w:p w14:paraId="25F59343"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Environmental pressures represent both a challenge and an opportunity. Governments, customers, and advocacy groups increasingly scrutinise the environmental behaviour of large manufacturers. P&amp;G faces expectations to reduce carbon emissions, water use, waste, and plastic pollution across its global operations.</w:t>
      </w:r>
    </w:p>
    <w:p w14:paraId="591F3F0A"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 xml:space="preserve">The company has committed to ambitious sustainability targets, including achieving net-zero greenhouse gas emissions, designing 100% recyclable or reusable packaging, and investing in renewable energy and waste reduction. While meeting these targets requires significant </w:t>
      </w:r>
      <w:r w:rsidRPr="00731E12">
        <w:rPr>
          <w:rFonts w:ascii="Arial" w:hAnsi="Arial" w:cs="Arial"/>
          <w:sz w:val="22"/>
          <w:szCs w:val="22"/>
        </w:rPr>
        <w:lastRenderedPageBreak/>
        <w:t>investment, failure to do so may risk reputational harm, regulatory penalties, or loss of market share to more sustainable brands.</w:t>
      </w:r>
    </w:p>
    <w:p w14:paraId="1EC24A56"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Water management is critical. Many P&amp;G products require water during manufacturing or consumer use. Droughts and water scarcity in certain regions highlight the need for responsible resource management, plant relocation, and product innovation (e.g., concentrated detergents that require less water).</w:t>
      </w:r>
    </w:p>
    <w:p w14:paraId="1517E77A" w14:textId="34DB5723"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There is also a broader environmental risk from climate change. Extreme weather events can disrupt supply chains, damage manufacturing sites, and alter logistics routes. Building resilient, flexible, and diversified supply networks is therefore essential to safeguard business continuity.</w:t>
      </w:r>
    </w:p>
    <w:p w14:paraId="20BB26B8" w14:textId="59074FAE" w:rsidR="004F0900" w:rsidRPr="00737429" w:rsidRDefault="004F0900" w:rsidP="00257B7C">
      <w:pPr>
        <w:pStyle w:val="Heading2"/>
        <w:spacing w:line="360" w:lineRule="auto"/>
        <w:jc w:val="both"/>
        <w:rPr>
          <w:rFonts w:ascii="Arial" w:hAnsi="Arial" w:cs="Arial"/>
          <w:b/>
          <w:bCs/>
          <w:color w:val="000000" w:themeColor="text1"/>
          <w:sz w:val="24"/>
          <w:szCs w:val="24"/>
        </w:rPr>
      </w:pPr>
      <w:bookmarkStart w:id="6" w:name="_Toc216278890"/>
      <w:r w:rsidRPr="00737429">
        <w:rPr>
          <w:rFonts w:ascii="Arial" w:hAnsi="Arial" w:cs="Arial"/>
          <w:b/>
          <w:bCs/>
          <w:color w:val="000000" w:themeColor="text1"/>
          <w:sz w:val="24"/>
          <w:szCs w:val="24"/>
        </w:rPr>
        <w:t>Legal</w:t>
      </w:r>
      <w:bookmarkEnd w:id="6"/>
    </w:p>
    <w:p w14:paraId="46C91CA3"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P&amp;G is subject to a wide range of legal requirements, including consumer protection and advertising legislation, competition law, worker safety, and data protection. Non-compliance can lead to fines, lawsuits, product recalls, and reputational loss.</w:t>
      </w:r>
    </w:p>
    <w:p w14:paraId="2C5C711B"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Product safety laws require extensive testing and documentation before products enter markets. Regulations on ingredients continue to evolve, particularly regarding fragrances, preservatives, and chemical agents. The organisation must continuously monitor legal developments, especially in highly regulated areas such as the EU, where chemical regulation under REACH is strict.</w:t>
      </w:r>
    </w:p>
    <w:p w14:paraId="716BF51E"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Intellectual property law is another critical area. P&amp;G invests heavily in innovation, and patents protect technological advances and product formulas. Protecting patents across global markets can be challenging, particularly in regions where enforcement may be weaker.</w:t>
      </w:r>
    </w:p>
    <w:p w14:paraId="55A777B5" w14:textId="77777777" w:rsidR="004F0900" w:rsidRPr="00731E12" w:rsidRDefault="004F0900" w:rsidP="00257B7C">
      <w:pPr>
        <w:spacing w:line="360" w:lineRule="auto"/>
        <w:jc w:val="both"/>
        <w:rPr>
          <w:rFonts w:ascii="Arial" w:hAnsi="Arial" w:cs="Arial"/>
          <w:sz w:val="22"/>
          <w:szCs w:val="22"/>
        </w:rPr>
      </w:pPr>
      <w:r w:rsidRPr="00731E12">
        <w:rPr>
          <w:rFonts w:ascii="Arial" w:hAnsi="Arial" w:cs="Arial"/>
          <w:sz w:val="22"/>
          <w:szCs w:val="22"/>
        </w:rPr>
        <w:t>Employment and labour laws must be respected across all territories, affecting working hours, pay, health and safety, and non-discrimination policies. Data protection legislation such as GDPR influences how customer data is collected, managed, and stored, particularly as e-commerce becomes increasingly central to operations.</w:t>
      </w:r>
    </w:p>
    <w:p w14:paraId="41963417" w14:textId="77777777" w:rsidR="00257B7C" w:rsidRDefault="00257B7C" w:rsidP="00257B7C">
      <w:pPr>
        <w:spacing w:line="360" w:lineRule="auto"/>
        <w:jc w:val="both"/>
        <w:rPr>
          <w:rFonts w:ascii="Arial" w:hAnsi="Arial" w:cs="Arial"/>
          <w:sz w:val="22"/>
          <w:szCs w:val="22"/>
        </w:rPr>
      </w:pPr>
    </w:p>
    <w:p w14:paraId="0B4E70E1" w14:textId="3D6705C1" w:rsidR="00257B7C" w:rsidRDefault="004F0900" w:rsidP="00257B7C">
      <w:pPr>
        <w:spacing w:line="360" w:lineRule="auto"/>
        <w:jc w:val="both"/>
        <w:rPr>
          <w:rFonts w:ascii="Arial" w:hAnsi="Arial" w:cs="Arial"/>
          <w:sz w:val="22"/>
          <w:szCs w:val="22"/>
        </w:rPr>
      </w:pPr>
      <w:r w:rsidRPr="00731E12">
        <w:rPr>
          <w:rFonts w:ascii="Arial" w:hAnsi="Arial" w:cs="Arial"/>
          <w:sz w:val="22"/>
          <w:szCs w:val="22"/>
        </w:rPr>
        <w:t xml:space="preserve">The PESTEL analysis reveals a complex environment where political regulation, economic fluctuations, social trends, technological advances, environmental priorities, and legal compliance all shape P&amp;G’s strategic decisions. The company benefits from substantial brand equity, global </w:t>
      </w:r>
      <w:r w:rsidRPr="00731E12">
        <w:rPr>
          <w:rFonts w:ascii="Arial" w:hAnsi="Arial" w:cs="Arial"/>
          <w:sz w:val="22"/>
          <w:szCs w:val="22"/>
        </w:rPr>
        <w:lastRenderedPageBreak/>
        <w:t>scale, and innovation capability, yet must remain agile to adapt to regulatory pressures, sustainability demands, consumer expectations and technological disruption.</w:t>
      </w:r>
    </w:p>
    <w:p w14:paraId="2D15D5F8" w14:textId="77777777" w:rsidR="00257B7C" w:rsidRPr="00257B7C" w:rsidRDefault="00257B7C" w:rsidP="00257B7C">
      <w:pPr>
        <w:spacing w:line="360" w:lineRule="auto"/>
        <w:jc w:val="both"/>
        <w:rPr>
          <w:rFonts w:ascii="Arial" w:hAnsi="Arial" w:cs="Arial"/>
          <w:sz w:val="22"/>
          <w:szCs w:val="22"/>
        </w:rPr>
      </w:pPr>
    </w:p>
    <w:p w14:paraId="1276FC5A" w14:textId="684D21BD" w:rsidR="00DA2B5E" w:rsidRPr="00731E12" w:rsidRDefault="000724A1" w:rsidP="00257B7C">
      <w:pPr>
        <w:pStyle w:val="Heading2"/>
        <w:spacing w:line="360" w:lineRule="auto"/>
        <w:rPr>
          <w:rFonts w:ascii="Arial" w:hAnsi="Arial" w:cs="Arial"/>
          <w:color w:val="000000" w:themeColor="text1"/>
        </w:rPr>
      </w:pPr>
      <w:bookmarkStart w:id="7" w:name="_Toc216278891"/>
      <w:r w:rsidRPr="00731E12">
        <w:rPr>
          <w:rFonts w:ascii="Arial" w:hAnsi="Arial" w:cs="Arial"/>
          <w:color w:val="000000" w:themeColor="text1"/>
        </w:rPr>
        <w:t>Porter's</w:t>
      </w:r>
      <w:r w:rsidR="00E75805" w:rsidRPr="00731E12">
        <w:rPr>
          <w:rFonts w:ascii="Arial" w:hAnsi="Arial" w:cs="Arial"/>
          <w:color w:val="000000" w:themeColor="text1"/>
        </w:rPr>
        <w:t xml:space="preserve"> Five Forces Analysis</w:t>
      </w:r>
      <w:bookmarkEnd w:id="7"/>
    </w:p>
    <w:p w14:paraId="4A23FAA1" w14:textId="68A5FBCB" w:rsidR="00AB1606" w:rsidRPr="00257B7C" w:rsidRDefault="00AB1606" w:rsidP="00257B7C">
      <w:pPr>
        <w:spacing w:line="360" w:lineRule="auto"/>
        <w:rPr>
          <w:rFonts w:ascii="Arial" w:hAnsi="Arial" w:cs="Arial"/>
          <w:sz w:val="22"/>
          <w:szCs w:val="22"/>
        </w:rPr>
      </w:pPr>
      <w:r w:rsidRPr="00257B7C">
        <w:rPr>
          <w:rFonts w:ascii="Arial" w:hAnsi="Arial" w:cs="Arial"/>
          <w:sz w:val="22"/>
          <w:szCs w:val="22"/>
        </w:rPr>
        <w:t>Porter’s Five Forces framework provides a structured approach to understanding competitive pressures within an industry. For Procter</w:t>
      </w:r>
      <w:r w:rsidR="00731E12" w:rsidRPr="00257B7C">
        <w:rPr>
          <w:rFonts w:ascii="Arial" w:hAnsi="Arial" w:cs="Arial"/>
          <w:sz w:val="22"/>
          <w:szCs w:val="22"/>
        </w:rPr>
        <w:t xml:space="preserve">&amp; </w:t>
      </w:r>
      <w:r w:rsidRPr="00257B7C">
        <w:rPr>
          <w:rFonts w:ascii="Arial" w:hAnsi="Arial" w:cs="Arial"/>
          <w:sz w:val="22"/>
          <w:szCs w:val="22"/>
        </w:rPr>
        <w:t>Gamble (P&amp;G), this analysis highlights the intensity of rivalry, the influence of suppliers and buyers, the threat of substitutes, and the likelihood of new entrants, all of which shape strategic decision</w:t>
      </w:r>
      <w:r w:rsidRPr="00257B7C">
        <w:rPr>
          <w:rFonts w:ascii="Cambria Math" w:hAnsi="Cambria Math" w:cs="Cambria Math"/>
          <w:sz w:val="22"/>
          <w:szCs w:val="22"/>
        </w:rPr>
        <w:t>‑</w:t>
      </w:r>
      <w:r w:rsidRPr="00257B7C">
        <w:rPr>
          <w:rFonts w:ascii="Arial" w:hAnsi="Arial" w:cs="Arial"/>
          <w:sz w:val="22"/>
          <w:szCs w:val="22"/>
        </w:rPr>
        <w:t>making and organisational performance (Porter, 1980; Johnson, Scholes and Whittington, 2017).</w:t>
      </w:r>
    </w:p>
    <w:p w14:paraId="6152C342" w14:textId="77777777" w:rsidR="00AB1606" w:rsidRPr="00737429" w:rsidRDefault="00AB1606" w:rsidP="00257B7C">
      <w:pPr>
        <w:pStyle w:val="Heading3"/>
        <w:rPr>
          <w:rFonts w:ascii="Arial" w:hAnsi="Arial" w:cs="Arial"/>
          <w:b/>
          <w:bCs/>
          <w:color w:val="000000" w:themeColor="text1"/>
          <w:sz w:val="24"/>
          <w:szCs w:val="24"/>
        </w:rPr>
      </w:pPr>
      <w:bookmarkStart w:id="8" w:name="_Toc216278892"/>
      <w:r w:rsidRPr="00737429">
        <w:rPr>
          <w:rFonts w:ascii="Arial" w:hAnsi="Arial" w:cs="Arial"/>
          <w:b/>
          <w:bCs/>
          <w:color w:val="000000" w:themeColor="text1"/>
          <w:sz w:val="24"/>
          <w:szCs w:val="24"/>
        </w:rPr>
        <w:t>Competitive Rivalry</w:t>
      </w:r>
      <w:bookmarkEnd w:id="8"/>
    </w:p>
    <w:p w14:paraId="3F19B3D6" w14:textId="167B20C3" w:rsidR="00AB1606" w:rsidRPr="00257B7C" w:rsidRDefault="00AB1606" w:rsidP="00257B7C">
      <w:pPr>
        <w:spacing w:line="360" w:lineRule="auto"/>
        <w:rPr>
          <w:rFonts w:ascii="Arial" w:hAnsi="Arial" w:cs="Arial"/>
          <w:sz w:val="22"/>
          <w:szCs w:val="22"/>
        </w:rPr>
      </w:pPr>
      <w:r w:rsidRPr="00257B7C">
        <w:rPr>
          <w:rFonts w:ascii="Arial" w:hAnsi="Arial" w:cs="Arial"/>
          <w:sz w:val="22"/>
          <w:szCs w:val="22"/>
        </w:rPr>
        <w:t>The global fast</w:t>
      </w:r>
      <w:r w:rsidRPr="00257B7C">
        <w:rPr>
          <w:rFonts w:ascii="Cambria Math" w:hAnsi="Cambria Math" w:cs="Cambria Math"/>
          <w:sz w:val="22"/>
          <w:szCs w:val="22"/>
        </w:rPr>
        <w:t>‑</w:t>
      </w:r>
      <w:r w:rsidRPr="00257B7C">
        <w:rPr>
          <w:rFonts w:ascii="Arial" w:hAnsi="Arial" w:cs="Arial"/>
          <w:sz w:val="22"/>
          <w:szCs w:val="22"/>
        </w:rPr>
        <w:t>moving consumer goods (FMCG) sector is characterised by exceptionally intense rivalry. P&amp;G competes with multinational corporations such as Unilever, Colgate</w:t>
      </w:r>
      <w:r w:rsidRPr="00257B7C">
        <w:rPr>
          <w:rFonts w:ascii="Cambria Math" w:hAnsi="Cambria Math" w:cs="Cambria Math"/>
          <w:sz w:val="22"/>
          <w:szCs w:val="22"/>
        </w:rPr>
        <w:t>‑</w:t>
      </w:r>
      <w:r w:rsidRPr="00257B7C">
        <w:rPr>
          <w:rFonts w:ascii="Arial" w:hAnsi="Arial" w:cs="Arial"/>
          <w:sz w:val="22"/>
          <w:szCs w:val="22"/>
        </w:rPr>
        <w:t>Palmolive, Johnson</w:t>
      </w:r>
      <w:r w:rsidR="00731E12" w:rsidRPr="00257B7C">
        <w:rPr>
          <w:rFonts w:ascii="Arial" w:hAnsi="Arial" w:cs="Arial"/>
          <w:sz w:val="22"/>
          <w:szCs w:val="22"/>
        </w:rPr>
        <w:t xml:space="preserve">&amp; </w:t>
      </w:r>
      <w:r w:rsidRPr="00257B7C">
        <w:rPr>
          <w:rFonts w:ascii="Arial" w:hAnsi="Arial" w:cs="Arial"/>
          <w:sz w:val="22"/>
          <w:szCs w:val="22"/>
        </w:rPr>
        <w:t>Johnson, Reckitt Benckiser, and Kimberly</w:t>
      </w:r>
      <w:r w:rsidRPr="00257B7C">
        <w:rPr>
          <w:rFonts w:ascii="Cambria Math" w:hAnsi="Cambria Math" w:cs="Cambria Math"/>
          <w:sz w:val="22"/>
          <w:szCs w:val="22"/>
        </w:rPr>
        <w:t>‑</w:t>
      </w:r>
      <w:r w:rsidRPr="00257B7C">
        <w:rPr>
          <w:rFonts w:ascii="Arial" w:hAnsi="Arial" w:cs="Arial"/>
          <w:sz w:val="22"/>
          <w:szCs w:val="22"/>
        </w:rPr>
        <w:t>Clark, as well as regional and private</w:t>
      </w:r>
      <w:r w:rsidRPr="00257B7C">
        <w:rPr>
          <w:rFonts w:ascii="Cambria Math" w:hAnsi="Cambria Math" w:cs="Cambria Math"/>
          <w:sz w:val="22"/>
          <w:szCs w:val="22"/>
        </w:rPr>
        <w:t>‑</w:t>
      </w:r>
      <w:r w:rsidRPr="00257B7C">
        <w:rPr>
          <w:rFonts w:ascii="Arial" w:hAnsi="Arial" w:cs="Arial"/>
          <w:sz w:val="22"/>
          <w:szCs w:val="22"/>
        </w:rPr>
        <w:t>label brands (Grant, 2019). High product similarity, brand loyalty, and aggressive marketing campaigns contribute to price pressure and elevated advertising costs. P&amp;G has historically sought differentiation through branding, innovation, and quality, yet competitors increasingly replicate these advantages or offer lower</w:t>
      </w:r>
      <w:r w:rsidRPr="00257B7C">
        <w:rPr>
          <w:rFonts w:ascii="Cambria Math" w:hAnsi="Cambria Math" w:cs="Cambria Math"/>
          <w:sz w:val="22"/>
          <w:szCs w:val="22"/>
        </w:rPr>
        <w:t>‑</w:t>
      </w:r>
      <w:r w:rsidRPr="00257B7C">
        <w:rPr>
          <w:rFonts w:ascii="Arial" w:hAnsi="Arial" w:cs="Arial"/>
          <w:sz w:val="22"/>
          <w:szCs w:val="22"/>
        </w:rPr>
        <w:t>priced alternatives (Kotler</w:t>
      </w:r>
      <w:r w:rsidR="00731E12" w:rsidRPr="00257B7C">
        <w:rPr>
          <w:rFonts w:ascii="Arial" w:hAnsi="Arial" w:cs="Arial"/>
          <w:sz w:val="22"/>
          <w:szCs w:val="22"/>
        </w:rPr>
        <w:t xml:space="preserve">&amp; </w:t>
      </w:r>
      <w:r w:rsidRPr="00257B7C">
        <w:rPr>
          <w:rFonts w:ascii="Arial" w:hAnsi="Arial" w:cs="Arial"/>
          <w:sz w:val="22"/>
          <w:szCs w:val="22"/>
        </w:rPr>
        <w:t>Keller, 2016).</w:t>
      </w:r>
    </w:p>
    <w:p w14:paraId="5814F20E" w14:textId="77777777" w:rsidR="00AB1606" w:rsidRPr="00737429" w:rsidRDefault="00AB1606" w:rsidP="00257B7C">
      <w:pPr>
        <w:pStyle w:val="Heading3"/>
        <w:rPr>
          <w:rFonts w:ascii="Arial" w:hAnsi="Arial" w:cs="Arial"/>
          <w:b/>
          <w:bCs/>
          <w:color w:val="000000" w:themeColor="text1"/>
          <w:sz w:val="24"/>
          <w:szCs w:val="24"/>
        </w:rPr>
      </w:pPr>
      <w:bookmarkStart w:id="9" w:name="_Toc216278893"/>
      <w:r w:rsidRPr="00737429">
        <w:rPr>
          <w:rFonts w:ascii="Arial" w:hAnsi="Arial" w:cs="Arial"/>
          <w:b/>
          <w:bCs/>
          <w:color w:val="000000" w:themeColor="text1"/>
          <w:sz w:val="24"/>
          <w:szCs w:val="24"/>
        </w:rPr>
        <w:t>Threat of Substitutes</w:t>
      </w:r>
      <w:bookmarkEnd w:id="9"/>
    </w:p>
    <w:p w14:paraId="3696F0B5" w14:textId="77777777" w:rsidR="00AB1606" w:rsidRPr="00257B7C" w:rsidRDefault="00AB1606" w:rsidP="00257B7C">
      <w:pPr>
        <w:spacing w:line="360" w:lineRule="auto"/>
        <w:rPr>
          <w:rFonts w:ascii="Arial" w:hAnsi="Arial" w:cs="Arial"/>
          <w:sz w:val="22"/>
          <w:szCs w:val="22"/>
        </w:rPr>
      </w:pPr>
      <w:r w:rsidRPr="00257B7C">
        <w:rPr>
          <w:rFonts w:ascii="Arial" w:hAnsi="Arial" w:cs="Arial"/>
          <w:sz w:val="22"/>
          <w:szCs w:val="22"/>
        </w:rPr>
        <w:t>The threat of substitutes is moderate to high. Consumers can switch to alternatives in categories such as detergents, personal care, and household cleaning products. Private</w:t>
      </w:r>
      <w:r w:rsidRPr="00257B7C">
        <w:rPr>
          <w:rFonts w:ascii="Cambria Math" w:hAnsi="Cambria Math" w:cs="Cambria Math"/>
          <w:sz w:val="22"/>
          <w:szCs w:val="22"/>
        </w:rPr>
        <w:t>‑</w:t>
      </w:r>
      <w:r w:rsidRPr="00257B7C">
        <w:rPr>
          <w:rFonts w:ascii="Arial" w:hAnsi="Arial" w:cs="Arial"/>
          <w:sz w:val="22"/>
          <w:szCs w:val="22"/>
        </w:rPr>
        <w:t>label brands and organic or eco</w:t>
      </w:r>
      <w:r w:rsidRPr="00257B7C">
        <w:rPr>
          <w:rFonts w:ascii="Cambria Math" w:hAnsi="Cambria Math" w:cs="Cambria Math"/>
          <w:sz w:val="22"/>
          <w:szCs w:val="22"/>
        </w:rPr>
        <w:t>‑</w:t>
      </w:r>
      <w:r w:rsidRPr="00257B7C">
        <w:rPr>
          <w:rFonts w:ascii="Arial" w:hAnsi="Arial" w:cs="Arial"/>
          <w:sz w:val="22"/>
          <w:szCs w:val="22"/>
        </w:rPr>
        <w:t>friendly products have grown in popularity, constraining pricing flexibility (Dobbs, 2014). Although P&amp;G’s brand recognition mitigates this risk, continuous innovation is required to maintain relevance.</w:t>
      </w:r>
    </w:p>
    <w:p w14:paraId="579D1FA0" w14:textId="77777777" w:rsidR="00AB1606" w:rsidRPr="00737429" w:rsidRDefault="00AB1606" w:rsidP="00257B7C">
      <w:pPr>
        <w:pStyle w:val="Heading3"/>
        <w:rPr>
          <w:rFonts w:ascii="Arial" w:hAnsi="Arial" w:cs="Arial"/>
          <w:b/>
          <w:bCs/>
          <w:color w:val="000000" w:themeColor="text1"/>
          <w:sz w:val="24"/>
          <w:szCs w:val="24"/>
        </w:rPr>
      </w:pPr>
      <w:bookmarkStart w:id="10" w:name="_Toc216278894"/>
      <w:r w:rsidRPr="00737429">
        <w:rPr>
          <w:rFonts w:ascii="Arial" w:hAnsi="Arial" w:cs="Arial"/>
          <w:b/>
          <w:bCs/>
          <w:color w:val="000000" w:themeColor="text1"/>
          <w:sz w:val="24"/>
          <w:szCs w:val="24"/>
        </w:rPr>
        <w:t>Threat of New Entrants</w:t>
      </w:r>
      <w:bookmarkEnd w:id="10"/>
    </w:p>
    <w:p w14:paraId="41D32F17" w14:textId="23B2A28B" w:rsidR="00AB1606" w:rsidRPr="00257B7C" w:rsidRDefault="00AB1606" w:rsidP="00257B7C">
      <w:pPr>
        <w:spacing w:line="360" w:lineRule="auto"/>
        <w:rPr>
          <w:rFonts w:ascii="Arial" w:hAnsi="Arial" w:cs="Arial"/>
          <w:sz w:val="22"/>
          <w:szCs w:val="22"/>
        </w:rPr>
      </w:pPr>
      <w:r w:rsidRPr="00257B7C">
        <w:rPr>
          <w:rFonts w:ascii="Arial" w:hAnsi="Arial" w:cs="Arial"/>
          <w:sz w:val="22"/>
          <w:szCs w:val="22"/>
        </w:rPr>
        <w:t>The threat of new entrants is relatively low. Global FMCG markets demand significant capital investment in manufacturing, distribution, and marketing, while economies of scale and brand recognition act as barriers to entry (Barney</w:t>
      </w:r>
      <w:r w:rsidR="00731E12" w:rsidRPr="00257B7C">
        <w:rPr>
          <w:rFonts w:ascii="Arial" w:hAnsi="Arial" w:cs="Arial"/>
          <w:sz w:val="22"/>
          <w:szCs w:val="22"/>
        </w:rPr>
        <w:t xml:space="preserve">&amp; </w:t>
      </w:r>
      <w:r w:rsidRPr="00257B7C">
        <w:rPr>
          <w:rFonts w:ascii="Arial" w:hAnsi="Arial" w:cs="Arial"/>
          <w:sz w:val="22"/>
          <w:szCs w:val="22"/>
        </w:rPr>
        <w:t>Hesterly, 2019). Regulatory compliance and supply chain complexity further hinder new competitors. However, niche or digitally</w:t>
      </w:r>
      <w:r w:rsidRPr="00257B7C">
        <w:rPr>
          <w:rFonts w:ascii="Cambria Math" w:hAnsi="Cambria Math" w:cs="Cambria Math"/>
          <w:sz w:val="22"/>
          <w:szCs w:val="22"/>
        </w:rPr>
        <w:t>‑</w:t>
      </w:r>
      <w:r w:rsidRPr="00257B7C">
        <w:rPr>
          <w:rFonts w:ascii="Arial" w:hAnsi="Arial" w:cs="Arial"/>
          <w:sz w:val="22"/>
          <w:szCs w:val="22"/>
        </w:rPr>
        <w:t xml:space="preserve">native brands </w:t>
      </w:r>
      <w:r w:rsidRPr="00257B7C">
        <w:rPr>
          <w:rFonts w:ascii="Arial" w:hAnsi="Arial" w:cs="Arial"/>
          <w:sz w:val="22"/>
          <w:szCs w:val="22"/>
        </w:rPr>
        <w:lastRenderedPageBreak/>
        <w:t>leveraging e</w:t>
      </w:r>
      <w:r w:rsidRPr="00257B7C">
        <w:rPr>
          <w:rFonts w:ascii="Cambria Math" w:hAnsi="Cambria Math" w:cs="Cambria Math"/>
          <w:sz w:val="22"/>
          <w:szCs w:val="22"/>
        </w:rPr>
        <w:t>‑</w:t>
      </w:r>
      <w:r w:rsidRPr="00257B7C">
        <w:rPr>
          <w:rFonts w:ascii="Arial" w:hAnsi="Arial" w:cs="Arial"/>
          <w:sz w:val="22"/>
          <w:szCs w:val="22"/>
        </w:rPr>
        <w:t>commerce and social media can enter smaller segments, posing challenges in specific categories.</w:t>
      </w:r>
    </w:p>
    <w:p w14:paraId="5DC269C2" w14:textId="77777777" w:rsidR="00AB1606" w:rsidRPr="00737429" w:rsidRDefault="00AB1606" w:rsidP="00257B7C">
      <w:pPr>
        <w:pStyle w:val="Heading3"/>
        <w:rPr>
          <w:rFonts w:ascii="Arial" w:hAnsi="Arial" w:cs="Arial"/>
          <w:b/>
          <w:bCs/>
          <w:color w:val="000000" w:themeColor="text1"/>
          <w:sz w:val="24"/>
          <w:szCs w:val="24"/>
        </w:rPr>
      </w:pPr>
      <w:bookmarkStart w:id="11" w:name="_Toc216278895"/>
      <w:r w:rsidRPr="00737429">
        <w:rPr>
          <w:rFonts w:ascii="Arial" w:hAnsi="Arial" w:cs="Arial"/>
          <w:b/>
          <w:bCs/>
          <w:color w:val="000000" w:themeColor="text1"/>
          <w:sz w:val="24"/>
          <w:szCs w:val="24"/>
        </w:rPr>
        <w:t>Bargaining Power of Suppliers</w:t>
      </w:r>
      <w:bookmarkEnd w:id="11"/>
    </w:p>
    <w:p w14:paraId="0660209B" w14:textId="77777777" w:rsidR="00AB1606" w:rsidRPr="00257B7C" w:rsidRDefault="00AB1606" w:rsidP="00257B7C">
      <w:pPr>
        <w:spacing w:line="360" w:lineRule="auto"/>
        <w:rPr>
          <w:rFonts w:ascii="Arial" w:hAnsi="Arial" w:cs="Arial"/>
          <w:sz w:val="22"/>
          <w:szCs w:val="22"/>
        </w:rPr>
      </w:pPr>
      <w:r w:rsidRPr="00257B7C">
        <w:rPr>
          <w:rFonts w:ascii="Arial" w:hAnsi="Arial" w:cs="Arial"/>
          <w:sz w:val="22"/>
          <w:szCs w:val="22"/>
        </w:rPr>
        <w:t>Supplier power is moderate. P&amp;G depends on raw materials such as chemicals, pulp, oils, and packaging components. While its scale provides leverage, the limited availability of specialised inputs and global supply chain disruptions can increase supplier influence (Grant, 2019). Diversified sourcing and long</w:t>
      </w:r>
      <w:r w:rsidRPr="00257B7C">
        <w:rPr>
          <w:rFonts w:ascii="Cambria Math" w:hAnsi="Cambria Math" w:cs="Cambria Math"/>
          <w:sz w:val="22"/>
          <w:szCs w:val="22"/>
        </w:rPr>
        <w:t>‑</w:t>
      </w:r>
      <w:r w:rsidRPr="00257B7C">
        <w:rPr>
          <w:rFonts w:ascii="Arial" w:hAnsi="Arial" w:cs="Arial"/>
          <w:sz w:val="22"/>
          <w:szCs w:val="22"/>
        </w:rPr>
        <w:t>term agreements help mitigate these risks.</w:t>
      </w:r>
    </w:p>
    <w:p w14:paraId="30CF87B7" w14:textId="77777777" w:rsidR="00AB1606" w:rsidRPr="00737429" w:rsidRDefault="00AB1606" w:rsidP="00257B7C">
      <w:pPr>
        <w:pStyle w:val="Heading3"/>
        <w:rPr>
          <w:rFonts w:ascii="Arial" w:hAnsi="Arial" w:cs="Arial"/>
          <w:b/>
          <w:bCs/>
          <w:color w:val="000000" w:themeColor="text1"/>
          <w:sz w:val="24"/>
          <w:szCs w:val="24"/>
        </w:rPr>
      </w:pPr>
      <w:bookmarkStart w:id="12" w:name="_Toc216278896"/>
      <w:r w:rsidRPr="00737429">
        <w:rPr>
          <w:rFonts w:ascii="Arial" w:hAnsi="Arial" w:cs="Arial"/>
          <w:b/>
          <w:bCs/>
          <w:color w:val="000000" w:themeColor="text1"/>
          <w:sz w:val="24"/>
          <w:szCs w:val="24"/>
        </w:rPr>
        <w:t>Bargaining Power of Buyers</w:t>
      </w:r>
      <w:bookmarkEnd w:id="12"/>
    </w:p>
    <w:p w14:paraId="2496542B" w14:textId="39170A2E" w:rsidR="00AB1606" w:rsidRPr="00257B7C" w:rsidRDefault="00AB1606" w:rsidP="00257B7C">
      <w:pPr>
        <w:spacing w:line="360" w:lineRule="auto"/>
        <w:rPr>
          <w:rFonts w:ascii="Arial" w:hAnsi="Arial" w:cs="Arial"/>
          <w:sz w:val="22"/>
          <w:szCs w:val="22"/>
        </w:rPr>
      </w:pPr>
      <w:r w:rsidRPr="00257B7C">
        <w:rPr>
          <w:rFonts w:ascii="Arial" w:hAnsi="Arial" w:cs="Arial"/>
          <w:sz w:val="22"/>
          <w:szCs w:val="22"/>
        </w:rPr>
        <w:t>Buyer power is moderate to high. Large retailers such as Walmart, Tesco, and Carrefour exert considerable influence over pricing, promotions, and shelf placement (Kotler</w:t>
      </w:r>
      <w:r w:rsidR="00731E12" w:rsidRPr="00257B7C">
        <w:rPr>
          <w:rFonts w:ascii="Arial" w:hAnsi="Arial" w:cs="Arial"/>
          <w:sz w:val="22"/>
          <w:szCs w:val="22"/>
        </w:rPr>
        <w:t xml:space="preserve">&amp; </w:t>
      </w:r>
      <w:r w:rsidRPr="00257B7C">
        <w:rPr>
          <w:rFonts w:ascii="Arial" w:hAnsi="Arial" w:cs="Arial"/>
          <w:sz w:val="22"/>
          <w:szCs w:val="22"/>
        </w:rPr>
        <w:t>Keller, 2016). Consumer switching behaviour also strengthens buyer power, particularly in price</w:t>
      </w:r>
      <w:r w:rsidRPr="00257B7C">
        <w:rPr>
          <w:rFonts w:ascii="Cambria Math" w:hAnsi="Cambria Math" w:cs="Cambria Math"/>
          <w:sz w:val="22"/>
          <w:szCs w:val="22"/>
        </w:rPr>
        <w:t>‑</w:t>
      </w:r>
      <w:r w:rsidRPr="00257B7C">
        <w:rPr>
          <w:rFonts w:ascii="Arial" w:hAnsi="Arial" w:cs="Arial"/>
          <w:sz w:val="22"/>
          <w:szCs w:val="22"/>
        </w:rPr>
        <w:t>sensitive markets. P&amp;G responds with competitive pricing strategies and strong branding to maintain perceived value.</w:t>
      </w:r>
    </w:p>
    <w:p w14:paraId="2E260555" w14:textId="77777777" w:rsidR="00257B7C" w:rsidRDefault="00257B7C" w:rsidP="00257B7C">
      <w:pPr>
        <w:spacing w:line="360" w:lineRule="auto"/>
        <w:rPr>
          <w:rFonts w:ascii="Arial" w:hAnsi="Arial" w:cs="Arial"/>
          <w:sz w:val="22"/>
          <w:szCs w:val="22"/>
        </w:rPr>
      </w:pPr>
    </w:p>
    <w:p w14:paraId="1DACC72A" w14:textId="1270E40F" w:rsidR="00257B7C" w:rsidRDefault="00AB1606" w:rsidP="00257B7C">
      <w:pPr>
        <w:spacing w:line="360" w:lineRule="auto"/>
        <w:rPr>
          <w:rFonts w:ascii="Arial" w:hAnsi="Arial" w:cs="Arial"/>
          <w:sz w:val="22"/>
          <w:szCs w:val="22"/>
        </w:rPr>
      </w:pPr>
      <w:r w:rsidRPr="00257B7C">
        <w:rPr>
          <w:rFonts w:ascii="Arial" w:hAnsi="Arial" w:cs="Arial"/>
          <w:sz w:val="22"/>
          <w:szCs w:val="22"/>
        </w:rPr>
        <w:t>The Five Forces analysis demonstrates that P&amp;G operates in a highly competitive environment. Intense rivalry and substitutes limit pricing flexibility, while supplier-buyer dynamics require careful management. Barriers to entry remain strong globally, but niche competitors and private labels challenge specific product categories. P&amp;G’s strategic responses</w:t>
      </w:r>
      <w:r w:rsidR="00737429">
        <w:rPr>
          <w:rFonts w:ascii="Arial" w:hAnsi="Arial" w:cs="Arial"/>
          <w:sz w:val="22"/>
          <w:szCs w:val="22"/>
        </w:rPr>
        <w:t>,</w:t>
      </w:r>
      <w:r w:rsidR="00BC7015">
        <w:rPr>
          <w:rFonts w:ascii="Arial" w:hAnsi="Arial" w:cs="Arial"/>
          <w:sz w:val="22"/>
          <w:szCs w:val="22"/>
        </w:rPr>
        <w:t xml:space="preserve"> </w:t>
      </w:r>
      <w:r w:rsidRPr="00257B7C">
        <w:rPr>
          <w:rFonts w:ascii="Arial" w:hAnsi="Arial" w:cs="Arial"/>
          <w:sz w:val="22"/>
          <w:szCs w:val="22"/>
        </w:rPr>
        <w:t>investing in innovation, expanding e</w:t>
      </w:r>
      <w:r w:rsidRPr="00257B7C">
        <w:rPr>
          <w:rFonts w:ascii="Cambria Math" w:hAnsi="Cambria Math" w:cs="Cambria Math"/>
          <w:sz w:val="22"/>
          <w:szCs w:val="22"/>
        </w:rPr>
        <w:t>‑</w:t>
      </w:r>
      <w:r w:rsidRPr="00257B7C">
        <w:rPr>
          <w:rFonts w:ascii="Arial" w:hAnsi="Arial" w:cs="Arial"/>
          <w:sz w:val="22"/>
          <w:szCs w:val="22"/>
        </w:rPr>
        <w:t>commerce, leveraging brand equity, and optimising supply chains</w:t>
      </w:r>
      <w:r w:rsidR="00737429">
        <w:rPr>
          <w:rFonts w:ascii="Arial" w:hAnsi="Arial" w:cs="Arial"/>
          <w:sz w:val="22"/>
          <w:szCs w:val="22"/>
        </w:rPr>
        <w:t>,</w:t>
      </w:r>
      <w:r w:rsidR="00BC7015">
        <w:rPr>
          <w:rFonts w:ascii="Arial" w:hAnsi="Arial" w:cs="Arial"/>
          <w:sz w:val="22"/>
          <w:szCs w:val="22"/>
        </w:rPr>
        <w:t xml:space="preserve"> </w:t>
      </w:r>
      <w:r w:rsidRPr="00257B7C">
        <w:rPr>
          <w:rFonts w:ascii="Arial" w:hAnsi="Arial" w:cs="Arial"/>
          <w:sz w:val="22"/>
          <w:szCs w:val="22"/>
        </w:rPr>
        <w:t>are essential to sustaining competitive advantage (Johnson, Scholes and Whittington, 2017; Porter, 1980)</w:t>
      </w:r>
      <w:r w:rsidRPr="00731E12">
        <w:rPr>
          <w:rFonts w:ascii="Arial" w:hAnsi="Arial" w:cs="Arial"/>
          <w:sz w:val="22"/>
          <w:szCs w:val="22"/>
        </w:rPr>
        <w:t>.</w:t>
      </w:r>
    </w:p>
    <w:p w14:paraId="189E343A" w14:textId="77777777" w:rsidR="00257B7C" w:rsidRDefault="00257B7C" w:rsidP="00257B7C">
      <w:pPr>
        <w:spacing w:line="360" w:lineRule="auto"/>
        <w:rPr>
          <w:rFonts w:ascii="Arial" w:hAnsi="Arial" w:cs="Arial"/>
          <w:sz w:val="22"/>
          <w:szCs w:val="22"/>
        </w:rPr>
      </w:pPr>
    </w:p>
    <w:p w14:paraId="0F9E4364" w14:textId="77777777" w:rsidR="00257B7C" w:rsidRDefault="00257B7C" w:rsidP="00257B7C">
      <w:pPr>
        <w:spacing w:line="360" w:lineRule="auto"/>
        <w:rPr>
          <w:rFonts w:ascii="Arial" w:hAnsi="Arial" w:cs="Arial"/>
          <w:sz w:val="22"/>
          <w:szCs w:val="22"/>
        </w:rPr>
      </w:pPr>
    </w:p>
    <w:p w14:paraId="28E51363" w14:textId="77777777" w:rsidR="00257B7C" w:rsidRDefault="00257B7C" w:rsidP="00257B7C">
      <w:pPr>
        <w:spacing w:line="360" w:lineRule="auto"/>
        <w:rPr>
          <w:rFonts w:ascii="Arial" w:hAnsi="Arial" w:cs="Arial"/>
          <w:sz w:val="22"/>
          <w:szCs w:val="22"/>
        </w:rPr>
      </w:pPr>
    </w:p>
    <w:p w14:paraId="76A73F0F" w14:textId="77777777" w:rsidR="00257B7C" w:rsidRDefault="00257B7C" w:rsidP="00257B7C">
      <w:pPr>
        <w:spacing w:line="360" w:lineRule="auto"/>
        <w:rPr>
          <w:rFonts w:ascii="Arial" w:hAnsi="Arial" w:cs="Arial"/>
          <w:sz w:val="22"/>
          <w:szCs w:val="22"/>
        </w:rPr>
      </w:pPr>
    </w:p>
    <w:p w14:paraId="5561C37C" w14:textId="77777777" w:rsidR="00257B7C" w:rsidRDefault="00257B7C" w:rsidP="00257B7C">
      <w:pPr>
        <w:spacing w:line="360" w:lineRule="auto"/>
        <w:rPr>
          <w:rFonts w:ascii="Arial" w:hAnsi="Arial" w:cs="Arial"/>
          <w:sz w:val="22"/>
          <w:szCs w:val="22"/>
        </w:rPr>
      </w:pPr>
    </w:p>
    <w:p w14:paraId="55A96FFD" w14:textId="77777777" w:rsidR="00257B7C" w:rsidRDefault="00257B7C" w:rsidP="00257B7C">
      <w:pPr>
        <w:spacing w:line="360" w:lineRule="auto"/>
        <w:rPr>
          <w:rFonts w:ascii="Arial" w:hAnsi="Arial" w:cs="Arial"/>
          <w:sz w:val="22"/>
          <w:szCs w:val="22"/>
        </w:rPr>
      </w:pPr>
    </w:p>
    <w:p w14:paraId="061079FA" w14:textId="77777777" w:rsidR="00AB1606" w:rsidRPr="00731E12" w:rsidRDefault="00AB1606" w:rsidP="00AB1606">
      <w:pPr>
        <w:rPr>
          <w:rFonts w:ascii="Arial" w:hAnsi="Arial" w:cs="Arial"/>
          <w:sz w:val="22"/>
          <w:szCs w:val="22"/>
        </w:rPr>
      </w:pPr>
    </w:p>
    <w:p w14:paraId="3FB86449" w14:textId="77777777" w:rsidR="00AB1606" w:rsidRPr="00731E12" w:rsidRDefault="00AB1606" w:rsidP="00AB1606">
      <w:pPr>
        <w:rPr>
          <w:rFonts w:ascii="Arial" w:hAnsi="Arial" w:cs="Arial"/>
          <w:sz w:val="22"/>
          <w:szCs w:val="22"/>
        </w:rPr>
      </w:pPr>
    </w:p>
    <w:p w14:paraId="2DFCEF6D" w14:textId="5CC205A6" w:rsidR="003D3B2B" w:rsidRPr="00BC7015" w:rsidRDefault="004E4A0E" w:rsidP="00BC7015">
      <w:pPr>
        <w:pStyle w:val="Heading2"/>
        <w:spacing w:line="360" w:lineRule="auto"/>
        <w:jc w:val="both"/>
        <w:rPr>
          <w:rFonts w:ascii="Arial" w:hAnsi="Arial" w:cs="Arial"/>
        </w:rPr>
      </w:pPr>
      <w:bookmarkStart w:id="13" w:name="_Toc216278897"/>
      <w:r w:rsidRPr="00BC7015">
        <w:rPr>
          <w:rFonts w:ascii="Arial" w:hAnsi="Arial" w:cs="Arial"/>
          <w:color w:val="000000" w:themeColor="text1"/>
        </w:rPr>
        <w:lastRenderedPageBreak/>
        <w:t>SWOT Analysis and Critical Discussion</w:t>
      </w:r>
      <w:bookmarkEnd w:id="13"/>
      <w:r w:rsidRPr="00BC7015">
        <w:rPr>
          <w:rFonts w:ascii="Arial" w:hAnsi="Arial" w:cs="Arial"/>
        </w:rPr>
        <w:t xml:space="preserve"> </w:t>
      </w:r>
    </w:p>
    <w:p w14:paraId="46AD97EA" w14:textId="77777777" w:rsidR="00A56038" w:rsidRPr="00BC7015" w:rsidRDefault="00A56038" w:rsidP="00BC7015">
      <w:pPr>
        <w:spacing w:line="360" w:lineRule="auto"/>
        <w:jc w:val="both"/>
        <w:rPr>
          <w:rFonts w:ascii="Arial" w:eastAsia="Times New Roman" w:hAnsi="Arial" w:cs="Arial"/>
          <w:color w:val="000000"/>
          <w:kern w:val="0"/>
          <w:sz w:val="22"/>
          <w:szCs w:val="22"/>
          <w14:ligatures w14:val="none"/>
        </w:rPr>
      </w:pPr>
      <w:r w:rsidRPr="00BC7015">
        <w:rPr>
          <w:rFonts w:ascii="Arial" w:eastAsia="Times New Roman" w:hAnsi="Arial" w:cs="Arial"/>
          <w:color w:val="000000"/>
          <w:kern w:val="0"/>
          <w:sz w:val="22"/>
          <w:szCs w:val="22"/>
          <w14:ligatures w14:val="none"/>
        </w:rPr>
        <w:t>A SWOT analysis offers a structured framework to evaluate P&amp;G's internal strengths and weaknesses alongside external opportunities and threats, supporting strategic decision-making and understanding of environmental impacts (Johnson, Scholes and Whittington, 2017; Porter, 1980).</w:t>
      </w:r>
    </w:p>
    <w:p w14:paraId="0CA9C5DA" w14:textId="77777777" w:rsidR="00A56038" w:rsidRPr="00737429" w:rsidRDefault="00A56038" w:rsidP="00737429">
      <w:pPr>
        <w:pStyle w:val="Heading2"/>
        <w:spacing w:line="360" w:lineRule="auto"/>
        <w:rPr>
          <w:rFonts w:ascii="Arial" w:eastAsia="Times New Roman" w:hAnsi="Arial" w:cs="Arial"/>
          <w:b/>
          <w:bCs/>
          <w:color w:val="000000" w:themeColor="text1"/>
          <w:sz w:val="24"/>
          <w:szCs w:val="24"/>
        </w:rPr>
      </w:pPr>
      <w:bookmarkStart w:id="14" w:name="_Toc216278898"/>
      <w:r w:rsidRPr="00737429">
        <w:rPr>
          <w:rFonts w:ascii="Arial" w:eastAsia="Times New Roman" w:hAnsi="Arial" w:cs="Arial"/>
          <w:b/>
          <w:bCs/>
          <w:color w:val="000000" w:themeColor="text1"/>
          <w:sz w:val="24"/>
          <w:szCs w:val="24"/>
        </w:rPr>
        <w:t>Strengths</w:t>
      </w:r>
      <w:bookmarkEnd w:id="14"/>
    </w:p>
    <w:p w14:paraId="6817E780" w14:textId="0FE9D251" w:rsidR="00A56038" w:rsidRPr="00BC7015" w:rsidRDefault="00A56038" w:rsidP="00737429">
      <w:pPr>
        <w:spacing w:line="360" w:lineRule="auto"/>
        <w:jc w:val="both"/>
        <w:rPr>
          <w:rFonts w:ascii="Arial" w:eastAsia="Times New Roman" w:hAnsi="Arial" w:cs="Arial"/>
          <w:color w:val="000000"/>
          <w:kern w:val="0"/>
          <w:sz w:val="22"/>
          <w:szCs w:val="22"/>
          <w14:ligatures w14:val="none"/>
        </w:rPr>
      </w:pPr>
      <w:r w:rsidRPr="00BC7015">
        <w:rPr>
          <w:rFonts w:ascii="Arial" w:eastAsia="Times New Roman" w:hAnsi="Arial" w:cs="Arial"/>
          <w:color w:val="000000"/>
          <w:kern w:val="0"/>
          <w:sz w:val="22"/>
          <w:szCs w:val="22"/>
          <w14:ligatures w14:val="none"/>
        </w:rPr>
        <w:t>P&amp;G's foremost strength lies in its extensive global brand portfolio and strong consumer recognition. Flagship brands such as Tide, Pampers, Gillette, Head</w:t>
      </w:r>
      <w:r w:rsidR="00731E12" w:rsidRPr="00BC7015">
        <w:rPr>
          <w:rFonts w:ascii="Arial" w:eastAsia="Times New Roman" w:hAnsi="Arial" w:cs="Arial"/>
          <w:color w:val="000000"/>
          <w:kern w:val="0"/>
          <w:sz w:val="22"/>
          <w:szCs w:val="22"/>
          <w14:ligatures w14:val="none"/>
        </w:rPr>
        <w:t xml:space="preserve">&amp; </w:t>
      </w:r>
      <w:r w:rsidRPr="00BC7015">
        <w:rPr>
          <w:rFonts w:ascii="Arial" w:eastAsia="Times New Roman" w:hAnsi="Arial" w:cs="Arial"/>
          <w:color w:val="000000"/>
          <w:kern w:val="0"/>
          <w:sz w:val="22"/>
          <w:szCs w:val="22"/>
          <w14:ligatures w14:val="none"/>
        </w:rPr>
        <w:t xml:space="preserve">Shoulders and Oral-B have cultivated high levels of loyalty across diverse product categories, enabling premium pricing and sustained market share (Cai, 2024; Shi, 2023)company'spany's global reach, operating in more than 180 countries, reduces reliance on any single market and allows risk diversification while exploiting growth opportunities in emerging economies (Encyclopaedia Britannica, 2025). Economies of scale derived from large-scale manufacturing, global sourcing and distribution networks provide cost efficiencies and bargaining power with suppliers. This scale also supports substantial investment in research and development (R&amp;D), which underpins innovation in product design, sustainability and consumer adaptation (Panmore Institute, 2024). Furthermore, P&amp;G's commitment to sustainability </w:t>
      </w:r>
      <w:r w:rsidR="00BC7015">
        <w:rPr>
          <w:rFonts w:ascii="Arial" w:eastAsia="Times New Roman" w:hAnsi="Arial" w:cs="Arial"/>
          <w:color w:val="000000"/>
          <w:kern w:val="0"/>
          <w:sz w:val="22"/>
          <w:szCs w:val="22"/>
          <w14:ligatures w14:val="none"/>
        </w:rPr>
        <w:t xml:space="preserve"> </w:t>
      </w:r>
      <w:r w:rsidRPr="00BC7015">
        <w:rPr>
          <w:rFonts w:ascii="Arial" w:eastAsia="Times New Roman" w:hAnsi="Arial" w:cs="Arial"/>
          <w:color w:val="000000"/>
          <w:kern w:val="0"/>
          <w:sz w:val="22"/>
          <w:szCs w:val="22"/>
          <w14:ligatures w14:val="none"/>
        </w:rPr>
        <w:t xml:space="preserve"> including recyclable packaging, reduced carbon emissions and ethical sourcing enhances reputation and aligns with regulatory and consumer expectations (Hivelr Business Review, 2024).</w:t>
      </w:r>
    </w:p>
    <w:p w14:paraId="78191940" w14:textId="77777777" w:rsidR="00A56038" w:rsidRPr="00737429" w:rsidRDefault="00A56038" w:rsidP="00737429">
      <w:pPr>
        <w:pStyle w:val="Heading2"/>
        <w:spacing w:line="360" w:lineRule="auto"/>
        <w:rPr>
          <w:rFonts w:ascii="Arial" w:eastAsia="Times New Roman" w:hAnsi="Arial" w:cs="Arial"/>
          <w:b/>
          <w:bCs/>
          <w:color w:val="000000" w:themeColor="text1"/>
          <w:sz w:val="24"/>
          <w:szCs w:val="24"/>
        </w:rPr>
      </w:pPr>
      <w:bookmarkStart w:id="15" w:name="_Toc216278899"/>
      <w:r w:rsidRPr="00737429">
        <w:rPr>
          <w:rFonts w:ascii="Arial" w:eastAsia="Times New Roman" w:hAnsi="Arial" w:cs="Arial"/>
          <w:b/>
          <w:bCs/>
          <w:color w:val="000000" w:themeColor="text1"/>
          <w:sz w:val="24"/>
          <w:szCs w:val="24"/>
        </w:rPr>
        <w:t>Weaknesses</w:t>
      </w:r>
      <w:bookmarkEnd w:id="15"/>
    </w:p>
    <w:p w14:paraId="75EAA0D6" w14:textId="77777777" w:rsidR="00A56038" w:rsidRPr="00BC7015" w:rsidRDefault="00A56038" w:rsidP="00737429">
      <w:pPr>
        <w:spacing w:line="360" w:lineRule="auto"/>
        <w:jc w:val="both"/>
        <w:rPr>
          <w:rFonts w:ascii="Arial" w:eastAsia="Times New Roman" w:hAnsi="Arial" w:cs="Arial"/>
          <w:color w:val="000000"/>
          <w:kern w:val="0"/>
          <w:sz w:val="22"/>
          <w:szCs w:val="22"/>
          <w14:ligatures w14:val="none"/>
        </w:rPr>
      </w:pPr>
      <w:r w:rsidRPr="00BC7015">
        <w:rPr>
          <w:rFonts w:ascii="Arial" w:eastAsia="Times New Roman" w:hAnsi="Arial" w:cs="Arial"/>
          <w:color w:val="000000"/>
          <w:kern w:val="0"/>
          <w:sz w:val="22"/>
          <w:szCs w:val="22"/>
          <w14:ligatures w14:val="none"/>
        </w:rPr>
        <w:t>Despite these strengths, P&amp;G faces notable weaknesses. Managing a vast global portfolio introduces organisational complexity, which can slow decision-making and hinder responsiveness compared to smaller, more agile competitors (Alqudah, 2017). Heavy reliance on mature markets such as North America and Europe, which are characterised by slower growth and saturation, constrains the potential for expansion  (Marketing91, 2024). Product recalls or quality issues, though infrequent, pose reputational risks and potential legal liabilities. Moreover, while P&amp;G invests in sustainability, the pace of implementation does not always keep pace with evolving regulatory and consumer expectations, leaving the company vulnerable to criticism or competitive disadvantage (Panmore Institute, 2024).</w:t>
      </w:r>
    </w:p>
    <w:p w14:paraId="452923DC" w14:textId="77777777" w:rsidR="00A56038" w:rsidRPr="00737429" w:rsidRDefault="00A56038" w:rsidP="00737429">
      <w:pPr>
        <w:pStyle w:val="Heading2"/>
        <w:spacing w:line="360" w:lineRule="auto"/>
        <w:rPr>
          <w:rFonts w:ascii="Arial" w:eastAsia="Times New Roman" w:hAnsi="Arial" w:cs="Arial"/>
          <w:b/>
          <w:bCs/>
          <w:color w:val="000000" w:themeColor="text1"/>
          <w:sz w:val="24"/>
          <w:szCs w:val="24"/>
        </w:rPr>
      </w:pPr>
      <w:bookmarkStart w:id="16" w:name="_Toc216278900"/>
      <w:r w:rsidRPr="00737429">
        <w:rPr>
          <w:rFonts w:ascii="Arial" w:eastAsia="Times New Roman" w:hAnsi="Arial" w:cs="Arial"/>
          <w:b/>
          <w:bCs/>
          <w:color w:val="000000" w:themeColor="text1"/>
          <w:sz w:val="24"/>
          <w:szCs w:val="24"/>
        </w:rPr>
        <w:lastRenderedPageBreak/>
        <w:t>Opportunities</w:t>
      </w:r>
      <w:bookmarkEnd w:id="16"/>
    </w:p>
    <w:p w14:paraId="56517AF9" w14:textId="48197B60" w:rsidR="00A56038" w:rsidRPr="00BC7015" w:rsidRDefault="00A56038" w:rsidP="00737429">
      <w:pPr>
        <w:spacing w:line="360" w:lineRule="auto"/>
        <w:jc w:val="both"/>
        <w:rPr>
          <w:rFonts w:ascii="Arial" w:eastAsia="Times New Roman" w:hAnsi="Arial" w:cs="Arial"/>
          <w:color w:val="000000"/>
          <w:kern w:val="0"/>
          <w:sz w:val="22"/>
          <w:szCs w:val="22"/>
          <w14:ligatures w14:val="none"/>
        </w:rPr>
      </w:pPr>
      <w:r w:rsidRPr="00BC7015">
        <w:rPr>
          <w:rFonts w:ascii="Arial" w:eastAsia="Times New Roman" w:hAnsi="Arial" w:cs="Arial"/>
          <w:color w:val="000000"/>
          <w:kern w:val="0"/>
          <w:sz w:val="22"/>
          <w:szCs w:val="22"/>
          <w14:ligatures w14:val="none"/>
        </w:rPr>
        <w:t>Externally, P&amp;G has significant opportunities. Emerging markets such as India, China and Latin America offer growth potential driven by rising incomes, urbanisation and demand for branded goods (Ramprasad</w:t>
      </w:r>
      <w:r w:rsidR="00731E12" w:rsidRPr="00BC7015">
        <w:rPr>
          <w:rFonts w:ascii="Arial" w:eastAsia="Times New Roman" w:hAnsi="Arial" w:cs="Arial"/>
          <w:color w:val="000000"/>
          <w:kern w:val="0"/>
          <w:sz w:val="22"/>
          <w:szCs w:val="22"/>
          <w14:ligatures w14:val="none"/>
        </w:rPr>
        <w:t xml:space="preserve">&amp; </w:t>
      </w:r>
      <w:r w:rsidRPr="00BC7015">
        <w:rPr>
          <w:rFonts w:ascii="Arial" w:eastAsia="Times New Roman" w:hAnsi="Arial" w:cs="Arial"/>
          <w:color w:val="000000"/>
          <w:kern w:val="0"/>
          <w:sz w:val="22"/>
          <w:szCs w:val="22"/>
          <w14:ligatures w14:val="none"/>
        </w:rPr>
        <w:t>Karthik, 2020). Digital transformation and e-commerce provide avenues for direct-to-consumer engagement, subscription models and personalised marketing, reducing reliance on traditional retail intermediaries (Nasdaq, 2025). Sustainability trends also create opportunities for differentiation. Innovations in packaging, formulations and production methods can strengthen compliance with stricter regulations and enhance consumer appeal (Chitra et al., 2025). Focusing resources on high-performing brands through portfolio optimisation can improve efficiency and profitability, while acquisitions in emerging categories may bolster relevance (Business Model Analyst, 2025).</w:t>
      </w:r>
    </w:p>
    <w:p w14:paraId="0EE78A50" w14:textId="77777777" w:rsidR="00A56038" w:rsidRPr="00737429" w:rsidRDefault="00A56038" w:rsidP="00737429">
      <w:pPr>
        <w:pStyle w:val="Heading2"/>
        <w:spacing w:line="360" w:lineRule="auto"/>
        <w:rPr>
          <w:rFonts w:ascii="Arial" w:eastAsia="Times New Roman" w:hAnsi="Arial" w:cs="Arial"/>
          <w:b/>
          <w:bCs/>
          <w:color w:val="000000" w:themeColor="text1"/>
          <w:sz w:val="24"/>
          <w:szCs w:val="24"/>
        </w:rPr>
      </w:pPr>
      <w:bookmarkStart w:id="17" w:name="_Toc216278901"/>
      <w:r w:rsidRPr="00737429">
        <w:rPr>
          <w:rFonts w:ascii="Arial" w:eastAsia="Times New Roman" w:hAnsi="Arial" w:cs="Arial"/>
          <w:b/>
          <w:bCs/>
          <w:color w:val="000000" w:themeColor="text1"/>
          <w:sz w:val="24"/>
          <w:szCs w:val="24"/>
        </w:rPr>
        <w:t>Threats</w:t>
      </w:r>
      <w:bookmarkEnd w:id="17"/>
    </w:p>
    <w:p w14:paraId="63B1C918" w14:textId="2ECE6847" w:rsidR="00A56038" w:rsidRPr="00BC7015" w:rsidRDefault="00A56038" w:rsidP="00737429">
      <w:pPr>
        <w:spacing w:line="360" w:lineRule="auto"/>
        <w:jc w:val="both"/>
        <w:rPr>
          <w:rFonts w:ascii="Arial" w:eastAsia="Times New Roman" w:hAnsi="Arial" w:cs="Arial"/>
          <w:color w:val="000000"/>
          <w:kern w:val="0"/>
          <w:sz w:val="22"/>
          <w:szCs w:val="22"/>
          <w14:ligatures w14:val="none"/>
        </w:rPr>
      </w:pPr>
      <w:r w:rsidRPr="00BC7015">
        <w:rPr>
          <w:rFonts w:ascii="Arial" w:eastAsia="Times New Roman" w:hAnsi="Arial" w:cs="Arial"/>
          <w:color w:val="000000"/>
          <w:kern w:val="0"/>
          <w:sz w:val="22"/>
          <w:szCs w:val="22"/>
          <w14:ligatures w14:val="none"/>
        </w:rPr>
        <w:t>P&amp;G operates in an environment characterised by intense competition from global rivals such as Unilever and Colgate-Palmolive, as well as agile regional brands and private-label products (MBA Skool, 2025). Economic volatility, including inflation and currency fluctuations, threatens consumer purchasing power and margins, particularly for premium products (SWOT Analysis, 2025). Global supply chain disruptions, exacerbated by geopolitical tensions and climate change, pose risks to continuity and profitability (Business News Today, 2025). Regulatory changes in product safety, labour laws and environmental standards require constant adaptation, while shifting consumer preferences towards organic and eco-friendly products demand rapid innovation (Varma</w:t>
      </w:r>
      <w:r w:rsidR="00731E12" w:rsidRPr="00BC7015">
        <w:rPr>
          <w:rFonts w:ascii="Arial" w:eastAsia="Times New Roman" w:hAnsi="Arial" w:cs="Arial"/>
          <w:color w:val="000000"/>
          <w:kern w:val="0"/>
          <w:sz w:val="22"/>
          <w:szCs w:val="22"/>
          <w14:ligatures w14:val="none"/>
        </w:rPr>
        <w:t xml:space="preserve">&amp; </w:t>
      </w:r>
      <w:r w:rsidRPr="00BC7015">
        <w:rPr>
          <w:rFonts w:ascii="Arial" w:eastAsia="Times New Roman" w:hAnsi="Arial" w:cs="Arial"/>
          <w:color w:val="000000"/>
          <w:kern w:val="0"/>
          <w:sz w:val="22"/>
          <w:szCs w:val="22"/>
          <w14:ligatures w14:val="none"/>
        </w:rPr>
        <w:t>Ravi, 2019; Latterly.org, 2024).</w:t>
      </w:r>
    </w:p>
    <w:p w14:paraId="2532AC96" w14:textId="77777777" w:rsidR="00BC7015" w:rsidRDefault="00BC7015" w:rsidP="00BC7015">
      <w:pPr>
        <w:spacing w:line="360" w:lineRule="auto"/>
        <w:jc w:val="both"/>
        <w:rPr>
          <w:rFonts w:ascii="Arial" w:eastAsia="Times New Roman" w:hAnsi="Arial" w:cs="Arial"/>
          <w:color w:val="000000"/>
          <w:kern w:val="0"/>
          <w:sz w:val="22"/>
          <w:szCs w:val="22"/>
          <w14:ligatures w14:val="none"/>
        </w:rPr>
      </w:pPr>
    </w:p>
    <w:p w14:paraId="65309F00" w14:textId="4D508608" w:rsidR="00A56038" w:rsidRPr="00BC7015" w:rsidRDefault="00A56038" w:rsidP="00BC7015">
      <w:pPr>
        <w:spacing w:line="360" w:lineRule="auto"/>
        <w:jc w:val="both"/>
        <w:rPr>
          <w:rFonts w:ascii="Arial" w:eastAsia="Times New Roman" w:hAnsi="Arial" w:cs="Arial"/>
          <w:color w:val="000000"/>
          <w:kern w:val="0"/>
          <w:sz w:val="22"/>
          <w:szCs w:val="22"/>
          <w14:ligatures w14:val="none"/>
        </w:rPr>
      </w:pPr>
      <w:r w:rsidRPr="00BC7015">
        <w:rPr>
          <w:rFonts w:ascii="Arial" w:eastAsia="Times New Roman" w:hAnsi="Arial" w:cs="Arial"/>
          <w:color w:val="000000"/>
          <w:kern w:val="0"/>
          <w:sz w:val="22"/>
          <w:szCs w:val="22"/>
          <w14:ligatures w14:val="none"/>
        </w:rPr>
        <w:t>The SWOT analysis highlights the interplay between P&amp;G's internal capabilities and external pressures. Substantial brand equity, global scale and R&amp;D capacity enable the company to exploit opportunities and mitigate threats (Cai, 2024). However, organisational complexity and reliance on mature markets limit agility, necessitating streamlined structures and faster decision-making (Alqudah, 2017).</w:t>
      </w:r>
    </w:p>
    <w:p w14:paraId="1550AEC0" w14:textId="0D78F0A5" w:rsidR="00A56038" w:rsidRPr="00BC7015" w:rsidRDefault="00A56038" w:rsidP="00BC7015">
      <w:pPr>
        <w:spacing w:line="360" w:lineRule="auto"/>
        <w:jc w:val="both"/>
        <w:rPr>
          <w:rFonts w:ascii="Arial" w:eastAsia="Times New Roman" w:hAnsi="Arial" w:cs="Arial"/>
          <w:color w:val="000000"/>
          <w:kern w:val="0"/>
          <w:sz w:val="22"/>
          <w:szCs w:val="22"/>
          <w14:ligatures w14:val="none"/>
        </w:rPr>
      </w:pPr>
      <w:r w:rsidRPr="00BC7015">
        <w:rPr>
          <w:rFonts w:ascii="Arial" w:eastAsia="Times New Roman" w:hAnsi="Arial" w:cs="Arial"/>
          <w:color w:val="000000"/>
          <w:kern w:val="0"/>
          <w:sz w:val="22"/>
          <w:szCs w:val="22"/>
          <w14:ligatures w14:val="none"/>
        </w:rPr>
        <w:t xml:space="preserve">Economic volatility and competition underscore the importance of cost control and differentiation, while digital transformation and sustainability provide pathways for growth and resilience (Chitra et al., 2025). Recent micro-economic decisions </w:t>
      </w:r>
      <w:r w:rsidR="00BC7015">
        <w:rPr>
          <w:rFonts w:ascii="Arial" w:eastAsia="Times New Roman" w:hAnsi="Arial" w:cs="Arial"/>
          <w:color w:val="000000"/>
          <w:kern w:val="0"/>
          <w:sz w:val="22"/>
          <w:szCs w:val="22"/>
          <w14:ligatures w14:val="none"/>
        </w:rPr>
        <w:t xml:space="preserve"> </w:t>
      </w:r>
      <w:r w:rsidRPr="00BC7015">
        <w:rPr>
          <w:rFonts w:ascii="Arial" w:eastAsia="Times New Roman" w:hAnsi="Arial" w:cs="Arial"/>
          <w:color w:val="000000"/>
          <w:kern w:val="0"/>
          <w:sz w:val="22"/>
          <w:szCs w:val="22"/>
          <w14:ligatures w14:val="none"/>
        </w:rPr>
        <w:t xml:space="preserve"> including digital marketing investments, </w:t>
      </w:r>
      <w:r w:rsidRPr="00BC7015">
        <w:rPr>
          <w:rFonts w:ascii="Arial" w:eastAsia="Times New Roman" w:hAnsi="Arial" w:cs="Arial"/>
          <w:color w:val="000000"/>
          <w:kern w:val="0"/>
          <w:sz w:val="22"/>
          <w:szCs w:val="22"/>
          <w14:ligatures w14:val="none"/>
        </w:rPr>
        <w:lastRenderedPageBreak/>
        <w:t xml:space="preserve">sustainable innovation and </w:t>
      </w:r>
      <w:r w:rsidR="002118FC" w:rsidRPr="00BC7015">
        <w:rPr>
          <w:rFonts w:ascii="Arial" w:eastAsia="Times New Roman" w:hAnsi="Arial" w:cs="Arial"/>
          <w:color w:val="000000"/>
          <w:kern w:val="0"/>
          <w:sz w:val="22"/>
          <w:szCs w:val="22"/>
          <w14:ligatures w14:val="none"/>
        </w:rPr>
        <w:t>portfolio</w:t>
      </w:r>
      <w:r w:rsidRPr="00BC7015">
        <w:rPr>
          <w:rFonts w:ascii="Arial" w:eastAsia="Times New Roman" w:hAnsi="Arial" w:cs="Arial"/>
          <w:color w:val="000000"/>
          <w:kern w:val="0"/>
          <w:sz w:val="22"/>
          <w:szCs w:val="22"/>
          <w14:ligatures w14:val="none"/>
        </w:rPr>
        <w:t xml:space="preserve"> streamlining </w:t>
      </w:r>
      <w:r w:rsidR="00BC7015">
        <w:rPr>
          <w:rFonts w:ascii="Arial" w:eastAsia="Times New Roman" w:hAnsi="Arial" w:cs="Arial"/>
          <w:color w:val="000000"/>
          <w:kern w:val="0"/>
          <w:sz w:val="22"/>
          <w:szCs w:val="22"/>
          <w14:ligatures w14:val="none"/>
        </w:rPr>
        <w:t xml:space="preserve"> </w:t>
      </w:r>
      <w:r w:rsidRPr="00BC7015">
        <w:rPr>
          <w:rFonts w:ascii="Arial" w:eastAsia="Times New Roman" w:hAnsi="Arial" w:cs="Arial"/>
          <w:color w:val="000000"/>
          <w:kern w:val="0"/>
          <w:sz w:val="22"/>
          <w:szCs w:val="22"/>
          <w14:ligatures w14:val="none"/>
        </w:rPr>
        <w:t xml:space="preserve"> demonstrate recognition of these dynamics, though accelerated implementation will be critical to maintaining leadership (Business News Today, 2025).</w:t>
      </w:r>
    </w:p>
    <w:p w14:paraId="534CB6DE" w14:textId="77777777" w:rsidR="00A56038" w:rsidRPr="00BC7015" w:rsidRDefault="00A56038" w:rsidP="00BC7015">
      <w:pPr>
        <w:spacing w:line="360" w:lineRule="auto"/>
        <w:jc w:val="both"/>
        <w:rPr>
          <w:rFonts w:ascii="Arial" w:eastAsia="Times New Roman" w:hAnsi="Arial" w:cs="Arial"/>
          <w:color w:val="000000"/>
          <w:kern w:val="0"/>
          <w:sz w:val="22"/>
          <w:szCs w:val="22"/>
          <w14:ligatures w14:val="none"/>
        </w:rPr>
      </w:pPr>
      <w:r w:rsidRPr="00BC7015">
        <w:rPr>
          <w:rFonts w:ascii="Arial" w:eastAsia="Times New Roman" w:hAnsi="Arial" w:cs="Arial"/>
          <w:color w:val="000000"/>
          <w:kern w:val="0"/>
          <w:sz w:val="22"/>
          <w:szCs w:val="22"/>
          <w14:ligatures w14:val="none"/>
        </w:rPr>
        <w:t>In conclusion, P&amp;G's enduring strengths provide a foundation for growth, but external pressures demand continuous adaptation. Strategic agility, innovation and environmental awareness will determine whether the company sustains competitive advantage in the evolving global FMCG landscape.</w:t>
      </w:r>
    </w:p>
    <w:p w14:paraId="522F3BAE" w14:textId="77777777" w:rsidR="002118FC" w:rsidRPr="00731E12" w:rsidRDefault="002118FC" w:rsidP="002118FC">
      <w:pPr>
        <w:rPr>
          <w:rFonts w:ascii="Arial" w:hAnsi="Arial" w:cs="Arial"/>
        </w:rPr>
      </w:pPr>
    </w:p>
    <w:p w14:paraId="2B2D4313" w14:textId="77777777" w:rsidR="002118FC" w:rsidRPr="00731E12" w:rsidRDefault="002118FC" w:rsidP="00BC7015">
      <w:pPr>
        <w:spacing w:line="360" w:lineRule="auto"/>
        <w:rPr>
          <w:rFonts w:ascii="Arial" w:hAnsi="Arial" w:cs="Arial"/>
        </w:rPr>
      </w:pPr>
    </w:p>
    <w:p w14:paraId="521A1569" w14:textId="1F5AA24B" w:rsidR="003D3B2B" w:rsidRPr="00731E12" w:rsidRDefault="004E4A0E" w:rsidP="00BC7015">
      <w:pPr>
        <w:pStyle w:val="Heading2"/>
        <w:spacing w:line="360" w:lineRule="auto"/>
        <w:rPr>
          <w:rFonts w:ascii="Arial" w:hAnsi="Arial" w:cs="Arial"/>
          <w:color w:val="000000" w:themeColor="text1"/>
        </w:rPr>
      </w:pPr>
      <w:bookmarkStart w:id="18" w:name="_Toc216278902"/>
      <w:r w:rsidRPr="00731E12">
        <w:rPr>
          <w:rFonts w:ascii="Arial" w:hAnsi="Arial" w:cs="Arial"/>
          <w:color w:val="000000" w:themeColor="text1"/>
        </w:rPr>
        <w:t>Conclusion</w:t>
      </w:r>
      <w:bookmarkEnd w:id="18"/>
    </w:p>
    <w:p w14:paraId="023C6193" w14:textId="2AFFEA0C" w:rsidR="00A56038" w:rsidRPr="00731E12" w:rsidRDefault="00A56038" w:rsidP="00BC7015">
      <w:pPr>
        <w:spacing w:line="360" w:lineRule="auto"/>
        <w:jc w:val="both"/>
        <w:rPr>
          <w:rFonts w:ascii="Arial" w:eastAsia="Times New Roman" w:hAnsi="Arial" w:cs="Arial"/>
          <w:color w:val="000000"/>
          <w:kern w:val="0"/>
          <w:sz w:val="22"/>
          <w:szCs w:val="22"/>
          <w14:ligatures w14:val="none"/>
        </w:rPr>
      </w:pPr>
      <w:r w:rsidRPr="00731E12">
        <w:rPr>
          <w:rFonts w:ascii="Arial" w:eastAsia="Times New Roman" w:hAnsi="Arial" w:cs="Arial"/>
          <w:color w:val="000000"/>
          <w:kern w:val="0"/>
          <w:sz w:val="22"/>
          <w:szCs w:val="22"/>
          <w14:ligatures w14:val="none"/>
        </w:rPr>
        <w:t>Procter</w:t>
      </w:r>
      <w:r w:rsidR="00731E12" w:rsidRPr="00731E12">
        <w:rPr>
          <w:rFonts w:ascii="Arial" w:eastAsia="Times New Roman" w:hAnsi="Arial" w:cs="Arial"/>
          <w:color w:val="000000"/>
          <w:kern w:val="0"/>
          <w:sz w:val="22"/>
          <w:szCs w:val="22"/>
          <w14:ligatures w14:val="none"/>
        </w:rPr>
        <w:t xml:space="preserve">&amp; </w:t>
      </w:r>
      <w:r w:rsidRPr="00731E12">
        <w:rPr>
          <w:rFonts w:ascii="Arial" w:eastAsia="Times New Roman" w:hAnsi="Arial" w:cs="Arial"/>
          <w:color w:val="000000"/>
          <w:kern w:val="0"/>
          <w:sz w:val="22"/>
          <w:szCs w:val="22"/>
          <w14:ligatures w14:val="none"/>
        </w:rPr>
        <w:t>Gamble (P&amp;G) occupies a strong position as a global leader in the fast-moving consumer goods (FMCG) sector. Its extensive brand portfolio, global reach, operational scale, and significant investment in research and development provide considerable advantages over competitors (Govindarajan</w:t>
      </w:r>
      <w:r w:rsidR="00731E12" w:rsidRPr="00731E12">
        <w:rPr>
          <w:rFonts w:ascii="Arial" w:eastAsia="Times New Roman" w:hAnsi="Arial" w:cs="Arial"/>
          <w:color w:val="000000"/>
          <w:kern w:val="0"/>
          <w:sz w:val="22"/>
          <w:szCs w:val="22"/>
          <w14:ligatures w14:val="none"/>
        </w:rPr>
        <w:t xml:space="preserve">&amp; </w:t>
      </w:r>
      <w:r w:rsidRPr="00731E12">
        <w:rPr>
          <w:rFonts w:ascii="Arial" w:eastAsia="Times New Roman" w:hAnsi="Arial" w:cs="Arial"/>
          <w:color w:val="000000"/>
          <w:kern w:val="0"/>
          <w:sz w:val="22"/>
          <w:szCs w:val="22"/>
          <w14:ligatures w14:val="none"/>
        </w:rPr>
        <w:t>Trimble, 2012; Harvard Business Review, 2013). The company has demonstrated resilience in navigating economic fluctuations, evolving consumer preferences, and complex regulatory environments (Zhang, 2021).</w:t>
      </w:r>
    </w:p>
    <w:p w14:paraId="61780510" w14:textId="72EA51B1" w:rsidR="00A56038" w:rsidRPr="00731E12" w:rsidRDefault="00A56038" w:rsidP="00BC7015">
      <w:pPr>
        <w:spacing w:line="360" w:lineRule="auto"/>
        <w:jc w:val="both"/>
        <w:rPr>
          <w:rFonts w:ascii="Arial" w:eastAsia="Times New Roman" w:hAnsi="Arial" w:cs="Arial"/>
          <w:color w:val="000000"/>
          <w:kern w:val="0"/>
          <w:sz w:val="22"/>
          <w:szCs w:val="22"/>
          <w14:ligatures w14:val="none"/>
        </w:rPr>
      </w:pPr>
      <w:r w:rsidRPr="00731E12">
        <w:rPr>
          <w:rFonts w:ascii="Arial" w:eastAsia="Times New Roman" w:hAnsi="Arial" w:cs="Arial"/>
          <w:color w:val="000000"/>
          <w:kern w:val="0"/>
          <w:sz w:val="22"/>
          <w:szCs w:val="22"/>
          <w14:ligatures w14:val="none"/>
        </w:rPr>
        <w:t>However, the analys</w:t>
      </w:r>
      <w:r w:rsidR="00BC7015">
        <w:rPr>
          <w:rFonts w:ascii="Arial" w:eastAsia="Times New Roman" w:hAnsi="Arial" w:cs="Arial"/>
          <w:color w:val="000000"/>
          <w:kern w:val="0"/>
          <w:sz w:val="22"/>
          <w:szCs w:val="22"/>
          <w14:ligatures w14:val="none"/>
        </w:rPr>
        <w:t>e</w:t>
      </w:r>
      <w:r w:rsidRPr="00731E12">
        <w:rPr>
          <w:rFonts w:ascii="Arial" w:eastAsia="Times New Roman" w:hAnsi="Arial" w:cs="Arial"/>
          <w:color w:val="000000"/>
          <w:kern w:val="0"/>
          <w:sz w:val="22"/>
          <w:szCs w:val="22"/>
          <w14:ligatures w14:val="none"/>
        </w:rPr>
        <w:t>s conducted in this report</w:t>
      </w:r>
      <w:r w:rsidR="00BC7015">
        <w:rPr>
          <w:rFonts w:ascii="Arial" w:eastAsia="Times New Roman" w:hAnsi="Arial" w:cs="Arial"/>
          <w:color w:val="000000"/>
          <w:kern w:val="0"/>
          <w:sz w:val="22"/>
          <w:szCs w:val="22"/>
          <w14:ligatures w14:val="none"/>
        </w:rPr>
        <w:t xml:space="preserve">, </w:t>
      </w:r>
      <w:r w:rsidRPr="00731E12">
        <w:rPr>
          <w:rFonts w:ascii="Arial" w:eastAsia="Times New Roman" w:hAnsi="Arial" w:cs="Arial"/>
          <w:color w:val="000000"/>
          <w:kern w:val="0"/>
          <w:sz w:val="22"/>
          <w:szCs w:val="22"/>
          <w14:ligatures w14:val="none"/>
        </w:rPr>
        <w:t>PESTEL, Porter's Five Forces, and SWOT</w:t>
      </w:r>
      <w:r w:rsidR="00BC7015">
        <w:rPr>
          <w:rFonts w:ascii="Arial" w:eastAsia="Times New Roman" w:hAnsi="Arial" w:cs="Arial"/>
          <w:color w:val="000000"/>
          <w:kern w:val="0"/>
          <w:sz w:val="22"/>
          <w:szCs w:val="22"/>
          <w14:ligatures w14:val="none"/>
        </w:rPr>
        <w:t xml:space="preserve"> </w:t>
      </w:r>
      <w:r w:rsidRPr="00731E12">
        <w:rPr>
          <w:rFonts w:ascii="Arial" w:eastAsia="Times New Roman" w:hAnsi="Arial" w:cs="Arial"/>
          <w:color w:val="000000"/>
          <w:kern w:val="0"/>
          <w:sz w:val="22"/>
          <w:szCs w:val="22"/>
          <w14:ligatures w14:val="none"/>
        </w:rPr>
        <w:t>highlight that P&amp;G operates in a challenging and dynamic environment. Macro-environmental forces, including political regulation, economic volatility, societal trends, technological innovation, environmental pressures, and legal compliance, all influence strategic decision-making (Sbircea, 2024; Nwabekee et al., 2024). High levels of industry competition, threat of substitutes, bargaining power of buyers, and supply chain vulnerabilities further shape the competitive landscape (EY, 2022; Supply Chain Dive, 2025).</w:t>
      </w:r>
    </w:p>
    <w:p w14:paraId="54672DA6" w14:textId="1C3AF32D" w:rsidR="00A56038" w:rsidRPr="00731E12" w:rsidRDefault="00A56038" w:rsidP="00BC7015">
      <w:pPr>
        <w:spacing w:line="360" w:lineRule="auto"/>
        <w:jc w:val="both"/>
        <w:rPr>
          <w:rFonts w:ascii="Arial" w:eastAsia="Times New Roman" w:hAnsi="Arial" w:cs="Arial"/>
          <w:color w:val="000000"/>
          <w:kern w:val="0"/>
          <w:sz w:val="22"/>
          <w:szCs w:val="22"/>
          <w14:ligatures w14:val="none"/>
        </w:rPr>
      </w:pPr>
      <w:r w:rsidRPr="00731E12">
        <w:rPr>
          <w:rFonts w:ascii="Arial" w:eastAsia="Times New Roman" w:hAnsi="Arial" w:cs="Arial"/>
          <w:color w:val="000000"/>
          <w:kern w:val="0"/>
          <w:sz w:val="22"/>
          <w:szCs w:val="22"/>
          <w14:ligatures w14:val="none"/>
        </w:rPr>
        <w:t>The SWOT analysis illustrates that while P&amp;G possesses strong internal capabilities, weaknesses such as operational complexity and reliance on mature markets limit strategic flexibility (Piskorski</w:t>
      </w:r>
      <w:r w:rsidR="00731E12" w:rsidRPr="00731E12">
        <w:rPr>
          <w:rFonts w:ascii="Arial" w:eastAsia="Times New Roman" w:hAnsi="Arial" w:cs="Arial"/>
          <w:color w:val="000000"/>
          <w:kern w:val="0"/>
          <w:sz w:val="22"/>
          <w:szCs w:val="22"/>
          <w14:ligatures w14:val="none"/>
        </w:rPr>
        <w:t xml:space="preserve">&amp; </w:t>
      </w:r>
      <w:r w:rsidRPr="00731E12">
        <w:rPr>
          <w:rFonts w:ascii="Arial" w:eastAsia="Times New Roman" w:hAnsi="Arial" w:cs="Arial"/>
          <w:color w:val="000000"/>
          <w:kern w:val="0"/>
          <w:sz w:val="22"/>
          <w:szCs w:val="22"/>
          <w14:ligatures w14:val="none"/>
        </w:rPr>
        <w:t>Spadini, 2007). Opportunities exist in emerging markets, digital channels, and sustainability-driven innovation, yet threats from competitors, economic downturns, and regulatory shifts require continuous vigilance</w:t>
      </w:r>
      <w:r w:rsidR="005A148B">
        <w:rPr>
          <w:rFonts w:ascii="Arial" w:eastAsia="Times New Roman" w:hAnsi="Arial" w:cs="Arial"/>
          <w:color w:val="000000"/>
          <w:kern w:val="0"/>
          <w:sz w:val="22"/>
          <w:szCs w:val="22"/>
          <w14:ligatures w14:val="none"/>
        </w:rPr>
        <w:t>.</w:t>
      </w:r>
    </w:p>
    <w:p w14:paraId="154F2D4C" w14:textId="15390A12" w:rsidR="00A56038" w:rsidRPr="00731E12" w:rsidRDefault="00A56038" w:rsidP="00BC7015">
      <w:pPr>
        <w:spacing w:line="360" w:lineRule="auto"/>
        <w:jc w:val="both"/>
        <w:rPr>
          <w:rFonts w:ascii="Arial" w:eastAsia="Times New Roman" w:hAnsi="Arial" w:cs="Arial"/>
          <w:color w:val="000000"/>
          <w:kern w:val="0"/>
          <w:sz w:val="22"/>
          <w:szCs w:val="22"/>
          <w14:ligatures w14:val="none"/>
        </w:rPr>
      </w:pPr>
      <w:r w:rsidRPr="00731E12">
        <w:rPr>
          <w:rFonts w:ascii="Arial" w:eastAsia="Times New Roman" w:hAnsi="Arial" w:cs="Arial"/>
          <w:color w:val="000000"/>
          <w:kern w:val="0"/>
          <w:sz w:val="22"/>
          <w:szCs w:val="22"/>
          <w14:ligatures w14:val="none"/>
        </w:rPr>
        <w:lastRenderedPageBreak/>
        <w:t>Overall, P&amp;G's current international position is robust, but sustaining leadership demands proactive adaptation. Historical strategies</w:t>
      </w:r>
      <w:r w:rsidR="00BC7015">
        <w:rPr>
          <w:rFonts w:ascii="Arial" w:eastAsia="Times New Roman" w:hAnsi="Arial" w:cs="Arial"/>
          <w:color w:val="000000"/>
          <w:kern w:val="0"/>
          <w:sz w:val="22"/>
          <w:szCs w:val="22"/>
          <w14:ligatures w14:val="none"/>
        </w:rPr>
        <w:t xml:space="preserve"> </w:t>
      </w:r>
      <w:r w:rsidRPr="00731E12">
        <w:rPr>
          <w:rFonts w:ascii="Arial" w:eastAsia="Times New Roman" w:hAnsi="Arial" w:cs="Arial"/>
          <w:color w:val="000000"/>
          <w:kern w:val="0"/>
          <w:sz w:val="22"/>
          <w:szCs w:val="22"/>
          <w14:ligatures w14:val="none"/>
        </w:rPr>
        <w:t>such as large-scale manufacturing, mass advertising, and brand-driven differentiation</w:t>
      </w:r>
      <w:r w:rsidR="00AB1606" w:rsidRPr="00731E12">
        <w:rPr>
          <w:rFonts w:ascii="Arial" w:eastAsia="Times New Roman" w:hAnsi="Arial" w:cs="Arial"/>
          <w:color w:val="000000"/>
          <w:kern w:val="0"/>
          <w:sz w:val="22"/>
          <w:szCs w:val="22"/>
          <w14:ligatures w14:val="none"/>
        </w:rPr>
        <w:t xml:space="preserve"> </w:t>
      </w:r>
      <w:r w:rsidRPr="00731E12">
        <w:rPr>
          <w:rFonts w:ascii="Arial" w:eastAsia="Times New Roman" w:hAnsi="Arial" w:cs="Arial"/>
          <w:color w:val="000000"/>
          <w:kern w:val="0"/>
          <w:sz w:val="22"/>
          <w:szCs w:val="22"/>
          <w14:ligatures w14:val="none"/>
        </w:rPr>
        <w:t xml:space="preserve">remain relevant but are insufficient on their own </w:t>
      </w:r>
      <w:r w:rsidR="00AB1606" w:rsidRPr="00731E12">
        <w:rPr>
          <w:rFonts w:ascii="Arial" w:eastAsia="Times New Roman" w:hAnsi="Arial" w:cs="Arial"/>
          <w:color w:val="000000"/>
          <w:kern w:val="0"/>
          <w:sz w:val="22"/>
          <w:szCs w:val="22"/>
          <w14:ligatures w14:val="none"/>
        </w:rPr>
        <w:t>amid</w:t>
      </w:r>
      <w:r w:rsidRPr="00731E12">
        <w:rPr>
          <w:rFonts w:ascii="Arial" w:eastAsia="Times New Roman" w:hAnsi="Arial" w:cs="Arial"/>
          <w:color w:val="000000"/>
          <w:kern w:val="0"/>
          <w:sz w:val="22"/>
          <w:szCs w:val="22"/>
          <w14:ligatures w14:val="none"/>
        </w:rPr>
        <w:t xml:space="preserve"> rapid environmental change. Strategic agility, technological integration, and consumer-centric innovation will determine the company's future competitiveness and growth potential (Malankar, 2015).</w:t>
      </w:r>
    </w:p>
    <w:p w14:paraId="6821AF0E" w14:textId="77777777" w:rsidR="00737429" w:rsidRDefault="00737429" w:rsidP="00737429">
      <w:pPr>
        <w:pStyle w:val="Heading2"/>
        <w:spacing w:line="360" w:lineRule="auto"/>
        <w:rPr>
          <w:rFonts w:ascii="Arial" w:hAnsi="Arial" w:cs="Arial"/>
          <w:color w:val="000000" w:themeColor="text1"/>
        </w:rPr>
      </w:pPr>
    </w:p>
    <w:p w14:paraId="4F2E3F3D" w14:textId="2984E8AD" w:rsidR="00737429" w:rsidRPr="00737429" w:rsidRDefault="00737429" w:rsidP="00737429">
      <w:pPr>
        <w:pStyle w:val="Heading2"/>
        <w:spacing w:line="360" w:lineRule="auto"/>
        <w:rPr>
          <w:rFonts w:ascii="Arial" w:eastAsia="Times New Roman" w:hAnsi="Arial" w:cs="Arial"/>
          <w:color w:val="000000" w:themeColor="text1"/>
          <w:kern w:val="0"/>
          <w:sz w:val="22"/>
          <w:szCs w:val="22"/>
          <w14:ligatures w14:val="none"/>
        </w:rPr>
      </w:pPr>
      <w:bookmarkStart w:id="19" w:name="_Toc216278903"/>
      <w:r w:rsidRPr="00737429">
        <w:rPr>
          <w:rFonts w:ascii="Arial" w:hAnsi="Arial" w:cs="Arial"/>
          <w:color w:val="000000" w:themeColor="text1"/>
        </w:rPr>
        <w:t>Recommendations</w:t>
      </w:r>
      <w:bookmarkEnd w:id="19"/>
      <w:r w:rsidRPr="00737429">
        <w:rPr>
          <w:rFonts w:ascii="Arial" w:eastAsia="Times New Roman" w:hAnsi="Arial" w:cs="Arial"/>
          <w:color w:val="000000" w:themeColor="text1"/>
          <w:kern w:val="0"/>
          <w:sz w:val="22"/>
          <w:szCs w:val="22"/>
          <w14:ligatures w14:val="none"/>
        </w:rPr>
        <w:t xml:space="preserve"> </w:t>
      </w:r>
    </w:p>
    <w:p w14:paraId="49A641C4" w14:textId="080F54A0" w:rsidR="00A56038" w:rsidRPr="00731E12" w:rsidRDefault="00A56038" w:rsidP="00737429">
      <w:pPr>
        <w:spacing w:line="360" w:lineRule="auto"/>
        <w:jc w:val="both"/>
        <w:rPr>
          <w:rFonts w:ascii="Arial" w:eastAsia="Times New Roman" w:hAnsi="Arial" w:cs="Arial"/>
          <w:color w:val="000000"/>
          <w:kern w:val="0"/>
          <w:sz w:val="22"/>
          <w:szCs w:val="22"/>
          <w14:ligatures w14:val="none"/>
        </w:rPr>
      </w:pPr>
      <w:r w:rsidRPr="00731E12">
        <w:rPr>
          <w:rFonts w:ascii="Arial" w:eastAsia="Times New Roman" w:hAnsi="Arial" w:cs="Arial"/>
          <w:color w:val="000000"/>
          <w:kern w:val="0"/>
          <w:sz w:val="22"/>
          <w:szCs w:val="22"/>
          <w14:ligatures w14:val="none"/>
        </w:rPr>
        <w:t>Accelerate Sustainable Innovation: P&amp;G should continue to invest in environmentally friendly product formulations and packaging, including biodegradable materials, refill systems, and carbon-neutral production processes (Procter</w:t>
      </w:r>
      <w:r w:rsidR="00731E12" w:rsidRPr="00731E12">
        <w:rPr>
          <w:rFonts w:ascii="Arial" w:eastAsia="Times New Roman" w:hAnsi="Arial" w:cs="Arial"/>
          <w:color w:val="000000"/>
          <w:kern w:val="0"/>
          <w:sz w:val="22"/>
          <w:szCs w:val="22"/>
          <w14:ligatures w14:val="none"/>
        </w:rPr>
        <w:t xml:space="preserve">&amp; </w:t>
      </w:r>
      <w:r w:rsidRPr="00731E12">
        <w:rPr>
          <w:rFonts w:ascii="Arial" w:eastAsia="Times New Roman" w:hAnsi="Arial" w:cs="Arial"/>
          <w:color w:val="000000"/>
          <w:kern w:val="0"/>
          <w:sz w:val="22"/>
          <w:szCs w:val="22"/>
          <w14:ligatures w14:val="none"/>
        </w:rPr>
        <w:t>Gamble, 2024; Nwabekee et al., 2024). Such initiatives meet regulatory requirements and appeal to environmentally conscious consumers, enhancing brand loyalty (Sbircea, 2024).</w:t>
      </w:r>
    </w:p>
    <w:p w14:paraId="0A35DA18" w14:textId="54CB791F" w:rsidR="00A56038" w:rsidRPr="00731E12" w:rsidRDefault="00A56038" w:rsidP="00BC7015">
      <w:pPr>
        <w:spacing w:line="360" w:lineRule="auto"/>
        <w:jc w:val="both"/>
        <w:rPr>
          <w:rFonts w:ascii="Arial" w:eastAsia="Times New Roman" w:hAnsi="Arial" w:cs="Arial"/>
          <w:color w:val="000000"/>
          <w:kern w:val="0"/>
          <w:sz w:val="22"/>
          <w:szCs w:val="22"/>
          <w14:ligatures w14:val="none"/>
        </w:rPr>
      </w:pPr>
      <w:r w:rsidRPr="00731E12">
        <w:rPr>
          <w:rFonts w:ascii="Arial" w:eastAsia="Times New Roman" w:hAnsi="Arial" w:cs="Arial"/>
          <w:color w:val="000000"/>
          <w:kern w:val="0"/>
          <w:sz w:val="22"/>
          <w:szCs w:val="22"/>
          <w14:ligatures w14:val="none"/>
        </w:rPr>
        <w:t>Expand in Emerging Markets Emerging economies in Asia, Latin America, and Africa offer significant growth potential due to rising disposable incomes and urbanisation (Govindarajan</w:t>
      </w:r>
      <w:r w:rsidR="00731E12" w:rsidRPr="00731E12">
        <w:rPr>
          <w:rFonts w:ascii="Arial" w:eastAsia="Times New Roman" w:hAnsi="Arial" w:cs="Arial"/>
          <w:color w:val="000000"/>
          <w:kern w:val="0"/>
          <w:sz w:val="22"/>
          <w:szCs w:val="22"/>
          <w14:ligatures w14:val="none"/>
        </w:rPr>
        <w:t xml:space="preserve">&amp; </w:t>
      </w:r>
      <w:r w:rsidRPr="00731E12">
        <w:rPr>
          <w:rFonts w:ascii="Arial" w:eastAsia="Times New Roman" w:hAnsi="Arial" w:cs="Arial"/>
          <w:color w:val="000000"/>
          <w:kern w:val="0"/>
          <w:sz w:val="22"/>
          <w:szCs w:val="22"/>
          <w14:ligatures w14:val="none"/>
        </w:rPr>
        <w:t>Trimble, 2012). Localising products, tailoring pricing strategies, and strengthening distribution networks will be essential to capturing these opportunities.</w:t>
      </w:r>
    </w:p>
    <w:p w14:paraId="4EFC6EAF" w14:textId="69E6A58E" w:rsidR="00A56038" w:rsidRPr="00731E12" w:rsidRDefault="00A56038" w:rsidP="00BC7015">
      <w:pPr>
        <w:spacing w:line="360" w:lineRule="auto"/>
        <w:jc w:val="both"/>
        <w:rPr>
          <w:rFonts w:ascii="Arial" w:eastAsia="Times New Roman" w:hAnsi="Arial" w:cs="Arial"/>
          <w:color w:val="000000"/>
          <w:kern w:val="0"/>
          <w:sz w:val="22"/>
          <w:szCs w:val="22"/>
          <w14:ligatures w14:val="none"/>
        </w:rPr>
      </w:pPr>
      <w:r w:rsidRPr="00731E12">
        <w:rPr>
          <w:rFonts w:ascii="Arial" w:eastAsia="Times New Roman" w:hAnsi="Arial" w:cs="Arial"/>
          <w:color w:val="000000"/>
          <w:kern w:val="0"/>
          <w:sz w:val="22"/>
          <w:szCs w:val="22"/>
          <w14:ligatures w14:val="none"/>
        </w:rPr>
        <w:t>Enhance DigiE-Commerce Capabilities to engage directly with customers, rate advanced analytics, and optimise marketing and marketing management (Malankar, 2015). Subscription models and personalised promotions further strengthen consumer relationships.</w:t>
      </w:r>
    </w:p>
    <w:p w14:paraId="452F109B" w14:textId="1129908C" w:rsidR="00A56038" w:rsidRPr="00731E12" w:rsidRDefault="00A56038" w:rsidP="00BC7015">
      <w:pPr>
        <w:spacing w:line="360" w:lineRule="auto"/>
        <w:jc w:val="both"/>
        <w:rPr>
          <w:rFonts w:ascii="Arial" w:eastAsia="Times New Roman" w:hAnsi="Arial" w:cs="Arial"/>
          <w:color w:val="000000"/>
          <w:kern w:val="0"/>
          <w:sz w:val="22"/>
          <w:szCs w:val="22"/>
          <w14:ligatures w14:val="none"/>
        </w:rPr>
      </w:pPr>
      <w:r w:rsidRPr="00731E12">
        <w:rPr>
          <w:rFonts w:ascii="Arial" w:eastAsia="Times New Roman" w:hAnsi="Arial" w:cs="Arial"/>
          <w:color w:val="000000"/>
          <w:kern w:val="0"/>
          <w:sz w:val="22"/>
          <w:szCs w:val="22"/>
          <w14:ligatures w14:val="none"/>
        </w:rPr>
        <w:t xml:space="preserve"> A Lio Strategic review of </w:t>
      </w:r>
      <w:r w:rsidR="002118FC" w:rsidRPr="00731E12">
        <w:rPr>
          <w:rFonts w:ascii="Arial" w:eastAsia="Times New Roman" w:hAnsi="Arial" w:cs="Arial"/>
          <w:color w:val="000000"/>
          <w:kern w:val="0"/>
          <w:sz w:val="22"/>
          <w:szCs w:val="22"/>
          <w14:ligatures w14:val="none"/>
        </w:rPr>
        <w:t>the portfolio</w:t>
      </w:r>
      <w:r w:rsidRPr="00731E12">
        <w:rPr>
          <w:rFonts w:ascii="Arial" w:eastAsia="Times New Roman" w:hAnsi="Arial" w:cs="Arial"/>
          <w:color w:val="000000"/>
          <w:kern w:val="0"/>
          <w:sz w:val="22"/>
          <w:szCs w:val="22"/>
          <w14:ligatures w14:val="none"/>
        </w:rPr>
        <w:t xml:space="preserve"> would identify high-performing lines for divestment or repositioning (Piskorski</w:t>
      </w:r>
      <w:r w:rsidR="00731E12" w:rsidRPr="00731E12">
        <w:rPr>
          <w:rFonts w:ascii="Arial" w:eastAsia="Times New Roman" w:hAnsi="Arial" w:cs="Arial"/>
          <w:color w:val="000000"/>
          <w:kern w:val="0"/>
          <w:sz w:val="22"/>
          <w:szCs w:val="22"/>
          <w14:ligatures w14:val="none"/>
        </w:rPr>
        <w:t xml:space="preserve">&amp; </w:t>
      </w:r>
      <w:r w:rsidRPr="00731E12">
        <w:rPr>
          <w:rFonts w:ascii="Arial" w:eastAsia="Times New Roman" w:hAnsi="Arial" w:cs="Arial"/>
          <w:color w:val="000000"/>
          <w:kern w:val="0"/>
          <w:sz w:val="22"/>
          <w:szCs w:val="22"/>
          <w14:ligatures w14:val="none"/>
        </w:rPr>
        <w:t>Spadini, 2007). This ensures efficient resource allocation and reduces operational complexity.</w:t>
      </w:r>
    </w:p>
    <w:p w14:paraId="399CECC4" w14:textId="77777777" w:rsidR="00A56038" w:rsidRPr="00731E12" w:rsidRDefault="00A56038" w:rsidP="00BC7015">
      <w:pPr>
        <w:spacing w:line="360" w:lineRule="auto"/>
        <w:jc w:val="both"/>
        <w:rPr>
          <w:rFonts w:ascii="Arial" w:eastAsia="Times New Roman" w:hAnsi="Arial" w:cs="Arial"/>
          <w:color w:val="000000"/>
          <w:kern w:val="0"/>
          <w:sz w:val="22"/>
          <w:szCs w:val="22"/>
          <w14:ligatures w14:val="none"/>
        </w:rPr>
      </w:pPr>
      <w:r w:rsidRPr="00731E12">
        <w:rPr>
          <w:rFonts w:ascii="Arial" w:eastAsia="Times New Roman" w:hAnsi="Arial" w:cs="Arial"/>
          <w:color w:val="000000"/>
          <w:kern w:val="0"/>
          <w:sz w:val="22"/>
          <w:szCs w:val="22"/>
          <w14:ligatures w14:val="none"/>
        </w:rPr>
        <w:t>Strengthen Supply Chain Resilience Diversifying suppliers, investing in localised manufacturing, and incorporating risk management strategies are critical to mitigating disruptions (EY, 2022; Supply Chain Dive, 2025). Monitoring geopolitical risks and climate change implications will support continuity and cost-effectiveness.</w:t>
      </w:r>
    </w:p>
    <w:p w14:paraId="5433E89A" w14:textId="1B7AF7FE" w:rsidR="00A56038" w:rsidRPr="00731E12" w:rsidRDefault="00A56038" w:rsidP="00BC7015">
      <w:pPr>
        <w:spacing w:line="360" w:lineRule="auto"/>
        <w:jc w:val="both"/>
        <w:rPr>
          <w:rFonts w:ascii="Arial" w:eastAsia="Times New Roman" w:hAnsi="Arial" w:cs="Arial"/>
          <w:color w:val="000000"/>
          <w:kern w:val="0"/>
          <w:sz w:val="22"/>
          <w:szCs w:val="22"/>
          <w14:ligatures w14:val="none"/>
        </w:rPr>
      </w:pPr>
      <w:r w:rsidRPr="00731E12">
        <w:rPr>
          <w:rFonts w:ascii="Arial" w:eastAsia="Times New Roman" w:hAnsi="Arial" w:cs="Arial"/>
          <w:color w:val="000000"/>
          <w:kern w:val="0"/>
          <w:sz w:val="22"/>
          <w:szCs w:val="22"/>
          <w14:ligatures w14:val="none"/>
        </w:rPr>
        <w:t>Maintain Competitive Pricing and Value Proposition. Tiered pricing strategies, including smaller pack sizes and bundle offers, can balance accessibility with profitability</w:t>
      </w:r>
      <w:r w:rsidR="005D0F14">
        <w:rPr>
          <w:rFonts w:ascii="Arial" w:eastAsia="Times New Roman" w:hAnsi="Arial" w:cs="Arial"/>
          <w:color w:val="000000"/>
          <w:kern w:val="0"/>
          <w:sz w:val="22"/>
          <w:szCs w:val="22"/>
          <w14:ligatures w14:val="none"/>
        </w:rPr>
        <w:t>.</w:t>
      </w:r>
    </w:p>
    <w:p w14:paraId="666F4E22" w14:textId="484408EA" w:rsidR="00A56038" w:rsidRPr="00731E12" w:rsidRDefault="00A56038" w:rsidP="00BC7015">
      <w:pPr>
        <w:spacing w:line="360" w:lineRule="auto"/>
        <w:jc w:val="both"/>
        <w:rPr>
          <w:rFonts w:ascii="Arial" w:eastAsia="Times New Roman" w:hAnsi="Arial" w:cs="Arial"/>
          <w:color w:val="000000"/>
          <w:kern w:val="0"/>
          <w:sz w:val="22"/>
          <w:szCs w:val="22"/>
          <w14:ligatures w14:val="none"/>
        </w:rPr>
      </w:pPr>
      <w:r w:rsidRPr="00731E12">
        <w:rPr>
          <w:rFonts w:ascii="Arial" w:eastAsia="Times New Roman" w:hAnsi="Arial" w:cs="Arial"/>
          <w:color w:val="000000"/>
          <w:kern w:val="0"/>
          <w:sz w:val="22"/>
          <w:szCs w:val="22"/>
          <w14:ligatures w14:val="none"/>
        </w:rPr>
        <w:lastRenderedPageBreak/>
        <w:t>Invest in Organisational Agility. Flexible structures and decentralised decision making will enable faster responses to market changes and consumer trends (Piskorski</w:t>
      </w:r>
      <w:r w:rsidR="00731E12" w:rsidRPr="00731E12">
        <w:rPr>
          <w:rFonts w:ascii="Arial" w:eastAsia="Times New Roman" w:hAnsi="Arial" w:cs="Arial"/>
          <w:color w:val="000000"/>
          <w:kern w:val="0"/>
          <w:sz w:val="22"/>
          <w:szCs w:val="22"/>
          <w14:ligatures w14:val="none"/>
        </w:rPr>
        <w:t xml:space="preserve">&amp; </w:t>
      </w:r>
      <w:r w:rsidRPr="00731E12">
        <w:rPr>
          <w:rFonts w:ascii="Arial" w:eastAsia="Times New Roman" w:hAnsi="Arial" w:cs="Arial"/>
          <w:color w:val="000000"/>
          <w:kern w:val="0"/>
          <w:sz w:val="22"/>
          <w:szCs w:val="22"/>
          <w14:ligatures w14:val="none"/>
        </w:rPr>
        <w:t>Spadini, 2007). Agile teams and cross-functional collaboration can enhance innovation cycles.</w:t>
      </w:r>
    </w:p>
    <w:p w14:paraId="6B369B27" w14:textId="6033C55E" w:rsidR="00A56038" w:rsidRPr="00731E12" w:rsidRDefault="00A56038" w:rsidP="00BC7015">
      <w:pPr>
        <w:spacing w:line="360" w:lineRule="auto"/>
        <w:jc w:val="both"/>
        <w:rPr>
          <w:rFonts w:ascii="Arial" w:eastAsia="Times New Roman" w:hAnsi="Arial" w:cs="Arial"/>
          <w:color w:val="000000"/>
          <w:kern w:val="0"/>
          <w:sz w:val="22"/>
          <w:szCs w:val="22"/>
          <w14:ligatures w14:val="none"/>
        </w:rPr>
      </w:pPr>
      <w:r w:rsidRPr="00731E12">
        <w:rPr>
          <w:rFonts w:ascii="Arial" w:eastAsia="Times New Roman" w:hAnsi="Arial" w:cs="Arial"/>
          <w:color w:val="000000"/>
          <w:kern w:val="0"/>
          <w:sz w:val="22"/>
          <w:szCs w:val="22"/>
          <w14:ligatures w14:val="none"/>
        </w:rPr>
        <w:t>Proactive Regulatory Compliance and CSR Monitoring evolving regulations and strengthening CSR initiatives reinforce consumer trust and preempt reputational risks (Zhang, 2021).</w:t>
      </w:r>
    </w:p>
    <w:p w14:paraId="2A4BC00F" w14:textId="77777777" w:rsidR="00BC7015" w:rsidRDefault="00BC7015" w:rsidP="00731E12">
      <w:pPr>
        <w:pStyle w:val="Heading2"/>
        <w:rPr>
          <w:rFonts w:ascii="Arial" w:hAnsi="Arial" w:cs="Arial"/>
          <w:color w:val="000000" w:themeColor="text1"/>
        </w:rPr>
      </w:pPr>
    </w:p>
    <w:p w14:paraId="143A79AB" w14:textId="77777777" w:rsidR="00BC7015" w:rsidRDefault="00BC7015" w:rsidP="00BC7015"/>
    <w:p w14:paraId="7CF6235F" w14:textId="77777777" w:rsidR="00BC7015" w:rsidRDefault="00BC7015" w:rsidP="00BC7015"/>
    <w:p w14:paraId="710C147B" w14:textId="77777777" w:rsidR="00BC7015" w:rsidRDefault="00BC7015" w:rsidP="00BC7015"/>
    <w:p w14:paraId="6FD0C86A" w14:textId="77777777" w:rsidR="00BC7015" w:rsidRDefault="00BC7015" w:rsidP="00BC7015"/>
    <w:p w14:paraId="353F6D7A" w14:textId="77777777" w:rsidR="00BC7015" w:rsidRDefault="00BC7015" w:rsidP="00BC7015"/>
    <w:p w14:paraId="7A4B756D" w14:textId="77777777" w:rsidR="00BC7015" w:rsidRDefault="00BC7015" w:rsidP="00BC7015"/>
    <w:p w14:paraId="558FC287" w14:textId="77777777" w:rsidR="00BC7015" w:rsidRDefault="00BC7015" w:rsidP="00BC7015"/>
    <w:p w14:paraId="627FB40A" w14:textId="77777777" w:rsidR="00BC7015" w:rsidRDefault="00BC7015" w:rsidP="00BC7015"/>
    <w:p w14:paraId="7F4587FD" w14:textId="77777777" w:rsidR="00BC7015" w:rsidRDefault="00BC7015" w:rsidP="00BC7015"/>
    <w:p w14:paraId="0817F97E" w14:textId="77777777" w:rsidR="00BC7015" w:rsidRDefault="00BC7015" w:rsidP="00BC7015"/>
    <w:p w14:paraId="7BE498F1" w14:textId="77777777" w:rsidR="00BC7015" w:rsidRDefault="00BC7015" w:rsidP="00BC7015"/>
    <w:p w14:paraId="3955FB09" w14:textId="77777777" w:rsidR="00BC7015" w:rsidRDefault="00BC7015" w:rsidP="00BC7015"/>
    <w:p w14:paraId="4DE1C640" w14:textId="77777777" w:rsidR="00BC7015" w:rsidRDefault="00BC7015" w:rsidP="00BC7015"/>
    <w:p w14:paraId="5644A8F7" w14:textId="77777777" w:rsidR="00BC7015" w:rsidRDefault="00BC7015" w:rsidP="00BC7015"/>
    <w:p w14:paraId="2A705C02" w14:textId="77777777" w:rsidR="00BC7015" w:rsidRDefault="00BC7015" w:rsidP="00BC7015"/>
    <w:p w14:paraId="4CBFF5B3" w14:textId="77777777" w:rsidR="00BC7015" w:rsidRDefault="00BC7015" w:rsidP="00BC7015"/>
    <w:p w14:paraId="3167EB67" w14:textId="77777777" w:rsidR="00BC7015" w:rsidRDefault="00BC7015" w:rsidP="00BC7015"/>
    <w:p w14:paraId="244FF173" w14:textId="77777777" w:rsidR="00BC7015" w:rsidRDefault="00BC7015" w:rsidP="00BC7015"/>
    <w:p w14:paraId="4293D442" w14:textId="77777777" w:rsidR="00BC7015" w:rsidRDefault="00BC7015" w:rsidP="00A9735C">
      <w:pPr>
        <w:pStyle w:val="Heading2"/>
        <w:rPr>
          <w:rFonts w:ascii="Arial" w:hAnsi="Arial" w:cs="Arial"/>
          <w:color w:val="000000" w:themeColor="text1"/>
        </w:rPr>
      </w:pPr>
      <w:bookmarkStart w:id="20" w:name="_Toc216278904"/>
      <w:r w:rsidRPr="00A9735C">
        <w:rPr>
          <w:rFonts w:ascii="Arial" w:hAnsi="Arial" w:cs="Arial"/>
          <w:color w:val="000000" w:themeColor="text1"/>
        </w:rPr>
        <w:lastRenderedPageBreak/>
        <w:t>Bibliography</w:t>
      </w:r>
      <w:bookmarkEnd w:id="20"/>
    </w:p>
    <w:p w14:paraId="1403B7DB" w14:textId="77777777" w:rsidR="00A9735C" w:rsidRPr="00A9735C" w:rsidRDefault="00A9735C" w:rsidP="00A9735C">
      <w:pPr>
        <w:rPr>
          <w:rFonts w:ascii="Arial" w:hAnsi="Arial" w:cs="Arial"/>
          <w:sz w:val="22"/>
          <w:szCs w:val="22"/>
        </w:rPr>
      </w:pPr>
    </w:p>
    <w:p w14:paraId="09C5D6F3" w14:textId="79C879CA"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Actual Market Research (202</w:t>
      </w:r>
      <w:r w:rsidR="005D0F14">
        <w:rPr>
          <w:rFonts w:ascii="Arial" w:hAnsi="Arial" w:cs="Arial"/>
          <w:color w:val="0E101A"/>
          <w:sz w:val="22"/>
          <w:szCs w:val="22"/>
        </w:rPr>
        <w:t>5</w:t>
      </w:r>
      <w:r w:rsidRPr="00A9735C">
        <w:rPr>
          <w:rFonts w:ascii="Arial" w:hAnsi="Arial" w:cs="Arial"/>
          <w:color w:val="0E101A"/>
          <w:sz w:val="22"/>
          <w:szCs w:val="22"/>
        </w:rPr>
        <w:t>). </w:t>
      </w:r>
      <w:r w:rsidRPr="00A9735C">
        <w:rPr>
          <w:rStyle w:val="Emphasis"/>
          <w:rFonts w:ascii="Arial" w:eastAsiaTheme="majorEastAsia" w:hAnsi="Arial" w:cs="Arial"/>
          <w:color w:val="0E101A"/>
          <w:sz w:val="22"/>
          <w:szCs w:val="22"/>
        </w:rPr>
        <w:t>Global Personal Hygiene Market Growth Report</w:t>
      </w:r>
      <w:r w:rsidRPr="00A9735C">
        <w:rPr>
          <w:rFonts w:ascii="Arial" w:hAnsi="Arial" w:cs="Arial"/>
          <w:color w:val="0E101A"/>
          <w:sz w:val="22"/>
          <w:szCs w:val="22"/>
        </w:rPr>
        <w:t xml:space="preserve">. Available at: </w:t>
      </w:r>
      <w:hyperlink r:id="rId8" w:history="1">
        <w:r w:rsidR="005D0F14" w:rsidRPr="009338C2">
          <w:rPr>
            <w:rStyle w:val="Hyperlink"/>
            <w:rFonts w:ascii="Arial" w:hAnsi="Arial" w:cs="Arial"/>
            <w:sz w:val="22"/>
            <w:szCs w:val="22"/>
          </w:rPr>
          <w:t>https://www.actualmarketresearch.com/p</w:t>
        </w:r>
        <w:r w:rsidR="005D0F14" w:rsidRPr="009338C2">
          <w:rPr>
            <w:rStyle w:val="Hyperlink"/>
            <w:rFonts w:ascii="Arial" w:hAnsi="Arial" w:cs="Arial"/>
            <w:sz w:val="22"/>
            <w:szCs w:val="22"/>
          </w:rPr>
          <w:t>r</w:t>
        </w:r>
        <w:r w:rsidR="005D0F14" w:rsidRPr="009338C2">
          <w:rPr>
            <w:rStyle w:val="Hyperlink"/>
            <w:rFonts w:ascii="Arial" w:hAnsi="Arial" w:cs="Arial"/>
            <w:sz w:val="22"/>
            <w:szCs w:val="22"/>
          </w:rPr>
          <w:t>oduct/global-personal-hygiene-market-overview</w:t>
        </w:r>
      </w:hyperlink>
      <w:r w:rsidR="005D0F14">
        <w:rPr>
          <w:rFonts w:ascii="Arial" w:hAnsi="Arial" w:cs="Arial"/>
          <w:color w:val="0E101A"/>
          <w:sz w:val="22"/>
          <w:szCs w:val="22"/>
        </w:rPr>
        <w:t xml:space="preserve"> </w:t>
      </w:r>
      <w:r>
        <w:rPr>
          <w:rFonts w:ascii="Arial" w:hAnsi="Arial" w:cs="Arial"/>
          <w:color w:val="0E101A"/>
          <w:sz w:val="22"/>
          <w:szCs w:val="22"/>
        </w:rPr>
        <w:t xml:space="preserve"> </w:t>
      </w:r>
      <w:r w:rsidRPr="00A9735C">
        <w:rPr>
          <w:rFonts w:ascii="Arial" w:hAnsi="Arial" w:cs="Arial"/>
          <w:color w:val="0E101A"/>
          <w:sz w:val="22"/>
          <w:szCs w:val="22"/>
        </w:rPr>
        <w:t xml:space="preserve"> (Accessed: </w:t>
      </w:r>
      <w:r w:rsidR="005D0F14">
        <w:rPr>
          <w:rFonts w:ascii="Arial" w:hAnsi="Arial" w:cs="Arial"/>
          <w:color w:val="0E101A"/>
          <w:sz w:val="22"/>
          <w:szCs w:val="22"/>
        </w:rPr>
        <w:t>10</w:t>
      </w:r>
      <w:r w:rsidRPr="00A9735C">
        <w:rPr>
          <w:rFonts w:ascii="Arial" w:hAnsi="Arial" w:cs="Arial"/>
          <w:color w:val="0E101A"/>
          <w:sz w:val="22"/>
          <w:szCs w:val="22"/>
        </w:rPr>
        <w:t>th December 2025).</w:t>
      </w:r>
    </w:p>
    <w:p w14:paraId="05D3E93E" w14:textId="446214C1"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Alqudah, O. (2017). </w:t>
      </w:r>
      <w:r w:rsidRPr="00A9735C">
        <w:rPr>
          <w:rStyle w:val="Emphasis"/>
          <w:rFonts w:ascii="Arial" w:eastAsiaTheme="majorEastAsia" w:hAnsi="Arial" w:cs="Arial"/>
          <w:color w:val="0E101A"/>
          <w:sz w:val="22"/>
          <w:szCs w:val="22"/>
        </w:rPr>
        <w:t>Procter&amp; Gamble reanalysis</w:t>
      </w:r>
      <w:r w:rsidRPr="00A9735C">
        <w:rPr>
          <w:rFonts w:ascii="Arial" w:hAnsi="Arial" w:cs="Arial"/>
          <w:color w:val="0E101A"/>
          <w:sz w:val="22"/>
          <w:szCs w:val="22"/>
        </w:rPr>
        <w:t xml:space="preserve">. Available at: </w:t>
      </w:r>
      <w:hyperlink r:id="rId9" w:history="1">
        <w:r w:rsidR="005D0F14" w:rsidRPr="009338C2">
          <w:rPr>
            <w:rStyle w:val="Hyperlink"/>
            <w:rFonts w:ascii="Arial" w:hAnsi="Arial" w:cs="Arial"/>
            <w:sz w:val="22"/>
            <w:szCs w:val="22"/>
          </w:rPr>
          <w:t>https://www.academia.edu/33359720/Procter_and_Gamble_reanalysis</w:t>
        </w:r>
      </w:hyperlink>
      <w:r w:rsidR="005D0F14">
        <w:rPr>
          <w:rFonts w:ascii="Arial" w:hAnsi="Arial" w:cs="Arial"/>
          <w:color w:val="0E101A"/>
          <w:sz w:val="22"/>
          <w:szCs w:val="22"/>
        </w:rPr>
        <w:t xml:space="preserve"> </w:t>
      </w:r>
      <w:r w:rsidR="005D0F14" w:rsidRPr="005D0F14">
        <w:rPr>
          <w:rFonts w:ascii="Arial" w:hAnsi="Arial" w:cs="Arial"/>
          <w:color w:val="0E101A"/>
          <w:sz w:val="22"/>
          <w:szCs w:val="22"/>
        </w:rPr>
        <w:t xml:space="preserve"> </w:t>
      </w:r>
      <w:r w:rsidRPr="00A9735C">
        <w:rPr>
          <w:rFonts w:ascii="Arial" w:hAnsi="Arial" w:cs="Arial"/>
          <w:color w:val="0E101A"/>
          <w:sz w:val="22"/>
          <w:szCs w:val="22"/>
        </w:rPr>
        <w:t>(Accessed 2nd December 2025).</w:t>
      </w:r>
    </w:p>
    <w:p w14:paraId="2DA7B582"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Barney, J.B. and Hesterly, W.S. (2019). </w:t>
      </w:r>
      <w:r w:rsidRPr="00A9735C">
        <w:rPr>
          <w:rStyle w:val="Emphasis"/>
          <w:rFonts w:ascii="Arial" w:eastAsiaTheme="majorEastAsia" w:hAnsi="Arial" w:cs="Arial"/>
          <w:color w:val="0E101A"/>
          <w:sz w:val="22"/>
          <w:szCs w:val="22"/>
        </w:rPr>
        <w:t>Strategic Management and Competitive Advantage: Concepts and Cases</w:t>
      </w:r>
      <w:r w:rsidRPr="00A9735C">
        <w:rPr>
          <w:rFonts w:ascii="Arial" w:hAnsi="Arial" w:cs="Arial"/>
          <w:color w:val="0E101A"/>
          <w:sz w:val="22"/>
          <w:szCs w:val="22"/>
        </w:rPr>
        <w:t>. 6th ed. Harlow: Pearson.</w:t>
      </w:r>
    </w:p>
    <w:p w14:paraId="15EB08BB" w14:textId="104DEAFB"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BTG Advisory (2025). </w:t>
      </w:r>
      <w:r w:rsidRPr="00A9735C">
        <w:rPr>
          <w:rStyle w:val="Emphasis"/>
          <w:rFonts w:ascii="Arial" w:eastAsiaTheme="majorEastAsia" w:hAnsi="Arial" w:cs="Arial"/>
          <w:color w:val="0E101A"/>
          <w:sz w:val="22"/>
          <w:szCs w:val="22"/>
        </w:rPr>
        <w:t>UK SME manufacturers navigate cost pressures, supply risks, and shifting trade patterns</w:t>
      </w:r>
      <w:r w:rsidRPr="00A9735C">
        <w:rPr>
          <w:rFonts w:ascii="Arial" w:hAnsi="Arial" w:cs="Arial"/>
          <w:color w:val="0E101A"/>
          <w:sz w:val="22"/>
          <w:szCs w:val="22"/>
        </w:rPr>
        <w:t xml:space="preserve">. Available at: </w:t>
      </w:r>
      <w:hyperlink r:id="rId10" w:history="1">
        <w:r w:rsidRPr="009338C2">
          <w:rPr>
            <w:rStyle w:val="Hyperlink"/>
            <w:rFonts w:ascii="Arial" w:hAnsi="Arial" w:cs="Arial"/>
            <w:sz w:val="22"/>
            <w:szCs w:val="22"/>
          </w:rPr>
          <w:t>https://www.bt</w:t>
        </w:r>
        <w:r w:rsidRPr="009338C2">
          <w:rPr>
            <w:rStyle w:val="Hyperlink"/>
            <w:rFonts w:ascii="Arial" w:hAnsi="Arial" w:cs="Arial"/>
            <w:sz w:val="22"/>
            <w:szCs w:val="22"/>
          </w:rPr>
          <w:t>g</w:t>
        </w:r>
        <w:r w:rsidRPr="009338C2">
          <w:rPr>
            <w:rStyle w:val="Hyperlink"/>
            <w:rFonts w:ascii="Arial" w:hAnsi="Arial" w:cs="Arial"/>
            <w:sz w:val="22"/>
            <w:szCs w:val="22"/>
          </w:rPr>
          <w:t>advisory.com/insights/general/uk-sme-manufacturers-navigate-cost-pressures-supply-risks-and-shifting-trade-patterns</w:t>
        </w:r>
      </w:hyperlink>
      <w:r>
        <w:rPr>
          <w:rFonts w:ascii="Arial" w:hAnsi="Arial" w:cs="Arial"/>
          <w:color w:val="0E101A"/>
          <w:sz w:val="22"/>
          <w:szCs w:val="22"/>
        </w:rPr>
        <w:t xml:space="preserve"> </w:t>
      </w:r>
      <w:r w:rsidRPr="00A9735C">
        <w:rPr>
          <w:rFonts w:ascii="Arial" w:hAnsi="Arial" w:cs="Arial"/>
          <w:color w:val="0E101A"/>
          <w:sz w:val="22"/>
          <w:szCs w:val="22"/>
        </w:rPr>
        <w:t>(Accessed: 4th December 2025).</w:t>
      </w:r>
    </w:p>
    <w:p w14:paraId="74BAB2DD" w14:textId="75698771"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Business Model Analyst (2025). </w:t>
      </w:r>
      <w:r w:rsidRPr="00A9735C">
        <w:rPr>
          <w:rStyle w:val="Emphasis"/>
          <w:rFonts w:ascii="Arial" w:eastAsiaTheme="majorEastAsia" w:hAnsi="Arial" w:cs="Arial"/>
          <w:color w:val="0E101A"/>
          <w:sz w:val="22"/>
          <w:szCs w:val="22"/>
        </w:rPr>
        <w:t>Top 8 P&amp;G competitors and alternatives</w:t>
      </w:r>
      <w:r w:rsidRPr="00A9735C">
        <w:rPr>
          <w:rFonts w:ascii="Arial" w:hAnsi="Arial" w:cs="Arial"/>
          <w:color w:val="0E101A"/>
          <w:sz w:val="22"/>
          <w:szCs w:val="22"/>
        </w:rPr>
        <w:t xml:space="preserve">. Available at: </w:t>
      </w:r>
      <w:hyperlink r:id="rId11" w:history="1">
        <w:r w:rsidRPr="009338C2">
          <w:rPr>
            <w:rStyle w:val="Hyperlink"/>
            <w:rFonts w:ascii="Arial" w:hAnsi="Arial" w:cs="Arial"/>
            <w:sz w:val="22"/>
            <w:szCs w:val="22"/>
          </w:rPr>
          <w:t>https://businessmodelanalyst.com/pg-co</w:t>
        </w:r>
        <w:r w:rsidRPr="009338C2">
          <w:rPr>
            <w:rStyle w:val="Hyperlink"/>
            <w:rFonts w:ascii="Arial" w:hAnsi="Arial" w:cs="Arial"/>
            <w:sz w:val="22"/>
            <w:szCs w:val="22"/>
          </w:rPr>
          <w:t>m</w:t>
        </w:r>
        <w:r w:rsidRPr="009338C2">
          <w:rPr>
            <w:rStyle w:val="Hyperlink"/>
            <w:rFonts w:ascii="Arial" w:hAnsi="Arial" w:cs="Arial"/>
            <w:sz w:val="22"/>
            <w:szCs w:val="22"/>
          </w:rPr>
          <w:t>petitors/</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396CCCAF" w14:textId="6760DA5E"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Business News Today (2025). </w:t>
      </w:r>
      <w:r w:rsidRPr="00A9735C">
        <w:rPr>
          <w:rStyle w:val="Emphasis"/>
          <w:rFonts w:ascii="Arial" w:eastAsiaTheme="majorEastAsia" w:hAnsi="Arial" w:cs="Arial"/>
          <w:color w:val="0E101A"/>
          <w:sz w:val="22"/>
          <w:szCs w:val="22"/>
        </w:rPr>
        <w:t>The great consumer goods reset: Why Unilever, Procter&amp; Gamble, and Colgate are trimming portfolios</w:t>
      </w:r>
      <w:r w:rsidRPr="00A9735C">
        <w:rPr>
          <w:rFonts w:ascii="Arial" w:hAnsi="Arial" w:cs="Arial"/>
          <w:color w:val="0E101A"/>
          <w:sz w:val="22"/>
          <w:szCs w:val="22"/>
        </w:rPr>
        <w:t xml:space="preserve">. Available at: </w:t>
      </w:r>
      <w:hyperlink r:id="rId12" w:history="1">
        <w:r w:rsidRPr="009338C2">
          <w:rPr>
            <w:rStyle w:val="Hyperlink"/>
            <w:rFonts w:ascii="Arial" w:hAnsi="Arial" w:cs="Arial"/>
            <w:sz w:val="22"/>
            <w:szCs w:val="22"/>
          </w:rPr>
          <w:t>https://bu</w:t>
        </w:r>
        <w:r w:rsidRPr="009338C2">
          <w:rPr>
            <w:rStyle w:val="Hyperlink"/>
            <w:rFonts w:ascii="Arial" w:hAnsi="Arial" w:cs="Arial"/>
            <w:sz w:val="22"/>
            <w:szCs w:val="22"/>
          </w:rPr>
          <w:t>s</w:t>
        </w:r>
        <w:r w:rsidRPr="009338C2">
          <w:rPr>
            <w:rStyle w:val="Hyperlink"/>
            <w:rFonts w:ascii="Arial" w:hAnsi="Arial" w:cs="Arial"/>
            <w:sz w:val="22"/>
            <w:szCs w:val="22"/>
          </w:rPr>
          <w:t>iness-news-today.com/the-great-consumer-goods-reset-why-unilever-procter-gamble-and-colgate-are-trimming-portfolios-in-2025/</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1DF52DEB"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Cai, W. (2024). </w:t>
      </w:r>
      <w:r w:rsidRPr="00A9735C">
        <w:rPr>
          <w:rStyle w:val="Emphasis"/>
          <w:rFonts w:ascii="Arial" w:eastAsiaTheme="majorEastAsia" w:hAnsi="Arial" w:cs="Arial"/>
          <w:color w:val="0E101A"/>
          <w:sz w:val="22"/>
          <w:szCs w:val="22"/>
        </w:rPr>
        <w:t>Analysis of Procter&amp; Gamble Company's Business Strategy Based on the Harvard Analytical Framework.</w:t>
      </w:r>
      <w:r w:rsidRPr="00A9735C">
        <w:rPr>
          <w:rFonts w:ascii="Arial" w:hAnsi="Arial" w:cs="Arial"/>
          <w:color w:val="0E101A"/>
          <w:sz w:val="22"/>
          <w:szCs w:val="22"/>
        </w:rPr>
        <w:t>Highlights in Business, Economics and Management. 23. 94-100. 10.54097/pdy7w025.</w:t>
      </w:r>
    </w:p>
    <w:p w14:paraId="61EF49C4" w14:textId="474C4C76"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Chitra, A., Prathiba, D., Suguna, K., Sakthivel, B., Saravana Raghul, T. and Gokul Raj, P. (2025). </w:t>
      </w:r>
      <w:r w:rsidRPr="00A9735C">
        <w:rPr>
          <w:rStyle w:val="Emphasis"/>
          <w:rFonts w:ascii="Arial" w:eastAsiaTheme="majorEastAsia" w:hAnsi="Arial" w:cs="Arial"/>
          <w:color w:val="0E101A"/>
          <w:sz w:val="22"/>
          <w:szCs w:val="22"/>
        </w:rPr>
        <w:t>Evolution of</w:t>
      </w:r>
      <w:r w:rsidRPr="00A9735C">
        <w:rPr>
          <w:rStyle w:val="apple-converted-space"/>
          <w:rFonts w:ascii="Arial" w:eastAsiaTheme="majorEastAsia" w:hAnsi="Arial" w:cs="Arial"/>
          <w:i/>
          <w:iCs/>
          <w:color w:val="0E101A"/>
          <w:sz w:val="22"/>
          <w:szCs w:val="22"/>
        </w:rPr>
        <w:t> </w:t>
      </w:r>
      <w:r w:rsidRPr="00A9735C">
        <w:rPr>
          <w:rStyle w:val="Emphasis"/>
          <w:rFonts w:ascii="Arial" w:eastAsiaTheme="majorEastAsia" w:hAnsi="Arial" w:cs="Arial"/>
          <w:color w:val="0E101A"/>
          <w:sz w:val="22"/>
          <w:szCs w:val="22"/>
        </w:rPr>
        <w:t>FMCGSector: A Literature Review.</w:t>
      </w:r>
      <w:r w:rsidRPr="00A9735C">
        <w:rPr>
          <w:rStyle w:val="apple-converted-space"/>
          <w:rFonts w:ascii="Arial" w:eastAsiaTheme="majorEastAsia" w:hAnsi="Arial" w:cs="Arial"/>
          <w:color w:val="0E101A"/>
          <w:sz w:val="22"/>
          <w:szCs w:val="22"/>
        </w:rPr>
        <w:t> </w:t>
      </w:r>
      <w:r w:rsidRPr="00A9735C">
        <w:rPr>
          <w:rFonts w:ascii="Arial" w:hAnsi="Arial" w:cs="Arial"/>
          <w:color w:val="0E101A"/>
          <w:sz w:val="22"/>
          <w:szCs w:val="22"/>
        </w:rPr>
        <w:t xml:space="preserve">Asian Journal of Social Science and Management Technology, 7(3), pp. 45–60. Available at: </w:t>
      </w:r>
      <w:hyperlink r:id="rId13" w:history="1">
        <w:r w:rsidRPr="009338C2">
          <w:rPr>
            <w:rStyle w:val="Hyperlink"/>
            <w:rFonts w:ascii="Arial" w:hAnsi="Arial" w:cs="Arial"/>
            <w:sz w:val="22"/>
            <w:szCs w:val="22"/>
          </w:rPr>
          <w:t>https://www.ajssmt.com/Papers/73</w:t>
        </w:r>
        <w:r w:rsidRPr="009338C2">
          <w:rPr>
            <w:rStyle w:val="Hyperlink"/>
            <w:rFonts w:ascii="Arial" w:hAnsi="Arial" w:cs="Arial"/>
            <w:sz w:val="22"/>
            <w:szCs w:val="22"/>
          </w:rPr>
          <w:t>8</w:t>
        </w:r>
        <w:r w:rsidRPr="009338C2">
          <w:rPr>
            <w:rStyle w:val="Hyperlink"/>
            <w:rFonts w:ascii="Arial" w:hAnsi="Arial" w:cs="Arial"/>
            <w:sz w:val="22"/>
            <w:szCs w:val="22"/>
          </w:rPr>
          <w:t>494.pdf</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w:t>
      </w:r>
      <w:r>
        <w:rPr>
          <w:rFonts w:ascii="Arial" w:hAnsi="Arial" w:cs="Arial"/>
          <w:color w:val="0E101A"/>
          <w:sz w:val="22"/>
          <w:szCs w:val="22"/>
        </w:rPr>
        <w:t>4th</w:t>
      </w:r>
      <w:r w:rsidRPr="00A9735C">
        <w:rPr>
          <w:rFonts w:ascii="Arial" w:hAnsi="Arial" w:cs="Arial"/>
          <w:color w:val="0E101A"/>
          <w:sz w:val="22"/>
          <w:szCs w:val="22"/>
        </w:rPr>
        <w:t xml:space="preserve"> December 2025).</w:t>
      </w:r>
    </w:p>
    <w:p w14:paraId="33EDC34A" w14:textId="52B64855"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 xml:space="preserve">Council of the European Union (2025). </w:t>
      </w:r>
      <w:r w:rsidRPr="005D0F14">
        <w:rPr>
          <w:rFonts w:ascii="Arial" w:hAnsi="Arial" w:cs="Arial"/>
          <w:i/>
          <w:iCs/>
          <w:color w:val="0E101A"/>
          <w:sz w:val="22"/>
          <w:szCs w:val="22"/>
        </w:rPr>
        <w:t>Council and Parliament strike a deal to make detergents safer for the population and the environment</w:t>
      </w:r>
      <w:r w:rsidRPr="00A9735C">
        <w:rPr>
          <w:rFonts w:ascii="Arial" w:hAnsi="Arial" w:cs="Arial"/>
          <w:color w:val="0E101A"/>
          <w:sz w:val="22"/>
          <w:szCs w:val="22"/>
        </w:rPr>
        <w:t xml:space="preserve">. Press release, 10th June. Available at: </w:t>
      </w:r>
      <w:hyperlink r:id="rId14" w:history="1">
        <w:r w:rsidRPr="009338C2">
          <w:rPr>
            <w:rStyle w:val="Hyperlink"/>
            <w:rFonts w:ascii="Arial" w:hAnsi="Arial" w:cs="Arial"/>
            <w:sz w:val="22"/>
            <w:szCs w:val="22"/>
          </w:rPr>
          <w:t>https://www.consili</w:t>
        </w:r>
        <w:r w:rsidRPr="009338C2">
          <w:rPr>
            <w:rStyle w:val="Hyperlink"/>
            <w:rFonts w:ascii="Arial" w:hAnsi="Arial" w:cs="Arial"/>
            <w:sz w:val="22"/>
            <w:szCs w:val="22"/>
          </w:rPr>
          <w:t>u</w:t>
        </w:r>
        <w:r w:rsidRPr="009338C2">
          <w:rPr>
            <w:rStyle w:val="Hyperlink"/>
            <w:rFonts w:ascii="Arial" w:hAnsi="Arial" w:cs="Arial"/>
            <w:sz w:val="22"/>
            <w:szCs w:val="22"/>
          </w:rPr>
          <w:t>m.europa.eu/en/press/press-releases/2025/06/10/council-and-parliament-strike-a-deal-to-make-detergents-safer-for-the-population-and-the-environment/</w:t>
        </w:r>
      </w:hyperlink>
      <w:r>
        <w:rPr>
          <w:rFonts w:ascii="Arial" w:hAnsi="Arial" w:cs="Arial"/>
          <w:color w:val="0E101A"/>
          <w:sz w:val="22"/>
          <w:szCs w:val="22"/>
        </w:rPr>
        <w:t xml:space="preserve"> </w:t>
      </w:r>
      <w:r w:rsidRPr="00A9735C">
        <w:rPr>
          <w:rFonts w:ascii="Arial" w:hAnsi="Arial" w:cs="Arial"/>
          <w:color w:val="0E101A"/>
          <w:sz w:val="22"/>
          <w:szCs w:val="22"/>
        </w:rPr>
        <w:t>  (Accessed: 9th December 2025). </w:t>
      </w:r>
    </w:p>
    <w:p w14:paraId="4369B49E" w14:textId="08700654"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lastRenderedPageBreak/>
        <w:t>Dividend One (2025.  </w:t>
      </w:r>
      <w:r w:rsidRPr="00A9735C">
        <w:rPr>
          <w:rStyle w:val="Emphasis"/>
          <w:rFonts w:ascii="Arial" w:eastAsiaTheme="majorEastAsia" w:hAnsi="Arial" w:cs="Arial"/>
          <w:color w:val="0E101A"/>
          <w:sz w:val="22"/>
          <w:szCs w:val="22"/>
        </w:rPr>
        <w:t>Dividend King – Procter&amp; Gamble</w:t>
      </w:r>
      <w:r w:rsidRPr="00A9735C">
        <w:rPr>
          <w:rFonts w:ascii="Arial" w:hAnsi="Arial" w:cs="Arial"/>
          <w:color w:val="0E101A"/>
          <w:sz w:val="22"/>
          <w:szCs w:val="22"/>
        </w:rPr>
        <w:t>. Available at:  </w:t>
      </w:r>
      <w:hyperlink r:id="rId15" w:history="1">
        <w:r w:rsidRPr="009338C2">
          <w:rPr>
            <w:rStyle w:val="Hyperlink"/>
            <w:rFonts w:ascii="Arial" w:hAnsi="Arial" w:cs="Arial"/>
            <w:sz w:val="22"/>
            <w:szCs w:val="22"/>
          </w:rPr>
          <w:t>https://dividendone.com/dividend-king-procter-</w:t>
        </w:r>
        <w:r w:rsidRPr="009338C2">
          <w:rPr>
            <w:rStyle w:val="Hyperlink"/>
            <w:rFonts w:ascii="Arial" w:hAnsi="Arial" w:cs="Arial"/>
            <w:sz w:val="22"/>
            <w:szCs w:val="22"/>
          </w:rPr>
          <w:t>g</w:t>
        </w:r>
        <w:r w:rsidRPr="009338C2">
          <w:rPr>
            <w:rStyle w:val="Hyperlink"/>
            <w:rFonts w:ascii="Arial" w:hAnsi="Arial" w:cs="Arial"/>
            <w:sz w:val="22"/>
            <w:szCs w:val="22"/>
          </w:rPr>
          <w:t>amble/</w:t>
        </w:r>
      </w:hyperlink>
      <w:r>
        <w:rPr>
          <w:rFonts w:ascii="Arial" w:hAnsi="Arial" w:cs="Arial"/>
          <w:color w:val="0E101A"/>
          <w:sz w:val="22"/>
          <w:szCs w:val="22"/>
        </w:rPr>
        <w:t xml:space="preserve"> </w:t>
      </w:r>
      <w:r w:rsidRPr="00A9735C">
        <w:rPr>
          <w:rFonts w:ascii="Arial" w:hAnsi="Arial" w:cs="Arial"/>
          <w:color w:val="0E101A"/>
          <w:sz w:val="22"/>
          <w:szCs w:val="22"/>
        </w:rPr>
        <w:t>  (Accessed: 9th December 2025).</w:t>
      </w:r>
    </w:p>
    <w:p w14:paraId="4942D6DB"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Dobbs, M.E. (2014). </w:t>
      </w:r>
      <w:r w:rsidRPr="00A9735C">
        <w:rPr>
          <w:rStyle w:val="Emphasis"/>
          <w:rFonts w:ascii="Arial" w:eastAsiaTheme="majorEastAsia" w:hAnsi="Arial" w:cs="Arial"/>
          <w:color w:val="0E101A"/>
          <w:sz w:val="22"/>
          <w:szCs w:val="22"/>
        </w:rPr>
        <w:t>Guidelines for applying Porter’s Five Forces framework: a set of industry analysis templates</w:t>
      </w:r>
      <w:r w:rsidRPr="00A9735C">
        <w:rPr>
          <w:rFonts w:ascii="Arial" w:hAnsi="Arial" w:cs="Arial"/>
          <w:color w:val="0E101A"/>
          <w:sz w:val="22"/>
          <w:szCs w:val="22"/>
        </w:rPr>
        <w:t>. Competitiveness Review, 24(1), pp. 32–45. Emerald Group Publishing.</w:t>
      </w:r>
    </w:p>
    <w:p w14:paraId="24397803" w14:textId="33DE893A"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Dow (2023). </w:t>
      </w:r>
      <w:r w:rsidRPr="00A9735C">
        <w:rPr>
          <w:rStyle w:val="Emphasis"/>
          <w:rFonts w:ascii="Arial" w:eastAsiaTheme="majorEastAsia" w:hAnsi="Arial" w:cs="Arial"/>
          <w:color w:val="0E101A"/>
          <w:sz w:val="22"/>
          <w:szCs w:val="22"/>
        </w:rPr>
        <w:t>Recyclability of Air Capsule e-commerce packaging</w:t>
      </w:r>
      <w:r w:rsidRPr="00A9735C">
        <w:rPr>
          <w:rFonts w:ascii="Arial" w:hAnsi="Arial" w:cs="Arial"/>
          <w:color w:val="0E101A"/>
          <w:sz w:val="22"/>
          <w:szCs w:val="22"/>
        </w:rPr>
        <w:t xml:space="preserve">. Available at: </w:t>
      </w:r>
      <w:hyperlink r:id="rId16" w:history="1">
        <w:r w:rsidRPr="009338C2">
          <w:rPr>
            <w:rStyle w:val="Hyperlink"/>
            <w:rFonts w:ascii="Arial" w:hAnsi="Arial" w:cs="Arial"/>
            <w:sz w:val="22"/>
            <w:szCs w:val="22"/>
          </w:rPr>
          <w:t>https://corporate.dow.com/en-us/news/press-releases/rec</w:t>
        </w:r>
        <w:r w:rsidRPr="009338C2">
          <w:rPr>
            <w:rStyle w:val="Hyperlink"/>
            <w:rFonts w:ascii="Arial" w:hAnsi="Arial" w:cs="Arial"/>
            <w:sz w:val="22"/>
            <w:szCs w:val="22"/>
          </w:rPr>
          <w:t>y</w:t>
        </w:r>
        <w:r w:rsidRPr="009338C2">
          <w:rPr>
            <w:rStyle w:val="Hyperlink"/>
            <w:rFonts w:ascii="Arial" w:hAnsi="Arial" w:cs="Arial"/>
            <w:sz w:val="22"/>
            <w:szCs w:val="22"/>
          </w:rPr>
          <w:t>clability-of-air-capsule-e-commerce-packaging.html</w:t>
        </w:r>
      </w:hyperlink>
      <w:r>
        <w:rPr>
          <w:rFonts w:ascii="Arial" w:hAnsi="Arial" w:cs="Arial"/>
          <w:color w:val="0E101A"/>
          <w:sz w:val="22"/>
          <w:szCs w:val="22"/>
        </w:rPr>
        <w:t xml:space="preserve"> </w:t>
      </w:r>
      <w:r w:rsidRPr="00A9735C">
        <w:rPr>
          <w:rFonts w:ascii="Arial" w:hAnsi="Arial" w:cs="Arial"/>
          <w:color w:val="0E101A"/>
          <w:sz w:val="22"/>
          <w:szCs w:val="22"/>
        </w:rPr>
        <w:t>  (Accessed: 9th December 2025).</w:t>
      </w:r>
    </w:p>
    <w:p w14:paraId="4BBDC682" w14:textId="773596F9"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Emergen Research (2025). </w:t>
      </w:r>
      <w:r w:rsidRPr="00A9735C">
        <w:rPr>
          <w:rStyle w:val="Emphasis"/>
          <w:rFonts w:ascii="Arial" w:eastAsiaTheme="majorEastAsia" w:hAnsi="Arial" w:cs="Arial"/>
          <w:color w:val="0E101A"/>
          <w:sz w:val="22"/>
          <w:szCs w:val="22"/>
        </w:rPr>
        <w:t>Beauty and Personal Care Market</w:t>
      </w:r>
      <w:r w:rsidRPr="00A9735C">
        <w:rPr>
          <w:rFonts w:ascii="Arial" w:hAnsi="Arial" w:cs="Arial"/>
          <w:color w:val="0E101A"/>
          <w:sz w:val="22"/>
          <w:szCs w:val="22"/>
        </w:rPr>
        <w:t xml:space="preserve">. Available at: </w:t>
      </w:r>
      <w:hyperlink r:id="rId17" w:history="1">
        <w:r w:rsidRPr="009338C2">
          <w:rPr>
            <w:rStyle w:val="Hyperlink"/>
            <w:rFonts w:ascii="Arial" w:hAnsi="Arial" w:cs="Arial"/>
            <w:sz w:val="22"/>
            <w:szCs w:val="22"/>
          </w:rPr>
          <w:t>https://www.emergenresearch.com/industry-report/beauty-a</w:t>
        </w:r>
        <w:r w:rsidRPr="009338C2">
          <w:rPr>
            <w:rStyle w:val="Hyperlink"/>
            <w:rFonts w:ascii="Arial" w:hAnsi="Arial" w:cs="Arial"/>
            <w:sz w:val="22"/>
            <w:szCs w:val="22"/>
          </w:rPr>
          <w:t>n</w:t>
        </w:r>
        <w:r w:rsidRPr="009338C2">
          <w:rPr>
            <w:rStyle w:val="Hyperlink"/>
            <w:rFonts w:ascii="Arial" w:hAnsi="Arial" w:cs="Arial"/>
            <w:sz w:val="22"/>
            <w:szCs w:val="22"/>
          </w:rPr>
          <w:t>d-personal-care-market</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8th December 2025).</w:t>
      </w:r>
    </w:p>
    <w:p w14:paraId="4A7544A4" w14:textId="48270E08"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Encyclopaedia Britannica (2025). </w:t>
      </w:r>
      <w:r w:rsidRPr="00A9735C">
        <w:rPr>
          <w:rStyle w:val="Emphasis"/>
          <w:rFonts w:ascii="Arial" w:eastAsiaTheme="majorEastAsia" w:hAnsi="Arial" w:cs="Arial"/>
          <w:color w:val="0E101A"/>
          <w:sz w:val="22"/>
          <w:szCs w:val="22"/>
        </w:rPr>
        <w:t>Procter&amp; Gamble Company</w:t>
      </w:r>
      <w:r w:rsidRPr="00A9735C">
        <w:rPr>
          <w:rFonts w:ascii="Arial" w:hAnsi="Arial" w:cs="Arial"/>
          <w:color w:val="0E101A"/>
          <w:sz w:val="22"/>
          <w:szCs w:val="22"/>
        </w:rPr>
        <w:t xml:space="preserve">. Available at: </w:t>
      </w:r>
      <w:hyperlink r:id="rId18" w:history="1">
        <w:r w:rsidRPr="009338C2">
          <w:rPr>
            <w:rStyle w:val="Hyperlink"/>
            <w:rFonts w:ascii="Arial" w:hAnsi="Arial" w:cs="Arial"/>
            <w:sz w:val="22"/>
            <w:szCs w:val="22"/>
          </w:rPr>
          <w:t>https://www.britannic</w:t>
        </w:r>
        <w:r w:rsidRPr="009338C2">
          <w:rPr>
            <w:rStyle w:val="Hyperlink"/>
            <w:rFonts w:ascii="Arial" w:hAnsi="Arial" w:cs="Arial"/>
            <w:sz w:val="22"/>
            <w:szCs w:val="22"/>
          </w:rPr>
          <w:t>a</w:t>
        </w:r>
        <w:r w:rsidRPr="009338C2">
          <w:rPr>
            <w:rStyle w:val="Hyperlink"/>
            <w:rFonts w:ascii="Arial" w:hAnsi="Arial" w:cs="Arial"/>
            <w:sz w:val="22"/>
            <w:szCs w:val="22"/>
          </w:rPr>
          <w:t>.com/money/Procter-and-Gamble-Company</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2nd December 2025).</w:t>
      </w:r>
    </w:p>
    <w:p w14:paraId="0FD71223" w14:textId="2A88F60F"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European Union (2025). </w:t>
      </w:r>
      <w:r w:rsidRPr="00A9735C">
        <w:rPr>
          <w:rStyle w:val="Emphasis"/>
          <w:rFonts w:ascii="Arial" w:eastAsiaTheme="majorEastAsia" w:hAnsi="Arial" w:cs="Arial"/>
          <w:color w:val="0E101A"/>
          <w:sz w:val="22"/>
          <w:szCs w:val="22"/>
        </w:rPr>
        <w:t>Packaging and Packaging Waste Regulation.</w:t>
      </w:r>
      <w:r w:rsidRPr="00A9735C">
        <w:rPr>
          <w:rStyle w:val="apple-converted-space"/>
          <w:rFonts w:ascii="Arial" w:eastAsiaTheme="majorEastAsia" w:hAnsi="Arial" w:cs="Arial"/>
          <w:color w:val="0E101A"/>
          <w:sz w:val="22"/>
          <w:szCs w:val="22"/>
        </w:rPr>
        <w:t> </w:t>
      </w:r>
      <w:r w:rsidRPr="00A9735C">
        <w:rPr>
          <w:rFonts w:ascii="Arial" w:hAnsi="Arial" w:cs="Arial"/>
          <w:color w:val="0E101A"/>
          <w:sz w:val="22"/>
          <w:szCs w:val="22"/>
        </w:rPr>
        <w:t xml:space="preserve">Available at: </w:t>
      </w:r>
      <w:hyperlink r:id="rId19" w:history="1">
        <w:r w:rsidRPr="009338C2">
          <w:rPr>
            <w:rStyle w:val="Hyperlink"/>
            <w:rFonts w:ascii="Arial" w:hAnsi="Arial" w:cs="Arial"/>
            <w:sz w:val="22"/>
            <w:szCs w:val="22"/>
          </w:rPr>
          <w:t>https://environment.ec.europa.e</w:t>
        </w:r>
        <w:r w:rsidRPr="009338C2">
          <w:rPr>
            <w:rStyle w:val="Hyperlink"/>
            <w:rFonts w:ascii="Arial" w:hAnsi="Arial" w:cs="Arial"/>
            <w:sz w:val="22"/>
            <w:szCs w:val="22"/>
          </w:rPr>
          <w:t>u</w:t>
        </w:r>
        <w:r w:rsidRPr="009338C2">
          <w:rPr>
            <w:rStyle w:val="Hyperlink"/>
            <w:rFonts w:ascii="Arial" w:hAnsi="Arial" w:cs="Arial"/>
            <w:sz w:val="22"/>
            <w:szCs w:val="22"/>
          </w:rPr>
          <w:t>/topics/waste-and-recycling/packaging-waste_en</w:t>
        </w:r>
      </w:hyperlink>
      <w:r>
        <w:rPr>
          <w:rFonts w:ascii="Arial" w:hAnsi="Arial" w:cs="Arial"/>
          <w:color w:val="0E101A"/>
          <w:sz w:val="22"/>
          <w:szCs w:val="22"/>
        </w:rPr>
        <w:t xml:space="preserve"> </w:t>
      </w:r>
      <w:r w:rsidRPr="00A9735C">
        <w:rPr>
          <w:rFonts w:ascii="Arial" w:hAnsi="Arial" w:cs="Arial"/>
          <w:color w:val="0E101A"/>
          <w:sz w:val="22"/>
          <w:szCs w:val="22"/>
        </w:rPr>
        <w:t>  (Accessed: 4th December 2025).</w:t>
      </w:r>
    </w:p>
    <w:p w14:paraId="48DF71ED" w14:textId="67297725"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EY (2022). </w:t>
      </w:r>
      <w:r w:rsidRPr="00A9735C">
        <w:rPr>
          <w:rStyle w:val="Emphasis"/>
          <w:rFonts w:ascii="Arial" w:eastAsiaTheme="majorEastAsia" w:hAnsi="Arial" w:cs="Arial"/>
          <w:color w:val="0E101A"/>
          <w:sz w:val="22"/>
          <w:szCs w:val="22"/>
        </w:rPr>
        <w:t>How P&amp;G's supply chain excellence positioned it to prosper in disruption</w:t>
      </w:r>
      <w:r w:rsidRPr="00A9735C">
        <w:rPr>
          <w:rFonts w:ascii="Arial" w:hAnsi="Arial" w:cs="Arial"/>
          <w:color w:val="0E101A"/>
          <w:sz w:val="22"/>
          <w:szCs w:val="22"/>
        </w:rPr>
        <w:t xml:space="preserve">. Available at: </w:t>
      </w:r>
      <w:hyperlink r:id="rId20" w:history="1">
        <w:r w:rsidRPr="009338C2">
          <w:rPr>
            <w:rStyle w:val="Hyperlink"/>
            <w:rFonts w:ascii="Arial" w:hAnsi="Arial" w:cs="Arial"/>
            <w:sz w:val="22"/>
            <w:szCs w:val="22"/>
          </w:rPr>
          <w:t>https://w</w:t>
        </w:r>
        <w:r w:rsidRPr="009338C2">
          <w:rPr>
            <w:rStyle w:val="Hyperlink"/>
            <w:rFonts w:ascii="Arial" w:hAnsi="Arial" w:cs="Arial"/>
            <w:sz w:val="22"/>
            <w:szCs w:val="22"/>
          </w:rPr>
          <w:t>w</w:t>
        </w:r>
        <w:r w:rsidRPr="009338C2">
          <w:rPr>
            <w:rStyle w:val="Hyperlink"/>
            <w:rFonts w:ascii="Arial" w:hAnsi="Arial" w:cs="Arial"/>
            <w:sz w:val="22"/>
            <w:szCs w:val="22"/>
          </w:rPr>
          <w:t>w.ey.com/content/dam/ey-unified-site/ey-com/en-gl/alliances/documents/ey-pg-supply-chain-excellence-000421-22gbl.pdf</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3F226731" w14:textId="4EC6B218"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Forbes (2021). </w:t>
      </w:r>
      <w:r w:rsidRPr="00A9735C">
        <w:rPr>
          <w:rStyle w:val="Emphasis"/>
          <w:rFonts w:ascii="Arial" w:eastAsiaTheme="majorEastAsia" w:hAnsi="Arial" w:cs="Arial"/>
          <w:color w:val="0E101A"/>
          <w:sz w:val="22"/>
          <w:szCs w:val="22"/>
        </w:rPr>
        <w:t>Procter&amp; Gamble tech spending boosts supply chain resilience</w:t>
      </w:r>
      <w:r w:rsidRPr="00A9735C">
        <w:rPr>
          <w:rFonts w:ascii="Arial" w:hAnsi="Arial" w:cs="Arial"/>
          <w:color w:val="0E101A"/>
          <w:sz w:val="22"/>
          <w:szCs w:val="22"/>
        </w:rPr>
        <w:t xml:space="preserve">. Available at: </w:t>
      </w:r>
      <w:hyperlink r:id="rId21" w:history="1">
        <w:r w:rsidRPr="009338C2">
          <w:rPr>
            <w:rStyle w:val="Hyperlink"/>
            <w:rFonts w:ascii="Arial" w:hAnsi="Arial" w:cs="Arial"/>
            <w:sz w:val="22"/>
            <w:szCs w:val="22"/>
          </w:rPr>
          <w:t>https://www.forbes.com/sites/noahbarsky/</w:t>
        </w:r>
        <w:r w:rsidRPr="009338C2">
          <w:rPr>
            <w:rStyle w:val="Hyperlink"/>
            <w:rFonts w:ascii="Arial" w:hAnsi="Arial" w:cs="Arial"/>
            <w:sz w:val="22"/>
            <w:szCs w:val="22"/>
          </w:rPr>
          <w:t>2</w:t>
        </w:r>
        <w:r w:rsidRPr="009338C2">
          <w:rPr>
            <w:rStyle w:val="Hyperlink"/>
            <w:rFonts w:ascii="Arial" w:hAnsi="Arial" w:cs="Arial"/>
            <w:sz w:val="22"/>
            <w:szCs w:val="22"/>
          </w:rPr>
          <w:t>021/10/26/procter-gamble-tech-spending-boosts-supply-chain-resilience</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3rd December 2025).</w:t>
      </w:r>
    </w:p>
    <w:p w14:paraId="25DD9154" w14:textId="5F8348FC"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Free PESTEL Analysis (2023). </w:t>
      </w:r>
      <w:r w:rsidRPr="00A9735C">
        <w:rPr>
          <w:rStyle w:val="Emphasis"/>
          <w:rFonts w:ascii="Arial" w:eastAsiaTheme="majorEastAsia" w:hAnsi="Arial" w:cs="Arial"/>
          <w:color w:val="0E101A"/>
          <w:sz w:val="22"/>
          <w:szCs w:val="22"/>
        </w:rPr>
        <w:t>PESTLE analysis of the FMCG industry</w:t>
      </w:r>
      <w:r w:rsidRPr="00A9735C">
        <w:rPr>
          <w:rFonts w:ascii="Arial" w:hAnsi="Arial" w:cs="Arial"/>
          <w:color w:val="0E101A"/>
          <w:sz w:val="22"/>
          <w:szCs w:val="22"/>
        </w:rPr>
        <w:t xml:space="preserve">. Available at: </w:t>
      </w:r>
      <w:hyperlink r:id="rId22" w:history="1">
        <w:r w:rsidRPr="009338C2">
          <w:rPr>
            <w:rStyle w:val="Hyperlink"/>
            <w:rFonts w:ascii="Arial" w:hAnsi="Arial" w:cs="Arial"/>
            <w:sz w:val="22"/>
            <w:szCs w:val="22"/>
          </w:rPr>
          <w:t>https://freepestelanalysis.com/pest</w:t>
        </w:r>
        <w:r w:rsidRPr="009338C2">
          <w:rPr>
            <w:rStyle w:val="Hyperlink"/>
            <w:rFonts w:ascii="Arial" w:hAnsi="Arial" w:cs="Arial"/>
            <w:sz w:val="22"/>
            <w:szCs w:val="22"/>
          </w:rPr>
          <w:t>l</w:t>
        </w:r>
        <w:r w:rsidRPr="009338C2">
          <w:rPr>
            <w:rStyle w:val="Hyperlink"/>
            <w:rFonts w:ascii="Arial" w:hAnsi="Arial" w:cs="Arial"/>
            <w:sz w:val="22"/>
            <w:szCs w:val="22"/>
          </w:rPr>
          <w:t>e-analysis-of-fmcg-industry/</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401D04C7"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Govindarajan, V. and Trimble, C. (2012). </w:t>
      </w:r>
      <w:r w:rsidRPr="00A9735C">
        <w:rPr>
          <w:rStyle w:val="Emphasis"/>
          <w:rFonts w:ascii="Arial" w:eastAsiaTheme="majorEastAsia" w:hAnsi="Arial" w:cs="Arial"/>
          <w:color w:val="0E101A"/>
          <w:sz w:val="22"/>
          <w:szCs w:val="22"/>
        </w:rPr>
        <w:t>Reverse Innovation: Create Far from Home, Win Everywhere</w:t>
      </w:r>
      <w:r w:rsidRPr="00A9735C">
        <w:rPr>
          <w:rFonts w:ascii="Arial" w:hAnsi="Arial" w:cs="Arial"/>
          <w:color w:val="0E101A"/>
          <w:sz w:val="22"/>
          <w:szCs w:val="22"/>
        </w:rPr>
        <w:t>. Boston: Harvard Business Review Press.</w:t>
      </w:r>
    </w:p>
    <w:p w14:paraId="344D2826" w14:textId="6DD8A7FE"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Grand View Research (2023). </w:t>
      </w:r>
      <w:r w:rsidRPr="00A9735C">
        <w:rPr>
          <w:rStyle w:val="Emphasis"/>
          <w:rFonts w:ascii="Arial" w:eastAsiaTheme="majorEastAsia" w:hAnsi="Arial" w:cs="Arial"/>
          <w:color w:val="0E101A"/>
          <w:sz w:val="22"/>
          <w:szCs w:val="22"/>
        </w:rPr>
        <w:t>Cleaning&amp; Hygiene Products Market Size Report, 2023</w:t>
      </w:r>
      <w:r w:rsidRPr="00A9735C">
        <w:rPr>
          <w:rFonts w:ascii="Arial" w:hAnsi="Arial" w:cs="Arial"/>
          <w:color w:val="0E101A"/>
          <w:sz w:val="22"/>
          <w:szCs w:val="22"/>
        </w:rPr>
        <w:t xml:space="preserve">. Available at: </w:t>
      </w:r>
      <w:hyperlink r:id="rId23" w:history="1">
        <w:r w:rsidRPr="009338C2">
          <w:rPr>
            <w:rStyle w:val="Hyperlink"/>
            <w:rFonts w:ascii="Arial" w:hAnsi="Arial" w:cs="Arial"/>
            <w:sz w:val="22"/>
            <w:szCs w:val="22"/>
          </w:rPr>
          <w:t>https://www.grandviewrese</w:t>
        </w:r>
        <w:r w:rsidRPr="009338C2">
          <w:rPr>
            <w:rStyle w:val="Hyperlink"/>
            <w:rFonts w:ascii="Arial" w:hAnsi="Arial" w:cs="Arial"/>
            <w:sz w:val="22"/>
            <w:szCs w:val="22"/>
          </w:rPr>
          <w:t>a</w:t>
        </w:r>
        <w:r w:rsidRPr="009338C2">
          <w:rPr>
            <w:rStyle w:val="Hyperlink"/>
            <w:rFonts w:ascii="Arial" w:hAnsi="Arial" w:cs="Arial"/>
            <w:sz w:val="22"/>
            <w:szCs w:val="22"/>
          </w:rPr>
          <w:t>rch.com/industry-analysis/cleaning-hygiene-products-market-report</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0F0A1C30"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lastRenderedPageBreak/>
        <w:t>Grant, R.M. (2019). </w:t>
      </w:r>
      <w:r w:rsidRPr="00A9735C">
        <w:rPr>
          <w:rStyle w:val="Emphasis"/>
          <w:rFonts w:ascii="Arial" w:eastAsiaTheme="majorEastAsia" w:hAnsi="Arial" w:cs="Arial"/>
          <w:color w:val="0E101A"/>
          <w:sz w:val="22"/>
          <w:szCs w:val="22"/>
        </w:rPr>
        <w:t>Contemporary Strategy Analysis. </w:t>
      </w:r>
      <w:r w:rsidRPr="00A9735C">
        <w:rPr>
          <w:rFonts w:ascii="Arial" w:hAnsi="Arial" w:cs="Arial"/>
          <w:color w:val="0E101A"/>
          <w:sz w:val="22"/>
          <w:szCs w:val="22"/>
        </w:rPr>
        <w:t> 10th ed. Chichester: Wiley.</w:t>
      </w:r>
    </w:p>
    <w:p w14:paraId="11E823E0" w14:textId="4925203D"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Harvard Business Review (2013). </w:t>
      </w:r>
      <w:r w:rsidRPr="00A9735C">
        <w:rPr>
          <w:rStyle w:val="Emphasis"/>
          <w:rFonts w:ascii="Arial" w:eastAsiaTheme="majorEastAsia" w:hAnsi="Arial" w:cs="Arial"/>
          <w:color w:val="0E101A"/>
          <w:sz w:val="22"/>
          <w:szCs w:val="22"/>
        </w:rPr>
        <w:t>Innovation at Procter&amp; Gamble</w:t>
      </w:r>
      <w:r w:rsidRPr="00A9735C">
        <w:rPr>
          <w:rFonts w:ascii="Arial" w:hAnsi="Arial" w:cs="Arial"/>
          <w:color w:val="0E101A"/>
          <w:sz w:val="22"/>
          <w:szCs w:val="22"/>
        </w:rPr>
        <w:t xml:space="preserve">. Available at: </w:t>
      </w:r>
      <w:hyperlink r:id="rId24" w:history="1">
        <w:r w:rsidRPr="009338C2">
          <w:rPr>
            <w:rStyle w:val="Hyperlink"/>
            <w:rFonts w:ascii="Arial" w:hAnsi="Arial" w:cs="Arial"/>
            <w:sz w:val="22"/>
            <w:szCs w:val="22"/>
          </w:rPr>
          <w:t>https://hbr.org/video/2226595885001/innovatio</w:t>
        </w:r>
        <w:r w:rsidRPr="009338C2">
          <w:rPr>
            <w:rStyle w:val="Hyperlink"/>
            <w:rFonts w:ascii="Arial" w:hAnsi="Arial" w:cs="Arial"/>
            <w:sz w:val="22"/>
            <w:szCs w:val="22"/>
          </w:rPr>
          <w:t>n</w:t>
        </w:r>
        <w:r w:rsidRPr="009338C2">
          <w:rPr>
            <w:rStyle w:val="Hyperlink"/>
            <w:rFonts w:ascii="Arial" w:hAnsi="Arial" w:cs="Arial"/>
            <w:sz w:val="22"/>
            <w:szCs w:val="22"/>
          </w:rPr>
          <w:t>-at-procter--gamble</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11B4F1F7" w14:textId="125CA7C9"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Hivelr Business Review (2024). </w:t>
      </w:r>
      <w:r w:rsidRPr="00A9735C">
        <w:rPr>
          <w:rStyle w:val="Emphasis"/>
          <w:rFonts w:ascii="Arial" w:eastAsiaTheme="majorEastAsia" w:hAnsi="Arial" w:cs="Arial"/>
          <w:color w:val="0E101A"/>
          <w:sz w:val="22"/>
          <w:szCs w:val="22"/>
        </w:rPr>
        <w:t>Procter&amp; Gamble (PG): PESTEL and macro-environmental analysis</w:t>
      </w:r>
      <w:r w:rsidRPr="00A9735C">
        <w:rPr>
          <w:rFonts w:ascii="Arial" w:hAnsi="Arial" w:cs="Arial"/>
          <w:color w:val="0E101A"/>
          <w:sz w:val="22"/>
          <w:szCs w:val="22"/>
        </w:rPr>
        <w:t xml:space="preserve">. Available at: </w:t>
      </w:r>
      <w:hyperlink r:id="rId25" w:history="1">
        <w:r w:rsidRPr="009338C2">
          <w:rPr>
            <w:rStyle w:val="Hyperlink"/>
            <w:rFonts w:ascii="Arial" w:hAnsi="Arial" w:cs="Arial"/>
            <w:sz w:val="22"/>
            <w:szCs w:val="22"/>
          </w:rPr>
          <w:t>https://www.hivelr.com</w:t>
        </w:r>
        <w:r w:rsidRPr="009338C2">
          <w:rPr>
            <w:rStyle w:val="Hyperlink"/>
            <w:rFonts w:ascii="Arial" w:hAnsi="Arial" w:cs="Arial"/>
            <w:sz w:val="22"/>
            <w:szCs w:val="22"/>
          </w:rPr>
          <w:t>/</w:t>
        </w:r>
        <w:r w:rsidRPr="009338C2">
          <w:rPr>
            <w:rStyle w:val="Hyperlink"/>
            <w:rFonts w:ascii="Arial" w:hAnsi="Arial" w:cs="Arial"/>
            <w:sz w:val="22"/>
            <w:szCs w:val="22"/>
          </w:rPr>
          <w:t>2024/07/procter-gamble-pg-pestel-and-macro-environmental-analysis/</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2nd December 2025).</w:t>
      </w:r>
    </w:p>
    <w:p w14:paraId="65B33CF0"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Johnson, G., Scholes, K. and Whittington, R. (2017). </w:t>
      </w:r>
      <w:r w:rsidRPr="00A9735C">
        <w:rPr>
          <w:rStyle w:val="Emphasis"/>
          <w:rFonts w:ascii="Arial" w:eastAsiaTheme="majorEastAsia" w:hAnsi="Arial" w:cs="Arial"/>
          <w:color w:val="0E101A"/>
          <w:sz w:val="22"/>
          <w:szCs w:val="22"/>
        </w:rPr>
        <w:t>Exploring corporate strategy</w:t>
      </w:r>
      <w:r w:rsidRPr="00A9735C">
        <w:rPr>
          <w:rFonts w:ascii="Arial" w:hAnsi="Arial" w:cs="Arial"/>
          <w:color w:val="0E101A"/>
          <w:sz w:val="22"/>
          <w:szCs w:val="22"/>
        </w:rPr>
        <w:t>. 10th ed. Harlow: Pearson Education.</w:t>
      </w:r>
    </w:p>
    <w:p w14:paraId="2835A379"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Kotler, P. and Keller, K.L. (2016). </w:t>
      </w:r>
      <w:r w:rsidRPr="00A9735C">
        <w:rPr>
          <w:rStyle w:val="Emphasis"/>
          <w:rFonts w:ascii="Arial" w:eastAsiaTheme="majorEastAsia" w:hAnsi="Arial" w:cs="Arial"/>
          <w:color w:val="0E101A"/>
          <w:sz w:val="22"/>
          <w:szCs w:val="22"/>
        </w:rPr>
        <w:t>Marketing Management</w:t>
      </w:r>
      <w:r w:rsidRPr="00A9735C">
        <w:rPr>
          <w:rFonts w:ascii="Arial" w:hAnsi="Arial" w:cs="Arial"/>
          <w:color w:val="0E101A"/>
          <w:sz w:val="22"/>
          <w:szCs w:val="22"/>
        </w:rPr>
        <w:t>. 15th ed. Harlow: Pearson.</w:t>
      </w:r>
    </w:p>
    <w:p w14:paraId="53BB94F7"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Lamey, L., Deleersnyder, B., Dekimpe, M.G. and Steenkamp, J.-B.E.M. (2007). </w:t>
      </w:r>
      <w:r w:rsidRPr="00A9735C">
        <w:rPr>
          <w:rStyle w:val="Emphasis"/>
          <w:rFonts w:ascii="Arial" w:eastAsiaTheme="majorEastAsia" w:hAnsi="Arial" w:cs="Arial"/>
          <w:color w:val="0E101A"/>
          <w:sz w:val="22"/>
          <w:szCs w:val="22"/>
        </w:rPr>
        <w:t>How business cycles contribute to private-label success: evidence from the United States and Europe.</w:t>
      </w:r>
      <w:r w:rsidRPr="00A9735C">
        <w:rPr>
          <w:rStyle w:val="apple-converted-space"/>
          <w:rFonts w:ascii="Arial" w:eastAsiaTheme="majorEastAsia" w:hAnsi="Arial" w:cs="Arial"/>
          <w:color w:val="0E101A"/>
          <w:sz w:val="22"/>
          <w:szCs w:val="22"/>
        </w:rPr>
        <w:t> </w:t>
      </w:r>
      <w:r w:rsidRPr="00A9735C">
        <w:rPr>
          <w:rFonts w:ascii="Arial" w:hAnsi="Arial" w:cs="Arial"/>
          <w:color w:val="0E101A"/>
          <w:sz w:val="22"/>
          <w:szCs w:val="22"/>
        </w:rPr>
        <w:t>International Journal of Research in Marketing, 24(3), pp. 151–160. Available at:    https://journals.sagepub.com/doi/10.1509/jmkg.71.1.001  </w:t>
      </w:r>
    </w:p>
    <w:p w14:paraId="5E4EB62C" w14:textId="167FA034"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 xml:space="preserve">Latterly.org (2024) Procter&amp; Gamble SWOT Analysis: Iconic Household Brands Strengths, Weaknesses and Outlook. Available at: </w:t>
      </w:r>
      <w:hyperlink r:id="rId26" w:history="1">
        <w:r w:rsidRPr="009338C2">
          <w:rPr>
            <w:rStyle w:val="Hyperlink"/>
            <w:rFonts w:ascii="Arial" w:hAnsi="Arial" w:cs="Arial"/>
            <w:sz w:val="22"/>
            <w:szCs w:val="22"/>
          </w:rPr>
          <w:t>https://www.latterly</w:t>
        </w:r>
        <w:r w:rsidRPr="009338C2">
          <w:rPr>
            <w:rStyle w:val="Hyperlink"/>
            <w:rFonts w:ascii="Arial" w:hAnsi="Arial" w:cs="Arial"/>
            <w:sz w:val="22"/>
            <w:szCs w:val="22"/>
          </w:rPr>
          <w:t>.</w:t>
        </w:r>
        <w:r w:rsidRPr="009338C2">
          <w:rPr>
            <w:rStyle w:val="Hyperlink"/>
            <w:rFonts w:ascii="Arial" w:hAnsi="Arial" w:cs="Arial"/>
            <w:sz w:val="22"/>
            <w:szCs w:val="22"/>
          </w:rPr>
          <w:t>org/procter-gamble-pg-swot-analysis/</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2nd December 2025).</w:t>
      </w:r>
    </w:p>
    <w:p w14:paraId="0CAFAC26" w14:textId="5379F6AF"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Malankar, J. (2015). </w:t>
      </w:r>
      <w:r w:rsidRPr="00A9735C">
        <w:rPr>
          <w:rStyle w:val="Emphasis"/>
          <w:rFonts w:ascii="Arial" w:eastAsiaTheme="majorEastAsia" w:hAnsi="Arial" w:cs="Arial"/>
          <w:color w:val="0E101A"/>
          <w:sz w:val="22"/>
          <w:szCs w:val="22"/>
        </w:rPr>
        <w:t>P&amp;G leads consumer goods giants in race to figure out digital.</w:t>
      </w:r>
      <w:r w:rsidRPr="00A9735C">
        <w:rPr>
          <w:rStyle w:val="apple-converted-space"/>
          <w:rFonts w:ascii="Arial" w:eastAsiaTheme="majorEastAsia" w:hAnsi="Arial" w:cs="Arial"/>
          <w:color w:val="0E101A"/>
          <w:sz w:val="22"/>
          <w:szCs w:val="22"/>
        </w:rPr>
        <w:t> </w:t>
      </w:r>
      <w:r w:rsidRPr="00A9735C">
        <w:rPr>
          <w:rFonts w:ascii="Arial" w:hAnsi="Arial" w:cs="Arial"/>
          <w:color w:val="0E101A"/>
          <w:sz w:val="22"/>
          <w:szCs w:val="22"/>
        </w:rPr>
        <w:t xml:space="preserve">Harvard Digital Innovation and Transformation Platform. Available at: </w:t>
      </w:r>
      <w:hyperlink r:id="rId27" w:history="1">
        <w:r w:rsidRPr="009338C2">
          <w:rPr>
            <w:rStyle w:val="Hyperlink"/>
            <w:rFonts w:ascii="Arial" w:hAnsi="Arial" w:cs="Arial"/>
            <w:sz w:val="22"/>
            <w:szCs w:val="22"/>
          </w:rPr>
          <w:t>https://d3.harvard.edu/pla</w:t>
        </w:r>
        <w:r w:rsidRPr="009338C2">
          <w:rPr>
            <w:rStyle w:val="Hyperlink"/>
            <w:rFonts w:ascii="Arial" w:hAnsi="Arial" w:cs="Arial"/>
            <w:sz w:val="22"/>
            <w:szCs w:val="22"/>
          </w:rPr>
          <w:t>t</w:t>
        </w:r>
        <w:r w:rsidRPr="009338C2">
          <w:rPr>
            <w:rStyle w:val="Hyperlink"/>
            <w:rFonts w:ascii="Arial" w:hAnsi="Arial" w:cs="Arial"/>
            <w:sz w:val="22"/>
            <w:szCs w:val="22"/>
          </w:rPr>
          <w:t>form-digit/submission/pg-leads-consumer-goods-giants-in-race-to-figure-out-digital/</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4A6BF270" w14:textId="18DFB8ED"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 xml:space="preserve">Marketing91 (2024). SWOT analysis of Procter&amp; Gamble. Available at: </w:t>
      </w:r>
      <w:hyperlink r:id="rId28" w:history="1">
        <w:r w:rsidRPr="009338C2">
          <w:rPr>
            <w:rStyle w:val="Hyperlink"/>
            <w:rFonts w:ascii="Arial" w:hAnsi="Arial" w:cs="Arial"/>
            <w:sz w:val="22"/>
            <w:szCs w:val="22"/>
          </w:rPr>
          <w:t>https://www.marketing91.</w:t>
        </w:r>
        <w:r w:rsidRPr="009338C2">
          <w:rPr>
            <w:rStyle w:val="Hyperlink"/>
            <w:rFonts w:ascii="Arial" w:hAnsi="Arial" w:cs="Arial"/>
            <w:sz w:val="22"/>
            <w:szCs w:val="22"/>
          </w:rPr>
          <w:t>c</w:t>
        </w:r>
        <w:r w:rsidRPr="009338C2">
          <w:rPr>
            <w:rStyle w:val="Hyperlink"/>
            <w:rFonts w:ascii="Arial" w:hAnsi="Arial" w:cs="Arial"/>
            <w:sz w:val="22"/>
            <w:szCs w:val="22"/>
          </w:rPr>
          <w:t>om/swot-analysis-procter-gamble/</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2nd December 2025).</w:t>
      </w:r>
    </w:p>
    <w:p w14:paraId="2A409B37" w14:textId="048C3424"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MBA Skool (2025). </w:t>
      </w:r>
      <w:r w:rsidRPr="00A9735C">
        <w:rPr>
          <w:rStyle w:val="Emphasis"/>
          <w:rFonts w:ascii="Arial" w:eastAsiaTheme="majorEastAsia" w:hAnsi="Arial" w:cs="Arial"/>
          <w:color w:val="0E101A"/>
          <w:sz w:val="22"/>
          <w:szCs w:val="22"/>
        </w:rPr>
        <w:t>Procter and Gamble Porter Five Forces analysis</w:t>
      </w:r>
      <w:r w:rsidRPr="00A9735C">
        <w:rPr>
          <w:rFonts w:ascii="Arial" w:hAnsi="Arial" w:cs="Arial"/>
          <w:color w:val="0E101A"/>
          <w:sz w:val="22"/>
          <w:szCs w:val="22"/>
        </w:rPr>
        <w:t xml:space="preserve">. Available at: </w:t>
      </w:r>
      <w:hyperlink r:id="rId29" w:history="1">
        <w:r w:rsidRPr="009338C2">
          <w:rPr>
            <w:rStyle w:val="Hyperlink"/>
            <w:rFonts w:ascii="Arial" w:hAnsi="Arial" w:cs="Arial"/>
            <w:sz w:val="22"/>
            <w:szCs w:val="22"/>
          </w:rPr>
          <w:t>https://www.mbaskool.com/five-force</w:t>
        </w:r>
        <w:r w:rsidRPr="009338C2">
          <w:rPr>
            <w:rStyle w:val="Hyperlink"/>
            <w:rFonts w:ascii="Arial" w:hAnsi="Arial" w:cs="Arial"/>
            <w:sz w:val="22"/>
            <w:szCs w:val="22"/>
          </w:rPr>
          <w:t>s</w:t>
        </w:r>
        <w:r w:rsidRPr="009338C2">
          <w:rPr>
            <w:rStyle w:val="Hyperlink"/>
            <w:rFonts w:ascii="Arial" w:hAnsi="Arial" w:cs="Arial"/>
            <w:sz w:val="22"/>
            <w:szCs w:val="22"/>
          </w:rPr>
          <w:t>-analysis/companies/18322-procter-and-gamble-pag.html</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2nd December 2025).</w:t>
      </w:r>
    </w:p>
    <w:p w14:paraId="13E4A071" w14:textId="35498971"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Mordor Intelligence (2024). </w:t>
      </w:r>
      <w:r w:rsidRPr="00A9735C">
        <w:rPr>
          <w:rStyle w:val="Emphasis"/>
          <w:rFonts w:ascii="Arial" w:eastAsiaTheme="majorEastAsia" w:hAnsi="Arial" w:cs="Arial"/>
          <w:color w:val="0E101A"/>
          <w:sz w:val="22"/>
          <w:szCs w:val="22"/>
        </w:rPr>
        <w:t>Baby Care Products Market – Global Industry Size, Share, Trends, Opportunities and Forecast 2030</w:t>
      </w:r>
      <w:r w:rsidRPr="00A9735C">
        <w:rPr>
          <w:rFonts w:ascii="Arial" w:hAnsi="Arial" w:cs="Arial"/>
          <w:color w:val="0E101A"/>
          <w:sz w:val="22"/>
          <w:szCs w:val="22"/>
        </w:rPr>
        <w:t xml:space="preserve">. Available at: </w:t>
      </w:r>
      <w:hyperlink r:id="rId30" w:history="1">
        <w:r w:rsidRPr="009338C2">
          <w:rPr>
            <w:rStyle w:val="Hyperlink"/>
            <w:rFonts w:ascii="Arial" w:hAnsi="Arial" w:cs="Arial"/>
            <w:sz w:val="22"/>
            <w:szCs w:val="22"/>
          </w:rPr>
          <w:t>https://www.mordorintelligence.com/industry-reports/ba</w:t>
        </w:r>
        <w:r w:rsidRPr="009338C2">
          <w:rPr>
            <w:rStyle w:val="Hyperlink"/>
            <w:rFonts w:ascii="Arial" w:hAnsi="Arial" w:cs="Arial"/>
            <w:sz w:val="22"/>
            <w:szCs w:val="22"/>
          </w:rPr>
          <w:t>b</w:t>
        </w:r>
        <w:r w:rsidRPr="009338C2">
          <w:rPr>
            <w:rStyle w:val="Hyperlink"/>
            <w:rFonts w:ascii="Arial" w:hAnsi="Arial" w:cs="Arial"/>
            <w:sz w:val="22"/>
            <w:szCs w:val="22"/>
          </w:rPr>
          <w:t>y-care-products-market</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44EBD9FB" w14:textId="490D90E4"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lastRenderedPageBreak/>
        <w:t>Nasdaq (2025). </w:t>
      </w:r>
      <w:r w:rsidRPr="00A9735C">
        <w:rPr>
          <w:rStyle w:val="Emphasis"/>
          <w:rFonts w:ascii="Arial" w:eastAsiaTheme="majorEastAsia" w:hAnsi="Arial" w:cs="Arial"/>
          <w:color w:val="0E101A"/>
          <w:sz w:val="22"/>
          <w:szCs w:val="22"/>
        </w:rPr>
        <w:t>Procter&amp; Gamble vs Unilever: Who holds the power in the FMCG race?</w:t>
      </w:r>
      <w:r w:rsidRPr="00A9735C">
        <w:rPr>
          <w:rFonts w:ascii="Arial" w:hAnsi="Arial" w:cs="Arial"/>
          <w:color w:val="0E101A"/>
          <w:sz w:val="22"/>
          <w:szCs w:val="22"/>
        </w:rPr>
        <w:t xml:space="preserve">. Available at: </w:t>
      </w:r>
      <w:hyperlink r:id="rId31" w:history="1">
        <w:r w:rsidRPr="009338C2">
          <w:rPr>
            <w:rStyle w:val="Hyperlink"/>
            <w:rFonts w:ascii="Arial" w:hAnsi="Arial" w:cs="Arial"/>
            <w:sz w:val="22"/>
            <w:szCs w:val="22"/>
          </w:rPr>
          <w:t>https://www.nas</w:t>
        </w:r>
        <w:r w:rsidRPr="009338C2">
          <w:rPr>
            <w:rStyle w:val="Hyperlink"/>
            <w:rFonts w:ascii="Arial" w:hAnsi="Arial" w:cs="Arial"/>
            <w:sz w:val="22"/>
            <w:szCs w:val="22"/>
          </w:rPr>
          <w:t>d</w:t>
        </w:r>
        <w:r w:rsidRPr="009338C2">
          <w:rPr>
            <w:rStyle w:val="Hyperlink"/>
            <w:rFonts w:ascii="Arial" w:hAnsi="Arial" w:cs="Arial"/>
            <w:sz w:val="22"/>
            <w:szCs w:val="22"/>
          </w:rPr>
          <w:t>aq.com/articles/procter-gamble-vs-unilever-who-holds-power-fmcg-race</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2nd December 2025).</w:t>
      </w:r>
    </w:p>
    <w:p w14:paraId="27163E3D"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Nwabekee, U.S., Abdul Azeez, O.Y., Agu, E.E. and Ijomah, T.I. (2024). </w:t>
      </w:r>
      <w:r w:rsidRPr="00A9735C">
        <w:rPr>
          <w:rStyle w:val="Emphasis"/>
          <w:rFonts w:ascii="Arial" w:eastAsiaTheme="majorEastAsia" w:hAnsi="Arial" w:cs="Arial"/>
          <w:color w:val="0E101A"/>
          <w:sz w:val="22"/>
          <w:szCs w:val="22"/>
        </w:rPr>
        <w:t>Innovative sustainability initiatives in the FMCG industry: A review of challenges and successes.</w:t>
      </w:r>
      <w:r w:rsidRPr="00A9735C">
        <w:rPr>
          <w:rStyle w:val="apple-converted-space"/>
          <w:rFonts w:ascii="Arial" w:eastAsiaTheme="majorEastAsia" w:hAnsi="Arial" w:cs="Arial"/>
          <w:color w:val="0E101A"/>
          <w:sz w:val="22"/>
          <w:szCs w:val="22"/>
        </w:rPr>
        <w:t> </w:t>
      </w:r>
      <w:r w:rsidRPr="00A9735C">
        <w:rPr>
          <w:rFonts w:ascii="Arial" w:hAnsi="Arial" w:cs="Arial"/>
          <w:color w:val="0E101A"/>
          <w:sz w:val="22"/>
          <w:szCs w:val="22"/>
        </w:rPr>
        <w:t>International Journal of Applied Research in Social Sciences, 6(9), pp. 1990–2017.</w:t>
      </w:r>
    </w:p>
    <w:p w14:paraId="1B5E6BA6" w14:textId="6A1DD505"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Panmore Institute (2024). </w:t>
      </w:r>
      <w:r w:rsidRPr="00A9735C">
        <w:rPr>
          <w:rStyle w:val="Emphasis"/>
          <w:rFonts w:ascii="Arial" w:eastAsiaTheme="majorEastAsia" w:hAnsi="Arial" w:cs="Arial"/>
          <w:color w:val="0E101A"/>
          <w:sz w:val="22"/>
          <w:szCs w:val="22"/>
        </w:rPr>
        <w:t>Procter&amp; Gamble PESTEL and Five Forces analysis</w:t>
      </w:r>
      <w:r w:rsidRPr="00A9735C">
        <w:rPr>
          <w:rFonts w:ascii="Arial" w:hAnsi="Arial" w:cs="Arial"/>
          <w:color w:val="0E101A"/>
          <w:sz w:val="22"/>
          <w:szCs w:val="22"/>
        </w:rPr>
        <w:t xml:space="preserve">. Available at: </w:t>
      </w:r>
      <w:hyperlink r:id="rId32" w:history="1">
        <w:r w:rsidRPr="009338C2">
          <w:rPr>
            <w:rStyle w:val="Hyperlink"/>
            <w:rFonts w:ascii="Arial" w:hAnsi="Arial" w:cs="Arial"/>
            <w:sz w:val="22"/>
            <w:szCs w:val="22"/>
          </w:rPr>
          <w:t>https://panmore.com/p</w:t>
        </w:r>
        <w:r w:rsidRPr="009338C2">
          <w:rPr>
            <w:rStyle w:val="Hyperlink"/>
            <w:rFonts w:ascii="Arial" w:hAnsi="Arial" w:cs="Arial"/>
            <w:sz w:val="22"/>
            <w:szCs w:val="22"/>
          </w:rPr>
          <w:t>r</w:t>
        </w:r>
        <w:r w:rsidRPr="009338C2">
          <w:rPr>
            <w:rStyle w:val="Hyperlink"/>
            <w:rFonts w:ascii="Arial" w:hAnsi="Arial" w:cs="Arial"/>
            <w:sz w:val="22"/>
            <w:szCs w:val="22"/>
          </w:rPr>
          <w:t>octer-gamble-pestel-pestle-analysis-recommendations</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10548FB5" w14:textId="5B898D46"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Panmore Institute (2024). </w:t>
      </w:r>
      <w:r w:rsidRPr="00A9735C">
        <w:rPr>
          <w:rStyle w:val="Emphasis"/>
          <w:rFonts w:ascii="Arial" w:eastAsiaTheme="majorEastAsia" w:hAnsi="Arial" w:cs="Arial"/>
          <w:color w:val="0E101A"/>
          <w:sz w:val="22"/>
          <w:szCs w:val="22"/>
        </w:rPr>
        <w:t>Procter&amp; Gamble SWOT Analysis&amp; Recommendations</w:t>
      </w:r>
      <w:r w:rsidRPr="00A9735C">
        <w:rPr>
          <w:rFonts w:ascii="Arial" w:hAnsi="Arial" w:cs="Arial"/>
          <w:color w:val="0E101A"/>
          <w:sz w:val="22"/>
          <w:szCs w:val="22"/>
        </w:rPr>
        <w:t xml:space="preserve">. Available at: </w:t>
      </w:r>
      <w:hyperlink r:id="rId33" w:history="1">
        <w:r w:rsidRPr="009338C2">
          <w:rPr>
            <w:rStyle w:val="Hyperlink"/>
            <w:rFonts w:ascii="Arial" w:hAnsi="Arial" w:cs="Arial"/>
            <w:sz w:val="22"/>
            <w:szCs w:val="22"/>
          </w:rPr>
          <w:t>https://panmore.com/procter-gamble</w:t>
        </w:r>
        <w:r w:rsidRPr="009338C2">
          <w:rPr>
            <w:rStyle w:val="Hyperlink"/>
            <w:rFonts w:ascii="Arial" w:hAnsi="Arial" w:cs="Arial"/>
            <w:sz w:val="22"/>
            <w:szCs w:val="22"/>
          </w:rPr>
          <w:t>-</w:t>
        </w:r>
        <w:r w:rsidRPr="009338C2">
          <w:rPr>
            <w:rStyle w:val="Hyperlink"/>
            <w:rFonts w:ascii="Arial" w:hAnsi="Arial" w:cs="Arial"/>
            <w:sz w:val="22"/>
            <w:szCs w:val="22"/>
          </w:rPr>
          <w:t>swot-analysis-recommendations</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2nd December 2025).</w:t>
      </w:r>
    </w:p>
    <w:p w14:paraId="1719C269"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Piskorski, M.J. and Spadini, A.L. (2007). </w:t>
      </w:r>
      <w:r w:rsidRPr="00A9735C">
        <w:rPr>
          <w:rStyle w:val="Emphasis"/>
          <w:rFonts w:ascii="Arial" w:eastAsiaTheme="majorEastAsia" w:hAnsi="Arial" w:cs="Arial"/>
          <w:color w:val="0E101A"/>
          <w:sz w:val="22"/>
          <w:szCs w:val="22"/>
        </w:rPr>
        <w:t>Procter&amp; Gamble: Organisation 2005 (A)</w:t>
      </w:r>
      <w:r w:rsidRPr="00A9735C">
        <w:rPr>
          <w:rFonts w:ascii="Arial" w:hAnsi="Arial" w:cs="Arial"/>
          <w:color w:val="0E101A"/>
          <w:sz w:val="22"/>
          <w:szCs w:val="22"/>
        </w:rPr>
        <w:t>. Harvard Business School Case Collection. Boston: Harvard Business School Publishing.</w:t>
      </w:r>
    </w:p>
    <w:p w14:paraId="5243FDB3"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Porter, M.E. (1980). </w:t>
      </w:r>
      <w:r w:rsidRPr="00A9735C">
        <w:rPr>
          <w:rStyle w:val="Emphasis"/>
          <w:rFonts w:ascii="Arial" w:eastAsiaTheme="majorEastAsia" w:hAnsi="Arial" w:cs="Arial"/>
          <w:color w:val="0E101A"/>
          <w:sz w:val="22"/>
          <w:szCs w:val="22"/>
        </w:rPr>
        <w:t>Competitive Strategy: Techniques for Analysing Industries and Competitors</w:t>
      </w:r>
      <w:r w:rsidRPr="00A9735C">
        <w:rPr>
          <w:rFonts w:ascii="Arial" w:hAnsi="Arial" w:cs="Arial"/>
          <w:color w:val="0E101A"/>
          <w:sz w:val="22"/>
          <w:szCs w:val="22"/>
        </w:rPr>
        <w:t>. New York: Free Press.</w:t>
      </w:r>
    </w:p>
    <w:p w14:paraId="1568A7C7" w14:textId="42DE1540"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Priestman, D. (2024). </w:t>
      </w:r>
      <w:r w:rsidRPr="00A9735C">
        <w:rPr>
          <w:rStyle w:val="Emphasis"/>
          <w:rFonts w:ascii="Arial" w:eastAsiaTheme="majorEastAsia" w:hAnsi="Arial" w:cs="Arial"/>
          <w:color w:val="0E101A"/>
          <w:sz w:val="22"/>
          <w:szCs w:val="22"/>
        </w:rPr>
        <w:t>How are post-Brexit Trade Rules Affecting EU-UK Supply Chains?.</w:t>
      </w:r>
      <w:r w:rsidRPr="00A9735C">
        <w:rPr>
          <w:rFonts w:ascii="Arial" w:hAnsi="Arial" w:cs="Arial"/>
          <w:color w:val="0E101A"/>
          <w:sz w:val="22"/>
          <w:szCs w:val="22"/>
        </w:rPr>
        <w:t xml:space="preserve"> Available at: </w:t>
      </w:r>
      <w:hyperlink r:id="rId34" w:history="1">
        <w:r w:rsidRPr="009338C2">
          <w:rPr>
            <w:rStyle w:val="Hyperlink"/>
            <w:rFonts w:ascii="Arial" w:hAnsi="Arial" w:cs="Arial"/>
            <w:sz w:val="22"/>
            <w:szCs w:val="22"/>
          </w:rPr>
          <w:t>https://logisticsbusin</w:t>
        </w:r>
        <w:r w:rsidRPr="009338C2">
          <w:rPr>
            <w:rStyle w:val="Hyperlink"/>
            <w:rFonts w:ascii="Arial" w:hAnsi="Arial" w:cs="Arial"/>
            <w:sz w:val="22"/>
            <w:szCs w:val="22"/>
          </w:rPr>
          <w:t>e</w:t>
        </w:r>
        <w:r w:rsidRPr="009338C2">
          <w:rPr>
            <w:rStyle w:val="Hyperlink"/>
            <w:rFonts w:ascii="Arial" w:hAnsi="Arial" w:cs="Arial"/>
            <w:sz w:val="22"/>
            <w:szCs w:val="22"/>
          </w:rPr>
          <w:t>ss.com/transport-distribution/how-are-post-brexit-trade-rules-affecting-eu-uk-supply-chains/</w:t>
        </w:r>
      </w:hyperlink>
      <w:r>
        <w:rPr>
          <w:rFonts w:ascii="Arial" w:hAnsi="Arial" w:cs="Arial"/>
          <w:color w:val="0E101A"/>
          <w:sz w:val="22"/>
          <w:szCs w:val="22"/>
        </w:rPr>
        <w:t xml:space="preserve"> </w:t>
      </w:r>
      <w:r w:rsidRPr="00A9735C">
        <w:rPr>
          <w:rFonts w:ascii="Arial" w:hAnsi="Arial" w:cs="Arial"/>
          <w:color w:val="0E101A"/>
          <w:sz w:val="22"/>
          <w:szCs w:val="22"/>
        </w:rPr>
        <w:t>  (Accessed: 9th December 2025).</w:t>
      </w:r>
    </w:p>
    <w:p w14:paraId="6AF93869" w14:textId="0BF8FFA5"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Procter&amp; Gamble (2024). </w:t>
      </w:r>
      <w:r w:rsidRPr="00A9735C">
        <w:rPr>
          <w:rStyle w:val="Emphasis"/>
          <w:rFonts w:ascii="Arial" w:eastAsiaTheme="majorEastAsia" w:hAnsi="Arial" w:cs="Arial"/>
          <w:color w:val="0E101A"/>
          <w:sz w:val="22"/>
          <w:szCs w:val="22"/>
        </w:rPr>
        <w:t>Environmental Sustainability</w:t>
      </w:r>
      <w:r w:rsidRPr="00A9735C">
        <w:rPr>
          <w:rFonts w:ascii="Arial" w:hAnsi="Arial" w:cs="Arial"/>
          <w:color w:val="0E101A"/>
          <w:sz w:val="22"/>
          <w:szCs w:val="22"/>
        </w:rPr>
        <w:t xml:space="preserve">. Available at: </w:t>
      </w:r>
      <w:hyperlink r:id="rId35" w:history="1">
        <w:r w:rsidRPr="009338C2">
          <w:rPr>
            <w:rStyle w:val="Hyperlink"/>
            <w:rFonts w:ascii="Arial" w:hAnsi="Arial" w:cs="Arial"/>
            <w:sz w:val="22"/>
            <w:szCs w:val="22"/>
          </w:rPr>
          <w:t>https://us.pg.com/environmental-sustaina</w:t>
        </w:r>
        <w:r w:rsidRPr="009338C2">
          <w:rPr>
            <w:rStyle w:val="Hyperlink"/>
            <w:rFonts w:ascii="Arial" w:hAnsi="Arial" w:cs="Arial"/>
            <w:sz w:val="22"/>
            <w:szCs w:val="22"/>
          </w:rPr>
          <w:t>b</w:t>
        </w:r>
        <w:r w:rsidRPr="009338C2">
          <w:rPr>
            <w:rStyle w:val="Hyperlink"/>
            <w:rFonts w:ascii="Arial" w:hAnsi="Arial" w:cs="Arial"/>
            <w:sz w:val="22"/>
            <w:szCs w:val="22"/>
          </w:rPr>
          <w:t>ility/</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75F5FA0B"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Procter&amp; Gamble (2024). </w:t>
      </w:r>
      <w:r w:rsidRPr="00A9735C">
        <w:rPr>
          <w:rStyle w:val="Emphasis"/>
          <w:rFonts w:ascii="Arial" w:eastAsiaTheme="majorEastAsia" w:hAnsi="Arial" w:cs="Arial"/>
          <w:color w:val="0E101A"/>
          <w:sz w:val="22"/>
          <w:szCs w:val="22"/>
        </w:rPr>
        <w:t>Financial Highlights 2024</w:t>
      </w:r>
      <w:r w:rsidRPr="00A9735C">
        <w:rPr>
          <w:rFonts w:ascii="Arial" w:hAnsi="Arial" w:cs="Arial"/>
          <w:color w:val="0E101A"/>
          <w:sz w:val="22"/>
          <w:szCs w:val="22"/>
        </w:rPr>
        <w:t>.  Available at: https://us.pg.com/annualreport2024/financial-highlights/  (Accessed: 3rd December 2025)</w:t>
      </w:r>
    </w:p>
    <w:p w14:paraId="78867965" w14:textId="12203E5D"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Procter&amp; Gamble (2024). </w:t>
      </w:r>
      <w:r w:rsidRPr="00A9735C">
        <w:rPr>
          <w:rStyle w:val="Emphasis"/>
          <w:rFonts w:ascii="Arial" w:eastAsiaTheme="majorEastAsia" w:hAnsi="Arial" w:cs="Arial"/>
          <w:color w:val="0E101A"/>
          <w:sz w:val="22"/>
          <w:szCs w:val="22"/>
        </w:rPr>
        <w:t>Packaging solutions for a sustainable future</w:t>
      </w:r>
      <w:r w:rsidRPr="00A9735C">
        <w:rPr>
          <w:rFonts w:ascii="Arial" w:hAnsi="Arial" w:cs="Arial"/>
          <w:color w:val="0E101A"/>
          <w:sz w:val="22"/>
          <w:szCs w:val="22"/>
        </w:rPr>
        <w:t xml:space="preserve">. Available at: </w:t>
      </w:r>
      <w:hyperlink r:id="rId36" w:history="1">
        <w:r w:rsidRPr="009338C2">
          <w:rPr>
            <w:rStyle w:val="Hyperlink"/>
            <w:rFonts w:ascii="Arial" w:hAnsi="Arial" w:cs="Arial"/>
            <w:sz w:val="22"/>
            <w:szCs w:val="22"/>
          </w:rPr>
          <w:t>https://us.pg.com/blogs/packaging-s</w:t>
        </w:r>
        <w:r w:rsidRPr="009338C2">
          <w:rPr>
            <w:rStyle w:val="Hyperlink"/>
            <w:rFonts w:ascii="Arial" w:hAnsi="Arial" w:cs="Arial"/>
            <w:sz w:val="22"/>
            <w:szCs w:val="22"/>
          </w:rPr>
          <w:t>o</w:t>
        </w:r>
        <w:r w:rsidRPr="009338C2">
          <w:rPr>
            <w:rStyle w:val="Hyperlink"/>
            <w:rFonts w:ascii="Arial" w:hAnsi="Arial" w:cs="Arial"/>
            <w:sz w:val="22"/>
            <w:szCs w:val="22"/>
          </w:rPr>
          <w:t>lutions/</w:t>
        </w:r>
      </w:hyperlink>
      <w:r>
        <w:rPr>
          <w:rFonts w:ascii="Arial" w:hAnsi="Arial" w:cs="Arial"/>
          <w:color w:val="0E101A"/>
          <w:sz w:val="22"/>
          <w:szCs w:val="22"/>
        </w:rPr>
        <w:t xml:space="preserve"> </w:t>
      </w:r>
      <w:r w:rsidRPr="00A9735C">
        <w:rPr>
          <w:rFonts w:ascii="Arial" w:hAnsi="Arial" w:cs="Arial"/>
          <w:color w:val="0E101A"/>
          <w:sz w:val="22"/>
          <w:szCs w:val="22"/>
        </w:rPr>
        <w:t>   (Accessed: 9th December 2025).</w:t>
      </w:r>
    </w:p>
    <w:p w14:paraId="59EC0C34" w14:textId="56A87DFE"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Procter&amp; Gamble (2025). </w:t>
      </w:r>
      <w:r w:rsidRPr="00A9735C">
        <w:rPr>
          <w:rStyle w:val="Emphasis"/>
          <w:rFonts w:ascii="Arial" w:eastAsiaTheme="majorEastAsia" w:hAnsi="Arial" w:cs="Arial"/>
          <w:color w:val="0E101A"/>
          <w:sz w:val="22"/>
          <w:szCs w:val="22"/>
        </w:rPr>
        <w:t>Company history</w:t>
      </w:r>
      <w:r w:rsidRPr="00A9735C">
        <w:rPr>
          <w:rFonts w:ascii="Arial" w:hAnsi="Arial" w:cs="Arial"/>
          <w:color w:val="0E101A"/>
          <w:sz w:val="22"/>
          <w:szCs w:val="22"/>
        </w:rPr>
        <w:t xml:space="preserve">. Available at: </w:t>
      </w:r>
      <w:hyperlink r:id="rId37" w:history="1">
        <w:r w:rsidRPr="009338C2">
          <w:rPr>
            <w:rStyle w:val="Hyperlink"/>
            <w:rFonts w:ascii="Arial" w:hAnsi="Arial" w:cs="Arial"/>
            <w:sz w:val="22"/>
            <w:szCs w:val="22"/>
          </w:rPr>
          <w:t>https://us.pg.c</w:t>
        </w:r>
        <w:r w:rsidRPr="009338C2">
          <w:rPr>
            <w:rStyle w:val="Hyperlink"/>
            <w:rFonts w:ascii="Arial" w:hAnsi="Arial" w:cs="Arial"/>
            <w:sz w:val="22"/>
            <w:szCs w:val="22"/>
          </w:rPr>
          <w:t>o</w:t>
        </w:r>
        <w:r w:rsidRPr="009338C2">
          <w:rPr>
            <w:rStyle w:val="Hyperlink"/>
            <w:rFonts w:ascii="Arial" w:hAnsi="Arial" w:cs="Arial"/>
            <w:sz w:val="22"/>
            <w:szCs w:val="22"/>
          </w:rPr>
          <w:t>m/pg-history/</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4F9D121D" w14:textId="3DCA2351"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Ramprasad, T.P. and Karthik, T.T. (2020). </w:t>
      </w:r>
      <w:r w:rsidRPr="00A9735C">
        <w:rPr>
          <w:rStyle w:val="Emphasis"/>
          <w:rFonts w:ascii="Arial" w:eastAsiaTheme="majorEastAsia" w:hAnsi="Arial" w:cs="Arial"/>
          <w:color w:val="0E101A"/>
          <w:sz w:val="22"/>
          <w:szCs w:val="22"/>
        </w:rPr>
        <w:t>SWOT Analysis of Fast-Moving Consumer Goods (FMCG) Industries in India.</w:t>
      </w:r>
      <w:r w:rsidRPr="00A9735C">
        <w:rPr>
          <w:rFonts w:ascii="Arial" w:hAnsi="Arial" w:cs="Arial"/>
          <w:color w:val="0E101A"/>
          <w:sz w:val="22"/>
          <w:szCs w:val="22"/>
        </w:rPr>
        <w:t xml:space="preserve">Shanlax International Journal of Commerce. 8(1). pp. 1–12. Available at: </w:t>
      </w:r>
      <w:hyperlink r:id="rId38" w:history="1">
        <w:r w:rsidRPr="009338C2">
          <w:rPr>
            <w:rStyle w:val="Hyperlink"/>
            <w:rFonts w:ascii="Arial" w:hAnsi="Arial" w:cs="Arial"/>
            <w:sz w:val="22"/>
            <w:szCs w:val="22"/>
          </w:rPr>
          <w:t>https://www.researchgate.net/publicati</w:t>
        </w:r>
        <w:r w:rsidRPr="009338C2">
          <w:rPr>
            <w:rStyle w:val="Hyperlink"/>
            <w:rFonts w:ascii="Arial" w:hAnsi="Arial" w:cs="Arial"/>
            <w:sz w:val="22"/>
            <w:szCs w:val="22"/>
          </w:rPr>
          <w:t>o</w:t>
        </w:r>
        <w:r w:rsidRPr="009338C2">
          <w:rPr>
            <w:rStyle w:val="Hyperlink"/>
            <w:rFonts w:ascii="Arial" w:hAnsi="Arial" w:cs="Arial"/>
            <w:sz w:val="22"/>
            <w:szCs w:val="22"/>
          </w:rPr>
          <w:t>n/350877666</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2nd December 2025).</w:t>
      </w:r>
    </w:p>
    <w:p w14:paraId="57CCB99A" w14:textId="492A9ACE"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lastRenderedPageBreak/>
        <w:t>Research and Markets (2022). </w:t>
      </w:r>
      <w:r w:rsidRPr="00A9735C">
        <w:rPr>
          <w:rStyle w:val="Emphasis"/>
          <w:rFonts w:ascii="Arial" w:eastAsiaTheme="majorEastAsia" w:hAnsi="Arial" w:cs="Arial"/>
          <w:color w:val="0E101A"/>
          <w:sz w:val="22"/>
          <w:szCs w:val="22"/>
        </w:rPr>
        <w:t>Cleaning&amp; Hygiene Products – Global Strategic Market Report</w:t>
      </w:r>
      <w:r w:rsidRPr="00A9735C">
        <w:rPr>
          <w:rFonts w:ascii="Arial" w:hAnsi="Arial" w:cs="Arial"/>
          <w:color w:val="0E101A"/>
          <w:sz w:val="22"/>
          <w:szCs w:val="22"/>
        </w:rPr>
        <w:t xml:space="preserve">.  Available at: </w:t>
      </w:r>
      <w:hyperlink r:id="rId39" w:history="1">
        <w:r w:rsidRPr="009338C2">
          <w:rPr>
            <w:rStyle w:val="Hyperlink"/>
            <w:rFonts w:ascii="Arial" w:hAnsi="Arial" w:cs="Arial"/>
            <w:sz w:val="22"/>
            <w:szCs w:val="22"/>
          </w:rPr>
          <w:t>https://www.researchandmarkets.co</w:t>
        </w:r>
        <w:r w:rsidRPr="009338C2">
          <w:rPr>
            <w:rStyle w:val="Hyperlink"/>
            <w:rFonts w:ascii="Arial" w:hAnsi="Arial" w:cs="Arial"/>
            <w:sz w:val="22"/>
            <w:szCs w:val="22"/>
          </w:rPr>
          <w:t>m</w:t>
        </w:r>
        <w:r w:rsidRPr="009338C2">
          <w:rPr>
            <w:rStyle w:val="Hyperlink"/>
            <w:rFonts w:ascii="Arial" w:hAnsi="Arial" w:cs="Arial"/>
            <w:sz w:val="22"/>
            <w:szCs w:val="22"/>
          </w:rPr>
          <w:t>/reports/6068532/cleaning-hygiene-products-global-strategic</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63F92554"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Sbircea, I.A. (2024). </w:t>
      </w:r>
      <w:r w:rsidRPr="00A9735C">
        <w:rPr>
          <w:rStyle w:val="Emphasis"/>
          <w:rFonts w:ascii="Arial" w:eastAsiaTheme="majorEastAsia" w:hAnsi="Arial" w:cs="Arial"/>
          <w:color w:val="0E101A"/>
          <w:sz w:val="22"/>
          <w:szCs w:val="22"/>
        </w:rPr>
        <w:t>Theoretical Research on Sustainability in the FMCG Industry.</w:t>
      </w:r>
      <w:r w:rsidRPr="00A9735C">
        <w:rPr>
          <w:rStyle w:val="apple-converted-space"/>
          <w:rFonts w:ascii="Arial" w:eastAsiaTheme="majorEastAsia" w:hAnsi="Arial" w:cs="Arial"/>
          <w:color w:val="0E101A"/>
          <w:sz w:val="22"/>
          <w:szCs w:val="22"/>
        </w:rPr>
        <w:t> </w:t>
      </w:r>
      <w:r w:rsidRPr="00A9735C">
        <w:rPr>
          <w:rFonts w:ascii="Arial" w:hAnsi="Arial" w:cs="Arial"/>
          <w:color w:val="0E101A"/>
          <w:sz w:val="22"/>
          <w:szCs w:val="22"/>
        </w:rPr>
        <w:t>10th BASIQ International Conference on New Trends in Sustainable Business and Consumption. Bucharest: Ed. ASE, pp. 268–275.</w:t>
      </w:r>
    </w:p>
    <w:p w14:paraId="681A064B" w14:textId="09D22FD2"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Shi, X. (2023). </w:t>
      </w:r>
      <w:r w:rsidRPr="00A9735C">
        <w:rPr>
          <w:rStyle w:val="Emphasis"/>
          <w:rFonts w:ascii="Arial" w:eastAsiaTheme="majorEastAsia" w:hAnsi="Arial" w:cs="Arial"/>
          <w:color w:val="0E101A"/>
          <w:sz w:val="22"/>
          <w:szCs w:val="22"/>
        </w:rPr>
        <w:t>P&amp;G Product Strategic Analysis</w:t>
      </w:r>
      <w:r w:rsidRPr="00A9735C">
        <w:rPr>
          <w:rFonts w:ascii="Arial" w:hAnsi="Arial" w:cs="Arial"/>
          <w:color w:val="0E101A"/>
          <w:sz w:val="22"/>
          <w:szCs w:val="22"/>
        </w:rPr>
        <w:t xml:space="preserve">. Francis Academic Press Journal of Economics. Available at: </w:t>
      </w:r>
      <w:hyperlink r:id="rId40" w:history="1">
        <w:r w:rsidRPr="009338C2">
          <w:rPr>
            <w:rStyle w:val="Hyperlink"/>
            <w:rFonts w:ascii="Arial" w:hAnsi="Arial" w:cs="Arial"/>
            <w:sz w:val="22"/>
            <w:szCs w:val="22"/>
          </w:rPr>
          <w:t>https://fr</w:t>
        </w:r>
        <w:r w:rsidRPr="009338C2">
          <w:rPr>
            <w:rStyle w:val="Hyperlink"/>
            <w:rFonts w:ascii="Arial" w:hAnsi="Arial" w:cs="Arial"/>
            <w:sz w:val="22"/>
            <w:szCs w:val="22"/>
          </w:rPr>
          <w:t>a</w:t>
        </w:r>
        <w:r w:rsidRPr="009338C2">
          <w:rPr>
            <w:rStyle w:val="Hyperlink"/>
            <w:rFonts w:ascii="Arial" w:hAnsi="Arial" w:cs="Arial"/>
            <w:sz w:val="22"/>
            <w:szCs w:val="22"/>
          </w:rPr>
          <w:t>ncis-press.com/uploads/papers/Q8KOiL4FlEVKEgEuNwamCZgoZsFFRQnliXzbRICc.pdf</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2nd December 2025).</w:t>
      </w:r>
    </w:p>
    <w:p w14:paraId="497051F9" w14:textId="56094DBC"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Statista (2025). </w:t>
      </w:r>
      <w:r w:rsidRPr="00A9735C">
        <w:rPr>
          <w:rStyle w:val="Emphasis"/>
          <w:rFonts w:ascii="Arial" w:eastAsiaTheme="majorEastAsia" w:hAnsi="Arial" w:cs="Arial"/>
          <w:color w:val="0E101A"/>
          <w:sz w:val="22"/>
          <w:szCs w:val="22"/>
        </w:rPr>
        <w:t>Global revenue of the leading 50 FMCG companies 2024</w:t>
      </w:r>
      <w:r w:rsidRPr="00A9735C">
        <w:rPr>
          <w:rFonts w:ascii="Arial" w:hAnsi="Arial" w:cs="Arial"/>
          <w:color w:val="0E101A"/>
          <w:sz w:val="22"/>
          <w:szCs w:val="22"/>
        </w:rPr>
        <w:t xml:space="preserve">. Available at: </w:t>
      </w:r>
      <w:hyperlink r:id="rId41" w:history="1">
        <w:r w:rsidRPr="009338C2">
          <w:rPr>
            <w:rStyle w:val="Hyperlink"/>
            <w:rFonts w:ascii="Arial" w:hAnsi="Arial" w:cs="Arial"/>
            <w:sz w:val="22"/>
            <w:szCs w:val="22"/>
          </w:rPr>
          <w:t>https://www.statista.com/statistic</w:t>
        </w:r>
        <w:r w:rsidRPr="009338C2">
          <w:rPr>
            <w:rStyle w:val="Hyperlink"/>
            <w:rFonts w:ascii="Arial" w:hAnsi="Arial" w:cs="Arial"/>
            <w:sz w:val="22"/>
            <w:szCs w:val="22"/>
          </w:rPr>
          <w:t>s</w:t>
        </w:r>
        <w:r w:rsidRPr="009338C2">
          <w:rPr>
            <w:rStyle w:val="Hyperlink"/>
            <w:rFonts w:ascii="Arial" w:hAnsi="Arial" w:cs="Arial"/>
            <w:sz w:val="22"/>
            <w:szCs w:val="22"/>
          </w:rPr>
          <w:t>/260963/leading-fmcg-companies-worldwide-based-on-sales/</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7505986B" w14:textId="6ECB217A"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Strategy+Business (2022). </w:t>
      </w:r>
      <w:r w:rsidRPr="00A9735C">
        <w:rPr>
          <w:rStyle w:val="Emphasis"/>
          <w:rFonts w:ascii="Arial" w:eastAsiaTheme="majorEastAsia" w:hAnsi="Arial" w:cs="Arial"/>
          <w:color w:val="0E101A"/>
          <w:sz w:val="22"/>
          <w:szCs w:val="22"/>
        </w:rPr>
        <w:t>How P&amp;G maintains its innovation edge</w:t>
      </w:r>
      <w:r w:rsidRPr="00A9735C">
        <w:rPr>
          <w:rFonts w:ascii="Arial" w:hAnsi="Arial" w:cs="Arial"/>
          <w:color w:val="0E101A"/>
          <w:sz w:val="22"/>
          <w:szCs w:val="22"/>
        </w:rPr>
        <w:t xml:space="preserve">. Available at: </w:t>
      </w:r>
      <w:hyperlink r:id="rId42" w:history="1">
        <w:r w:rsidRPr="009338C2">
          <w:rPr>
            <w:rStyle w:val="Hyperlink"/>
            <w:rFonts w:ascii="Arial" w:hAnsi="Arial" w:cs="Arial"/>
            <w:sz w:val="22"/>
            <w:szCs w:val="22"/>
          </w:rPr>
          <w:t>https://www.strategy-business.com/art</w:t>
        </w:r>
        <w:r w:rsidRPr="009338C2">
          <w:rPr>
            <w:rStyle w:val="Hyperlink"/>
            <w:rFonts w:ascii="Arial" w:hAnsi="Arial" w:cs="Arial"/>
            <w:sz w:val="22"/>
            <w:szCs w:val="22"/>
          </w:rPr>
          <w:t>i</w:t>
        </w:r>
        <w:r w:rsidRPr="009338C2">
          <w:rPr>
            <w:rStyle w:val="Hyperlink"/>
            <w:rFonts w:ascii="Arial" w:hAnsi="Arial" w:cs="Arial"/>
            <w:sz w:val="22"/>
            <w:szCs w:val="22"/>
          </w:rPr>
          <w:t>cle/08304</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3rd December 2025).</w:t>
      </w:r>
    </w:p>
    <w:p w14:paraId="72B52E57" w14:textId="479BF80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Supply Chain Dive (2025). </w:t>
      </w:r>
      <w:r w:rsidRPr="00A9735C">
        <w:rPr>
          <w:rStyle w:val="Emphasis"/>
          <w:rFonts w:ascii="Arial" w:eastAsiaTheme="majorEastAsia" w:hAnsi="Arial" w:cs="Arial"/>
          <w:color w:val="0E101A"/>
          <w:sz w:val="22"/>
          <w:szCs w:val="22"/>
        </w:rPr>
        <w:t>P&amp;G aims for resiliency with supply chain redesign</w:t>
      </w:r>
      <w:r w:rsidRPr="00A9735C">
        <w:rPr>
          <w:rFonts w:ascii="Arial" w:hAnsi="Arial" w:cs="Arial"/>
          <w:color w:val="0E101A"/>
          <w:sz w:val="22"/>
          <w:szCs w:val="22"/>
        </w:rPr>
        <w:t xml:space="preserve">. Available at: </w:t>
      </w:r>
      <w:hyperlink r:id="rId43" w:history="1">
        <w:r w:rsidRPr="009338C2">
          <w:rPr>
            <w:rStyle w:val="Hyperlink"/>
            <w:rFonts w:ascii="Arial" w:hAnsi="Arial" w:cs="Arial"/>
            <w:sz w:val="22"/>
            <w:szCs w:val="22"/>
          </w:rPr>
          <w:t>https://www.supplycha</w:t>
        </w:r>
        <w:r w:rsidRPr="009338C2">
          <w:rPr>
            <w:rStyle w:val="Hyperlink"/>
            <w:rFonts w:ascii="Arial" w:hAnsi="Arial" w:cs="Arial"/>
            <w:sz w:val="22"/>
            <w:szCs w:val="22"/>
          </w:rPr>
          <w:t>i</w:t>
        </w:r>
        <w:r w:rsidRPr="009338C2">
          <w:rPr>
            <w:rStyle w:val="Hyperlink"/>
            <w:rFonts w:ascii="Arial" w:hAnsi="Arial" w:cs="Arial"/>
            <w:sz w:val="22"/>
            <w:szCs w:val="22"/>
          </w:rPr>
          <w:t>ndive.com/news/procter-gamble-supply-chain-restructuring/750640/</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2BBFA7FB" w14:textId="7F88B574"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 xml:space="preserve">SWOT Analysis (2025). Procter&amp; Gamble SWOT analysis&amp; strategic plan. Available at: </w:t>
      </w:r>
      <w:hyperlink r:id="rId44" w:history="1">
        <w:r w:rsidRPr="009338C2">
          <w:rPr>
            <w:rStyle w:val="Hyperlink"/>
            <w:rFonts w:ascii="Arial" w:hAnsi="Arial" w:cs="Arial"/>
            <w:sz w:val="22"/>
            <w:szCs w:val="22"/>
          </w:rPr>
          <w:t>https://www.swotanalysis.com/procter-</w:t>
        </w:r>
        <w:r w:rsidRPr="009338C2">
          <w:rPr>
            <w:rStyle w:val="Hyperlink"/>
            <w:rFonts w:ascii="Arial" w:hAnsi="Arial" w:cs="Arial"/>
            <w:sz w:val="22"/>
            <w:szCs w:val="22"/>
          </w:rPr>
          <w:t>a</w:t>
        </w:r>
        <w:r w:rsidRPr="009338C2">
          <w:rPr>
            <w:rStyle w:val="Hyperlink"/>
            <w:rFonts w:ascii="Arial" w:hAnsi="Arial" w:cs="Arial"/>
            <w:sz w:val="22"/>
            <w:szCs w:val="22"/>
          </w:rPr>
          <w:t>nd-gamble</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8th December 2025).</w:t>
      </w:r>
    </w:p>
    <w:p w14:paraId="6AFA500A" w14:textId="06A35691"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United Nations Department of Economic and Social Affairs (UN DESA) (2023). </w:t>
      </w:r>
      <w:r w:rsidRPr="00A9735C">
        <w:rPr>
          <w:rStyle w:val="Emphasis"/>
          <w:rFonts w:ascii="Arial" w:eastAsiaTheme="majorEastAsia" w:hAnsi="Arial" w:cs="Arial"/>
          <w:color w:val="0E101A"/>
          <w:sz w:val="22"/>
          <w:szCs w:val="22"/>
        </w:rPr>
        <w:t>Frontier Technology Issues: Harnessing the economic dividends from demographic change</w:t>
      </w:r>
      <w:r w:rsidRPr="00A9735C">
        <w:rPr>
          <w:rFonts w:ascii="Arial" w:hAnsi="Arial" w:cs="Arial"/>
          <w:color w:val="0E101A"/>
          <w:sz w:val="22"/>
          <w:szCs w:val="22"/>
        </w:rPr>
        <w:t xml:space="preserve">. Available at: </w:t>
      </w:r>
      <w:hyperlink r:id="rId45" w:history="1">
        <w:r w:rsidRPr="009338C2">
          <w:rPr>
            <w:rStyle w:val="Hyperlink"/>
            <w:rFonts w:ascii="Arial" w:hAnsi="Arial" w:cs="Arial"/>
            <w:sz w:val="22"/>
            <w:szCs w:val="22"/>
          </w:rPr>
          <w:t>https://ww</w:t>
        </w:r>
        <w:r w:rsidRPr="009338C2">
          <w:rPr>
            <w:rStyle w:val="Hyperlink"/>
            <w:rFonts w:ascii="Arial" w:hAnsi="Arial" w:cs="Arial"/>
            <w:sz w:val="22"/>
            <w:szCs w:val="22"/>
          </w:rPr>
          <w:t>w</w:t>
        </w:r>
        <w:r w:rsidRPr="009338C2">
          <w:rPr>
            <w:rStyle w:val="Hyperlink"/>
            <w:rFonts w:ascii="Arial" w:hAnsi="Arial" w:cs="Arial"/>
            <w:sz w:val="22"/>
            <w:szCs w:val="22"/>
          </w:rPr>
          <w:t>.un.org/development/desa/dpad/wp-content/uploads/sites/45/FTI_2023_July.pdf</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1FDD7C0E" w14:textId="3E896841"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Varma, G.R. and Ravi, J. (2019). </w:t>
      </w:r>
      <w:r w:rsidRPr="00A9735C">
        <w:rPr>
          <w:rStyle w:val="Emphasis"/>
          <w:rFonts w:ascii="Arial" w:eastAsiaTheme="majorEastAsia" w:hAnsi="Arial" w:cs="Arial"/>
          <w:color w:val="0E101A"/>
          <w:sz w:val="22"/>
          <w:szCs w:val="22"/>
        </w:rPr>
        <w:t>Strategic Analysis on FMCG Goods: A Case Study on Nestlé.</w:t>
      </w:r>
      <w:r w:rsidRPr="00A9735C">
        <w:rPr>
          <w:rStyle w:val="apple-converted-space"/>
          <w:rFonts w:ascii="Arial" w:eastAsiaTheme="majorEastAsia" w:hAnsi="Arial" w:cs="Arial"/>
          <w:color w:val="0E101A"/>
          <w:sz w:val="22"/>
          <w:szCs w:val="22"/>
        </w:rPr>
        <w:t> </w:t>
      </w:r>
      <w:r w:rsidRPr="00A9735C">
        <w:rPr>
          <w:rFonts w:ascii="Arial" w:hAnsi="Arial" w:cs="Arial"/>
          <w:color w:val="0E101A"/>
          <w:sz w:val="22"/>
          <w:szCs w:val="22"/>
        </w:rPr>
        <w:t xml:space="preserve">International Journal of Research in Management Studies. 2(4), pp. 33–42. Available at: </w:t>
      </w:r>
      <w:hyperlink r:id="rId46" w:history="1">
        <w:r w:rsidRPr="009338C2">
          <w:rPr>
            <w:rStyle w:val="Hyperlink"/>
            <w:rFonts w:ascii="Arial" w:hAnsi="Arial" w:cs="Arial"/>
            <w:sz w:val="22"/>
            <w:szCs w:val="22"/>
          </w:rPr>
          <w:t>http://www.ijrms.com/olvolume2issu</w:t>
        </w:r>
        <w:r w:rsidRPr="009338C2">
          <w:rPr>
            <w:rStyle w:val="Hyperlink"/>
            <w:rFonts w:ascii="Arial" w:hAnsi="Arial" w:cs="Arial"/>
            <w:sz w:val="22"/>
            <w:szCs w:val="22"/>
          </w:rPr>
          <w:t>e</w:t>
        </w:r>
        <w:r w:rsidRPr="009338C2">
          <w:rPr>
            <w:rStyle w:val="Hyperlink"/>
            <w:rFonts w:ascii="Arial" w:hAnsi="Arial" w:cs="Arial"/>
            <w:sz w:val="22"/>
            <w:szCs w:val="22"/>
          </w:rPr>
          <w:t>4/GedelaRakeshVarma-JaladiRavi-3.pdf</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2nd December 2025).</w:t>
      </w:r>
    </w:p>
    <w:p w14:paraId="340B26A2" w14:textId="7A3F0F1D"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t>Wu, Y.&amp; Lam, J. (2025). </w:t>
      </w:r>
      <w:r w:rsidRPr="00A9735C">
        <w:rPr>
          <w:rStyle w:val="Emphasis"/>
          <w:rFonts w:ascii="Arial" w:eastAsiaTheme="majorEastAsia" w:hAnsi="Arial" w:cs="Arial"/>
          <w:color w:val="0E101A"/>
          <w:sz w:val="22"/>
          <w:szCs w:val="22"/>
        </w:rPr>
        <w:t>Strategic investment in supply chain resilience: A study of fast-moving consumer goods under demand uncertainty</w:t>
      </w:r>
      <w:r w:rsidRPr="00A9735C">
        <w:rPr>
          <w:rFonts w:ascii="Arial" w:hAnsi="Arial" w:cs="Arial"/>
          <w:color w:val="0E101A"/>
          <w:sz w:val="22"/>
          <w:szCs w:val="22"/>
        </w:rPr>
        <w:t xml:space="preserve">. Available at: </w:t>
      </w:r>
      <w:hyperlink r:id="rId47" w:history="1">
        <w:r w:rsidRPr="009338C2">
          <w:rPr>
            <w:rStyle w:val="Hyperlink"/>
            <w:rFonts w:ascii="Arial" w:hAnsi="Arial" w:cs="Arial"/>
            <w:sz w:val="22"/>
            <w:szCs w:val="22"/>
          </w:rPr>
          <w:t>https://doi.org/10.1016/j.tre.202</w:t>
        </w:r>
        <w:r w:rsidRPr="009338C2">
          <w:rPr>
            <w:rStyle w:val="Hyperlink"/>
            <w:rFonts w:ascii="Arial" w:hAnsi="Arial" w:cs="Arial"/>
            <w:sz w:val="22"/>
            <w:szCs w:val="22"/>
          </w:rPr>
          <w:t>5</w:t>
        </w:r>
        <w:r w:rsidRPr="009338C2">
          <w:rPr>
            <w:rStyle w:val="Hyperlink"/>
            <w:rFonts w:ascii="Arial" w:hAnsi="Arial" w:cs="Arial"/>
            <w:sz w:val="22"/>
            <w:szCs w:val="22"/>
          </w:rPr>
          <w:t>.104495</w:t>
        </w:r>
      </w:hyperlink>
      <w:r>
        <w:rPr>
          <w:rFonts w:ascii="Arial" w:hAnsi="Arial" w:cs="Arial"/>
          <w:color w:val="0E101A"/>
          <w:sz w:val="22"/>
          <w:szCs w:val="22"/>
        </w:rPr>
        <w:t xml:space="preserve"> </w:t>
      </w:r>
      <w:r w:rsidRPr="00A9735C">
        <w:rPr>
          <w:rFonts w:ascii="Arial" w:hAnsi="Arial" w:cs="Arial"/>
          <w:color w:val="0E101A"/>
          <w:sz w:val="22"/>
          <w:szCs w:val="22"/>
        </w:rPr>
        <w:t xml:space="preserve"> (Accessed: 9th December 2025).</w:t>
      </w:r>
    </w:p>
    <w:p w14:paraId="2AD5EF24" w14:textId="77777777" w:rsidR="00A9735C" w:rsidRPr="00A9735C" w:rsidRDefault="00A9735C" w:rsidP="00A9735C">
      <w:pPr>
        <w:pStyle w:val="NormalWeb"/>
        <w:numPr>
          <w:ilvl w:val="0"/>
          <w:numId w:val="39"/>
        </w:numPr>
        <w:spacing w:before="0" w:beforeAutospacing="0" w:after="0" w:afterAutospacing="0" w:line="360" w:lineRule="auto"/>
        <w:ind w:left="720"/>
        <w:jc w:val="both"/>
        <w:rPr>
          <w:rFonts w:ascii="Arial" w:hAnsi="Arial" w:cs="Arial"/>
          <w:color w:val="0E101A"/>
          <w:sz w:val="22"/>
          <w:szCs w:val="22"/>
        </w:rPr>
      </w:pPr>
      <w:r w:rsidRPr="00A9735C">
        <w:rPr>
          <w:rFonts w:ascii="Arial" w:hAnsi="Arial" w:cs="Arial"/>
          <w:color w:val="0E101A"/>
          <w:sz w:val="22"/>
          <w:szCs w:val="22"/>
        </w:rPr>
        <w:lastRenderedPageBreak/>
        <w:t>Zhang, J. (2021). </w:t>
      </w:r>
      <w:r w:rsidRPr="00A9735C">
        <w:rPr>
          <w:rStyle w:val="Emphasis"/>
          <w:rFonts w:ascii="Arial" w:eastAsiaTheme="majorEastAsia" w:hAnsi="Arial" w:cs="Arial"/>
          <w:color w:val="0E101A"/>
          <w:sz w:val="22"/>
          <w:szCs w:val="22"/>
        </w:rPr>
        <w:t>The practice of CSR development and its performing mechanism: Case study of P&amp;G.</w:t>
      </w:r>
      <w:r w:rsidRPr="00A9735C">
        <w:rPr>
          <w:rStyle w:val="apple-converted-space"/>
          <w:rFonts w:ascii="Arial" w:eastAsiaTheme="majorEastAsia" w:hAnsi="Arial" w:cs="Arial"/>
          <w:color w:val="0E101A"/>
          <w:sz w:val="22"/>
          <w:szCs w:val="22"/>
        </w:rPr>
        <w:t> </w:t>
      </w:r>
      <w:r w:rsidRPr="00A9735C">
        <w:rPr>
          <w:rFonts w:ascii="Arial" w:hAnsi="Arial" w:cs="Arial"/>
          <w:color w:val="0E101A"/>
          <w:sz w:val="22"/>
          <w:szCs w:val="22"/>
        </w:rPr>
        <w:t>Journal of Sociology and Ethnology. 3(3), pp. 100–110. Clausius Scientific Press.</w:t>
      </w:r>
    </w:p>
    <w:p w14:paraId="17BCE9B9" w14:textId="77777777" w:rsidR="00A9735C" w:rsidRPr="00A9735C" w:rsidRDefault="00A9735C" w:rsidP="00A9735C">
      <w:pPr>
        <w:rPr>
          <w:rFonts w:ascii="Arial" w:hAnsi="Arial" w:cs="Arial"/>
          <w:sz w:val="22"/>
          <w:szCs w:val="22"/>
        </w:rPr>
      </w:pPr>
    </w:p>
    <w:p w14:paraId="392798C8" w14:textId="77777777" w:rsidR="00A9735C" w:rsidRPr="00A9735C" w:rsidRDefault="00A9735C" w:rsidP="00A9735C"/>
    <w:p w14:paraId="3E244FA5" w14:textId="5E6A2668" w:rsidR="00BC7015" w:rsidRPr="003D2726" w:rsidRDefault="00BC7015" w:rsidP="003D2726">
      <w:pPr>
        <w:spacing w:line="360" w:lineRule="auto"/>
        <w:ind w:left="360"/>
        <w:jc w:val="both"/>
        <w:rPr>
          <w:rFonts w:ascii="Arial" w:hAnsi="Arial" w:cs="Arial"/>
        </w:rPr>
      </w:pPr>
    </w:p>
    <w:sectPr w:rsidR="00BC7015" w:rsidRPr="003D2726" w:rsidSect="00731E12">
      <w:headerReference w:type="default" r:id="rId48"/>
      <w:pgSz w:w="12240" w:h="15840"/>
      <w:pgMar w:top="1701" w:right="1440" w:bottom="1701"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41CA81" w14:textId="77777777" w:rsidR="006A3480" w:rsidRDefault="006A3480" w:rsidP="00086D38">
      <w:pPr>
        <w:spacing w:after="0" w:line="240" w:lineRule="auto"/>
      </w:pPr>
      <w:r>
        <w:separator/>
      </w:r>
    </w:p>
  </w:endnote>
  <w:endnote w:type="continuationSeparator" w:id="0">
    <w:p w14:paraId="4444A6E0" w14:textId="77777777" w:rsidR="006A3480" w:rsidRDefault="006A3480" w:rsidP="00086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09595" w14:textId="77777777" w:rsidR="006A3480" w:rsidRDefault="006A3480" w:rsidP="00086D38">
      <w:pPr>
        <w:spacing w:after="0" w:line="240" w:lineRule="auto"/>
      </w:pPr>
      <w:r>
        <w:separator/>
      </w:r>
    </w:p>
  </w:footnote>
  <w:footnote w:type="continuationSeparator" w:id="0">
    <w:p w14:paraId="0186CF2F" w14:textId="77777777" w:rsidR="006A3480" w:rsidRDefault="006A3480" w:rsidP="00086D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CA018B" w14:textId="1EE94463" w:rsidR="00731E12" w:rsidRDefault="00731E12" w:rsidP="00731E12">
    <w:pPr>
      <w:pStyle w:val="Header"/>
      <w:ind w:left="-284" w:firstLine="284"/>
    </w:pPr>
    <w:r>
      <w:rPr>
        <w:noProof/>
      </w:rPr>
      <w:drawing>
        <wp:anchor distT="0" distB="0" distL="114300" distR="114300" simplePos="0" relativeHeight="251658240" behindDoc="1" locked="0" layoutInCell="1" allowOverlap="1" wp14:anchorId="438AE0AB" wp14:editId="6AD21B54">
          <wp:simplePos x="0" y="0"/>
          <wp:positionH relativeFrom="column">
            <wp:posOffset>-567863</wp:posOffset>
          </wp:positionH>
          <wp:positionV relativeFrom="paragraph">
            <wp:posOffset>-179647</wp:posOffset>
          </wp:positionV>
          <wp:extent cx="1205230" cy="399415"/>
          <wp:effectExtent l="0" t="0" r="1270" b="0"/>
          <wp:wrapNone/>
          <wp:docPr id="260666708" name="Picture 1" descr="Prifysgol Cymru Y Drindod Dewi Sant (University of Wales Trinity Saint  David) – UniNe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UniNet projec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205230" cy="399415"/>
                  </a:xfrm>
                  <a:prstGeom prst="rect">
                    <a:avLst/>
                  </a:prstGeom>
                  <a:noFill/>
                  <a:ln>
                    <a:noFill/>
                  </a:ln>
                </pic:spPr>
              </pic:pic>
            </a:graphicData>
          </a:graphic>
          <wp14:sizeRelV relativeFrom="margin">
            <wp14:pctHeight>0</wp14:pctHeight>
          </wp14:sizeRelV>
        </wp:anchor>
      </w:drawing>
    </w:r>
    <w:r>
      <w:fldChar w:fldCharType="begin"/>
    </w:r>
    <w:r>
      <w:instrText xml:space="preserve"> INCLUDEPICTURE "/Users/cristianbatrinu/Library/Group Containers/UBF8T346G9.ms/WebArchiveCopyPasteTempFiles/com.microsoft.Word/16_uwtsd_logo.png" \* MERGEFORMATINET </w:instrText>
    </w:r>
    <w:r>
      <w:fldChar w:fldCharType="separate"/>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FFFFFFFF"/>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A"/>
    <w:multiLevelType w:val="hybridMultilevel"/>
    <w:tmpl w:val="FFFFFFFF"/>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000000B"/>
    <w:multiLevelType w:val="hybridMultilevel"/>
    <w:tmpl w:val="FFFFFFFF"/>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0000C"/>
    <w:multiLevelType w:val="hybridMultilevel"/>
    <w:tmpl w:val="FFFFFFFF"/>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0000000D"/>
    <w:multiLevelType w:val="hybridMultilevel"/>
    <w:tmpl w:val="FFFFFFFF"/>
    <w:lvl w:ilvl="0" w:tplc="000004B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0000000E"/>
    <w:multiLevelType w:val="hybridMultilevel"/>
    <w:tmpl w:val="FFFFFFFF"/>
    <w:lvl w:ilvl="0" w:tplc="0000051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0000000F"/>
    <w:multiLevelType w:val="hybridMultilevel"/>
    <w:tmpl w:val="FFFFFFFF"/>
    <w:lvl w:ilvl="0" w:tplc="0000057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00000010"/>
    <w:multiLevelType w:val="hybridMultilevel"/>
    <w:tmpl w:val="FFFFFFFF"/>
    <w:lvl w:ilvl="0" w:tplc="000005D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00000011"/>
    <w:multiLevelType w:val="hybridMultilevel"/>
    <w:tmpl w:val="FFFFFFFF"/>
    <w:lvl w:ilvl="0" w:tplc="0000064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00000012"/>
    <w:multiLevelType w:val="hybridMultilevel"/>
    <w:tmpl w:val="FFFFFFFF"/>
    <w:lvl w:ilvl="0" w:tplc="000006A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081114C2"/>
    <w:multiLevelType w:val="hybridMultilevel"/>
    <w:tmpl w:val="6752259A"/>
    <w:lvl w:ilvl="0" w:tplc="81C27B3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11187919"/>
    <w:multiLevelType w:val="hybridMultilevel"/>
    <w:tmpl w:val="EFBE012C"/>
    <w:lvl w:ilvl="0" w:tplc="81C27B3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11592AA8"/>
    <w:multiLevelType w:val="hybridMultilevel"/>
    <w:tmpl w:val="5A5857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13BC4C42"/>
    <w:multiLevelType w:val="multilevel"/>
    <w:tmpl w:val="959C1F3C"/>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8313664"/>
    <w:multiLevelType w:val="hybridMultilevel"/>
    <w:tmpl w:val="774296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1AB6762E"/>
    <w:multiLevelType w:val="hybridMultilevel"/>
    <w:tmpl w:val="AB5C6998"/>
    <w:lvl w:ilvl="0" w:tplc="81C27B3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29F37A30"/>
    <w:multiLevelType w:val="hybridMultilevel"/>
    <w:tmpl w:val="8DFA329C"/>
    <w:lvl w:ilvl="0" w:tplc="81C27B3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2B300410"/>
    <w:multiLevelType w:val="multilevel"/>
    <w:tmpl w:val="14B4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D060830"/>
    <w:multiLevelType w:val="hybridMultilevel"/>
    <w:tmpl w:val="509E1F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2D9D1535"/>
    <w:multiLevelType w:val="hybridMultilevel"/>
    <w:tmpl w:val="75B6421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8" w15:restartNumberingAfterBreak="0">
    <w:nsid w:val="2EEA0A43"/>
    <w:multiLevelType w:val="hybridMultilevel"/>
    <w:tmpl w:val="E0DE66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36231348"/>
    <w:multiLevelType w:val="hybridMultilevel"/>
    <w:tmpl w:val="CDFAA388"/>
    <w:lvl w:ilvl="0" w:tplc="81C27B3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389B6365"/>
    <w:multiLevelType w:val="multilevel"/>
    <w:tmpl w:val="D24E9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E9B07D5"/>
    <w:multiLevelType w:val="hybridMultilevel"/>
    <w:tmpl w:val="5E0A415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2" w15:restartNumberingAfterBreak="0">
    <w:nsid w:val="416F1036"/>
    <w:multiLevelType w:val="hybridMultilevel"/>
    <w:tmpl w:val="C46266D8"/>
    <w:lvl w:ilvl="0" w:tplc="81C27B3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4267308C"/>
    <w:multiLevelType w:val="hybridMultilevel"/>
    <w:tmpl w:val="34560E16"/>
    <w:lvl w:ilvl="0" w:tplc="81C27B3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B051CE8"/>
    <w:multiLevelType w:val="multilevel"/>
    <w:tmpl w:val="5DDC5842"/>
    <w:lvl w:ilvl="0">
      <w:start w:val="1"/>
      <w:numFmt w:val="decimal"/>
      <w:lvlText w:val="%1."/>
      <w:lvlJc w:val="left"/>
      <w:pPr>
        <w:ind w:left="720" w:hanging="360"/>
      </w:pPr>
      <w:rPr>
        <w:rFonts w:hint="default"/>
        <w:sz w:val="22"/>
        <w:szCs w:val="28"/>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B9A6EEB"/>
    <w:multiLevelType w:val="hybridMultilevel"/>
    <w:tmpl w:val="05F4AA00"/>
    <w:lvl w:ilvl="0" w:tplc="81C27B3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5CC300B8"/>
    <w:multiLevelType w:val="hybridMultilevel"/>
    <w:tmpl w:val="5944E66C"/>
    <w:lvl w:ilvl="0" w:tplc="81C27B3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28A1396"/>
    <w:multiLevelType w:val="hybridMultilevel"/>
    <w:tmpl w:val="410614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B85246C"/>
    <w:multiLevelType w:val="multilevel"/>
    <w:tmpl w:val="CE227266"/>
    <w:lvl w:ilvl="0">
      <w:start w:val="1"/>
      <w:numFmt w:val="decimal"/>
      <w:lvlText w:val="%1."/>
      <w:lvlJc w:val="left"/>
      <w:pPr>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61785">
    <w:abstractNumId w:val="0"/>
  </w:num>
  <w:num w:numId="2" w16cid:durableId="1666780356">
    <w:abstractNumId w:val="1"/>
  </w:num>
  <w:num w:numId="3" w16cid:durableId="1718890535">
    <w:abstractNumId w:val="2"/>
  </w:num>
  <w:num w:numId="4" w16cid:durableId="78525707">
    <w:abstractNumId w:val="3"/>
  </w:num>
  <w:num w:numId="5" w16cid:durableId="849611793">
    <w:abstractNumId w:val="4"/>
  </w:num>
  <w:num w:numId="6" w16cid:durableId="724572142">
    <w:abstractNumId w:val="5"/>
  </w:num>
  <w:num w:numId="7" w16cid:durableId="903415655">
    <w:abstractNumId w:val="6"/>
  </w:num>
  <w:num w:numId="8" w16cid:durableId="436339889">
    <w:abstractNumId w:val="7"/>
  </w:num>
  <w:num w:numId="9" w16cid:durableId="648168711">
    <w:abstractNumId w:val="8"/>
  </w:num>
  <w:num w:numId="10" w16cid:durableId="1582788689">
    <w:abstractNumId w:val="9"/>
  </w:num>
  <w:num w:numId="11" w16cid:durableId="671759774">
    <w:abstractNumId w:val="10"/>
  </w:num>
  <w:num w:numId="12" w16cid:durableId="244733021">
    <w:abstractNumId w:val="11"/>
  </w:num>
  <w:num w:numId="13" w16cid:durableId="700787705">
    <w:abstractNumId w:val="12"/>
  </w:num>
  <w:num w:numId="14" w16cid:durableId="835539525">
    <w:abstractNumId w:val="13"/>
  </w:num>
  <w:num w:numId="15" w16cid:durableId="1789011421">
    <w:abstractNumId w:val="14"/>
  </w:num>
  <w:num w:numId="16" w16cid:durableId="1268780060">
    <w:abstractNumId w:val="15"/>
  </w:num>
  <w:num w:numId="17" w16cid:durableId="877740690">
    <w:abstractNumId w:val="16"/>
  </w:num>
  <w:num w:numId="18" w16cid:durableId="617028999">
    <w:abstractNumId w:val="17"/>
  </w:num>
  <w:num w:numId="19" w16cid:durableId="571504071">
    <w:abstractNumId w:val="25"/>
  </w:num>
  <w:num w:numId="20" w16cid:durableId="740638842">
    <w:abstractNumId w:val="34"/>
  </w:num>
  <w:num w:numId="21" w16cid:durableId="1613706431">
    <w:abstractNumId w:val="30"/>
  </w:num>
  <w:num w:numId="22" w16cid:durableId="1929732641">
    <w:abstractNumId w:val="21"/>
  </w:num>
  <w:num w:numId="23" w16cid:durableId="43720658">
    <w:abstractNumId w:val="38"/>
  </w:num>
  <w:num w:numId="24" w16cid:durableId="606742620">
    <w:abstractNumId w:val="20"/>
  </w:num>
  <w:num w:numId="25" w16cid:durableId="422262114">
    <w:abstractNumId w:val="26"/>
  </w:num>
  <w:num w:numId="26" w16cid:durableId="121266924">
    <w:abstractNumId w:val="31"/>
  </w:num>
  <w:num w:numId="27" w16cid:durableId="1991403724">
    <w:abstractNumId w:val="27"/>
  </w:num>
  <w:num w:numId="28" w16cid:durableId="734551907">
    <w:abstractNumId w:val="22"/>
  </w:num>
  <w:num w:numId="29" w16cid:durableId="909264832">
    <w:abstractNumId w:val="37"/>
  </w:num>
  <w:num w:numId="30" w16cid:durableId="866678102">
    <w:abstractNumId w:val="28"/>
  </w:num>
  <w:num w:numId="31" w16cid:durableId="383801154">
    <w:abstractNumId w:val="33"/>
  </w:num>
  <w:num w:numId="32" w16cid:durableId="568686467">
    <w:abstractNumId w:val="24"/>
  </w:num>
  <w:num w:numId="33" w16cid:durableId="1245064474">
    <w:abstractNumId w:val="36"/>
  </w:num>
  <w:num w:numId="34" w16cid:durableId="1237128545">
    <w:abstractNumId w:val="35"/>
  </w:num>
  <w:num w:numId="35" w16cid:durableId="926839155">
    <w:abstractNumId w:val="18"/>
  </w:num>
  <w:num w:numId="36" w16cid:durableId="110907369">
    <w:abstractNumId w:val="23"/>
  </w:num>
  <w:num w:numId="37" w16cid:durableId="249776576">
    <w:abstractNumId w:val="19"/>
  </w:num>
  <w:num w:numId="38" w16cid:durableId="1404448252">
    <w:abstractNumId w:val="32"/>
  </w:num>
  <w:num w:numId="39" w16cid:durableId="5374125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805"/>
    <w:rsid w:val="00007844"/>
    <w:rsid w:val="000724A1"/>
    <w:rsid w:val="00086D38"/>
    <w:rsid w:val="002118FC"/>
    <w:rsid w:val="00231566"/>
    <w:rsid w:val="002557C2"/>
    <w:rsid w:val="00257B7C"/>
    <w:rsid w:val="002D1F45"/>
    <w:rsid w:val="003D2726"/>
    <w:rsid w:val="003D3B2B"/>
    <w:rsid w:val="004E4A0E"/>
    <w:rsid w:val="004F0900"/>
    <w:rsid w:val="00546C60"/>
    <w:rsid w:val="005A148B"/>
    <w:rsid w:val="005D0F14"/>
    <w:rsid w:val="00681496"/>
    <w:rsid w:val="006A3480"/>
    <w:rsid w:val="006B16C1"/>
    <w:rsid w:val="00731E12"/>
    <w:rsid w:val="00737429"/>
    <w:rsid w:val="008218A8"/>
    <w:rsid w:val="008B59C1"/>
    <w:rsid w:val="009D50D2"/>
    <w:rsid w:val="00A56038"/>
    <w:rsid w:val="00A9735C"/>
    <w:rsid w:val="00AB1606"/>
    <w:rsid w:val="00BC7015"/>
    <w:rsid w:val="00C15BA2"/>
    <w:rsid w:val="00C24BF0"/>
    <w:rsid w:val="00C33209"/>
    <w:rsid w:val="00C975E6"/>
    <w:rsid w:val="00D45D5F"/>
    <w:rsid w:val="00DA2B5E"/>
    <w:rsid w:val="00E75805"/>
    <w:rsid w:val="00EE706A"/>
    <w:rsid w:val="00F059A3"/>
    <w:rsid w:val="00FA19A0"/>
  </w:rsids>
  <m:mathPr>
    <m:mathFont m:val="Cambria Math"/>
    <m:brkBin m:val="before"/>
    <m:brkBinSub m:val="--"/>
    <m:smallFrac m:val="0"/>
    <m:dispDef/>
    <m:lMargin m:val="0"/>
    <m:rMargin m:val="0"/>
    <m:defJc m:val="centerGroup"/>
    <m:wrapIndent m:val="1440"/>
    <m:intLim m:val="subSup"/>
    <m:naryLim m:val="undOvr"/>
  </m:mathPr>
  <w:themeFontLang w:val="en-C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8618D"/>
  <w15:chartTrackingRefBased/>
  <w15:docId w15:val="{C5442352-AD8F-FF4A-A753-76898D855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Z"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8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58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758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58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58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58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8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8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8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8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58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758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58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58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58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8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8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805"/>
    <w:rPr>
      <w:rFonts w:eastAsiaTheme="majorEastAsia" w:cstheme="majorBidi"/>
      <w:color w:val="272727" w:themeColor="text1" w:themeTint="D8"/>
    </w:rPr>
  </w:style>
  <w:style w:type="paragraph" w:styleId="Title">
    <w:name w:val="Title"/>
    <w:basedOn w:val="Normal"/>
    <w:next w:val="Normal"/>
    <w:link w:val="TitleChar"/>
    <w:uiPriority w:val="10"/>
    <w:qFormat/>
    <w:rsid w:val="00E758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8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58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8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805"/>
    <w:pPr>
      <w:spacing w:before="160"/>
      <w:jc w:val="center"/>
    </w:pPr>
    <w:rPr>
      <w:i/>
      <w:iCs/>
      <w:color w:val="404040" w:themeColor="text1" w:themeTint="BF"/>
    </w:rPr>
  </w:style>
  <w:style w:type="character" w:customStyle="1" w:styleId="QuoteChar">
    <w:name w:val="Quote Char"/>
    <w:basedOn w:val="DefaultParagraphFont"/>
    <w:link w:val="Quote"/>
    <w:uiPriority w:val="29"/>
    <w:rsid w:val="00E75805"/>
    <w:rPr>
      <w:i/>
      <w:iCs/>
      <w:color w:val="404040" w:themeColor="text1" w:themeTint="BF"/>
    </w:rPr>
  </w:style>
  <w:style w:type="paragraph" w:styleId="ListParagraph">
    <w:name w:val="List Paragraph"/>
    <w:basedOn w:val="Normal"/>
    <w:uiPriority w:val="34"/>
    <w:qFormat/>
    <w:rsid w:val="00E75805"/>
    <w:pPr>
      <w:ind w:left="720"/>
      <w:contextualSpacing/>
    </w:pPr>
  </w:style>
  <w:style w:type="character" w:styleId="IntenseEmphasis">
    <w:name w:val="Intense Emphasis"/>
    <w:basedOn w:val="DefaultParagraphFont"/>
    <w:uiPriority w:val="21"/>
    <w:qFormat/>
    <w:rsid w:val="00E75805"/>
    <w:rPr>
      <w:i/>
      <w:iCs/>
      <w:color w:val="0F4761" w:themeColor="accent1" w:themeShade="BF"/>
    </w:rPr>
  </w:style>
  <w:style w:type="paragraph" w:styleId="IntenseQuote">
    <w:name w:val="Intense Quote"/>
    <w:basedOn w:val="Normal"/>
    <w:next w:val="Normal"/>
    <w:link w:val="IntenseQuoteChar"/>
    <w:uiPriority w:val="30"/>
    <w:qFormat/>
    <w:rsid w:val="00E758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5805"/>
    <w:rPr>
      <w:i/>
      <w:iCs/>
      <w:color w:val="0F4761" w:themeColor="accent1" w:themeShade="BF"/>
    </w:rPr>
  </w:style>
  <w:style w:type="character" w:styleId="IntenseReference">
    <w:name w:val="Intense Reference"/>
    <w:basedOn w:val="DefaultParagraphFont"/>
    <w:uiPriority w:val="32"/>
    <w:qFormat/>
    <w:rsid w:val="00E75805"/>
    <w:rPr>
      <w:b/>
      <w:bCs/>
      <w:smallCaps/>
      <w:color w:val="0F4761" w:themeColor="accent1" w:themeShade="BF"/>
      <w:spacing w:val="5"/>
    </w:rPr>
  </w:style>
  <w:style w:type="paragraph" w:styleId="NormalWeb">
    <w:name w:val="Normal (Web)"/>
    <w:basedOn w:val="Normal"/>
    <w:uiPriority w:val="99"/>
    <w:semiHidden/>
    <w:unhideWhenUsed/>
    <w:rsid w:val="006B16C1"/>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6B16C1"/>
    <w:rPr>
      <w:b/>
      <w:bCs/>
    </w:rPr>
  </w:style>
  <w:style w:type="character" w:styleId="Hyperlink">
    <w:name w:val="Hyperlink"/>
    <w:basedOn w:val="DefaultParagraphFont"/>
    <w:uiPriority w:val="99"/>
    <w:unhideWhenUsed/>
    <w:rsid w:val="006B16C1"/>
    <w:rPr>
      <w:color w:val="0000FF"/>
      <w:u w:val="single"/>
    </w:rPr>
  </w:style>
  <w:style w:type="character" w:styleId="FollowedHyperlink">
    <w:name w:val="FollowedHyperlink"/>
    <w:basedOn w:val="DefaultParagraphFont"/>
    <w:uiPriority w:val="99"/>
    <w:semiHidden/>
    <w:unhideWhenUsed/>
    <w:rsid w:val="00681496"/>
    <w:rPr>
      <w:color w:val="96607D" w:themeColor="followedHyperlink"/>
      <w:u w:val="single"/>
    </w:rPr>
  </w:style>
  <w:style w:type="character" w:styleId="UnresolvedMention">
    <w:name w:val="Unresolved Mention"/>
    <w:basedOn w:val="DefaultParagraphFont"/>
    <w:uiPriority w:val="99"/>
    <w:semiHidden/>
    <w:unhideWhenUsed/>
    <w:rsid w:val="002D1F45"/>
    <w:rPr>
      <w:color w:val="605E5C"/>
      <w:shd w:val="clear" w:color="auto" w:fill="E1DFDD"/>
    </w:rPr>
  </w:style>
  <w:style w:type="character" w:customStyle="1" w:styleId="given-name">
    <w:name w:val="given-name"/>
    <w:basedOn w:val="DefaultParagraphFont"/>
    <w:rsid w:val="00EE706A"/>
  </w:style>
  <w:style w:type="character" w:customStyle="1" w:styleId="apple-converted-space">
    <w:name w:val="apple-converted-space"/>
    <w:basedOn w:val="DefaultParagraphFont"/>
    <w:rsid w:val="00EE706A"/>
  </w:style>
  <w:style w:type="character" w:customStyle="1" w:styleId="text">
    <w:name w:val="text"/>
    <w:basedOn w:val="DefaultParagraphFont"/>
    <w:rsid w:val="00EE706A"/>
  </w:style>
  <w:style w:type="character" w:customStyle="1" w:styleId="author-ref">
    <w:name w:val="author-ref"/>
    <w:basedOn w:val="DefaultParagraphFont"/>
    <w:rsid w:val="00EE706A"/>
  </w:style>
  <w:style w:type="character" w:styleId="Emphasis">
    <w:name w:val="Emphasis"/>
    <w:basedOn w:val="DefaultParagraphFont"/>
    <w:uiPriority w:val="20"/>
    <w:qFormat/>
    <w:rsid w:val="00FA19A0"/>
    <w:rPr>
      <w:i/>
      <w:iCs/>
    </w:rPr>
  </w:style>
  <w:style w:type="paragraph" w:styleId="Header">
    <w:name w:val="header"/>
    <w:basedOn w:val="Normal"/>
    <w:link w:val="HeaderChar"/>
    <w:uiPriority w:val="99"/>
    <w:unhideWhenUsed/>
    <w:rsid w:val="00086D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D38"/>
  </w:style>
  <w:style w:type="paragraph" w:styleId="Footer">
    <w:name w:val="footer"/>
    <w:basedOn w:val="Normal"/>
    <w:link w:val="FooterChar"/>
    <w:uiPriority w:val="99"/>
    <w:unhideWhenUsed/>
    <w:rsid w:val="00086D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D38"/>
  </w:style>
  <w:style w:type="paragraph" w:styleId="TOCHeading">
    <w:name w:val="TOC Heading"/>
    <w:basedOn w:val="Heading1"/>
    <w:next w:val="Normal"/>
    <w:uiPriority w:val="39"/>
    <w:unhideWhenUsed/>
    <w:qFormat/>
    <w:rsid w:val="00BC7015"/>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BC7015"/>
    <w:pPr>
      <w:spacing w:before="120" w:after="0"/>
      <w:ind w:left="240"/>
    </w:pPr>
    <w:rPr>
      <w:b/>
      <w:bCs/>
      <w:sz w:val="22"/>
      <w:szCs w:val="22"/>
    </w:rPr>
  </w:style>
  <w:style w:type="paragraph" w:styleId="TOC3">
    <w:name w:val="toc 3"/>
    <w:basedOn w:val="Normal"/>
    <w:next w:val="Normal"/>
    <w:autoRedefine/>
    <w:uiPriority w:val="39"/>
    <w:unhideWhenUsed/>
    <w:rsid w:val="00BC7015"/>
    <w:pPr>
      <w:spacing w:after="0"/>
      <w:ind w:left="480"/>
    </w:pPr>
    <w:rPr>
      <w:sz w:val="20"/>
      <w:szCs w:val="20"/>
    </w:rPr>
  </w:style>
  <w:style w:type="paragraph" w:styleId="TOC1">
    <w:name w:val="toc 1"/>
    <w:basedOn w:val="Normal"/>
    <w:next w:val="Normal"/>
    <w:autoRedefine/>
    <w:uiPriority w:val="39"/>
    <w:unhideWhenUsed/>
    <w:rsid w:val="00BC7015"/>
    <w:pPr>
      <w:spacing w:before="120" w:after="0"/>
    </w:pPr>
    <w:rPr>
      <w:b/>
      <w:bCs/>
      <w:i/>
      <w:iCs/>
    </w:rPr>
  </w:style>
  <w:style w:type="paragraph" w:styleId="TOC4">
    <w:name w:val="toc 4"/>
    <w:basedOn w:val="Normal"/>
    <w:next w:val="Normal"/>
    <w:autoRedefine/>
    <w:uiPriority w:val="39"/>
    <w:semiHidden/>
    <w:unhideWhenUsed/>
    <w:rsid w:val="00BC7015"/>
    <w:pPr>
      <w:spacing w:after="0"/>
      <w:ind w:left="720"/>
    </w:pPr>
    <w:rPr>
      <w:sz w:val="20"/>
      <w:szCs w:val="20"/>
    </w:rPr>
  </w:style>
  <w:style w:type="paragraph" w:styleId="TOC5">
    <w:name w:val="toc 5"/>
    <w:basedOn w:val="Normal"/>
    <w:next w:val="Normal"/>
    <w:autoRedefine/>
    <w:uiPriority w:val="39"/>
    <w:semiHidden/>
    <w:unhideWhenUsed/>
    <w:rsid w:val="00BC7015"/>
    <w:pPr>
      <w:spacing w:after="0"/>
      <w:ind w:left="960"/>
    </w:pPr>
    <w:rPr>
      <w:sz w:val="20"/>
      <w:szCs w:val="20"/>
    </w:rPr>
  </w:style>
  <w:style w:type="paragraph" w:styleId="TOC6">
    <w:name w:val="toc 6"/>
    <w:basedOn w:val="Normal"/>
    <w:next w:val="Normal"/>
    <w:autoRedefine/>
    <w:uiPriority w:val="39"/>
    <w:semiHidden/>
    <w:unhideWhenUsed/>
    <w:rsid w:val="00BC7015"/>
    <w:pPr>
      <w:spacing w:after="0"/>
      <w:ind w:left="1200"/>
    </w:pPr>
    <w:rPr>
      <w:sz w:val="20"/>
      <w:szCs w:val="20"/>
    </w:rPr>
  </w:style>
  <w:style w:type="paragraph" w:styleId="TOC7">
    <w:name w:val="toc 7"/>
    <w:basedOn w:val="Normal"/>
    <w:next w:val="Normal"/>
    <w:autoRedefine/>
    <w:uiPriority w:val="39"/>
    <w:semiHidden/>
    <w:unhideWhenUsed/>
    <w:rsid w:val="00BC7015"/>
    <w:pPr>
      <w:spacing w:after="0"/>
      <w:ind w:left="1440"/>
    </w:pPr>
    <w:rPr>
      <w:sz w:val="20"/>
      <w:szCs w:val="20"/>
    </w:rPr>
  </w:style>
  <w:style w:type="paragraph" w:styleId="TOC8">
    <w:name w:val="toc 8"/>
    <w:basedOn w:val="Normal"/>
    <w:next w:val="Normal"/>
    <w:autoRedefine/>
    <w:uiPriority w:val="39"/>
    <w:semiHidden/>
    <w:unhideWhenUsed/>
    <w:rsid w:val="00BC7015"/>
    <w:pPr>
      <w:spacing w:after="0"/>
      <w:ind w:left="1680"/>
    </w:pPr>
    <w:rPr>
      <w:sz w:val="20"/>
      <w:szCs w:val="20"/>
    </w:rPr>
  </w:style>
  <w:style w:type="paragraph" w:styleId="TOC9">
    <w:name w:val="toc 9"/>
    <w:basedOn w:val="Normal"/>
    <w:next w:val="Normal"/>
    <w:autoRedefine/>
    <w:uiPriority w:val="39"/>
    <w:semiHidden/>
    <w:unhideWhenUsed/>
    <w:rsid w:val="00BC7015"/>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jssmt.com/Papers/738494.pdf" TargetMode="External"/><Relationship Id="rId18" Type="http://schemas.openxmlformats.org/officeDocument/2006/relationships/hyperlink" Target="https://www.britannica.com/money/Procter-and-Gamble-Company" TargetMode="External"/><Relationship Id="rId26" Type="http://schemas.openxmlformats.org/officeDocument/2006/relationships/hyperlink" Target="https://www.latterly.org/procter-gamble-pg-swot-analysis/" TargetMode="External"/><Relationship Id="rId39" Type="http://schemas.openxmlformats.org/officeDocument/2006/relationships/hyperlink" Target="https://www.researchandmarkets.com/reports/6068532/cleaning-hygiene-products-global-strategic" TargetMode="External"/><Relationship Id="rId21" Type="http://schemas.openxmlformats.org/officeDocument/2006/relationships/hyperlink" Target="https://www.forbes.com/sites/noahbarsky/2021/10/26/procter-gamble-tech-spending-boosts-supply-chain-resilience" TargetMode="External"/><Relationship Id="rId34" Type="http://schemas.openxmlformats.org/officeDocument/2006/relationships/hyperlink" Target="https://logisticsbusiness.com/transport-distribution/how-are-post-brexit-trade-rules-affecting-eu-uk-supply-chains/" TargetMode="External"/><Relationship Id="rId42" Type="http://schemas.openxmlformats.org/officeDocument/2006/relationships/hyperlink" Target="https://www.strategy-business.com/article/08304" TargetMode="External"/><Relationship Id="rId47" Type="http://schemas.openxmlformats.org/officeDocument/2006/relationships/hyperlink" Target="https://doi.org/10.1016/j.tre.2025.104495"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orporate.dow.com/en-us/news/press-releases/recyclability-of-air-capsule-e-commerce-packaging.html" TargetMode="External"/><Relationship Id="rId29" Type="http://schemas.openxmlformats.org/officeDocument/2006/relationships/hyperlink" Target="https://www.mbaskool.com/five-forces-analysis/companies/18322-procter-and-gamble-pag.html" TargetMode="External"/><Relationship Id="rId11" Type="http://schemas.openxmlformats.org/officeDocument/2006/relationships/hyperlink" Target="https://businessmodelanalyst.com/pg-competitors/" TargetMode="External"/><Relationship Id="rId24" Type="http://schemas.openxmlformats.org/officeDocument/2006/relationships/hyperlink" Target="https://hbr.org/video/2226595885001/innovation-at-procter--gamble" TargetMode="External"/><Relationship Id="rId32" Type="http://schemas.openxmlformats.org/officeDocument/2006/relationships/hyperlink" Target="https://panmore.com/procter-gamble-pestel-pestle-analysis-recommendations" TargetMode="External"/><Relationship Id="rId37" Type="http://schemas.openxmlformats.org/officeDocument/2006/relationships/hyperlink" Target="https://us.pg.com/pg-history/" TargetMode="External"/><Relationship Id="rId40" Type="http://schemas.openxmlformats.org/officeDocument/2006/relationships/hyperlink" Target="https://francis-press.com/uploads/papers/Q8KOiL4FlEVKEgEuNwamCZgoZsFFRQnliXzbRICc.pdf" TargetMode="External"/><Relationship Id="rId45" Type="http://schemas.openxmlformats.org/officeDocument/2006/relationships/hyperlink" Target="https://www.un.org/development/desa/dpad/wp-content/uploads/sites/45/FTI_2023_July.pdf" TargetMode="External"/><Relationship Id="rId5" Type="http://schemas.openxmlformats.org/officeDocument/2006/relationships/webSettings" Target="webSettings.xml"/><Relationship Id="rId15" Type="http://schemas.openxmlformats.org/officeDocument/2006/relationships/hyperlink" Target="https://dividendone.com/dividend-king-procter-gamble/" TargetMode="External"/><Relationship Id="rId23" Type="http://schemas.openxmlformats.org/officeDocument/2006/relationships/hyperlink" Target="https://www.grandviewresearch.com/industry-analysis/cleaning-hygiene-products-market-report" TargetMode="External"/><Relationship Id="rId28" Type="http://schemas.openxmlformats.org/officeDocument/2006/relationships/hyperlink" Target="https://www.marketing91.com/swot-analysis-procter-gamble/" TargetMode="External"/><Relationship Id="rId36" Type="http://schemas.openxmlformats.org/officeDocument/2006/relationships/hyperlink" Target="https://us.pg.com/blogs/packaging-solutions/" TargetMode="External"/><Relationship Id="rId49" Type="http://schemas.openxmlformats.org/officeDocument/2006/relationships/fontTable" Target="fontTable.xml"/><Relationship Id="rId10" Type="http://schemas.openxmlformats.org/officeDocument/2006/relationships/hyperlink" Target="https://www.btgadvisory.com/insights/general/uk-sme-manufacturers-navigate-cost-pressures-supply-risks-and-shifting-trade-patterns" TargetMode="External"/><Relationship Id="rId19" Type="http://schemas.openxmlformats.org/officeDocument/2006/relationships/hyperlink" Target="https://environment.ec.europa.eu/topics/waste-and-recycling/packaging-waste_en" TargetMode="External"/><Relationship Id="rId31" Type="http://schemas.openxmlformats.org/officeDocument/2006/relationships/hyperlink" Target="https://www.nasdaq.com/articles/procter-gamble-vs-unilever-who-holds-power-fmcg-race" TargetMode="External"/><Relationship Id="rId44" Type="http://schemas.openxmlformats.org/officeDocument/2006/relationships/hyperlink" Target="https://www.swotanalysis.com/procter-and-gamble" TargetMode="External"/><Relationship Id="rId4" Type="http://schemas.openxmlformats.org/officeDocument/2006/relationships/settings" Target="settings.xml"/><Relationship Id="rId9" Type="http://schemas.openxmlformats.org/officeDocument/2006/relationships/hyperlink" Target="https://www.academia.edu/33359720/Procter_and_Gamble_reanalysis" TargetMode="External"/><Relationship Id="rId14" Type="http://schemas.openxmlformats.org/officeDocument/2006/relationships/hyperlink" Target="https://www.consilium.europa.eu/en/press/press-releases/2025/06/10/council-and-parliament-strike-a-deal-to-make-detergents-safer-for-the-population-and-the-environment/" TargetMode="External"/><Relationship Id="rId22" Type="http://schemas.openxmlformats.org/officeDocument/2006/relationships/hyperlink" Target="https://freepestelanalysis.com/pestle-analysis-of-fmcg-industry/" TargetMode="External"/><Relationship Id="rId27" Type="http://schemas.openxmlformats.org/officeDocument/2006/relationships/hyperlink" Target="https://d3.harvard.edu/platform-digit/submission/pg-leads-consumer-goods-giants-in-race-to-figure-out-digital/" TargetMode="External"/><Relationship Id="rId30" Type="http://schemas.openxmlformats.org/officeDocument/2006/relationships/hyperlink" Target="https://www.mordorintelligence.com/industry-reports/baby-care-products-market" TargetMode="External"/><Relationship Id="rId35" Type="http://schemas.openxmlformats.org/officeDocument/2006/relationships/hyperlink" Target="https://us.pg.com/environmental-sustainability/" TargetMode="External"/><Relationship Id="rId43" Type="http://schemas.openxmlformats.org/officeDocument/2006/relationships/hyperlink" Target="https://www.supplychaindive.com/news/procter-gamble-supply-chain-restructuring/750640/" TargetMode="External"/><Relationship Id="rId48" Type="http://schemas.openxmlformats.org/officeDocument/2006/relationships/header" Target="header1.xml"/><Relationship Id="rId8" Type="http://schemas.openxmlformats.org/officeDocument/2006/relationships/hyperlink" Target="https://www.actualmarketresearch.com/product/global-personal-hygiene-market-overview" TargetMode="External"/><Relationship Id="rId3" Type="http://schemas.openxmlformats.org/officeDocument/2006/relationships/styles" Target="styles.xml"/><Relationship Id="rId12" Type="http://schemas.openxmlformats.org/officeDocument/2006/relationships/hyperlink" Target="https://business-news-today.com/the-great-consumer-goods-reset-why-unilever-procter-gamble-and-colgate-are-trimming-portfolios-in-2025/" TargetMode="External"/><Relationship Id="rId17" Type="http://schemas.openxmlformats.org/officeDocument/2006/relationships/hyperlink" Target="https://www.emergenresearch.com/industry-report/beauty-and-personal-care-market" TargetMode="External"/><Relationship Id="rId25" Type="http://schemas.openxmlformats.org/officeDocument/2006/relationships/hyperlink" Target="https://www.hivelr.com/2024/07/procter-gamble-pg-pestel-and-macro-environmental-analysis/" TargetMode="External"/><Relationship Id="rId33" Type="http://schemas.openxmlformats.org/officeDocument/2006/relationships/hyperlink" Target="https://panmore.com/procter-gamble-swot-analysis-recommendations" TargetMode="External"/><Relationship Id="rId38" Type="http://schemas.openxmlformats.org/officeDocument/2006/relationships/hyperlink" Target="https://www.researchgate.net/publication/350877666" TargetMode="External"/><Relationship Id="rId46" Type="http://schemas.openxmlformats.org/officeDocument/2006/relationships/hyperlink" Target="http://www.ijrms.com/olvolume2issue4/GedelaRakeshVarma-JaladiRavi-3.pdf" TargetMode="External"/><Relationship Id="rId20" Type="http://schemas.openxmlformats.org/officeDocument/2006/relationships/hyperlink" Target="https://www.ey.com/content/dam/ey-unified-site/ey-com/en-gl/alliances/documents/ey-pg-supply-chain-excellence-000421-22gbl.pdf" TargetMode="External"/><Relationship Id="rId41" Type="http://schemas.openxmlformats.org/officeDocument/2006/relationships/hyperlink" Target="https://www.statista.com/statistics/260963/leading-fmcg-companies-worldwide-based-on-sales/"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1FF1457-6249-524F-99BF-ECC2F9EA4E98}">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BD3CC6-035D-3D4B-BCE4-F0D17A25F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25</Pages>
  <Words>6317</Words>
  <Characters>45801</Characters>
  <Application>Microsoft Office Word</Application>
  <DocSecurity>0</DocSecurity>
  <Lines>776</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MOV Memories</dc:creator>
  <cp:keywords/>
  <dc:description/>
  <cp:lastModifiedBy>MOV Memories</cp:lastModifiedBy>
  <cp:revision>2</cp:revision>
  <dcterms:created xsi:type="dcterms:W3CDTF">2025-12-10T15:11:00Z</dcterms:created>
  <dcterms:modified xsi:type="dcterms:W3CDTF">2025-12-10T15:11:00Z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documentId_4617</vt:lpwstr>
  </property>
  <property fmtid="{D5CDD505-2E9C-101B-9397-08002B2CF9AE}" pid="3" name="grammarly_documentContext">
    <vt:lpwstr>{"goals":["inform","describe"],"domain":"academic","emotions":["analytical"],"dialect":"british","audience":"expert","style":"formal"}</vt:lpwstr>
  </property>
</Properties>
</file>