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8240"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28B0C9ED"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 xml:space="preserve">Student </w:t>
      </w:r>
      <w:r w:rsidR="004B60AA" w:rsidRPr="00C31D85">
        <w:rPr>
          <w:rFonts w:ascii="Aptos" w:hAnsi="Aptos" w:cs="Arial"/>
          <w:b/>
          <w:bCs/>
          <w:sz w:val="28"/>
          <w:szCs w:val="28"/>
          <w:lang w:val="nl-NL"/>
        </w:rPr>
        <w:t>name</w:t>
      </w:r>
      <w:r w:rsidR="004B60AA" w:rsidRPr="00C31D85">
        <w:rPr>
          <w:rFonts w:ascii="Aptos" w:hAnsi="Aptos" w:cs="Arial"/>
          <w:sz w:val="28"/>
          <w:szCs w:val="28"/>
          <w:lang w:val="nl-NL"/>
        </w:rPr>
        <w:t>:</w:t>
      </w:r>
      <w:r w:rsidR="004B60AA">
        <w:rPr>
          <w:rFonts w:ascii="Aptos" w:hAnsi="Aptos" w:cs="Arial"/>
          <w:sz w:val="28"/>
          <w:szCs w:val="28"/>
          <w:lang w:val="nl-NL"/>
        </w:rPr>
        <w:t xml:space="preserve"> Sirmenaz</w:t>
      </w:r>
      <w:r w:rsidR="005314A8">
        <w:rPr>
          <w:rFonts w:ascii="Aptos" w:hAnsi="Aptos" w:cs="Arial"/>
          <w:sz w:val="28"/>
          <w:szCs w:val="28"/>
          <w:lang w:val="nl-NL"/>
        </w:rPr>
        <w:t xml:space="preserve"> Bibi</w:t>
      </w:r>
    </w:p>
    <w:p w14:paraId="4D060E17" w14:textId="53E1748A"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5314A8">
        <w:rPr>
          <w:rFonts w:ascii="Aptos" w:hAnsi="Aptos" w:cs="Arial"/>
          <w:sz w:val="28"/>
          <w:szCs w:val="28"/>
          <w:lang w:val="nl-NL"/>
        </w:rPr>
        <w:t>2232147</w:t>
      </w:r>
    </w:p>
    <w:p w14:paraId="41CBCDE7" w14:textId="0C955850" w:rsidR="00C31D85" w:rsidRPr="00C31D85" w:rsidRDefault="00C31D85" w:rsidP="5808F716">
      <w:pPr>
        <w:tabs>
          <w:tab w:val="left" w:pos="6540"/>
        </w:tabs>
        <w:spacing w:line="360" w:lineRule="auto"/>
        <w:ind w:left="426"/>
        <w:rPr>
          <w:rFonts w:ascii="Aptos" w:hAnsi="Aptos" w:cs="Arial"/>
          <w:sz w:val="28"/>
          <w:szCs w:val="28"/>
          <w:lang w:val="nl-NL"/>
        </w:rPr>
      </w:pPr>
      <w:r w:rsidRPr="5808F716">
        <w:rPr>
          <w:rFonts w:ascii="Aptos" w:hAnsi="Aptos" w:cs="Arial"/>
          <w:b/>
          <w:bCs/>
          <w:sz w:val="28"/>
          <w:szCs w:val="28"/>
          <w:lang w:val="nl-NL"/>
        </w:rPr>
        <w:t>Module name</w:t>
      </w:r>
      <w:r w:rsidRPr="5808F716">
        <w:rPr>
          <w:rFonts w:ascii="Aptos" w:hAnsi="Aptos" w:cs="Arial"/>
          <w:sz w:val="28"/>
          <w:szCs w:val="28"/>
          <w:lang w:val="nl-NL"/>
        </w:rPr>
        <w:t xml:space="preserve">: </w:t>
      </w:r>
      <w:r w:rsidR="004B60AA" w:rsidRPr="5808F716">
        <w:rPr>
          <w:rFonts w:ascii="Aptos" w:hAnsi="Aptos" w:cs="Arial"/>
          <w:sz w:val="28"/>
          <w:szCs w:val="28"/>
          <w:lang w:val="nl-NL"/>
        </w:rPr>
        <w:t>Independent</w:t>
      </w:r>
      <w:r w:rsidR="00A63C16">
        <w:rPr>
          <w:rFonts w:ascii="Aptos" w:hAnsi="Aptos" w:cs="Arial"/>
          <w:sz w:val="28"/>
          <w:szCs w:val="28"/>
          <w:lang w:val="nl-NL"/>
        </w:rPr>
        <w:t xml:space="preserve"> Project</w:t>
      </w:r>
    </w:p>
    <w:p w14:paraId="42A6E8AA" w14:textId="4D22B069" w:rsidR="00C31D85" w:rsidRDefault="00C31D85" w:rsidP="00C31D85">
      <w:pPr>
        <w:tabs>
          <w:tab w:val="left" w:pos="6540"/>
        </w:tabs>
        <w:spacing w:line="360" w:lineRule="auto"/>
        <w:ind w:left="426"/>
        <w:rPr>
          <w:rFonts w:ascii="Aptos" w:hAnsi="Aptos" w:cs="Arial"/>
          <w:sz w:val="28"/>
          <w:szCs w:val="28"/>
        </w:rPr>
      </w:pPr>
      <w:r w:rsidRPr="0A9D2F51">
        <w:rPr>
          <w:rFonts w:ascii="Aptos" w:hAnsi="Aptos" w:cs="Arial"/>
          <w:b/>
          <w:bCs/>
          <w:sz w:val="28"/>
          <w:szCs w:val="28"/>
        </w:rPr>
        <w:t xml:space="preserve">Module </w:t>
      </w:r>
      <w:r w:rsidR="004B60AA" w:rsidRPr="0A9D2F51">
        <w:rPr>
          <w:rFonts w:ascii="Aptos" w:hAnsi="Aptos" w:cs="Arial"/>
          <w:b/>
          <w:bCs/>
          <w:sz w:val="28"/>
          <w:szCs w:val="28"/>
        </w:rPr>
        <w:t>code</w:t>
      </w:r>
      <w:r w:rsidR="004B60AA" w:rsidRPr="0A9D2F51">
        <w:rPr>
          <w:rFonts w:ascii="Aptos" w:hAnsi="Aptos" w:cs="Arial"/>
          <w:sz w:val="28"/>
          <w:szCs w:val="28"/>
        </w:rPr>
        <w:t>: BMHP6020</w:t>
      </w:r>
    </w:p>
    <w:p w14:paraId="43B7E19B" w14:textId="17E78465" w:rsidR="1A6C2D51" w:rsidRDefault="1A6C2D51" w:rsidP="0A9D2F51">
      <w:pPr>
        <w:tabs>
          <w:tab w:val="left" w:pos="6540"/>
        </w:tabs>
        <w:spacing w:line="360" w:lineRule="auto"/>
        <w:ind w:left="426"/>
        <w:rPr>
          <w:rFonts w:ascii="Aptos" w:hAnsi="Aptos" w:cs="Arial"/>
          <w:sz w:val="28"/>
          <w:szCs w:val="28"/>
        </w:rPr>
      </w:pPr>
      <w:r w:rsidRPr="0A9D2F51">
        <w:rPr>
          <w:rFonts w:ascii="Aptos" w:hAnsi="Aptos" w:cs="Arial"/>
          <w:b/>
          <w:bCs/>
          <w:sz w:val="28"/>
          <w:szCs w:val="28"/>
        </w:rPr>
        <w:t>Lecturer:</w:t>
      </w:r>
      <w:r w:rsidRPr="0A9D2F51">
        <w:rPr>
          <w:rFonts w:ascii="Aptos" w:hAnsi="Aptos" w:cs="Arial"/>
          <w:sz w:val="28"/>
          <w:szCs w:val="28"/>
        </w:rPr>
        <w:t xml:space="preserve"> Dnielle Dunn</w:t>
      </w:r>
    </w:p>
    <w:p w14:paraId="2CC5A8CC" w14:textId="77777777" w:rsidR="004B60AA" w:rsidRPr="00C31D85" w:rsidRDefault="004B60AA" w:rsidP="00C31D85">
      <w:pPr>
        <w:tabs>
          <w:tab w:val="left" w:pos="6540"/>
        </w:tabs>
        <w:spacing w:line="360" w:lineRule="auto"/>
        <w:ind w:left="426"/>
        <w:rPr>
          <w:rFonts w:ascii="Aptos" w:hAnsi="Aptos" w:cs="Arial"/>
          <w:sz w:val="28"/>
          <w:szCs w:val="28"/>
        </w:rPr>
      </w:pP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p w14:paraId="53F82A21" w14:textId="5624C2AD" w:rsidR="00C31D85" w:rsidRDefault="00142AA3" w:rsidP="00C46111">
      <w:r>
        <w:rPr>
          <w:noProof/>
        </w:rPr>
        <w:drawing>
          <wp:inline distT="0" distB="0" distL="0" distR="0" wp14:anchorId="17C32EC7" wp14:editId="7262F685">
            <wp:extent cx="6098400" cy="8125200"/>
            <wp:effectExtent l="0" t="0" r="0" b="0"/>
            <wp:docPr id="28908859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8400" cy="8125200"/>
                    </a:xfrm>
                    <a:prstGeom prst="rect">
                      <a:avLst/>
                    </a:prstGeom>
                    <a:noFill/>
                  </pic:spPr>
                </pic:pic>
              </a:graphicData>
            </a:graphic>
          </wp:inline>
        </w:drawing>
      </w:r>
    </w:p>
    <w:p w14:paraId="0B2D6C09" w14:textId="43130964" w:rsidR="0A9D2F51" w:rsidRDefault="0A9D2F51"/>
    <w:p w14:paraId="76E16F4E" w14:textId="120E8F5B" w:rsidR="0A9D2F51" w:rsidRDefault="0A9D2F51" w:rsidP="0A9D2F51">
      <w:pPr>
        <w:rPr>
          <w:rFonts w:ascii="Arial" w:eastAsia="Arial" w:hAnsi="Arial" w:cs="Arial"/>
        </w:rPr>
        <w:sectPr w:rsidR="0A9D2F51" w:rsidSect="007D1AFC">
          <w:pgSz w:w="12240" w:h="15840" w:code="1"/>
          <w:pgMar w:top="720" w:right="576" w:bottom="720" w:left="720" w:header="432" w:footer="288" w:gutter="0"/>
          <w:cols w:space="720"/>
          <w:titlePg/>
          <w:docGrid w:linePitch="360"/>
        </w:sectPr>
      </w:pPr>
    </w:p>
    <w:p w14:paraId="42BC46FD" w14:textId="3182E52B" w:rsidR="00E06BA1" w:rsidRDefault="78CA3615" w:rsidP="5025A093">
      <w:pPr>
        <w:spacing w:after="0" w:line="360" w:lineRule="auto"/>
        <w:rPr>
          <w:rFonts w:ascii="Arial" w:eastAsia="Arial" w:hAnsi="Arial" w:cs="Arial"/>
          <w:color w:val="000000" w:themeColor="text1"/>
        </w:rPr>
      </w:pPr>
      <w:r w:rsidRPr="0A9D2F51">
        <w:rPr>
          <w:rFonts w:ascii="Arial" w:eastAsia="Arial" w:hAnsi="Arial" w:cs="Arial"/>
          <w:b/>
          <w:bCs/>
          <w:color w:val="000000" w:themeColor="text1"/>
          <w:lang w:val="en-GB"/>
        </w:rPr>
        <w:t>CHAPTER 2 – Background Information and Analysis (2,000 words approx.)</w:t>
      </w:r>
    </w:p>
    <w:p w14:paraId="2FC3C18A" w14:textId="75604E2A" w:rsidR="00E06BA1" w:rsidRDefault="00E06BA1" w:rsidP="5025A093">
      <w:pPr>
        <w:spacing w:after="0" w:line="360" w:lineRule="auto"/>
        <w:rPr>
          <w:rFonts w:ascii="Arial" w:eastAsia="Arial" w:hAnsi="Arial" w:cs="Arial"/>
          <w:color w:val="000000" w:themeColor="text1"/>
        </w:rPr>
      </w:pPr>
    </w:p>
    <w:p w14:paraId="5F43D661" w14:textId="3D839EF5"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2.1 Introduction:</w:t>
      </w:r>
    </w:p>
    <w:p w14:paraId="7002C239" w14:textId="6E83C9AD"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 xml:space="preserve">Purpose of the Chapter: </w:t>
      </w:r>
      <w:r w:rsidRPr="0A9D2F51">
        <w:rPr>
          <w:rFonts w:ascii="Arial" w:eastAsia="Arial" w:hAnsi="Arial" w:cs="Arial"/>
          <w:color w:val="000000" w:themeColor="text1"/>
          <w:lang w:val="en-GB"/>
        </w:rPr>
        <w:t>This chapter delves into the historical, theoretical, international, and national landscapes of depression and its effects on families in the United Kingdom (UK). The aim is to lay the groundwork for understanding the development of depression as a mental health issue, the main theoretical models guiding its analysis, and the diverse ways families are affected. It investigates how historical events, sociocultural influences, and policy actions have shaped present-day strategies for addressing depression and family support. Additionally, the chapter considers both international and UK-specific factors, emphasising how policies, support mechanisms, and healthcare systems affect the experiences of families caring for individuals with depression. By providing this background, the chapter sets the stage for the research, paving the way for the method and analysis in later sections.</w:t>
      </w:r>
    </w:p>
    <w:p w14:paraId="7CF8C89E" w14:textId="51C25042"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2.2 Historical Background:</w:t>
      </w:r>
    </w:p>
    <w:p w14:paraId="6CAA4E63" w14:textId="43F7E9BD"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Development of the Topic:</w:t>
      </w:r>
      <w:r w:rsidRPr="0A9D2F51">
        <w:rPr>
          <w:rFonts w:ascii="Arial" w:eastAsia="Arial" w:hAnsi="Arial" w:cs="Arial"/>
          <w:color w:val="000000" w:themeColor="text1"/>
          <w:lang w:val="en-GB"/>
        </w:rPr>
        <w:t xml:space="preserve"> Depression has been acknowledged throughout history, but its understanding and treatment have evolved significantly. In ancient times, symptoms of depression were often referred to as melancholia. The Greek physician Hippocrates (460–370 BCE) believed that melancholia stemmed from an imbalance in bodily humours, particularly excess black bile (Jackson, 2021). During the Middle Ages, the perspective shifted towards religious interpretations, viewing mental illness as a spiritual issue or a moral failing (Porter, 2002). As a result, those suffering from depression were often isolated or subjected to severe treatments, including exorcisms or confinement.</w:t>
      </w:r>
    </w:p>
    <w:p w14:paraId="2DA7289E" w14:textId="58C51914"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The 18th and 19th centuries saw the medicalisation of mental health, with figures like Philippe Pinel and Emil Kraepelin categorising mental disorders in a scientific manner, with Kraepelin including melancholia as a part of manic-depressive illness (Shorter, 2015). Sigmund Freud's work, "Mourning and Melancholia" (1917), introduced a psychological perspective, proposing that depression could arise from unresolved grief and internalised anger (Freud, 1957).</w:t>
      </w:r>
    </w:p>
    <w:p w14:paraId="41154D5A" w14:textId="5C4A9CD1"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By the mid-20th century, the emergence of antidepressant medications transformed treatment methods. The arrival of tricyclic antidepressants in the 1950s and selective serotonin reuptake inhibitors (SSRIs) in the 1980s bolstered biological concepts of depression (Healy, 2004). However, these medical approaches often overlooked the wider social and familial contexts of depression.</w:t>
      </w:r>
    </w:p>
    <w:p w14:paraId="729903CA" w14:textId="77D227F1"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In the UK, post-war reforms such as the establishment of the National Health Service (NHS) in 1948 aimed to improve access to mental health care. Subsequently, the Care in the Community policy (Department of Health, 1983) transitioned care from institutions to home settings, expanding the role of families in mental health recovery. Families became key providers of unpaid care, often facing emotional, social, and financial difficulties (Carers UK, 2023).</w:t>
      </w:r>
    </w:p>
    <w:p w14:paraId="4BF5BDC8" w14:textId="005C82A7" w:rsidR="00E06BA1" w:rsidRDefault="00E06BA1" w:rsidP="5025A093">
      <w:pPr>
        <w:spacing w:line="360" w:lineRule="auto"/>
        <w:rPr>
          <w:rFonts w:ascii="Arial" w:eastAsia="Arial" w:hAnsi="Arial" w:cs="Arial"/>
          <w:color w:val="000000" w:themeColor="text1"/>
        </w:rPr>
      </w:pPr>
    </w:p>
    <w:p w14:paraId="77539904" w14:textId="633D29C1" w:rsidR="00E06BA1" w:rsidRDefault="00E06BA1" w:rsidP="5025A093">
      <w:pPr>
        <w:spacing w:line="360" w:lineRule="auto"/>
        <w:rPr>
          <w:rFonts w:ascii="Arial" w:eastAsia="Arial" w:hAnsi="Arial" w:cs="Arial"/>
          <w:color w:val="000000" w:themeColor="text1"/>
        </w:rPr>
      </w:pPr>
    </w:p>
    <w:p w14:paraId="211950EE" w14:textId="00B9FAB7" w:rsidR="00E06BA1" w:rsidRDefault="00E06BA1" w:rsidP="5025A093">
      <w:pPr>
        <w:spacing w:line="360" w:lineRule="auto"/>
        <w:rPr>
          <w:rFonts w:ascii="Arial" w:eastAsia="Arial" w:hAnsi="Arial" w:cs="Arial"/>
          <w:color w:val="000000" w:themeColor="text1"/>
        </w:rPr>
      </w:pPr>
    </w:p>
    <w:p w14:paraId="791A0A85" w14:textId="2A1B0E3D" w:rsidR="00E06BA1" w:rsidRDefault="00E06BA1" w:rsidP="5025A093">
      <w:pPr>
        <w:spacing w:line="360" w:lineRule="auto"/>
        <w:rPr>
          <w:rFonts w:ascii="Arial" w:eastAsia="Arial" w:hAnsi="Arial" w:cs="Arial"/>
          <w:color w:val="000000" w:themeColor="text1"/>
        </w:rPr>
      </w:pPr>
    </w:p>
    <w:p w14:paraId="391EBFA8" w14:textId="4B2D065C"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Significant Historical Figures and Contributions:</w:t>
      </w:r>
    </w:p>
    <w:p w14:paraId="4164AFEB" w14:textId="7113B520"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Advocacy groups like Mind and Rethink Mental Illness have worked to highlight the experiences of carers, while NICE has recommended guidelines to promote family involvement in the treatment of depression (NICE, 2024).</w:t>
      </w:r>
    </w:p>
    <w:p w14:paraId="52D9D965" w14:textId="035FFC47"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Thus, the historical understanding of depression has transformed from a focus on individual pathology to an appreciation of its relational and systemic effects. This shift highlights the importance of investigating how depression impacts families emotionally, socially, and economically in contemporary British society.</w:t>
      </w:r>
    </w:p>
    <w:p w14:paraId="3DA7A89B" w14:textId="4B074E72"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2.3 Theoretical Background:</w:t>
      </w:r>
    </w:p>
    <w:p w14:paraId="1B05EB65" w14:textId="152C77A7"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Various theoretical frameworks help us understand how depression starts and its impact on families. These theories show that looking at depression only from an individual angle is not enough and stress the need to consider it in broader social and family settings. For instance, psychological theories like cognitive theory explain how negative thoughts lead to symptoms of depression, while attachment theory highlights how broken relationships can harm emotional safety and resilience in families. Sociological and systemic views, such as the stress process model and family systems theory, further point out how caregiving duties, role strain, and relationship dynamics influence a family's experience with depression. Together, these frameworks reveal that depression affects both individuals and groups, highlighting the importance of comprehensive, family-focused methods for assessment, intervention, and support in mental health care.</w:t>
      </w:r>
    </w:p>
    <w:p w14:paraId="041C253F" w14:textId="3B1469D3" w:rsidR="00E06BA1" w:rsidRDefault="00E06BA1" w:rsidP="5025A093">
      <w:pPr>
        <w:spacing w:line="360" w:lineRule="auto"/>
        <w:rPr>
          <w:rFonts w:ascii="Arial" w:eastAsia="Arial" w:hAnsi="Arial" w:cs="Arial"/>
          <w:color w:val="000000" w:themeColor="text1"/>
        </w:rPr>
      </w:pPr>
    </w:p>
    <w:p w14:paraId="4ACC2D96" w14:textId="431DCACA"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Application of Theories:</w:t>
      </w:r>
    </w:p>
    <w:p w14:paraId="0E9D7A7E" w14:textId="534106F0"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Cognitive Theory:</w:t>
      </w:r>
      <w:r w:rsidRPr="0A9D2F51">
        <w:rPr>
          <w:rFonts w:ascii="Arial" w:eastAsia="Arial" w:hAnsi="Arial" w:cs="Arial"/>
          <w:color w:val="000000" w:themeColor="text1"/>
          <w:lang w:val="en-GB"/>
        </w:rPr>
        <w:t xml:space="preserve"> </w:t>
      </w:r>
    </w:p>
    <w:p w14:paraId="43287D6F" w14:textId="6999EB5C"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Beck’s cognitive theory (1967) describes depression as stemming from harmful thought patterns, known as the cognitive triad, which includes negative beliefs about oneself, the world, and the future. This theory has greatly influenced psychological treatments like cognitive behavioral therapy (CBT). However, it mainly focuses on individuals. While this theory shows how faulty thinking can lead to depressive symptoms, it does not fully consider how family relationships, caregiving duties, or common stresses can affect the start and continuation of depression in families. Therefore, it provides little understanding of family-related problems like caregiver stress or role pressure.</w:t>
      </w:r>
    </w:p>
    <w:p w14:paraId="6E6FB8FB" w14:textId="6DF30975"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Attachment Theory:</w:t>
      </w:r>
    </w:p>
    <w:p w14:paraId="495B3457" w14:textId="50F7307A"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Bowlby’s attachment theory (1980) highlights how important early relationships are for emotional growth and strength. When parents experience depression, it can interrupt secure attachment, which can hurt children's ability to manage their emotions and make them more prone to mental health issues later on (Goodman et al., 2011). While this theory starts to look at relationships instead of just the individual, it mainly concentrates on how things develop during early life rather than how family dynamics continue over time.</w:t>
      </w:r>
    </w:p>
    <w:p w14:paraId="393A1723" w14:textId="3B73796B"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 xml:space="preserve">Stress Process Model: </w:t>
      </w:r>
    </w:p>
    <w:p w14:paraId="5AF3C3D7" w14:textId="62C380CA"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The stress process model created by Pearlin and others in 1990 gives us a clearer way to understand the burden of caregiving. It shows how long-term caregiving can lead to ongoing stress, especially when there is little social support or financial problems. This model is particularly important for family members who are caring for someone with depression, as it points out how taking on too much responsibility and feeling emotionally drained can build up over time.</w:t>
      </w:r>
    </w:p>
    <w:p w14:paraId="021C53D3" w14:textId="6E85B4D2" w:rsidR="00E06BA1" w:rsidRDefault="00E06BA1" w:rsidP="5025A093">
      <w:pPr>
        <w:spacing w:line="360" w:lineRule="auto"/>
        <w:rPr>
          <w:rFonts w:ascii="Arial" w:eastAsia="Arial" w:hAnsi="Arial" w:cs="Arial"/>
          <w:color w:val="000000" w:themeColor="text1"/>
        </w:rPr>
      </w:pPr>
    </w:p>
    <w:p w14:paraId="185DF158" w14:textId="7A5D7256" w:rsidR="00E06BA1" w:rsidRDefault="00E06BA1" w:rsidP="5025A093">
      <w:pPr>
        <w:spacing w:line="360" w:lineRule="auto"/>
        <w:rPr>
          <w:rFonts w:ascii="Arial" w:eastAsia="Arial" w:hAnsi="Arial" w:cs="Arial"/>
          <w:color w:val="000000" w:themeColor="text1"/>
        </w:rPr>
      </w:pPr>
    </w:p>
    <w:p w14:paraId="291D194C" w14:textId="1D0F470A"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Family Systems Theory:</w:t>
      </w:r>
    </w:p>
    <w:p w14:paraId="60A4849C" w14:textId="009C1A3D"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Unlike models that focus on individuals, Minuchin’s family systems theory (1974) views families as connected units where the problems of one member influence everyone in the family. For example, if someone in the family is feeling depressed, it can cause changes in roles, create conflicts, or lead to unhealthy dependency among members. This approach is useful for understanding how caregiving stress affects families because it shows that pressure comes from relationships within the family, not just from the person who is depressed. Therefore, individual-focused models like Beck’s don't fully capture how these issues impact the whole family.</w:t>
      </w:r>
    </w:p>
    <w:p w14:paraId="3C595234" w14:textId="75225E03"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Biopsychosocial Model:</w:t>
      </w:r>
    </w:p>
    <w:p w14:paraId="60D5DCFF" w14:textId="57FCA604"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Engel (1977) later combined biological, psychological, and social factors into a unified model, underscoring the interconnectedness of mental and social health. This comprehensive approach underpins current NHS policies and clinical practices (NHS England, 2024).</w:t>
      </w:r>
    </w:p>
    <w:p w14:paraId="2C623D6C" w14:textId="1D3284CB"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Critical Evaluation: Each theory enhances our understanding of depression, yet each has its shortcomings. Cognitive and biological models concentrate on the individual, often neglecting relational or environmental aspects. In contrast, sociological approaches emphasise systemic factors but may lack clinical specificity. Contemporary practice merges these viewpoints, recognising the importance of both personal vulnerabilities and family dynamics.</w:t>
      </w:r>
    </w:p>
    <w:p w14:paraId="38BD290C" w14:textId="40034D7A"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This theoretical basis underpins the rationale for the current study, which contextualises depression within a family system shaped by psychological and social influences.</w:t>
      </w:r>
    </w:p>
    <w:p w14:paraId="32383B8B" w14:textId="3CC07F5B"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In the past, the rise of biological reasons for depression, along with the common use of antidepressants like SSRIs, changed how we approach mental health care by focusing on managing symptoms in individuals. While these medications helped many people feel better, this focus often ignored the role of families as both a support system and a source of stress. Because of this oversight, there is a gap in research and practice that doesn't fully acknowledge family experiences, the challenges faced by caregivers, and the stress in relationships. Today, mental health practices are starting to include ideas from cognitive, systemic, and social viewpoints. This shift supports the need to look at depression through the lens of family dynamics.</w:t>
      </w:r>
    </w:p>
    <w:p w14:paraId="7CDE92D4" w14:textId="39F6F90E"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2.4 International Context:</w:t>
      </w:r>
    </w:p>
    <w:p w14:paraId="790080F3" w14:textId="5E76794F"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 xml:space="preserve">Global Perspective: </w:t>
      </w:r>
      <w:r w:rsidRPr="0A9D2F51">
        <w:rPr>
          <w:rFonts w:ascii="Arial" w:eastAsia="Arial" w:hAnsi="Arial" w:cs="Arial"/>
          <w:color w:val="000000" w:themeColor="text1"/>
          <w:lang w:val="en-GB"/>
        </w:rPr>
        <w:t>Depression impacts people and families globally, but its acknowledgement and treatment differ from one country to another.</w:t>
      </w:r>
    </w:p>
    <w:p w14:paraId="71B0D0A6" w14:textId="21BC69C8"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In the United States, approximately 8.3% of adults face a major depressive episode each year (National Institute of Mental Health, 2024). The insurance-centred healthcare system often restricts access to ongoing care, resulting in families taking on significant caregiving responsibilities (Reupert et al., 2022). Programs that provide psychoeducation for families and community-orientated efforts have proved effectiveness in decreasing relapse rates and enhancing the well-being of carers (Biegel et al., 2021).</w:t>
      </w:r>
    </w:p>
    <w:p w14:paraId="3F2CF9FD" w14:textId="1234BC43"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Comparative Analysis:</w:t>
      </w:r>
      <w:r w:rsidRPr="0A9D2F51">
        <w:rPr>
          <w:rFonts w:ascii="Arial" w:eastAsia="Arial" w:hAnsi="Arial" w:cs="Arial"/>
          <w:color w:val="000000" w:themeColor="text1"/>
          <w:lang w:val="en-GB"/>
        </w:rPr>
        <w:t xml:space="preserve"> In Australia, the National Mental Health Strategy encourages care that is community-centred, unity-centred and includes families (Australian Government, 2023). The Mind Australia Family Program offers organised aid. and education to the families of individuals with depression, enhancing their coping skills and decreasing stigma (Reavley et al., 2020).</w:t>
      </w:r>
    </w:p>
    <w:p w14:paraId="4D0C7150" w14:textId="74C29C06"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Case Studies: Globally, the World Health Organisation (WHO) finds depression as a primary cause of disability and stresses the crucial role of community and family support in recovery (WHO, 2021). Cultural variations influence family dynamics as well. In collectivist nations like India and China, families often offer significant informal care, yet they meet stigma and insufficient professional aid (Chang et al., 2020).</w:t>
      </w:r>
    </w:p>
    <w:p w14:paraId="23E1BCE0" w14:textId="0C92370F"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These worldwide differences show that successful family-centred care relies on policy commitment, cultural beliefs, and the availability of services. Insights from global practices can enhance mental health care in the UK, especially in providing consistent support for the families of those dealing with depression.</w:t>
      </w:r>
    </w:p>
    <w:p w14:paraId="2E044D96" w14:textId="4A54A429"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2.5 National/Local UK Context:</w:t>
      </w:r>
    </w:p>
    <w:p w14:paraId="38D9EDA0" w14:textId="11B70ACC"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xml:space="preserve">UK Perspective: In the UK, depression is one of the most common mental health issues, impacting about one in six adults each week (NHS Digital, 2024). To tackle this widespread problem, the UK government has launched national plans like the Five Year Forward View for Mental Health (NHS England, 2016) and the NHS Long Term Plan (NHS England, 2019). These plans focus on early treatment, ensuring mental health is treated equally to physical health, and creating community-based mental health services that work together. </w:t>
      </w:r>
    </w:p>
    <w:p w14:paraId="4B582448" w14:textId="77937CAD"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Although these policies have made it easier for people to access therapy and have raised public awareness, their application has not been uniform across different areas. There are still shortages in staff and funding issues that limit service availability, especially in community mental health programs (NHS England, 2024). Even though policy guidelines highlight the need to involve families and caregivers in treatment and recovery processes, support for informal caregivers is often scattered. Many caregivers report feeling left out of care planning and lacking sufficient emotional and financial help (Carers UK, 2023). This ongoing gap between what national policies aim for and how services are delivered locally shows that there is a need for more consistent approaches that include families in UK mental health care.</w:t>
      </w:r>
    </w:p>
    <w:p w14:paraId="17032162" w14:textId="1159184D" w:rsidR="00E06BA1" w:rsidRDefault="00E06BA1" w:rsidP="5025A093">
      <w:pPr>
        <w:spacing w:line="360" w:lineRule="auto"/>
        <w:rPr>
          <w:rFonts w:ascii="Arial" w:eastAsia="Arial" w:hAnsi="Arial" w:cs="Arial"/>
          <w:color w:val="000000" w:themeColor="text1"/>
        </w:rPr>
      </w:pPr>
    </w:p>
    <w:p w14:paraId="7E500A3A" w14:textId="4CF88E77"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Policy and Regulation</w:t>
      </w:r>
      <w:r w:rsidRPr="0A9D2F51">
        <w:rPr>
          <w:rFonts w:ascii="Arial" w:eastAsia="Arial" w:hAnsi="Arial" w:cs="Arial"/>
          <w:color w:val="000000" w:themeColor="text1"/>
          <w:lang w:val="en-GB"/>
        </w:rPr>
        <w:t>: The NICE guidelines (2024) suggest that including family members in both the evaluation and treatment of depression is important, as they contribute to preventing relapse and aiding recovery. Additionally, the Care Act 2014 sets up a legal basis for helping carers, allowing them the right to receive assessments and support (Department of Health and Social Care, 2022). Nevertheless, a study by Carers UK (2023) shows that many carers still do not receive sufficient emotional and financial help.</w:t>
      </w:r>
    </w:p>
    <w:p w14:paraId="235CFB5B" w14:textId="14FB5AA3"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Local Context:</w:t>
      </w:r>
      <w:r w:rsidRPr="0A9D2F51">
        <w:rPr>
          <w:rFonts w:ascii="Arial" w:eastAsia="Arial" w:hAnsi="Arial" w:cs="Arial"/>
          <w:color w:val="000000" w:themeColor="text1"/>
          <w:lang w:val="en-GB"/>
        </w:rPr>
        <w:t xml:space="preserve"> Across England, initiatives like Thrive LDN and the Carer Support Programme by Greater Manchester Mental Health Trust are focused on reducing stigma and improving community involvement (Thrive LDN, 2023). Nevertheless, there are ongoing disparities in service availability and quality between different regions. According to the ONS (2022), individuals in impoverished areas have a higher likelihood of experiencing depression, a situation worsened by financial strain and social isolation.</w:t>
      </w:r>
    </w:p>
    <w:p w14:paraId="555E97CB" w14:textId="56DE6CE5"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Stigma continues to hinder individuals from seeking help and discussing issues openly within their families. While organisations such as Mind and Rethink Mental Illness have launched campaigns that raise awareness, they acknowledge that cultural stigma still restricts participation (Mind, 2023).</w:t>
      </w:r>
    </w:p>
    <w:p w14:paraId="3F3931A6" w14:textId="0F31FE5B"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In summary, even though UK policy recognises the essential role families play, the implementation of services is inconsistent. By enhancing regional cooperation and boosting resources for carer support, the wellbeing of both patients and their families could be significantly improved.</w:t>
      </w:r>
    </w:p>
    <w:p w14:paraId="418FC87B" w14:textId="40523280"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2.6 Conclusion:</w:t>
      </w:r>
    </w:p>
    <w:p w14:paraId="2E92917B" w14:textId="0ED8C647"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 xml:space="preserve">Summary of Key Points: </w:t>
      </w:r>
    </w:p>
    <w:p w14:paraId="676FB9BC" w14:textId="1F69FF6A"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xml:space="preserve">This chapter has looked into the history, theories, and context surrounding depression and its impact on families. Over time, people’s understanding of depression has changed from just moral and medical views to a broader biopsychosocial approach. Theoretical models in this chapter show that depression results from the interaction of personal, relational, and social factors. This highlights how it affects not only the person suffering but also family relationships, caregiving responsibilities, and emotional health. </w:t>
      </w:r>
    </w:p>
    <w:p w14:paraId="4EDB719D" w14:textId="57AB4EB4"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Globally, different countries have various methods for dealing with depression, but there is growing awareness of how important family-centred centered care is for recovery. In the UK, national policies and local programmes have helped improve mental health services and raise awareness. Still, there are major challenges like uneven application of these policies, limited help for informal caregivers, and ongoing regional disparities. These insights underline the need for more coordinated and inclusive mental health services that can better support families impacted by depression</w:t>
      </w:r>
      <w:r w:rsidRPr="0A9D2F51">
        <w:rPr>
          <w:rFonts w:ascii="Arial" w:eastAsia="Arial" w:hAnsi="Arial" w:cs="Arial"/>
          <w:b/>
          <w:bCs/>
          <w:color w:val="000000" w:themeColor="text1"/>
          <w:lang w:val="en-GB"/>
        </w:rPr>
        <w:t>.</w:t>
      </w:r>
    </w:p>
    <w:p w14:paraId="70989861" w14:textId="75EAA6DD"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 xml:space="preserve">Signpost to Next Chapter: </w:t>
      </w:r>
    </w:p>
    <w:p w14:paraId="12F0D202" w14:textId="48221F86"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This chapter lays the foundation for the upcoming section on research method, which will explain how the study investigates the effects of depression on patient's families using secondary research.</w:t>
      </w:r>
    </w:p>
    <w:p w14:paraId="26CB80B5" w14:textId="24F12BC1" w:rsidR="00E06BA1" w:rsidRDefault="00E06BA1" w:rsidP="5025A093">
      <w:pPr>
        <w:spacing w:line="360" w:lineRule="auto"/>
        <w:rPr>
          <w:rFonts w:ascii="Arial" w:eastAsia="Arial" w:hAnsi="Arial" w:cs="Arial"/>
          <w:color w:val="000000" w:themeColor="text1"/>
        </w:rPr>
      </w:pPr>
    </w:p>
    <w:p w14:paraId="3099EF65" w14:textId="480CDE5B" w:rsidR="00E06BA1" w:rsidRDefault="00E06BA1" w:rsidP="5025A093">
      <w:pPr>
        <w:spacing w:line="360" w:lineRule="auto"/>
        <w:rPr>
          <w:rFonts w:ascii="Arial" w:eastAsia="Arial" w:hAnsi="Arial" w:cs="Arial"/>
          <w:color w:val="000000" w:themeColor="text1"/>
        </w:rPr>
      </w:pPr>
    </w:p>
    <w:p w14:paraId="28EA3F6B" w14:textId="379378B4" w:rsidR="00E06BA1" w:rsidRDefault="00E06BA1" w:rsidP="5025A093">
      <w:pPr>
        <w:spacing w:line="360" w:lineRule="auto"/>
        <w:rPr>
          <w:rFonts w:ascii="Arial" w:eastAsia="Arial" w:hAnsi="Arial" w:cs="Arial"/>
          <w:color w:val="000000" w:themeColor="text1"/>
        </w:rPr>
      </w:pPr>
    </w:p>
    <w:p w14:paraId="7542AA7B" w14:textId="022C5A82" w:rsidR="00E06BA1" w:rsidRDefault="00E06BA1" w:rsidP="5025A093">
      <w:pPr>
        <w:spacing w:line="360" w:lineRule="auto"/>
        <w:rPr>
          <w:rFonts w:ascii="Arial" w:eastAsia="Arial" w:hAnsi="Arial" w:cs="Arial"/>
          <w:color w:val="000000" w:themeColor="text1"/>
        </w:rPr>
      </w:pPr>
    </w:p>
    <w:p w14:paraId="101A83E2" w14:textId="7C4D57FE" w:rsidR="00E06BA1" w:rsidRDefault="00E06BA1" w:rsidP="5025A093">
      <w:pPr>
        <w:spacing w:line="360" w:lineRule="auto"/>
        <w:rPr>
          <w:rFonts w:ascii="Arial" w:eastAsia="Arial" w:hAnsi="Arial" w:cs="Arial"/>
          <w:color w:val="000000" w:themeColor="text1"/>
        </w:rPr>
      </w:pPr>
    </w:p>
    <w:p w14:paraId="03EDF164" w14:textId="67E11F52" w:rsidR="00E06BA1" w:rsidRDefault="00E06BA1" w:rsidP="5025A093">
      <w:pPr>
        <w:spacing w:line="360" w:lineRule="auto"/>
        <w:rPr>
          <w:rFonts w:ascii="Arial" w:eastAsia="Arial" w:hAnsi="Arial" w:cs="Arial"/>
          <w:color w:val="000000" w:themeColor="text1"/>
        </w:rPr>
      </w:pPr>
    </w:p>
    <w:p w14:paraId="6D0BD78D" w14:textId="6E4A99A0" w:rsidR="00E06BA1" w:rsidRDefault="00E06BA1" w:rsidP="5025A093">
      <w:pPr>
        <w:spacing w:line="360" w:lineRule="auto"/>
        <w:rPr>
          <w:rFonts w:ascii="Arial" w:eastAsia="Arial" w:hAnsi="Arial" w:cs="Arial"/>
          <w:color w:val="000000" w:themeColor="text1"/>
        </w:rPr>
      </w:pPr>
    </w:p>
    <w:p w14:paraId="05B5DEB5" w14:textId="033C8D19" w:rsidR="00E06BA1" w:rsidRDefault="00E06BA1" w:rsidP="5025A093">
      <w:pPr>
        <w:spacing w:line="360" w:lineRule="auto"/>
        <w:rPr>
          <w:rFonts w:ascii="Arial" w:eastAsia="Arial" w:hAnsi="Arial" w:cs="Arial"/>
          <w:color w:val="000000" w:themeColor="text1"/>
        </w:rPr>
      </w:pPr>
    </w:p>
    <w:p w14:paraId="41E634FD" w14:textId="5DDE2755" w:rsidR="00E06BA1" w:rsidRDefault="78CA3615" w:rsidP="0A9D2F51">
      <w:pPr>
        <w:pStyle w:val="Heading1"/>
        <w:spacing w:line="360" w:lineRule="auto"/>
        <w:rPr>
          <w:rFonts w:ascii="Arial" w:eastAsia="Arial" w:hAnsi="Arial" w:cs="Arial"/>
          <w:b w:val="0"/>
          <w:color w:val="000000" w:themeColor="text1"/>
          <w:sz w:val="22"/>
        </w:rPr>
      </w:pPr>
      <w:r w:rsidRPr="0A9D2F51">
        <w:rPr>
          <w:rFonts w:ascii="Arial" w:eastAsia="Arial" w:hAnsi="Arial" w:cs="Arial"/>
          <w:color w:val="000000" w:themeColor="text1"/>
          <w:sz w:val="22"/>
          <w:lang w:val="en-GB"/>
        </w:rPr>
        <w:t>CHAPTER 3 Methods and Search Strategy (1,000 words approx.)</w:t>
      </w:r>
    </w:p>
    <w:p w14:paraId="7D363DC8" w14:textId="01C3F38C"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3.1 - Introduction: (100 Words)</w:t>
      </w:r>
    </w:p>
    <w:p w14:paraId="4C0EFC68" w14:textId="445AC54F"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Purpose of the Chapter:</w:t>
      </w:r>
    </w:p>
    <w:p w14:paraId="1E8FB514" w14:textId="3C03395E"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This chapter presents the methodological framework for the dissertation titled “Exploring the Impact of Depression on Patients’ Families within the U.K.” It details the philosophical perspective, research design, data collection methods, and analysis techniques used to fulfil the study's goals. Since this research is secondary and qualitative, it emphasises the examination of existing academic and policy literature rather than generating new data. The chapter also addresses ethical considerations, credibility, and limitations, ensuring adherence to academic integrity and professional standards. By outlining a clear and thorough method, this chapter lays the groundwork for analysing the findings presented in Chapter 4.</w:t>
      </w:r>
    </w:p>
    <w:p w14:paraId="28A3EE83" w14:textId="5B8816A1" w:rsidR="00E06BA1" w:rsidRDefault="78CA3615" w:rsidP="0A9D2F51">
      <w:pPr>
        <w:spacing w:beforeAutospacing="1" w:afterAutospacing="1" w:line="360" w:lineRule="auto"/>
        <w:rPr>
          <w:rFonts w:ascii="Arial" w:eastAsia="Arial" w:hAnsi="Arial" w:cs="Arial"/>
          <w:color w:val="000000" w:themeColor="text1"/>
        </w:rPr>
      </w:pPr>
      <w:r w:rsidRPr="0A9D2F51">
        <w:rPr>
          <w:rStyle w:val="s1"/>
          <w:rFonts w:ascii="Arial" w:eastAsia="Arial" w:hAnsi="Arial" w:cs="Arial"/>
          <w:color w:val="000000" w:themeColor="text1"/>
          <w:lang w:val="en-GB"/>
        </w:rPr>
        <w:t xml:space="preserve"> Summary of key literature on the impact of depression on patients’ families within the UK</w:t>
      </w:r>
    </w:p>
    <w:p w14:paraId="751B502E" w14:textId="76A922BF" w:rsidR="00E06BA1" w:rsidRDefault="00E06BA1" w:rsidP="5025A093">
      <w:pPr>
        <w:spacing w:line="360" w:lineRule="auto"/>
        <w:rPr>
          <w:rFonts w:ascii="Arial" w:eastAsia="Arial" w:hAnsi="Arial" w:cs="Arial"/>
          <w:color w:val="000000" w:themeColor="text1"/>
        </w:rPr>
      </w:pPr>
    </w:p>
    <w:p w14:paraId="0BA56714" w14:textId="7CF32652" w:rsidR="00E06BA1" w:rsidRDefault="78CA3615" w:rsidP="666EFC39">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Table 3.1: Source Summary Table:</w:t>
      </w:r>
    </w:p>
    <w:p w14:paraId="72791C4F" w14:textId="4AAA64A0" w:rsidR="00E06BA1" w:rsidRDefault="00E06BA1" w:rsidP="5025A093">
      <w:pPr>
        <w:spacing w:line="360" w:lineRule="auto"/>
        <w:rPr>
          <w:rFonts w:ascii="Arial" w:eastAsia="Arial" w:hAnsi="Arial" w:cs="Arial"/>
          <w:color w:val="000000" w:themeColor="text1"/>
        </w:rPr>
      </w:pPr>
    </w:p>
    <w:tbl>
      <w:tblPr>
        <w:tblStyle w:val="GridTable4-Accent1"/>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434"/>
        <w:gridCol w:w="1818"/>
        <w:gridCol w:w="1833"/>
        <w:gridCol w:w="1953"/>
        <w:gridCol w:w="1833"/>
        <w:gridCol w:w="1824"/>
      </w:tblGrid>
      <w:tr w:rsidR="005B2DC0" w14:paraId="04DAA4FB" w14:textId="77777777" w:rsidTr="0A9D2F51">
        <w:trPr>
          <w:cnfStyle w:val="100000000000" w:firstRow="1" w:lastRow="0" w:firstColumn="0" w:lastColumn="0" w:oddVBand="0" w:evenVBand="0" w:oddHBand="0" w:evenHBand="0" w:firstRowFirstColumn="0" w:firstRowLastColumn="0" w:lastRowFirstColumn="0" w:lastRowLastColumn="0"/>
          <w:trHeight w:val="720"/>
        </w:trPr>
        <w:tc>
          <w:tcPr>
            <w:cnfStyle w:val="001000000000" w:firstRow="0" w:lastRow="0" w:firstColumn="1" w:lastColumn="0" w:oddVBand="0" w:evenVBand="0" w:oddHBand="0" w:evenHBand="0" w:firstRowFirstColumn="0" w:firstRowLastColumn="0" w:lastRowFirstColumn="0" w:lastRowLastColumn="0"/>
            <w:tcW w:w="1434" w:type="dxa"/>
            <w:tcBorders>
              <w:top w:val="single" w:sz="6" w:space="0" w:color="156082"/>
              <w:left w:val="single" w:sz="6" w:space="0" w:color="156082"/>
              <w:bottom w:val="single" w:sz="6" w:space="0" w:color="156082"/>
            </w:tcBorders>
            <w:tcMar>
              <w:left w:w="90" w:type="dxa"/>
              <w:right w:w="90" w:type="dxa"/>
            </w:tcMar>
          </w:tcPr>
          <w:p w14:paraId="084951FE" w14:textId="774715BD" w:rsidR="3D7FD8EF" w:rsidRDefault="07E1F412" w:rsidP="5025A093">
            <w:pPr>
              <w:spacing w:line="360" w:lineRule="auto"/>
              <w:jc w:val="center"/>
              <w:rPr>
                <w:rFonts w:ascii="Arial" w:eastAsia="Arial" w:hAnsi="Arial" w:cs="Arial"/>
              </w:rPr>
            </w:pPr>
            <w:r w:rsidRPr="0A9D2F51">
              <w:rPr>
                <w:rFonts w:ascii="Arial" w:eastAsia="Arial" w:hAnsi="Arial" w:cs="Arial"/>
                <w:lang w:val="en-GB"/>
              </w:rPr>
              <w:t>Author &amp; Year</w:t>
            </w:r>
          </w:p>
        </w:tc>
        <w:tc>
          <w:tcPr>
            <w:tcW w:w="1818" w:type="dxa"/>
            <w:tcBorders>
              <w:top w:val="single" w:sz="6" w:space="0" w:color="156082"/>
              <w:bottom w:val="single" w:sz="6" w:space="0" w:color="156082"/>
            </w:tcBorders>
            <w:tcMar>
              <w:left w:w="90" w:type="dxa"/>
              <w:right w:w="90" w:type="dxa"/>
            </w:tcMar>
          </w:tcPr>
          <w:p w14:paraId="2B3485F8" w14:textId="5C36AD8D" w:rsidR="3D7FD8EF" w:rsidRDefault="07E1F412" w:rsidP="5025A0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
            <w:r w:rsidRPr="0A9D2F51">
              <w:rPr>
                <w:rFonts w:ascii="Arial" w:eastAsia="Arial" w:hAnsi="Arial" w:cs="Arial"/>
                <w:lang w:val="en-GB"/>
              </w:rPr>
              <w:t>Title</w:t>
            </w:r>
          </w:p>
        </w:tc>
        <w:tc>
          <w:tcPr>
            <w:tcW w:w="1833" w:type="dxa"/>
            <w:tcBorders>
              <w:top w:val="single" w:sz="6" w:space="0" w:color="156082"/>
              <w:bottom w:val="single" w:sz="6" w:space="0" w:color="156082"/>
            </w:tcBorders>
            <w:tcMar>
              <w:left w:w="90" w:type="dxa"/>
              <w:right w:w="90" w:type="dxa"/>
            </w:tcMar>
          </w:tcPr>
          <w:p w14:paraId="4818D6CC" w14:textId="73A0677C" w:rsidR="3D7FD8EF" w:rsidRDefault="07E1F412" w:rsidP="5025A0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
            <w:r w:rsidRPr="0A9D2F51">
              <w:rPr>
                <w:rFonts w:ascii="Arial" w:eastAsia="Arial" w:hAnsi="Arial" w:cs="Arial"/>
                <w:lang w:val="en-GB"/>
              </w:rPr>
              <w:t>Type of Sturdy</w:t>
            </w:r>
          </w:p>
        </w:tc>
        <w:tc>
          <w:tcPr>
            <w:tcW w:w="1953" w:type="dxa"/>
            <w:tcBorders>
              <w:top w:val="single" w:sz="6" w:space="0" w:color="156082"/>
              <w:bottom w:val="single" w:sz="6" w:space="0" w:color="156082"/>
            </w:tcBorders>
            <w:tcMar>
              <w:left w:w="90" w:type="dxa"/>
              <w:right w:w="90" w:type="dxa"/>
            </w:tcMar>
          </w:tcPr>
          <w:p w14:paraId="059952D1" w14:textId="622E6E81" w:rsidR="3D7FD8EF" w:rsidRDefault="07E1F412" w:rsidP="5025A0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
            <w:r w:rsidRPr="0A9D2F51">
              <w:rPr>
                <w:rFonts w:ascii="Arial" w:eastAsia="Arial" w:hAnsi="Arial" w:cs="Arial"/>
                <w:lang w:val="en-GB"/>
              </w:rPr>
              <w:t>Method &amp; Sample</w:t>
            </w:r>
          </w:p>
        </w:tc>
        <w:tc>
          <w:tcPr>
            <w:tcW w:w="1833" w:type="dxa"/>
            <w:tcBorders>
              <w:top w:val="single" w:sz="6" w:space="0" w:color="156082"/>
              <w:bottom w:val="single" w:sz="6" w:space="0" w:color="156082"/>
            </w:tcBorders>
            <w:tcMar>
              <w:left w:w="90" w:type="dxa"/>
              <w:right w:w="90" w:type="dxa"/>
            </w:tcMar>
          </w:tcPr>
          <w:p w14:paraId="6CD2B7E9" w14:textId="34489E45" w:rsidR="3D7FD8EF" w:rsidRDefault="07E1F412" w:rsidP="5025A0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
            <w:r w:rsidRPr="0A9D2F51">
              <w:rPr>
                <w:rFonts w:ascii="Arial" w:eastAsia="Arial" w:hAnsi="Arial" w:cs="Arial"/>
                <w:lang w:val="en-GB"/>
              </w:rPr>
              <w:t>Strengths &amp; Limitations</w:t>
            </w:r>
          </w:p>
        </w:tc>
        <w:tc>
          <w:tcPr>
            <w:tcW w:w="1824" w:type="dxa"/>
            <w:tcBorders>
              <w:top w:val="single" w:sz="6" w:space="0" w:color="156082"/>
              <w:bottom w:val="single" w:sz="6" w:space="0" w:color="156082"/>
              <w:right w:val="single" w:sz="6" w:space="0" w:color="156082"/>
            </w:tcBorders>
            <w:tcMar>
              <w:left w:w="90" w:type="dxa"/>
              <w:right w:w="90" w:type="dxa"/>
            </w:tcMar>
          </w:tcPr>
          <w:p w14:paraId="28FC4FA9" w14:textId="18D50922" w:rsidR="3D7FD8EF" w:rsidRDefault="07E1F412" w:rsidP="5025A0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
            <w:r w:rsidRPr="0A9D2F51">
              <w:rPr>
                <w:rFonts w:ascii="Arial" w:eastAsia="Arial" w:hAnsi="Arial" w:cs="Arial"/>
                <w:lang w:val="en-GB"/>
              </w:rPr>
              <w:t>Main Findings</w:t>
            </w:r>
          </w:p>
        </w:tc>
      </w:tr>
      <w:tr w:rsidR="005B2DC0" w14:paraId="7E3BE887" w14:textId="77777777" w:rsidTr="0A9D2F51">
        <w:trPr>
          <w:trHeight w:val="720"/>
        </w:trPr>
        <w:tc>
          <w:tcPr>
            <w:cnfStyle w:val="001000000000" w:firstRow="0" w:lastRow="0" w:firstColumn="1" w:lastColumn="0" w:oddVBand="0" w:evenVBand="0" w:oddHBand="0" w:evenHBand="0" w:firstRowFirstColumn="0" w:firstRowLastColumn="0" w:lastRowFirstColumn="0" w:lastRowLastColumn="0"/>
            <w:tcW w:w="1434" w:type="dxa"/>
            <w:tcBorders>
              <w:left w:val="single" w:sz="6" w:space="0" w:color="auto"/>
            </w:tcBorders>
            <w:tcMar>
              <w:left w:w="90" w:type="dxa"/>
              <w:right w:w="90" w:type="dxa"/>
            </w:tcMar>
            <w:vAlign w:val="center"/>
          </w:tcPr>
          <w:p w14:paraId="6E4F5166" w14:textId="6598339D" w:rsidR="3D7FD8EF" w:rsidRDefault="07E1F412" w:rsidP="5025A093">
            <w:pPr>
              <w:spacing w:line="360" w:lineRule="auto"/>
              <w:jc w:val="center"/>
              <w:rPr>
                <w:rFonts w:ascii="Arial" w:eastAsia="Arial" w:hAnsi="Arial" w:cs="Arial"/>
                <w:color w:val="000000" w:themeColor="text1"/>
              </w:rPr>
            </w:pPr>
            <w:r w:rsidRPr="0A9D2F51">
              <w:rPr>
                <w:rFonts w:ascii="Arial" w:eastAsia="Arial" w:hAnsi="Arial" w:cs="Arial"/>
                <w:color w:val="000000" w:themeColor="text1"/>
                <w:lang w:val="en-GB"/>
              </w:rPr>
              <w:t>Beck (1967)</w:t>
            </w:r>
          </w:p>
        </w:tc>
        <w:tc>
          <w:tcPr>
            <w:tcW w:w="1818" w:type="dxa"/>
            <w:tcMar>
              <w:left w:w="90" w:type="dxa"/>
              <w:right w:w="90" w:type="dxa"/>
            </w:tcMar>
            <w:vAlign w:val="center"/>
          </w:tcPr>
          <w:p w14:paraId="1EB39348" w14:textId="0C7D3F8C"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Depression: Clinical, experimental, and theoretical aspects</w:t>
            </w:r>
          </w:p>
          <w:p w14:paraId="3332667F" w14:textId="621A71D1"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833" w:type="dxa"/>
            <w:tcMar>
              <w:left w:w="90" w:type="dxa"/>
              <w:right w:w="90" w:type="dxa"/>
            </w:tcMar>
            <w:vAlign w:val="center"/>
          </w:tcPr>
          <w:p w14:paraId="08080A24" w14:textId="2A8B1B9A"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Secondary (Theoretical)</w:t>
            </w:r>
          </w:p>
          <w:p w14:paraId="3B399C7E" w14:textId="5A0BFE13"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953" w:type="dxa"/>
            <w:tcMar>
              <w:left w:w="90" w:type="dxa"/>
              <w:right w:w="90" w:type="dxa"/>
            </w:tcMar>
            <w:vAlign w:val="center"/>
          </w:tcPr>
          <w:p w14:paraId="5F257A8F" w14:textId="403CB6DD"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Cognitive theory based on clinical observation</w:t>
            </w:r>
          </w:p>
          <w:p w14:paraId="2881246F" w14:textId="7EE87FF0"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833" w:type="dxa"/>
            <w:tcMar>
              <w:left w:w="90" w:type="dxa"/>
              <w:right w:w="90" w:type="dxa"/>
            </w:tcMar>
            <w:vAlign w:val="center"/>
          </w:tcPr>
          <w:p w14:paraId="6AA3DDC0" w14:textId="10AB5321"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Strengths: Foundational psychological theory. Limitations: Dated and limited focus on families.</w:t>
            </w:r>
          </w:p>
        </w:tc>
        <w:tc>
          <w:tcPr>
            <w:tcW w:w="1824" w:type="dxa"/>
            <w:tcBorders>
              <w:right w:val="single" w:sz="6" w:space="0" w:color="auto"/>
            </w:tcBorders>
            <w:tcMar>
              <w:left w:w="90" w:type="dxa"/>
              <w:right w:w="90" w:type="dxa"/>
            </w:tcMar>
            <w:vAlign w:val="center"/>
          </w:tcPr>
          <w:p w14:paraId="09A90F18" w14:textId="40F2A401"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Depression involves negative thinking patterns that can negatively affect interpersonal and family relationships.</w:t>
            </w:r>
          </w:p>
        </w:tc>
      </w:tr>
      <w:tr w:rsidR="005B2DC0" w14:paraId="1E5DB0BA" w14:textId="77777777" w:rsidTr="0A9D2F51">
        <w:trPr>
          <w:trHeight w:val="720"/>
        </w:trPr>
        <w:tc>
          <w:tcPr>
            <w:cnfStyle w:val="001000000000" w:firstRow="0" w:lastRow="0" w:firstColumn="1" w:lastColumn="0" w:oddVBand="0" w:evenVBand="0" w:oddHBand="0" w:evenHBand="0" w:firstRowFirstColumn="0" w:firstRowLastColumn="0" w:lastRowFirstColumn="0" w:lastRowLastColumn="0"/>
            <w:tcW w:w="1434" w:type="dxa"/>
            <w:tcBorders>
              <w:left w:val="single" w:sz="6" w:space="0" w:color="auto"/>
            </w:tcBorders>
            <w:tcMar>
              <w:left w:w="90" w:type="dxa"/>
              <w:right w:w="90" w:type="dxa"/>
            </w:tcMar>
            <w:vAlign w:val="center"/>
          </w:tcPr>
          <w:p w14:paraId="73AE75CA" w14:textId="51C28263" w:rsidR="3D7FD8EF" w:rsidRDefault="07E1F412" w:rsidP="5025A093">
            <w:pPr>
              <w:spacing w:line="360" w:lineRule="auto"/>
              <w:jc w:val="center"/>
              <w:rPr>
                <w:rFonts w:ascii="Arial" w:eastAsia="Arial" w:hAnsi="Arial" w:cs="Arial"/>
                <w:color w:val="000000" w:themeColor="text1"/>
              </w:rPr>
            </w:pPr>
            <w:r w:rsidRPr="0A9D2F51">
              <w:rPr>
                <w:rFonts w:ascii="Arial" w:eastAsia="Arial" w:hAnsi="Arial" w:cs="Arial"/>
                <w:color w:val="000000" w:themeColor="text1"/>
                <w:lang w:val="en-GB"/>
              </w:rPr>
              <w:t>Bowlby (1980)</w:t>
            </w:r>
          </w:p>
        </w:tc>
        <w:tc>
          <w:tcPr>
            <w:tcW w:w="1818" w:type="dxa"/>
            <w:tcMar>
              <w:left w:w="90" w:type="dxa"/>
              <w:right w:w="90" w:type="dxa"/>
            </w:tcMar>
            <w:vAlign w:val="center"/>
          </w:tcPr>
          <w:p w14:paraId="567B47F3" w14:textId="2C334708"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Attachment and Loss: Loss, Sadness and Depression</w:t>
            </w:r>
          </w:p>
          <w:p w14:paraId="72F8CDD9" w14:textId="500B2690"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833" w:type="dxa"/>
            <w:tcMar>
              <w:left w:w="90" w:type="dxa"/>
              <w:right w:w="90" w:type="dxa"/>
            </w:tcMar>
            <w:vAlign w:val="center"/>
          </w:tcPr>
          <w:p w14:paraId="41190C7C" w14:textId="14454F3B"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Secondary (Theoretical)</w:t>
            </w:r>
          </w:p>
          <w:p w14:paraId="069EDAFC" w14:textId="4ED6D4FF"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953" w:type="dxa"/>
            <w:tcMar>
              <w:left w:w="90" w:type="dxa"/>
              <w:right w:w="90" w:type="dxa"/>
            </w:tcMar>
            <w:vAlign w:val="center"/>
          </w:tcPr>
          <w:p w14:paraId="18EACDD0" w14:textId="3EFBE99E"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Attachment theory informed by longitudinal research</w:t>
            </w:r>
          </w:p>
        </w:tc>
        <w:tc>
          <w:tcPr>
            <w:tcW w:w="1833" w:type="dxa"/>
            <w:tcMar>
              <w:left w:w="90" w:type="dxa"/>
              <w:right w:w="90" w:type="dxa"/>
            </w:tcMar>
            <w:vAlign w:val="center"/>
          </w:tcPr>
          <w:p w14:paraId="7073580A" w14:textId="21BA9052"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Strengths: Strong relational focus. Limitations: Not UK-specific.</w:t>
            </w:r>
          </w:p>
          <w:p w14:paraId="7BE1B1CC" w14:textId="27F6A402"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824" w:type="dxa"/>
            <w:tcBorders>
              <w:right w:val="single" w:sz="6" w:space="0" w:color="auto"/>
            </w:tcBorders>
            <w:tcMar>
              <w:left w:w="90" w:type="dxa"/>
              <w:right w:w="90" w:type="dxa"/>
            </w:tcMar>
            <w:vAlign w:val="center"/>
          </w:tcPr>
          <w:p w14:paraId="7ED2F8EB" w14:textId="711A6A16"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Disrupted attachment and experiences of loss contribute to depression and strain family relationships</w:t>
            </w:r>
          </w:p>
        </w:tc>
      </w:tr>
      <w:tr w:rsidR="005B2DC0" w14:paraId="020BBBB5" w14:textId="77777777" w:rsidTr="0A9D2F51">
        <w:trPr>
          <w:trHeight w:val="720"/>
        </w:trPr>
        <w:tc>
          <w:tcPr>
            <w:cnfStyle w:val="001000000000" w:firstRow="0" w:lastRow="0" w:firstColumn="1" w:lastColumn="0" w:oddVBand="0" w:evenVBand="0" w:oddHBand="0" w:evenHBand="0" w:firstRowFirstColumn="0" w:firstRowLastColumn="0" w:lastRowFirstColumn="0" w:lastRowLastColumn="0"/>
            <w:tcW w:w="1434" w:type="dxa"/>
            <w:tcBorders>
              <w:left w:val="single" w:sz="6" w:space="0" w:color="auto"/>
            </w:tcBorders>
            <w:tcMar>
              <w:left w:w="90" w:type="dxa"/>
              <w:right w:w="90" w:type="dxa"/>
            </w:tcMar>
            <w:vAlign w:val="center"/>
          </w:tcPr>
          <w:p w14:paraId="2B715323" w14:textId="34EFEFF4" w:rsidR="3D7FD8EF" w:rsidRDefault="07E1F412" w:rsidP="5025A093">
            <w:pPr>
              <w:spacing w:line="360" w:lineRule="auto"/>
              <w:jc w:val="center"/>
              <w:rPr>
                <w:rFonts w:ascii="Arial" w:eastAsia="Arial" w:hAnsi="Arial" w:cs="Arial"/>
                <w:color w:val="000000" w:themeColor="text1"/>
              </w:rPr>
            </w:pPr>
            <w:r w:rsidRPr="0A9D2F51">
              <w:rPr>
                <w:rFonts w:ascii="Arial" w:eastAsia="Arial" w:hAnsi="Arial" w:cs="Arial"/>
                <w:color w:val="000000" w:themeColor="text1"/>
                <w:lang w:val="en-GB"/>
              </w:rPr>
              <w:t>Freud (1957)</w:t>
            </w:r>
          </w:p>
        </w:tc>
        <w:tc>
          <w:tcPr>
            <w:tcW w:w="1818" w:type="dxa"/>
            <w:tcMar>
              <w:left w:w="90" w:type="dxa"/>
              <w:right w:w="90" w:type="dxa"/>
            </w:tcMar>
            <w:vAlign w:val="center"/>
          </w:tcPr>
          <w:p w14:paraId="56EDB157" w14:textId="30B644D4"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Mourning and Melancholia</w:t>
            </w:r>
          </w:p>
          <w:p w14:paraId="534633F2" w14:textId="492245D6"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833" w:type="dxa"/>
            <w:tcMar>
              <w:left w:w="90" w:type="dxa"/>
              <w:right w:w="90" w:type="dxa"/>
            </w:tcMar>
            <w:vAlign w:val="center"/>
          </w:tcPr>
          <w:p w14:paraId="27E40AFF" w14:textId="30A9FF01"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Secondary (Theoretical)</w:t>
            </w:r>
          </w:p>
          <w:p w14:paraId="1C0E6721" w14:textId="5314C686"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953" w:type="dxa"/>
            <w:tcMar>
              <w:left w:w="90" w:type="dxa"/>
              <w:right w:w="90" w:type="dxa"/>
            </w:tcMar>
            <w:vAlign w:val="center"/>
          </w:tcPr>
          <w:p w14:paraId="6BACDD89" w14:textId="1FF5227D"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Psychoanalytic theory</w:t>
            </w:r>
          </w:p>
          <w:p w14:paraId="52762ABA" w14:textId="5D1AB3D3"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833" w:type="dxa"/>
            <w:tcMar>
              <w:left w:w="90" w:type="dxa"/>
              <w:right w:w="90" w:type="dxa"/>
            </w:tcMar>
            <w:vAlign w:val="center"/>
          </w:tcPr>
          <w:p w14:paraId="7FC93276" w14:textId="02023C8E" w:rsidR="3D7FD8EF" w:rsidRDefault="07E1F412" w:rsidP="0A9D2F51">
            <w:pPr>
              <w:spacing w:beforeAutospacing="1"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Strengths: Influential historical framework. Limitations: Abstract and dated language.</w:t>
            </w:r>
          </w:p>
          <w:p w14:paraId="0379C619" w14:textId="28115B6A"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824" w:type="dxa"/>
            <w:tcBorders>
              <w:right w:val="single" w:sz="6" w:space="0" w:color="auto"/>
            </w:tcBorders>
            <w:tcMar>
              <w:left w:w="90" w:type="dxa"/>
              <w:right w:w="90" w:type="dxa"/>
            </w:tcMar>
            <w:vAlign w:val="center"/>
          </w:tcPr>
          <w:p w14:paraId="56C61E09" w14:textId="1278EEA2" w:rsidR="3D7FD8EF" w:rsidRDefault="07E1F412" w:rsidP="5025A093">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Depression involves internalised loss and self-blame, impacting close family relationships</w:t>
            </w:r>
          </w:p>
        </w:tc>
      </w:tr>
      <w:tr w:rsidR="005B2DC0" w14:paraId="5F4C48F7" w14:textId="77777777" w:rsidTr="0A9D2F51">
        <w:trPr>
          <w:trHeight w:val="720"/>
        </w:trPr>
        <w:tc>
          <w:tcPr>
            <w:cnfStyle w:val="001000000000" w:firstRow="0" w:lastRow="0" w:firstColumn="1" w:lastColumn="0" w:oddVBand="0" w:evenVBand="0" w:oddHBand="0" w:evenHBand="0" w:firstRowFirstColumn="0" w:firstRowLastColumn="0" w:lastRowFirstColumn="0" w:lastRowLastColumn="0"/>
            <w:tcW w:w="1434" w:type="dxa"/>
            <w:tcBorders>
              <w:left w:val="single" w:sz="6" w:space="0" w:color="auto"/>
            </w:tcBorders>
            <w:tcMar>
              <w:left w:w="90" w:type="dxa"/>
              <w:right w:w="90" w:type="dxa"/>
            </w:tcMar>
            <w:vAlign w:val="center"/>
          </w:tcPr>
          <w:p w14:paraId="6C766C03" w14:textId="4EF1E8D5" w:rsidR="3D7FD8EF" w:rsidRDefault="07E1F412" w:rsidP="0A9D2F51">
            <w:pPr>
              <w:spacing w:beforeAutospacing="1" w:afterAutospacing="1" w:line="360" w:lineRule="auto"/>
              <w:jc w:val="center"/>
              <w:rPr>
                <w:rFonts w:ascii="Arial" w:eastAsia="Arial" w:hAnsi="Arial" w:cs="Arial"/>
                <w:color w:val="000000" w:themeColor="text1"/>
              </w:rPr>
            </w:pPr>
            <w:r w:rsidRPr="0A9D2F51">
              <w:rPr>
                <w:rFonts w:ascii="Arial" w:eastAsia="Arial" w:hAnsi="Arial" w:cs="Arial"/>
                <w:color w:val="000000" w:themeColor="text1"/>
                <w:lang w:val="en-GB"/>
              </w:rPr>
              <w:t>Smith et al. (2020)</w:t>
            </w:r>
          </w:p>
          <w:p w14:paraId="7D84ACAC" w14:textId="5086F881" w:rsidR="3D7FD8EF" w:rsidRDefault="3D7FD8EF" w:rsidP="5025A093">
            <w:pPr>
              <w:spacing w:line="360" w:lineRule="auto"/>
              <w:jc w:val="center"/>
              <w:rPr>
                <w:rFonts w:ascii="Arial" w:eastAsia="Arial" w:hAnsi="Arial" w:cs="Arial"/>
                <w:color w:val="000000" w:themeColor="text1"/>
              </w:rPr>
            </w:pPr>
          </w:p>
        </w:tc>
        <w:tc>
          <w:tcPr>
            <w:tcW w:w="1818" w:type="dxa"/>
            <w:tcMar>
              <w:left w:w="90" w:type="dxa"/>
              <w:right w:w="90" w:type="dxa"/>
            </w:tcMar>
            <w:vAlign w:val="center"/>
          </w:tcPr>
          <w:p w14:paraId="607BD87C" w14:textId="0DCD4AC2"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Prevalence of depressive disorder in the UK</w:t>
            </w:r>
          </w:p>
        </w:tc>
        <w:tc>
          <w:tcPr>
            <w:tcW w:w="1833" w:type="dxa"/>
            <w:tcMar>
              <w:left w:w="90" w:type="dxa"/>
              <w:right w:w="90" w:type="dxa"/>
            </w:tcMar>
            <w:vAlign w:val="center"/>
          </w:tcPr>
          <w:p w14:paraId="0014A435" w14:textId="2492ED6B"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Secondary (Quantitative)</w:t>
            </w:r>
          </w:p>
          <w:p w14:paraId="470E3EC6" w14:textId="26B166DC"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953" w:type="dxa"/>
            <w:tcMar>
              <w:left w:w="90" w:type="dxa"/>
              <w:right w:w="90" w:type="dxa"/>
            </w:tcMar>
            <w:vAlign w:val="center"/>
          </w:tcPr>
          <w:p w14:paraId="65B4791F" w14:textId="042EC906"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UK population survey</w:t>
            </w:r>
          </w:p>
          <w:p w14:paraId="656FB088" w14:textId="3A397AD6"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833" w:type="dxa"/>
            <w:tcMar>
              <w:left w:w="90" w:type="dxa"/>
              <w:right w:w="90" w:type="dxa"/>
            </w:tcMar>
            <w:vAlign w:val="center"/>
          </w:tcPr>
          <w:p w14:paraId="2322FCD7" w14:textId="0025AD22"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Strengths: Recent and UK-based. Limitations: Limited qualitative insight into family experiences.</w:t>
            </w:r>
          </w:p>
        </w:tc>
        <w:tc>
          <w:tcPr>
            <w:tcW w:w="1824" w:type="dxa"/>
            <w:tcBorders>
              <w:right w:val="single" w:sz="6" w:space="0" w:color="auto"/>
            </w:tcBorders>
            <w:tcMar>
              <w:left w:w="90" w:type="dxa"/>
              <w:right w:w="90" w:type="dxa"/>
            </w:tcMar>
            <w:vAlign w:val="center"/>
          </w:tcPr>
          <w:p w14:paraId="7F7CD78C" w14:textId="5E0678A8"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High prevalence of depression increases emotional and practical pressure on families</w:t>
            </w:r>
          </w:p>
        </w:tc>
      </w:tr>
      <w:tr w:rsidR="005B2DC0" w14:paraId="16E43940" w14:textId="77777777" w:rsidTr="0A9D2F51">
        <w:trPr>
          <w:trHeight w:val="1290"/>
        </w:trPr>
        <w:tc>
          <w:tcPr>
            <w:cnfStyle w:val="001000000000" w:firstRow="0" w:lastRow="0" w:firstColumn="1" w:lastColumn="0" w:oddVBand="0" w:evenVBand="0" w:oddHBand="0" w:evenHBand="0" w:firstRowFirstColumn="0" w:firstRowLastColumn="0" w:lastRowFirstColumn="0" w:lastRowLastColumn="0"/>
            <w:tcW w:w="1434" w:type="dxa"/>
            <w:tcBorders>
              <w:left w:val="single" w:sz="6" w:space="0" w:color="auto"/>
              <w:bottom w:val="single" w:sz="6" w:space="0" w:color="auto"/>
            </w:tcBorders>
            <w:tcMar>
              <w:left w:w="90" w:type="dxa"/>
              <w:right w:w="90" w:type="dxa"/>
            </w:tcMar>
            <w:vAlign w:val="center"/>
          </w:tcPr>
          <w:p w14:paraId="44C5A051" w14:textId="63AE6983" w:rsidR="3D7FD8EF" w:rsidRDefault="07E1F412" w:rsidP="0A9D2F51">
            <w:pPr>
              <w:spacing w:beforeAutospacing="1" w:afterAutospacing="1" w:line="360" w:lineRule="auto"/>
              <w:jc w:val="center"/>
              <w:rPr>
                <w:rFonts w:ascii="Arial" w:eastAsia="Arial" w:hAnsi="Arial" w:cs="Arial"/>
                <w:color w:val="000000" w:themeColor="text1"/>
              </w:rPr>
            </w:pPr>
            <w:r w:rsidRPr="0A9D2F51">
              <w:rPr>
                <w:rFonts w:ascii="Arial" w:eastAsia="Arial" w:hAnsi="Arial" w:cs="Arial"/>
                <w:color w:val="000000" w:themeColor="text1"/>
                <w:lang w:val="en-GB"/>
              </w:rPr>
              <w:t>Buus et al. (2024)</w:t>
            </w:r>
          </w:p>
          <w:p w14:paraId="2EC30D23" w14:textId="3F2995FC" w:rsidR="3D7FD8EF" w:rsidRDefault="3D7FD8EF" w:rsidP="5025A093">
            <w:pPr>
              <w:spacing w:line="360" w:lineRule="auto"/>
              <w:jc w:val="center"/>
              <w:rPr>
                <w:rFonts w:ascii="Arial" w:eastAsia="Arial" w:hAnsi="Arial" w:cs="Arial"/>
                <w:color w:val="000000" w:themeColor="text1"/>
              </w:rPr>
            </w:pPr>
          </w:p>
        </w:tc>
        <w:tc>
          <w:tcPr>
            <w:tcW w:w="1818" w:type="dxa"/>
            <w:tcBorders>
              <w:bottom w:val="single" w:sz="6" w:space="0" w:color="auto"/>
            </w:tcBorders>
            <w:tcMar>
              <w:left w:w="90" w:type="dxa"/>
              <w:right w:w="90" w:type="dxa"/>
            </w:tcMar>
            <w:vAlign w:val="center"/>
          </w:tcPr>
          <w:p w14:paraId="02E0872E" w14:textId="0D6079E1"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Relatives of people with depression</w:t>
            </w:r>
          </w:p>
          <w:p w14:paraId="7A62BA49" w14:textId="12D9B683"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833" w:type="dxa"/>
            <w:tcBorders>
              <w:bottom w:val="single" w:sz="6" w:space="0" w:color="auto"/>
            </w:tcBorders>
            <w:tcMar>
              <w:left w:w="90" w:type="dxa"/>
              <w:right w:w="90" w:type="dxa"/>
            </w:tcMar>
            <w:vAlign w:val="center"/>
          </w:tcPr>
          <w:p w14:paraId="67C540F4" w14:textId="0B79F6F0"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Systematic Review</w:t>
            </w:r>
          </w:p>
          <w:p w14:paraId="20C151F7" w14:textId="656F159C"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1953" w:type="dxa"/>
            <w:tcBorders>
              <w:bottom w:val="single" w:sz="6" w:space="0" w:color="auto"/>
            </w:tcBorders>
            <w:tcMar>
              <w:left w:w="90" w:type="dxa"/>
              <w:right w:w="90" w:type="dxa"/>
            </w:tcMar>
            <w:vAlign w:val="center"/>
          </w:tcPr>
          <w:p w14:paraId="168ECD61" w14:textId="08FD13A8"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Review of qualitative family studies</w:t>
            </w:r>
          </w:p>
        </w:tc>
        <w:tc>
          <w:tcPr>
            <w:tcW w:w="1833" w:type="dxa"/>
            <w:tcBorders>
              <w:bottom w:val="single" w:sz="6" w:space="0" w:color="auto"/>
            </w:tcBorders>
            <w:tcMar>
              <w:left w:w="90" w:type="dxa"/>
              <w:right w:w="90" w:type="dxa"/>
            </w:tcMar>
            <w:vAlign w:val="center"/>
          </w:tcPr>
          <w:p w14:paraId="4F1C67F7" w14:textId="5C43F0E9" w:rsidR="3D7FD8EF" w:rsidRDefault="07E1F412" w:rsidP="0A9D2F51">
            <w:pPr>
              <w:spacing w:beforeAutospacing="1"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Strengths: Family-focused and recent. Limitations: Variation in study quality.</w:t>
            </w:r>
          </w:p>
        </w:tc>
        <w:tc>
          <w:tcPr>
            <w:tcW w:w="1824" w:type="dxa"/>
            <w:tcBorders>
              <w:bottom w:val="single" w:sz="6" w:space="0" w:color="auto"/>
              <w:right w:val="single" w:sz="6" w:space="0" w:color="auto"/>
            </w:tcBorders>
            <w:tcMar>
              <w:left w:w="90" w:type="dxa"/>
              <w:right w:w="90" w:type="dxa"/>
            </w:tcMar>
            <w:vAlign w:val="center"/>
          </w:tcPr>
          <w:p w14:paraId="332FA617" w14:textId="7DFEA901"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Families experience emotional strain, role changes, and caregiving stress</w:t>
            </w:r>
          </w:p>
        </w:tc>
      </w:tr>
    </w:tbl>
    <w:p w14:paraId="1D03A94E" w14:textId="79799480" w:rsidR="00E06BA1" w:rsidRDefault="00E06BA1" w:rsidP="5025A093">
      <w:pPr>
        <w:spacing w:line="360" w:lineRule="auto"/>
        <w:rPr>
          <w:rFonts w:ascii="Arial" w:eastAsia="Arial" w:hAnsi="Arial" w:cs="Arial"/>
          <w:color w:val="000000" w:themeColor="text1"/>
        </w:rPr>
      </w:pPr>
    </w:p>
    <w:p w14:paraId="30B28AD0" w14:textId="22B2DA8F"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This offers an organised comparison of important literature, covering study types, methods used, strengths and weaknesses, and key findings.</w:t>
      </w:r>
    </w:p>
    <w:p w14:paraId="49DBDEE9" w14:textId="292C5414" w:rsidR="00E06BA1" w:rsidRDefault="78CA3615" w:rsidP="0A9D2F51">
      <w:pPr>
        <w:spacing w:beforeAutospacing="1" w:afterAutospacing="1" w:line="360" w:lineRule="auto"/>
        <w:rPr>
          <w:rFonts w:ascii="Arial" w:eastAsia="Arial" w:hAnsi="Arial" w:cs="Arial"/>
          <w:color w:val="000000" w:themeColor="text1"/>
        </w:rPr>
      </w:pPr>
      <w:r w:rsidRPr="0A9D2F51">
        <w:rPr>
          <w:rStyle w:val="s1"/>
          <w:rFonts w:ascii="Arial" w:eastAsia="Arial" w:hAnsi="Arial" w:cs="Arial"/>
          <w:b/>
          <w:bCs/>
          <w:color w:val="000000" w:themeColor="text1"/>
          <w:lang w:val="en-GB"/>
        </w:rPr>
        <w:t>Table 3.2: Thematic coding and development of themes from the reviewed literatu</w:t>
      </w:r>
      <w:r w:rsidRPr="0A9D2F51">
        <w:rPr>
          <w:rStyle w:val="s1"/>
          <w:rFonts w:ascii="Arial" w:eastAsia="Arial" w:hAnsi="Arial" w:cs="Arial"/>
          <w:color w:val="000000" w:themeColor="text1"/>
          <w:lang w:val="en-GB"/>
        </w:rPr>
        <w:t>re</w:t>
      </w:r>
    </w:p>
    <w:p w14:paraId="1949BFC3" w14:textId="30B6B65E" w:rsidR="00E06BA1" w:rsidRDefault="00E06BA1" w:rsidP="0A9D2F51">
      <w:pPr>
        <w:spacing w:beforeAutospacing="1" w:afterAutospacing="1" w:line="360" w:lineRule="auto"/>
        <w:rPr>
          <w:rFonts w:ascii="Arial" w:eastAsia="Arial" w:hAnsi="Arial" w:cs="Arial"/>
          <w:color w:val="000000" w:themeColor="text1"/>
        </w:rPr>
      </w:pPr>
    </w:p>
    <w:p w14:paraId="7E3DA5CB" w14:textId="6E7C1D22" w:rsidR="00E06BA1" w:rsidRDefault="00E06BA1" w:rsidP="5025A093">
      <w:pPr>
        <w:spacing w:line="360" w:lineRule="auto"/>
        <w:rPr>
          <w:rFonts w:ascii="Arial" w:eastAsia="Arial" w:hAnsi="Arial" w:cs="Arial"/>
          <w:color w:val="000000" w:themeColor="text1"/>
        </w:rPr>
      </w:pPr>
    </w:p>
    <w:tbl>
      <w:tblPr>
        <w:tblStyle w:val="GridTable4-Accent1"/>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544"/>
        <w:gridCol w:w="2538"/>
        <w:gridCol w:w="2538"/>
        <w:gridCol w:w="2544"/>
      </w:tblGrid>
      <w:tr w:rsidR="00491196" w14:paraId="006EC229" w14:textId="77777777" w:rsidTr="0A9D2F51">
        <w:trPr>
          <w:cnfStyle w:val="100000000000" w:firstRow="1" w:lastRow="0" w:firstColumn="0" w:lastColumn="0" w:oddVBand="0" w:evenVBand="0" w:oddHBand="0" w:evenHBand="0" w:firstRowFirstColumn="0" w:firstRowLastColumn="0" w:lastRowFirstColumn="0" w:lastRowLastColumn="0"/>
          <w:trHeight w:val="720"/>
        </w:trPr>
        <w:tc>
          <w:tcPr>
            <w:cnfStyle w:val="001000000000" w:firstRow="0" w:lastRow="0" w:firstColumn="1" w:lastColumn="0" w:oddVBand="0" w:evenVBand="0" w:oddHBand="0" w:evenHBand="0" w:firstRowFirstColumn="0" w:firstRowLastColumn="0" w:lastRowFirstColumn="0" w:lastRowLastColumn="0"/>
            <w:tcW w:w="2544" w:type="dxa"/>
            <w:tcBorders>
              <w:top w:val="single" w:sz="6" w:space="0" w:color="156082"/>
              <w:left w:val="single" w:sz="6" w:space="0" w:color="156082"/>
              <w:bottom w:val="single" w:sz="6" w:space="0" w:color="156082"/>
            </w:tcBorders>
            <w:tcMar>
              <w:left w:w="90" w:type="dxa"/>
              <w:right w:w="90" w:type="dxa"/>
            </w:tcMar>
            <w:vAlign w:val="center"/>
          </w:tcPr>
          <w:p w14:paraId="2EEE2783" w14:textId="492FA501" w:rsidR="3D7FD8EF" w:rsidRDefault="07E1F412" w:rsidP="0A9D2F51">
            <w:pPr>
              <w:spacing w:beforeAutospacing="1" w:afterAutospacing="1" w:line="360" w:lineRule="auto"/>
              <w:jc w:val="center"/>
              <w:rPr>
                <w:rFonts w:ascii="Arial" w:eastAsia="Arial" w:hAnsi="Arial" w:cs="Arial"/>
              </w:rPr>
            </w:pPr>
            <w:r w:rsidRPr="0A9D2F51">
              <w:rPr>
                <w:rFonts w:ascii="Arial" w:eastAsia="Arial" w:hAnsi="Arial" w:cs="Arial"/>
                <w:lang w:val="en-GB"/>
              </w:rPr>
              <w:t>Author &amp; Year</w:t>
            </w:r>
          </w:p>
          <w:p w14:paraId="11CE8EF7" w14:textId="272775E0" w:rsidR="3D7FD8EF" w:rsidRDefault="3D7FD8EF" w:rsidP="5025A093">
            <w:pPr>
              <w:spacing w:line="360" w:lineRule="auto"/>
              <w:jc w:val="center"/>
              <w:rPr>
                <w:rFonts w:ascii="Arial" w:eastAsia="Arial" w:hAnsi="Arial" w:cs="Arial"/>
              </w:rPr>
            </w:pPr>
          </w:p>
        </w:tc>
        <w:tc>
          <w:tcPr>
            <w:tcW w:w="2538" w:type="dxa"/>
            <w:tcBorders>
              <w:top w:val="single" w:sz="6" w:space="0" w:color="156082"/>
              <w:bottom w:val="single" w:sz="6" w:space="0" w:color="156082"/>
            </w:tcBorders>
            <w:tcMar>
              <w:left w:w="90" w:type="dxa"/>
              <w:right w:w="90" w:type="dxa"/>
            </w:tcMar>
            <w:vAlign w:val="center"/>
          </w:tcPr>
          <w:p w14:paraId="1C390F75" w14:textId="25A71E08" w:rsidR="3D7FD8EF" w:rsidRDefault="07E1F412" w:rsidP="0A9D2F51">
            <w:pPr>
              <w:spacing w:beforeAutospacing="1"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
            <w:r w:rsidRPr="0A9D2F51">
              <w:rPr>
                <w:rFonts w:ascii="Arial" w:eastAsia="Arial" w:hAnsi="Arial" w:cs="Arial"/>
                <w:lang w:val="en-GB"/>
              </w:rPr>
              <w:t>Key Findings</w:t>
            </w:r>
          </w:p>
          <w:p w14:paraId="4CE31A2B" w14:textId="2C756F6E" w:rsidR="3D7FD8EF" w:rsidRDefault="3D7FD8EF" w:rsidP="5025A0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
          </w:p>
        </w:tc>
        <w:tc>
          <w:tcPr>
            <w:tcW w:w="2538" w:type="dxa"/>
            <w:tcBorders>
              <w:top w:val="single" w:sz="6" w:space="0" w:color="156082"/>
              <w:bottom w:val="single" w:sz="6" w:space="0" w:color="156082"/>
            </w:tcBorders>
            <w:tcMar>
              <w:left w:w="90" w:type="dxa"/>
              <w:right w:w="90" w:type="dxa"/>
            </w:tcMar>
            <w:vAlign w:val="center"/>
          </w:tcPr>
          <w:p w14:paraId="2E4A48A6" w14:textId="704A9175" w:rsidR="3D7FD8EF" w:rsidRDefault="07E1F412" w:rsidP="0A9D2F51">
            <w:pPr>
              <w:spacing w:beforeAutospacing="1"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
            <w:r w:rsidRPr="0A9D2F51">
              <w:rPr>
                <w:rFonts w:ascii="Arial" w:eastAsia="Arial" w:hAnsi="Arial" w:cs="Arial"/>
                <w:lang w:val="en-GB"/>
              </w:rPr>
              <w:t>Initial Codes</w:t>
            </w:r>
          </w:p>
          <w:p w14:paraId="0B68CF18" w14:textId="67EBA948" w:rsidR="3D7FD8EF" w:rsidRDefault="3D7FD8EF" w:rsidP="5025A0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
          </w:p>
        </w:tc>
        <w:tc>
          <w:tcPr>
            <w:tcW w:w="2544" w:type="dxa"/>
            <w:tcBorders>
              <w:top w:val="single" w:sz="6" w:space="0" w:color="156082"/>
              <w:bottom w:val="single" w:sz="6" w:space="0" w:color="156082"/>
              <w:right w:val="single" w:sz="6" w:space="0" w:color="156082"/>
            </w:tcBorders>
            <w:tcMar>
              <w:left w:w="90" w:type="dxa"/>
              <w:right w:w="90" w:type="dxa"/>
            </w:tcMar>
            <w:vAlign w:val="center"/>
          </w:tcPr>
          <w:p w14:paraId="1D1D9D74" w14:textId="49EC5D05" w:rsidR="3D7FD8EF" w:rsidRDefault="07E1F412" w:rsidP="0A9D2F51">
            <w:pPr>
              <w:spacing w:beforeAutospacing="1"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
            <w:r w:rsidRPr="0A9D2F51">
              <w:rPr>
                <w:rFonts w:ascii="Arial" w:eastAsia="Arial" w:hAnsi="Arial" w:cs="Arial"/>
                <w:lang w:val="en-GB"/>
              </w:rPr>
              <w:t>Identified Theme</w:t>
            </w:r>
          </w:p>
          <w:p w14:paraId="3DB15427" w14:textId="4B3879B7" w:rsidR="3D7FD8EF" w:rsidRDefault="3D7FD8EF" w:rsidP="5025A0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
          </w:p>
        </w:tc>
      </w:tr>
      <w:tr w:rsidR="00491196" w14:paraId="381984B2" w14:textId="77777777" w:rsidTr="0A9D2F51">
        <w:trPr>
          <w:trHeight w:val="720"/>
        </w:trPr>
        <w:tc>
          <w:tcPr>
            <w:cnfStyle w:val="001000000000" w:firstRow="0" w:lastRow="0" w:firstColumn="1" w:lastColumn="0" w:oddVBand="0" w:evenVBand="0" w:oddHBand="0" w:evenHBand="0" w:firstRowFirstColumn="0" w:firstRowLastColumn="0" w:lastRowFirstColumn="0" w:lastRowLastColumn="0"/>
            <w:tcW w:w="2544" w:type="dxa"/>
            <w:tcBorders>
              <w:left w:val="single" w:sz="6" w:space="0" w:color="auto"/>
            </w:tcBorders>
            <w:tcMar>
              <w:left w:w="90" w:type="dxa"/>
              <w:right w:w="90" w:type="dxa"/>
            </w:tcMar>
            <w:vAlign w:val="center"/>
          </w:tcPr>
          <w:p w14:paraId="6F4AB3BD" w14:textId="2AB714AC" w:rsidR="3D7FD8EF" w:rsidRDefault="07E1F412" w:rsidP="5025A093">
            <w:pPr>
              <w:spacing w:line="360" w:lineRule="auto"/>
              <w:jc w:val="center"/>
              <w:rPr>
                <w:rFonts w:ascii="Arial" w:eastAsia="Arial" w:hAnsi="Arial" w:cs="Arial"/>
                <w:color w:val="000000" w:themeColor="text1"/>
              </w:rPr>
            </w:pPr>
            <w:r w:rsidRPr="0A9D2F51">
              <w:rPr>
                <w:rFonts w:ascii="Arial" w:eastAsia="Arial" w:hAnsi="Arial" w:cs="Arial"/>
                <w:color w:val="000000" w:themeColor="text1"/>
                <w:lang w:val="en-GB"/>
              </w:rPr>
              <w:t>Beck (1967)</w:t>
            </w:r>
          </w:p>
        </w:tc>
        <w:tc>
          <w:tcPr>
            <w:tcW w:w="2538" w:type="dxa"/>
            <w:tcMar>
              <w:left w:w="90" w:type="dxa"/>
              <w:right w:w="90" w:type="dxa"/>
            </w:tcMar>
            <w:vAlign w:val="center"/>
          </w:tcPr>
          <w:p w14:paraId="64820D90" w14:textId="144DDCBE"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Negative thinking patterns affect close relationships</w:t>
            </w:r>
          </w:p>
          <w:p w14:paraId="5EBE8E52" w14:textId="4A0806D0"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2538" w:type="dxa"/>
            <w:tcMar>
              <w:left w:w="90" w:type="dxa"/>
              <w:right w:w="90" w:type="dxa"/>
            </w:tcMar>
            <w:vAlign w:val="center"/>
          </w:tcPr>
          <w:p w14:paraId="1D172204" w14:textId="28C9154B"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emotional strain, negative cognition</w:t>
            </w:r>
          </w:p>
        </w:tc>
        <w:tc>
          <w:tcPr>
            <w:tcW w:w="2544" w:type="dxa"/>
            <w:tcBorders>
              <w:right w:val="single" w:sz="6" w:space="0" w:color="auto"/>
            </w:tcBorders>
            <w:tcMar>
              <w:left w:w="90" w:type="dxa"/>
              <w:right w:w="90" w:type="dxa"/>
            </w:tcMar>
            <w:vAlign w:val="center"/>
          </w:tcPr>
          <w:p w14:paraId="224CE0B8" w14:textId="0B5AC27E"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Emotional and psychological impact on families</w:t>
            </w:r>
          </w:p>
          <w:p w14:paraId="591E4D0B" w14:textId="09CE5E60"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r>
      <w:tr w:rsidR="00491196" w14:paraId="4556EBE5" w14:textId="77777777" w:rsidTr="0A9D2F51">
        <w:trPr>
          <w:trHeight w:val="720"/>
        </w:trPr>
        <w:tc>
          <w:tcPr>
            <w:cnfStyle w:val="001000000000" w:firstRow="0" w:lastRow="0" w:firstColumn="1" w:lastColumn="0" w:oddVBand="0" w:evenVBand="0" w:oddHBand="0" w:evenHBand="0" w:firstRowFirstColumn="0" w:firstRowLastColumn="0" w:lastRowFirstColumn="0" w:lastRowLastColumn="0"/>
            <w:tcW w:w="2544" w:type="dxa"/>
            <w:tcBorders>
              <w:left w:val="single" w:sz="6" w:space="0" w:color="auto"/>
            </w:tcBorders>
            <w:tcMar>
              <w:left w:w="90" w:type="dxa"/>
              <w:right w:w="90" w:type="dxa"/>
            </w:tcMar>
            <w:vAlign w:val="center"/>
          </w:tcPr>
          <w:p w14:paraId="682FA7DF" w14:textId="2C7DB00A" w:rsidR="3D7FD8EF" w:rsidRDefault="07E1F412" w:rsidP="5025A093">
            <w:pPr>
              <w:spacing w:line="360" w:lineRule="auto"/>
              <w:jc w:val="center"/>
              <w:rPr>
                <w:rFonts w:ascii="Arial" w:eastAsia="Arial" w:hAnsi="Arial" w:cs="Arial"/>
                <w:color w:val="000000" w:themeColor="text1"/>
              </w:rPr>
            </w:pPr>
            <w:r w:rsidRPr="0A9D2F51">
              <w:rPr>
                <w:rFonts w:ascii="Arial" w:eastAsia="Arial" w:hAnsi="Arial" w:cs="Arial"/>
                <w:color w:val="000000" w:themeColor="text1"/>
                <w:lang w:val="en-GB"/>
              </w:rPr>
              <w:t>Freud (1957)</w:t>
            </w:r>
          </w:p>
        </w:tc>
        <w:tc>
          <w:tcPr>
            <w:tcW w:w="2538" w:type="dxa"/>
            <w:tcMar>
              <w:left w:w="90" w:type="dxa"/>
              <w:right w:w="90" w:type="dxa"/>
            </w:tcMar>
            <w:vAlign w:val="center"/>
          </w:tcPr>
          <w:p w14:paraId="08A3F1FD" w14:textId="279E31F3"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Internalised loss and self-blame influence family dynamics</w:t>
            </w:r>
          </w:p>
        </w:tc>
        <w:tc>
          <w:tcPr>
            <w:tcW w:w="2538" w:type="dxa"/>
            <w:tcMar>
              <w:left w:w="90" w:type="dxa"/>
              <w:right w:w="90" w:type="dxa"/>
            </w:tcMar>
            <w:vAlign w:val="center"/>
          </w:tcPr>
          <w:p w14:paraId="5ECC86D8" w14:textId="57BE36B7"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Loss, guilt, self-blame</w:t>
            </w:r>
          </w:p>
        </w:tc>
        <w:tc>
          <w:tcPr>
            <w:tcW w:w="2544" w:type="dxa"/>
            <w:tcBorders>
              <w:right w:val="single" w:sz="6" w:space="0" w:color="auto"/>
            </w:tcBorders>
            <w:tcMar>
              <w:left w:w="90" w:type="dxa"/>
              <w:right w:w="90" w:type="dxa"/>
            </w:tcMar>
            <w:vAlign w:val="center"/>
          </w:tcPr>
          <w:p w14:paraId="2CB3C49C" w14:textId="557BCDD0"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Emotional and psychological impact on families</w:t>
            </w:r>
          </w:p>
        </w:tc>
      </w:tr>
      <w:tr w:rsidR="00491196" w14:paraId="43CE8E5D" w14:textId="77777777" w:rsidTr="0A9D2F51">
        <w:trPr>
          <w:trHeight w:val="720"/>
        </w:trPr>
        <w:tc>
          <w:tcPr>
            <w:cnfStyle w:val="001000000000" w:firstRow="0" w:lastRow="0" w:firstColumn="1" w:lastColumn="0" w:oddVBand="0" w:evenVBand="0" w:oddHBand="0" w:evenHBand="0" w:firstRowFirstColumn="0" w:firstRowLastColumn="0" w:lastRowFirstColumn="0" w:lastRowLastColumn="0"/>
            <w:tcW w:w="2544" w:type="dxa"/>
            <w:tcBorders>
              <w:left w:val="single" w:sz="6" w:space="0" w:color="auto"/>
            </w:tcBorders>
            <w:tcMar>
              <w:left w:w="90" w:type="dxa"/>
              <w:right w:w="90" w:type="dxa"/>
            </w:tcMar>
            <w:vAlign w:val="center"/>
          </w:tcPr>
          <w:p w14:paraId="12B4D220" w14:textId="151C6D99" w:rsidR="3D7FD8EF" w:rsidRDefault="07E1F412" w:rsidP="5025A093">
            <w:pPr>
              <w:spacing w:line="360" w:lineRule="auto"/>
              <w:jc w:val="center"/>
              <w:rPr>
                <w:rFonts w:ascii="Arial" w:eastAsia="Arial" w:hAnsi="Arial" w:cs="Arial"/>
                <w:color w:val="000000" w:themeColor="text1"/>
              </w:rPr>
            </w:pPr>
            <w:r w:rsidRPr="0A9D2F51">
              <w:rPr>
                <w:rFonts w:ascii="Arial" w:eastAsia="Arial" w:hAnsi="Arial" w:cs="Arial"/>
                <w:color w:val="000000" w:themeColor="text1"/>
                <w:lang w:val="en-GB"/>
              </w:rPr>
              <w:t>Bowlby (1980)</w:t>
            </w:r>
          </w:p>
        </w:tc>
        <w:tc>
          <w:tcPr>
            <w:tcW w:w="2538" w:type="dxa"/>
            <w:tcMar>
              <w:left w:w="90" w:type="dxa"/>
              <w:right w:w="90" w:type="dxa"/>
            </w:tcMar>
            <w:vAlign w:val="center"/>
          </w:tcPr>
          <w:p w14:paraId="2ABF8B9F" w14:textId="6ECE0B43"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Disrupted attachment causes relational distress</w:t>
            </w:r>
          </w:p>
          <w:p w14:paraId="340DB156" w14:textId="2E873F50"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2538" w:type="dxa"/>
            <w:tcMar>
              <w:left w:w="90" w:type="dxa"/>
              <w:right w:w="90" w:type="dxa"/>
            </w:tcMar>
            <w:vAlign w:val="center"/>
          </w:tcPr>
          <w:p w14:paraId="6DDBABB7" w14:textId="0E15F886"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Attachment disruption, grief</w:t>
            </w:r>
          </w:p>
        </w:tc>
        <w:tc>
          <w:tcPr>
            <w:tcW w:w="2544" w:type="dxa"/>
            <w:tcBorders>
              <w:right w:val="single" w:sz="6" w:space="0" w:color="auto"/>
            </w:tcBorders>
            <w:tcMar>
              <w:left w:w="90" w:type="dxa"/>
              <w:right w:w="90" w:type="dxa"/>
            </w:tcMar>
            <w:vAlign w:val="center"/>
          </w:tcPr>
          <w:p w14:paraId="4CD81AC8" w14:textId="77318672"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Relationship and attachment strain</w:t>
            </w:r>
          </w:p>
          <w:p w14:paraId="0C3C312F" w14:textId="1D14B21E"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r>
      <w:tr w:rsidR="00491196" w14:paraId="2EA7CE9F" w14:textId="77777777" w:rsidTr="0A9D2F51">
        <w:trPr>
          <w:trHeight w:val="720"/>
        </w:trPr>
        <w:tc>
          <w:tcPr>
            <w:cnfStyle w:val="001000000000" w:firstRow="0" w:lastRow="0" w:firstColumn="1" w:lastColumn="0" w:oddVBand="0" w:evenVBand="0" w:oddHBand="0" w:evenHBand="0" w:firstRowFirstColumn="0" w:firstRowLastColumn="0" w:lastRowFirstColumn="0" w:lastRowLastColumn="0"/>
            <w:tcW w:w="2544" w:type="dxa"/>
            <w:tcBorders>
              <w:left w:val="single" w:sz="6" w:space="0" w:color="auto"/>
            </w:tcBorders>
            <w:tcMar>
              <w:left w:w="90" w:type="dxa"/>
              <w:right w:w="90" w:type="dxa"/>
            </w:tcMar>
            <w:vAlign w:val="center"/>
          </w:tcPr>
          <w:p w14:paraId="29D5778C" w14:textId="3B973213" w:rsidR="3D7FD8EF" w:rsidRDefault="07E1F412" w:rsidP="0A9D2F51">
            <w:pPr>
              <w:spacing w:beforeAutospacing="1" w:afterAutospacing="1" w:line="360" w:lineRule="auto"/>
              <w:jc w:val="center"/>
              <w:rPr>
                <w:rFonts w:ascii="Arial" w:eastAsia="Arial" w:hAnsi="Arial" w:cs="Arial"/>
                <w:color w:val="000000" w:themeColor="text1"/>
              </w:rPr>
            </w:pPr>
            <w:r w:rsidRPr="0A9D2F51">
              <w:rPr>
                <w:rFonts w:ascii="Arial" w:eastAsia="Arial" w:hAnsi="Arial" w:cs="Arial"/>
                <w:color w:val="000000" w:themeColor="text1"/>
                <w:lang w:val="en-GB"/>
              </w:rPr>
              <w:t>Buus et al. (2024)</w:t>
            </w:r>
          </w:p>
          <w:p w14:paraId="2C021DD4" w14:textId="3A2DD338" w:rsidR="3D7FD8EF" w:rsidRDefault="3D7FD8EF" w:rsidP="5025A093">
            <w:pPr>
              <w:spacing w:line="360" w:lineRule="auto"/>
              <w:jc w:val="center"/>
              <w:rPr>
                <w:rFonts w:ascii="Arial" w:eastAsia="Arial" w:hAnsi="Arial" w:cs="Arial"/>
                <w:color w:val="000000" w:themeColor="text1"/>
              </w:rPr>
            </w:pPr>
          </w:p>
        </w:tc>
        <w:tc>
          <w:tcPr>
            <w:tcW w:w="2538" w:type="dxa"/>
            <w:tcMar>
              <w:left w:w="90" w:type="dxa"/>
              <w:right w:w="90" w:type="dxa"/>
            </w:tcMar>
            <w:vAlign w:val="center"/>
          </w:tcPr>
          <w:p w14:paraId="00DA8A34" w14:textId="7AF2BC82"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Families experience role changes and caregiving stress</w:t>
            </w:r>
          </w:p>
        </w:tc>
        <w:tc>
          <w:tcPr>
            <w:tcW w:w="2538" w:type="dxa"/>
            <w:tcMar>
              <w:left w:w="90" w:type="dxa"/>
              <w:right w:w="90" w:type="dxa"/>
            </w:tcMar>
            <w:vAlign w:val="center"/>
          </w:tcPr>
          <w:p w14:paraId="709E78A2" w14:textId="577C9C46"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Role strain, caregiving burden</w:t>
            </w:r>
          </w:p>
        </w:tc>
        <w:tc>
          <w:tcPr>
            <w:tcW w:w="2544" w:type="dxa"/>
            <w:tcBorders>
              <w:right w:val="single" w:sz="6" w:space="0" w:color="auto"/>
            </w:tcBorders>
            <w:tcMar>
              <w:left w:w="90" w:type="dxa"/>
              <w:right w:w="90" w:type="dxa"/>
            </w:tcMar>
            <w:vAlign w:val="center"/>
          </w:tcPr>
          <w:p w14:paraId="5665248D" w14:textId="1BF9FE79"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Caregiving burden and role changes</w:t>
            </w:r>
          </w:p>
          <w:p w14:paraId="69D41202" w14:textId="425555E3"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r>
      <w:tr w:rsidR="00491196" w14:paraId="01673330" w14:textId="77777777" w:rsidTr="0A9D2F51">
        <w:trPr>
          <w:trHeight w:val="720"/>
        </w:trPr>
        <w:tc>
          <w:tcPr>
            <w:cnfStyle w:val="001000000000" w:firstRow="0" w:lastRow="0" w:firstColumn="1" w:lastColumn="0" w:oddVBand="0" w:evenVBand="0" w:oddHBand="0" w:evenHBand="0" w:firstRowFirstColumn="0" w:firstRowLastColumn="0" w:lastRowFirstColumn="0" w:lastRowLastColumn="0"/>
            <w:tcW w:w="2544" w:type="dxa"/>
            <w:tcBorders>
              <w:left w:val="single" w:sz="6" w:space="0" w:color="auto"/>
            </w:tcBorders>
            <w:tcMar>
              <w:left w:w="90" w:type="dxa"/>
              <w:right w:w="90" w:type="dxa"/>
            </w:tcMar>
            <w:vAlign w:val="center"/>
          </w:tcPr>
          <w:p w14:paraId="6611B52A" w14:textId="35038DC3" w:rsidR="3D7FD8EF" w:rsidRDefault="07E1F412" w:rsidP="0A9D2F51">
            <w:pPr>
              <w:spacing w:beforeAutospacing="1" w:afterAutospacing="1" w:line="360" w:lineRule="auto"/>
              <w:jc w:val="center"/>
              <w:rPr>
                <w:rFonts w:ascii="Arial" w:eastAsia="Arial" w:hAnsi="Arial" w:cs="Arial"/>
                <w:color w:val="000000" w:themeColor="text1"/>
              </w:rPr>
            </w:pPr>
            <w:r w:rsidRPr="0A9D2F51">
              <w:rPr>
                <w:rFonts w:ascii="Arial" w:eastAsia="Arial" w:hAnsi="Arial" w:cs="Arial"/>
                <w:color w:val="000000" w:themeColor="text1"/>
                <w:lang w:val="en-GB"/>
              </w:rPr>
              <w:t>Smith et al. (2020)</w:t>
            </w:r>
          </w:p>
          <w:p w14:paraId="5243C5C9" w14:textId="02D409A4" w:rsidR="3D7FD8EF" w:rsidRDefault="3D7FD8EF" w:rsidP="5025A093">
            <w:pPr>
              <w:spacing w:line="360" w:lineRule="auto"/>
              <w:jc w:val="center"/>
              <w:rPr>
                <w:rFonts w:ascii="Arial" w:eastAsia="Arial" w:hAnsi="Arial" w:cs="Arial"/>
                <w:color w:val="000000" w:themeColor="text1"/>
              </w:rPr>
            </w:pPr>
          </w:p>
        </w:tc>
        <w:tc>
          <w:tcPr>
            <w:tcW w:w="2538" w:type="dxa"/>
            <w:tcMar>
              <w:left w:w="90" w:type="dxa"/>
              <w:right w:w="90" w:type="dxa"/>
            </w:tcMar>
            <w:vAlign w:val="center"/>
          </w:tcPr>
          <w:p w14:paraId="6E84CFC0" w14:textId="6D52EB77"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High prevalence increases pressure on families</w:t>
            </w:r>
          </w:p>
          <w:p w14:paraId="41F39E27" w14:textId="748C5B08"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2538" w:type="dxa"/>
            <w:tcMar>
              <w:left w:w="90" w:type="dxa"/>
              <w:right w:w="90" w:type="dxa"/>
            </w:tcMar>
            <w:vAlign w:val="center"/>
          </w:tcPr>
          <w:p w14:paraId="5583A5F8" w14:textId="6EDD4166"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Family burden, support demand</w:t>
            </w:r>
          </w:p>
        </w:tc>
        <w:tc>
          <w:tcPr>
            <w:tcW w:w="2544" w:type="dxa"/>
            <w:tcBorders>
              <w:right w:val="single" w:sz="6" w:space="0" w:color="auto"/>
            </w:tcBorders>
            <w:tcMar>
              <w:left w:w="90" w:type="dxa"/>
              <w:right w:w="90" w:type="dxa"/>
            </w:tcMar>
            <w:vAlign w:val="center"/>
          </w:tcPr>
          <w:p w14:paraId="0BD17E5D" w14:textId="37C9BFF7"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Caregiving burden and role changes</w:t>
            </w:r>
          </w:p>
          <w:p w14:paraId="080C61CA" w14:textId="70FB7DC5"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r>
      <w:tr w:rsidR="00491196" w14:paraId="4C40AE0F" w14:textId="77777777" w:rsidTr="0A9D2F51">
        <w:trPr>
          <w:trHeight w:val="720"/>
        </w:trPr>
        <w:tc>
          <w:tcPr>
            <w:cnfStyle w:val="001000000000" w:firstRow="0" w:lastRow="0" w:firstColumn="1" w:lastColumn="0" w:oddVBand="0" w:evenVBand="0" w:oddHBand="0" w:evenHBand="0" w:firstRowFirstColumn="0" w:firstRowLastColumn="0" w:lastRowFirstColumn="0" w:lastRowLastColumn="0"/>
            <w:tcW w:w="2544" w:type="dxa"/>
            <w:tcBorders>
              <w:left w:val="single" w:sz="6" w:space="0" w:color="auto"/>
            </w:tcBorders>
            <w:tcMar>
              <w:left w:w="90" w:type="dxa"/>
              <w:right w:w="90" w:type="dxa"/>
            </w:tcMar>
            <w:vAlign w:val="center"/>
          </w:tcPr>
          <w:p w14:paraId="1160A354" w14:textId="2FAD448D" w:rsidR="3D7FD8EF" w:rsidRDefault="07E1F412" w:rsidP="5025A093">
            <w:pPr>
              <w:spacing w:line="360" w:lineRule="auto"/>
              <w:jc w:val="center"/>
              <w:rPr>
                <w:rFonts w:ascii="Arial" w:eastAsia="Arial" w:hAnsi="Arial" w:cs="Arial"/>
                <w:color w:val="000000" w:themeColor="text1"/>
              </w:rPr>
            </w:pPr>
            <w:r w:rsidRPr="0A9D2F51">
              <w:rPr>
                <w:rFonts w:ascii="Arial" w:eastAsia="Arial" w:hAnsi="Arial" w:cs="Arial"/>
                <w:color w:val="000000" w:themeColor="text1"/>
                <w:lang w:val="en-GB"/>
              </w:rPr>
              <w:t>Porter (2002)</w:t>
            </w:r>
          </w:p>
        </w:tc>
        <w:tc>
          <w:tcPr>
            <w:tcW w:w="2538" w:type="dxa"/>
            <w:tcMar>
              <w:left w:w="90" w:type="dxa"/>
              <w:right w:w="90" w:type="dxa"/>
            </w:tcMar>
            <w:vAlign w:val="center"/>
          </w:tcPr>
          <w:p w14:paraId="1C3DEBCD" w14:textId="58113552"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Stigma shapes family responses to depression</w:t>
            </w:r>
          </w:p>
        </w:tc>
        <w:tc>
          <w:tcPr>
            <w:tcW w:w="2538" w:type="dxa"/>
            <w:tcMar>
              <w:left w:w="90" w:type="dxa"/>
              <w:right w:w="90" w:type="dxa"/>
            </w:tcMar>
            <w:vAlign w:val="center"/>
          </w:tcPr>
          <w:p w14:paraId="5E5E0035" w14:textId="1595B5ED"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Stigma, misunderstanding</w:t>
            </w:r>
          </w:p>
        </w:tc>
        <w:tc>
          <w:tcPr>
            <w:tcW w:w="2544" w:type="dxa"/>
            <w:tcBorders>
              <w:right w:val="single" w:sz="6" w:space="0" w:color="auto"/>
            </w:tcBorders>
            <w:tcMar>
              <w:left w:w="90" w:type="dxa"/>
              <w:right w:w="90" w:type="dxa"/>
            </w:tcMar>
            <w:vAlign w:val="center"/>
          </w:tcPr>
          <w:p w14:paraId="7B190ABA" w14:textId="40F383D3"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Stigma and social impact</w:t>
            </w:r>
          </w:p>
        </w:tc>
      </w:tr>
      <w:tr w:rsidR="00491196" w14:paraId="52D4C9F0" w14:textId="77777777" w:rsidTr="0A9D2F51">
        <w:trPr>
          <w:trHeight w:val="720"/>
        </w:trPr>
        <w:tc>
          <w:tcPr>
            <w:cnfStyle w:val="001000000000" w:firstRow="0" w:lastRow="0" w:firstColumn="1" w:lastColumn="0" w:oddVBand="0" w:evenVBand="0" w:oddHBand="0" w:evenHBand="0" w:firstRowFirstColumn="0" w:firstRowLastColumn="0" w:lastRowFirstColumn="0" w:lastRowLastColumn="0"/>
            <w:tcW w:w="2544" w:type="dxa"/>
            <w:tcBorders>
              <w:left w:val="single" w:sz="6" w:space="0" w:color="auto"/>
              <w:bottom w:val="single" w:sz="6" w:space="0" w:color="auto"/>
            </w:tcBorders>
            <w:tcMar>
              <w:left w:w="90" w:type="dxa"/>
              <w:right w:w="90" w:type="dxa"/>
            </w:tcMar>
            <w:vAlign w:val="center"/>
          </w:tcPr>
          <w:p w14:paraId="4F6AEB71" w14:textId="067F0A68" w:rsidR="3D7FD8EF" w:rsidRDefault="07E1F412" w:rsidP="0A9D2F51">
            <w:pPr>
              <w:spacing w:beforeAutospacing="1" w:afterAutospacing="1" w:line="360" w:lineRule="auto"/>
              <w:jc w:val="center"/>
              <w:rPr>
                <w:rFonts w:ascii="Arial" w:eastAsia="Arial" w:hAnsi="Arial" w:cs="Arial"/>
                <w:color w:val="000000" w:themeColor="text1"/>
              </w:rPr>
            </w:pPr>
            <w:r w:rsidRPr="0A9D2F51">
              <w:rPr>
                <w:rFonts w:ascii="Arial" w:eastAsia="Arial" w:hAnsi="Arial" w:cs="Arial"/>
                <w:color w:val="000000" w:themeColor="text1"/>
                <w:lang w:val="en-GB"/>
              </w:rPr>
              <w:t>Department of Health (1983)</w:t>
            </w:r>
          </w:p>
          <w:p w14:paraId="77DF165F" w14:textId="1140B205" w:rsidR="3D7FD8EF" w:rsidRDefault="3D7FD8EF" w:rsidP="5025A093">
            <w:pPr>
              <w:spacing w:line="360" w:lineRule="auto"/>
              <w:jc w:val="center"/>
              <w:rPr>
                <w:rFonts w:ascii="Arial" w:eastAsia="Arial" w:hAnsi="Arial" w:cs="Arial"/>
                <w:color w:val="000000" w:themeColor="text1"/>
              </w:rPr>
            </w:pPr>
          </w:p>
        </w:tc>
        <w:tc>
          <w:tcPr>
            <w:tcW w:w="2538" w:type="dxa"/>
            <w:tcBorders>
              <w:bottom w:val="single" w:sz="6" w:space="0" w:color="auto"/>
            </w:tcBorders>
            <w:tcMar>
              <w:left w:w="90" w:type="dxa"/>
              <w:right w:w="90" w:type="dxa"/>
            </w:tcMar>
            <w:vAlign w:val="center"/>
          </w:tcPr>
          <w:p w14:paraId="0B2A9D02" w14:textId="777837C4" w:rsidR="3D7FD8EF" w:rsidRDefault="07E1F412" w:rsidP="0A9D2F51">
            <w:pPr>
              <w:spacing w:beforeAutospacing="1"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Community care increased family responsibility</w:t>
            </w:r>
          </w:p>
          <w:p w14:paraId="00C43C19" w14:textId="10F952E1" w:rsidR="3D7FD8EF" w:rsidRDefault="3D7FD8EF"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tc>
        <w:tc>
          <w:tcPr>
            <w:tcW w:w="2538" w:type="dxa"/>
            <w:tcBorders>
              <w:bottom w:val="single" w:sz="6" w:space="0" w:color="auto"/>
            </w:tcBorders>
            <w:tcMar>
              <w:left w:w="90" w:type="dxa"/>
              <w:right w:w="90" w:type="dxa"/>
            </w:tcMar>
            <w:vAlign w:val="center"/>
          </w:tcPr>
          <w:p w14:paraId="7B95062E" w14:textId="36F5226F"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Informal care, policy impact</w:t>
            </w:r>
          </w:p>
        </w:tc>
        <w:tc>
          <w:tcPr>
            <w:tcW w:w="2544" w:type="dxa"/>
            <w:tcBorders>
              <w:bottom w:val="single" w:sz="6" w:space="0" w:color="auto"/>
              <w:right w:val="single" w:sz="6" w:space="0" w:color="auto"/>
            </w:tcBorders>
            <w:tcMar>
              <w:left w:w="90" w:type="dxa"/>
              <w:right w:w="90" w:type="dxa"/>
            </w:tcMar>
            <w:vAlign w:val="center"/>
          </w:tcPr>
          <w:p w14:paraId="32B7BD1A" w14:textId="1CEB075C" w:rsidR="3D7FD8EF" w:rsidRDefault="07E1F412" w:rsidP="5025A0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A9D2F51">
              <w:rPr>
                <w:rFonts w:ascii="Arial" w:eastAsia="Arial" w:hAnsi="Arial" w:cs="Arial"/>
                <w:color w:val="000000" w:themeColor="text1"/>
                <w:lang w:val="en-GB"/>
              </w:rPr>
              <w:t>policy-driven family responsibility</w:t>
            </w:r>
          </w:p>
        </w:tc>
      </w:tr>
    </w:tbl>
    <w:p w14:paraId="35F9B257" w14:textId="06A5A815" w:rsidR="00E06BA1" w:rsidRDefault="00E06BA1" w:rsidP="0A9D2F51">
      <w:pPr>
        <w:spacing w:beforeAutospacing="1" w:afterAutospacing="1" w:line="360" w:lineRule="auto"/>
        <w:rPr>
          <w:rFonts w:ascii="Arial" w:eastAsia="Arial" w:hAnsi="Arial" w:cs="Arial"/>
          <w:color w:val="000000" w:themeColor="text1"/>
        </w:rPr>
      </w:pPr>
    </w:p>
    <w:p w14:paraId="06F4EF8E" w14:textId="73D2B4AB" w:rsidR="00E06BA1" w:rsidRDefault="78CA3615" w:rsidP="5025A093">
      <w:pPr>
        <w:pStyle w:val="p1"/>
        <w:spacing w:line="360" w:lineRule="auto"/>
        <w:rPr>
          <w:rFonts w:ascii="Arial" w:eastAsia="Arial" w:hAnsi="Arial" w:cs="Arial"/>
          <w:color w:val="000000" w:themeColor="text1"/>
          <w:sz w:val="22"/>
          <w:szCs w:val="22"/>
          <w:lang w:val="en-US"/>
        </w:rPr>
      </w:pPr>
      <w:r w:rsidRPr="0A9D2F51">
        <w:rPr>
          <w:rFonts w:ascii="Arial" w:eastAsia="Arial" w:hAnsi="Arial" w:cs="Arial"/>
          <w:color w:val="000000" w:themeColor="text1"/>
          <w:sz w:val="22"/>
          <w:szCs w:val="22"/>
        </w:rPr>
        <w:t>This shows how thematic coding works by grouping repeated ideas from the literature into larger themes.</w:t>
      </w:r>
    </w:p>
    <w:p w14:paraId="50255472" w14:textId="4C2E0B28" w:rsidR="00E06BA1" w:rsidRDefault="00E06BA1" w:rsidP="5025A093">
      <w:pPr>
        <w:spacing w:line="360" w:lineRule="auto"/>
        <w:rPr>
          <w:rFonts w:ascii="Arial" w:eastAsia="Arial" w:hAnsi="Arial" w:cs="Arial"/>
          <w:color w:val="000000" w:themeColor="text1"/>
        </w:rPr>
      </w:pPr>
    </w:p>
    <w:p w14:paraId="7D14ED3A" w14:textId="18B3AF02" w:rsidR="00E06BA1" w:rsidRDefault="00E06BA1" w:rsidP="5025A093">
      <w:pPr>
        <w:spacing w:line="360" w:lineRule="auto"/>
        <w:rPr>
          <w:rFonts w:ascii="Arial" w:eastAsia="Arial" w:hAnsi="Arial" w:cs="Arial"/>
          <w:color w:val="000000" w:themeColor="text1"/>
        </w:rPr>
      </w:pPr>
    </w:p>
    <w:p w14:paraId="1324C5B6" w14:textId="51A2F5C6" w:rsidR="00E06BA1" w:rsidRDefault="00E06BA1" w:rsidP="276C226A">
      <w:pPr>
        <w:spacing w:line="360" w:lineRule="auto"/>
        <w:rPr>
          <w:rFonts w:ascii="Arial" w:eastAsia="Arial" w:hAnsi="Arial" w:cs="Arial"/>
          <w:b/>
          <w:bCs/>
          <w:color w:val="000000" w:themeColor="text1"/>
          <w:lang w:val="en-GB"/>
        </w:rPr>
      </w:pPr>
    </w:p>
    <w:p w14:paraId="7B879484" w14:textId="44C73367"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3.2 - Search strategy: strategy:</w:t>
      </w:r>
    </w:p>
    <w:p w14:paraId="3A00DCBA" w14:textId="2D219D9F"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The study employs a qualitative secondary research design to examine existing literature and data related to depression and its effects on families. Creswell (2018) emphasises that qualitative research delves into meanings and lived experiences, making it particularly well-suited for addressing intricate human issues like family coping mechanisms and emotional challenges.</w:t>
      </w:r>
    </w:p>
    <w:p w14:paraId="1289EFB4" w14:textId="2B297907"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Secondary research entails a systematic review of pre-existing data rather than gathering added information (Johnston, 2017). This approach allows for the exploration of various viewpoints from various sources, thereby offering a thorough understanding of the subject matter. The dissertation evaluates peer-reviewed journals, policy documents (such as those from the NHS and NICE), and reports from credible organisations like the World Health Organisation (WHO) and Carers UK. Such a design is especially right for health and social care research, as secondary data can reveal broader societal trends and the implications of policies (Boslaugh, 2007). A descriptive and analytical framework eased the identification of recurring themes and the critical assessment of how depression impacts family members across emotional, social, and economic aspects.</w:t>
      </w:r>
    </w:p>
    <w:p w14:paraId="009FDB6B" w14:textId="71E224C3"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Utilising secondary data is particularly beneficial for this study as it mitigates ethical issues, conserves time, and ensures access to high-quality, peer-reviewed scholarship. However, as Bryman (2016) mentions, researchers must apply critical scrutiny to confirm the reliability of this data.</w:t>
      </w:r>
    </w:p>
    <w:p w14:paraId="22536F06" w14:textId="3F248A4E"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This methodological approach aligns with the dissertation's interpretivist philosophy and qualitative focus, aiming to understand lived experiences through thematic synthesis rather than through statistical analysis.</w:t>
      </w:r>
    </w:p>
    <w:p w14:paraId="31EC14C9" w14:textId="12EA5C52"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3.3 Searching for information:</w:t>
      </w:r>
    </w:p>
    <w:p w14:paraId="6971EE3E" w14:textId="1B856538"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The research is based on an interpretivist philosophy, which posits that reality is socially constructed and emphasises the importance of understanding people's subjective experiences (Cohen, Manion, and Morrison, 2018). This perspective acknowledges that the effects of depression on families are shaped by individual, cultural, and contextual factors.</w:t>
      </w:r>
    </w:p>
    <w:p w14:paraId="3295DF46" w14:textId="0E42DC35"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In contrast to positivism, which prioritises objectivity and quantification, interpretivism emphasises the significance of the meanings that individuals attribute to their experiences (Creswell and Creswell, 2018). This philosophical viewpoint aligns with the research's goal of investigating emotional and relational impacts rather than generating numerical data.</w:t>
      </w:r>
    </w:p>
    <w:p w14:paraId="18A278AE" w14:textId="20AB0739"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The study also employs an inductive reasoning approach, which builds understanding from existing information and allows themes to appear organically from the literature rather than testing set hypotheses (Thomas, 2006). This method aids in uncovering new insights into the psychological, social, and economic challenges faced by families of those with depression.</w:t>
      </w:r>
    </w:p>
    <w:p w14:paraId="2A043B8A" w14:textId="109A4A22"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As Flick (2018) notes, interpretivism enables researchers to acknowledge the intricacies of human experiences. As a result, this approach ensures that the findings accurately reflect the real-world situations in which family members meet the effects of depression. By integrating interpretivism and induction, this research incorporates empathy, depth, and adaptability into its method.</w:t>
      </w:r>
    </w:p>
    <w:p w14:paraId="1EDE3E2C" w14:textId="341B57FC"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3.4 Research Validation:</w:t>
      </w:r>
    </w:p>
    <w:p w14:paraId="33AB52ED" w14:textId="7505A3CF"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This dissertation is based solely on secondary data, meaning no primary data collection methods such as interviews, surveys, or focus groups were utilised. Instead, information was sourced from credible, published, and peer-reviewed literature.</w:t>
      </w:r>
    </w:p>
    <w:p w14:paraId="0DA55F55" w14:textId="7C83633E"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A systematic search strategy was implemented to find and gather relevant studies. The academic databases and websites accessed included:</w:t>
      </w:r>
    </w:p>
    <w:p w14:paraId="42C2AF0B" w14:textId="7AC6FFBA"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Google Scholar</w:t>
      </w:r>
    </w:p>
    <w:p w14:paraId="360A2B8C" w14:textId="1726FA92"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PubMed</w:t>
      </w:r>
    </w:p>
    <w:p w14:paraId="1D5AF147" w14:textId="17E0BD50"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ScienceDirect</w:t>
      </w:r>
    </w:p>
    <w:p w14:paraId="57A804F9" w14:textId="01521F82"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PsycINFO</w:t>
      </w:r>
    </w:p>
    <w:p w14:paraId="6418FAEE" w14:textId="38DEFF93"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NHS Digital and NICE websites</w:t>
      </w:r>
    </w:p>
    <w:p w14:paraId="330355D0" w14:textId="212F6F90"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WHO Library and Carers UK reports</w:t>
      </w:r>
    </w:p>
    <w:p w14:paraId="58FF0ACE" w14:textId="5CC2D1AA"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The search utilised terms like “depression and family impact”, “carer burden UK”, “mental health carers”, “stigma and depression”, and “coping with depression in families”, with Boolean operators (AND, OR) to refine the results (Saunders, Lewis and Thornhill, 2019).</w:t>
      </w:r>
    </w:p>
    <w:p w14:paraId="5B878FE7" w14:textId="42A747B3"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 xml:space="preserve">Inclusion criteria: </w:t>
      </w:r>
    </w:p>
    <w:p w14:paraId="5DB34C51" w14:textId="226E975D"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Studies published between 2015 and 2025</w:t>
      </w:r>
    </w:p>
    <w:p w14:paraId="065D2DE0" w14:textId="02213876"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Peer-reviewed or produced by official organisations</w:t>
      </w:r>
    </w:p>
    <w:p w14:paraId="0C945872" w14:textId="6E7E7729"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Focused on the effects of depression on families or caregiving</w:t>
      </w:r>
    </w:p>
    <w:p w14:paraId="59117C73" w14:textId="64289162"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Relevant to the UK or similar Western health systems</w:t>
      </w:r>
    </w:p>
    <w:p w14:paraId="55DE9BE5" w14:textId="53280066"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 xml:space="preserve">Exclusion criteria: </w:t>
      </w:r>
    </w:p>
    <w:p w14:paraId="6C421ACC" w14:textId="0DA9E96C"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Studies published before 2010</w:t>
      </w:r>
    </w:p>
    <w:p w14:paraId="62C95B0E" w14:textId="6CAC900E"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Non-English publications</w:t>
      </w:r>
    </w:p>
    <w:p w14:paraId="4062EDEB" w14:textId="6A611C4F"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Articles lacking academic credibility or empirical support</w:t>
      </w:r>
    </w:p>
    <w:p w14:paraId="6F18F7CA" w14:textId="262BDCC8"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Each chosen source was catalogued in an Excel database, noting authors, publication year, aims, methodologies, and findings, which eased transparency and organised thematic analysis.</w:t>
      </w:r>
    </w:p>
    <w:p w14:paraId="64DD2405" w14:textId="58C4A9AD"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Utilising secondary data reduced ethical concerns and offered a comprehensive view of the existing literature. As Boslaugh (2007) highlights, secondary analysis is efficient and insightful when collecting new data is not possible.</w:t>
      </w:r>
    </w:p>
    <w:p w14:paraId="124ED87D" w14:textId="006F29C0"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3.5- Inclusion and Exclusion Criteria:</w:t>
      </w:r>
    </w:p>
    <w:p w14:paraId="78D95407" w14:textId="3F43E319"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The dissertation utilised thematic analysis, a qualitative method for identifying, examining, and interpreting key themes within existing data (Braun and Clarke, 2019). This approach enabled a systematic comparison of findings across many studies to uncover common issues in families’ experiences with depression.</w:t>
      </w:r>
    </w:p>
    <w:p w14:paraId="34EDF030" w14:textId="2F5996BE"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The analysis followed the six-stage framework outlined by Braun and Clarke (2019):</w:t>
      </w:r>
    </w:p>
    <w:p w14:paraId="5EA373C4" w14:textId="3B7AA7B6"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1. * Familiarisation * Reading and summarising all literature relevant to the topic.</w:t>
      </w:r>
    </w:p>
    <w:p w14:paraId="68881460" w14:textId="4510CB48"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2. * Generating codes * Highlighting significant concepts (e.g., "emotional burden", "stigma", "coping strategies").</w:t>
      </w:r>
    </w:p>
    <w:p w14:paraId="701EB4D2" w14:textId="7473D7C7"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3. * Searching for themes* Organising related codes into broader categories.</w:t>
      </w:r>
    </w:p>
    <w:p w14:paraId="446EBC42" w14:textId="057D37C7"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4. * Reviewing themes * Ensuring coherence and consistency across the data.</w:t>
      </w:r>
    </w:p>
    <w:p w14:paraId="514F652C" w14:textId="7CD029D2"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5. * Defining and naming Establishing clear thematic categories.</w:t>
      </w:r>
    </w:p>
    <w:p w14:paraId="485C9F6B" w14:textId="29548BF7"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6. * Producing the report * synthesising findings for inclusion in Chapter 4.</w:t>
      </w:r>
    </w:p>
    <w:p w14:paraId="2F730361" w14:textId="26EB1D8E"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The themes that surfaced included:</w:t>
      </w:r>
    </w:p>
    <w:p w14:paraId="10A584E5" w14:textId="08D74106"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Emotional strain on families</w:t>
      </w:r>
    </w:p>
    <w:p w14:paraId="4F049A4B" w14:textId="6ACDB3AA"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Financial hardship and social isolation</w:t>
      </w:r>
    </w:p>
    <w:p w14:paraId="4E0AAA98" w14:textId="384818C5"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Stigmatisation and misunderstanding</w:t>
      </w:r>
    </w:p>
    <w:p w14:paraId="7C564A5B" w14:textId="55526580"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Coping strategies and resilience</w:t>
      </w:r>
    </w:p>
    <w:p w14:paraId="3B9E2A2D" w14:textId="018B1F2A"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Gaps in policy and services</w:t>
      </w:r>
    </w:p>
    <w:p w14:paraId="1198B7B9" w14:textId="076DC8CA"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To organise the data, Excel was used with colour coding to support coding consistency and ease comparisons between studies (Nowell et al., 2017). This method ensured a clear audit trail and promoted transparency.</w:t>
      </w:r>
    </w:p>
    <w:p w14:paraId="5CFB89AB" w14:textId="6B1F0D66"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Thematic analysis is particularly effective for interpretivist research, as it captures the depth of qualitative data without oversimplifying complex experiences. It also aligns with the dissertation's aim of understanding the impact on families rather than merely measuring it.</w:t>
      </w:r>
    </w:p>
    <w:p w14:paraId="0E3F9F09" w14:textId="529468DD"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3.6- Analysing Research:</w:t>
      </w:r>
    </w:p>
    <w:p w14:paraId="69078673" w14:textId="097564A3"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While secondary research offers valuable insights, it comes with certain limitations. The primary concern is the reliance on the quality of existing data; researchers have no control over the design or sampling methods of the original studies (Bryman, 2016). Variations in context, method, and demographic focus may hinder the ability to make direct comparisons.</w:t>
      </w:r>
    </w:p>
    <w:p w14:paraId="03805A48" w14:textId="6486044B"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Another issue is publication bias, as studies that yield positive or statistically significant findings are more often published (Johnston, 2017). This can result in some viewpoints being inadequately represented.</w:t>
      </w:r>
    </w:p>
    <w:p w14:paraId="1F992C0F" w14:textId="502A65E5"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Furthermore, secondary research does not capture real-time or localised experiences of families currently experiencing depression in the UK. Despite these challenges, careful selection of sources and triangulation have been employed to enhance data reliability.</w:t>
      </w:r>
    </w:p>
    <w:p w14:paraId="65D25973" w14:textId="24104E69"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Creswell (2018) emphasises that recognising and openly addressing limitations enhances credibility. Therefore, this dissertation clearly delineates its methodological constraints to uphold academic integrity and reliability.</w:t>
      </w:r>
    </w:p>
    <w:p w14:paraId="4ED4379C" w14:textId="2DF5CF89"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3.7- Ethical Considerations:</w:t>
      </w:r>
    </w:p>
    <w:p w14:paraId="0ED24364" w14:textId="5C864B0B"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This study relied solely on secondary data, meaning there was no direct interaction with participants, and formal ethical approval was not required. However, ethical standards were upheld rigorously.</w:t>
      </w:r>
    </w:p>
    <w:p w14:paraId="5D4D4B17" w14:textId="59997F76"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Ethics in Secondary Research:</w:t>
      </w:r>
      <w:r w:rsidRPr="0A9D2F51">
        <w:rPr>
          <w:rFonts w:ascii="Arial" w:eastAsia="Arial" w:hAnsi="Arial" w:cs="Arial"/>
          <w:color w:val="000000" w:themeColor="text1"/>
          <w:lang w:val="en-GB"/>
        </w:rPr>
        <w:t xml:space="preserve"> </w:t>
      </w:r>
    </w:p>
    <w:p w14:paraId="749C7BEA" w14:textId="27C31411"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 The research utilised only publicly accessible, peer-reviewed, and reputable sources to keep respect for intellectual property and uphold data integrity (Resnik, 2020).</w:t>
      </w:r>
    </w:p>
    <w:p w14:paraId="6EE4275B" w14:textId="44412F66"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*Academic Integrity* All information was properly cited using the Harvard referencing style, keeping a consistent format throughout the dissertation. Plagiarism was avoided through careful paraphrasing and original analysis of existing data.</w:t>
      </w:r>
    </w:p>
    <w:p w14:paraId="788D5FF4" w14:textId="6FA67244"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*Transparency and Credibility* The literature was presented honestly, without distortion or selective bias, and the findings were interpreted in a way that accurately reflects the original authors' intentions.</w:t>
      </w:r>
    </w:p>
    <w:p w14:paraId="3558C0D1" w14:textId="7759B971"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These principles ensure that the research follows the ethical standards shown by higher education institutions and bolsters the reliability of its conclusions.</w:t>
      </w:r>
    </w:p>
    <w:p w14:paraId="7376EE2B" w14:textId="392F36EB" w:rsidR="00E06BA1" w:rsidRDefault="78CA3615" w:rsidP="5025A093">
      <w:pPr>
        <w:spacing w:line="360" w:lineRule="auto"/>
        <w:rPr>
          <w:rFonts w:ascii="Arial" w:eastAsia="Arial" w:hAnsi="Arial" w:cs="Arial"/>
          <w:color w:val="000000" w:themeColor="text1"/>
        </w:rPr>
      </w:pPr>
      <w:r w:rsidRPr="0A9D2F51">
        <w:rPr>
          <w:rFonts w:ascii="Arial" w:eastAsia="Arial" w:hAnsi="Arial" w:cs="Arial"/>
          <w:b/>
          <w:bCs/>
          <w:color w:val="000000" w:themeColor="text1"/>
          <w:lang w:val="en-GB"/>
        </w:rPr>
        <w:t>3.8- Chapter Conclusion:</w:t>
      </w:r>
    </w:p>
    <w:p w14:paraId="6C5A15E5" w14:textId="1E7D4A57"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This chapter has outlined the methodology utilised in the dissertation investigating the effects of depression on families in the UK. It explained the rationale for selecting a qualitative, interpretivist, secondary research design and detailed the systematic approaches used for data collection and thematic analysis. Throughout the process, ethical integrity, transparency, and methodological rigour were upheld.</w:t>
      </w:r>
    </w:p>
    <w:p w14:paraId="5AAC9ADB" w14:textId="48FD2DDE" w:rsidR="00E06BA1" w:rsidRDefault="78CA3615" w:rsidP="5025A093">
      <w:pPr>
        <w:spacing w:line="360" w:lineRule="auto"/>
        <w:rPr>
          <w:rFonts w:ascii="Arial" w:eastAsia="Arial" w:hAnsi="Arial" w:cs="Arial"/>
          <w:color w:val="000000" w:themeColor="text1"/>
        </w:rPr>
      </w:pPr>
      <w:r w:rsidRPr="0A9D2F51">
        <w:rPr>
          <w:rFonts w:ascii="Arial" w:eastAsia="Arial" w:hAnsi="Arial" w:cs="Arial"/>
          <w:color w:val="000000" w:themeColor="text1"/>
          <w:lang w:val="en-GB"/>
        </w:rPr>
        <w:t>The next chapter, Chapter 4: Findings and Analysis, will highlight the main themes that appeared from the literature review, illustrating the emotional, social, and economic impact of depression on families, while also linking these findings to the study's aims and goals.</w:t>
      </w:r>
    </w:p>
    <w:p w14:paraId="50F4370D" w14:textId="2EA689D0" w:rsidR="00E06BA1" w:rsidRDefault="00E06BA1" w:rsidP="3D7FD8EF">
      <w:pPr>
        <w:spacing w:line="276" w:lineRule="auto"/>
        <w:rPr>
          <w:rFonts w:ascii="Arial" w:eastAsia="Arial" w:hAnsi="Arial" w:cs="Arial"/>
          <w:color w:val="000000" w:themeColor="text1"/>
        </w:rPr>
      </w:pPr>
    </w:p>
    <w:p w14:paraId="25E804DF" w14:textId="5EDB0062" w:rsidR="00E06BA1" w:rsidRDefault="00E06BA1" w:rsidP="3D7FD8EF">
      <w:pPr>
        <w:spacing w:line="276" w:lineRule="auto"/>
        <w:rPr>
          <w:rFonts w:ascii="Arial" w:eastAsia="Arial" w:hAnsi="Arial" w:cs="Arial"/>
          <w:color w:val="000000" w:themeColor="text1"/>
        </w:rPr>
      </w:pPr>
    </w:p>
    <w:p w14:paraId="268A17E5" w14:textId="5C36742D" w:rsidR="00E06BA1" w:rsidRDefault="00E06BA1" w:rsidP="3D7FD8EF">
      <w:pPr>
        <w:spacing w:line="276" w:lineRule="auto"/>
        <w:rPr>
          <w:rFonts w:ascii="Arial" w:eastAsia="Arial" w:hAnsi="Arial" w:cs="Arial"/>
          <w:color w:val="000000" w:themeColor="text1"/>
        </w:rPr>
      </w:pPr>
    </w:p>
    <w:p w14:paraId="5A2060BE" w14:textId="237EEAF8" w:rsidR="00E06BA1" w:rsidRDefault="00E06BA1" w:rsidP="3D7FD8EF">
      <w:pPr>
        <w:spacing w:line="276" w:lineRule="auto"/>
        <w:rPr>
          <w:rFonts w:ascii="Arial" w:eastAsia="Arial" w:hAnsi="Arial" w:cs="Arial"/>
          <w:color w:val="000000" w:themeColor="text1"/>
        </w:rPr>
      </w:pPr>
    </w:p>
    <w:p w14:paraId="400A9A80" w14:textId="4D0DD11E" w:rsidR="00E06BA1" w:rsidRDefault="00E06BA1" w:rsidP="3D7FD8EF">
      <w:pPr>
        <w:keepNext/>
        <w:keepLines/>
        <w:spacing w:before="360" w:after="80" w:line="276" w:lineRule="auto"/>
        <w:rPr>
          <w:rFonts w:ascii="Arial" w:eastAsia="Arial" w:hAnsi="Arial" w:cs="Arial"/>
          <w:color w:val="000000" w:themeColor="text1"/>
        </w:rPr>
      </w:pPr>
    </w:p>
    <w:p w14:paraId="0D0D8BEA" w14:textId="51055B64" w:rsidR="00E06BA1" w:rsidRDefault="00E06BA1" w:rsidP="0A9D2F51">
      <w:pPr>
        <w:spacing w:line="276" w:lineRule="auto"/>
        <w:rPr>
          <w:rFonts w:ascii="Arial" w:eastAsia="Arial" w:hAnsi="Arial" w:cs="Arial"/>
          <w:b/>
          <w:bCs/>
        </w:rPr>
      </w:pPr>
    </w:p>
    <w:p w14:paraId="5D59D4A0" w14:textId="0352A064" w:rsidR="00E06BA1" w:rsidRDefault="00E06BA1" w:rsidP="0A9D2F51">
      <w:pPr>
        <w:spacing w:line="276" w:lineRule="auto"/>
        <w:rPr>
          <w:rFonts w:ascii="Arial" w:eastAsia="Arial" w:hAnsi="Arial" w:cs="Arial"/>
          <w:b/>
          <w:bCs/>
        </w:rPr>
      </w:pPr>
    </w:p>
    <w:p w14:paraId="1424A8AF" w14:textId="3ED4EA04" w:rsidR="1D86F221" w:rsidRDefault="1D86F221" w:rsidP="1D86F221">
      <w:pPr>
        <w:spacing w:line="276" w:lineRule="auto"/>
        <w:rPr>
          <w:rFonts w:ascii="Arial" w:eastAsia="Arial" w:hAnsi="Arial" w:cs="Arial"/>
          <w:b/>
          <w:bCs/>
        </w:rPr>
      </w:pPr>
    </w:p>
    <w:p w14:paraId="1D140F4B" w14:textId="7EFCDF58" w:rsidR="1D86F221" w:rsidRDefault="1D86F221" w:rsidP="1D86F221">
      <w:pPr>
        <w:spacing w:line="276" w:lineRule="auto"/>
        <w:rPr>
          <w:rFonts w:ascii="Arial" w:eastAsia="Arial" w:hAnsi="Arial" w:cs="Arial"/>
          <w:b/>
          <w:bCs/>
        </w:rPr>
      </w:pPr>
    </w:p>
    <w:p w14:paraId="4B7F181C" w14:textId="62F1017B" w:rsidR="1D86F221" w:rsidRDefault="1D86F221" w:rsidP="1D86F221">
      <w:pPr>
        <w:spacing w:line="276" w:lineRule="auto"/>
        <w:rPr>
          <w:rFonts w:ascii="Arial" w:eastAsia="Arial" w:hAnsi="Arial" w:cs="Arial"/>
          <w:b/>
          <w:bCs/>
        </w:rPr>
      </w:pPr>
    </w:p>
    <w:p w14:paraId="5BCA24E7" w14:textId="24583F23" w:rsidR="1D86F221" w:rsidRDefault="1D86F221" w:rsidP="1D86F221">
      <w:pPr>
        <w:spacing w:line="276" w:lineRule="auto"/>
        <w:rPr>
          <w:rFonts w:ascii="Arial" w:eastAsia="Arial" w:hAnsi="Arial" w:cs="Arial"/>
          <w:b/>
          <w:bCs/>
        </w:rPr>
      </w:pPr>
    </w:p>
    <w:p w14:paraId="1957658B" w14:textId="65457691" w:rsidR="1D86F221" w:rsidRDefault="1D86F221" w:rsidP="1D86F221">
      <w:pPr>
        <w:spacing w:line="276" w:lineRule="auto"/>
        <w:rPr>
          <w:rFonts w:ascii="Arial" w:eastAsia="Arial" w:hAnsi="Arial" w:cs="Arial"/>
          <w:b/>
          <w:bCs/>
        </w:rPr>
      </w:pPr>
    </w:p>
    <w:p w14:paraId="63FF8C5A" w14:textId="268F3B06" w:rsidR="056C0BAD" w:rsidRDefault="056C0BAD" w:rsidP="056C0BAD">
      <w:pPr>
        <w:spacing w:line="276" w:lineRule="auto"/>
        <w:rPr>
          <w:rFonts w:ascii="Arial" w:eastAsia="Arial" w:hAnsi="Arial" w:cs="Arial"/>
          <w:b/>
          <w:bCs/>
        </w:rPr>
      </w:pPr>
    </w:p>
    <w:p w14:paraId="771190A8" w14:textId="796D16EA" w:rsidR="056C0BAD" w:rsidRDefault="056C0BAD" w:rsidP="056C0BAD">
      <w:pPr>
        <w:spacing w:line="276" w:lineRule="auto"/>
        <w:rPr>
          <w:rFonts w:ascii="Arial" w:eastAsia="Arial" w:hAnsi="Arial" w:cs="Arial"/>
          <w:b/>
          <w:bCs/>
        </w:rPr>
      </w:pPr>
    </w:p>
    <w:p w14:paraId="5C92B17F" w14:textId="2BAF095F" w:rsidR="056C0BAD" w:rsidRDefault="056C0BAD" w:rsidP="056C0BAD">
      <w:pPr>
        <w:spacing w:line="276" w:lineRule="auto"/>
        <w:rPr>
          <w:rFonts w:ascii="Arial" w:eastAsia="Arial" w:hAnsi="Arial" w:cs="Arial"/>
          <w:b/>
          <w:bCs/>
        </w:rPr>
      </w:pPr>
    </w:p>
    <w:p w14:paraId="01931291" w14:textId="63CE89FD" w:rsidR="056C0BAD" w:rsidRDefault="056C0BAD" w:rsidP="056C0BAD">
      <w:pPr>
        <w:spacing w:line="276" w:lineRule="auto"/>
        <w:rPr>
          <w:rFonts w:ascii="Arial" w:eastAsia="Arial" w:hAnsi="Arial" w:cs="Arial"/>
          <w:b/>
          <w:bCs/>
        </w:rPr>
      </w:pPr>
    </w:p>
    <w:p w14:paraId="4F53DE8B" w14:textId="2E14E32A" w:rsidR="0A9D2F51" w:rsidRDefault="0A9D2F51" w:rsidP="0A9D2F51">
      <w:pPr>
        <w:spacing w:line="276" w:lineRule="auto"/>
        <w:rPr>
          <w:rFonts w:ascii="Arial" w:eastAsia="Arial" w:hAnsi="Arial" w:cs="Arial"/>
          <w:b/>
          <w:bCs/>
        </w:rPr>
      </w:pPr>
    </w:p>
    <w:p w14:paraId="489BBCE1" w14:textId="79920A52" w:rsidR="00ED1049" w:rsidRDefault="00ED1049" w:rsidP="0A9D2F51">
      <w:pPr>
        <w:spacing w:line="276" w:lineRule="auto"/>
        <w:rPr>
          <w:rFonts w:ascii="Arial" w:eastAsia="Arial" w:hAnsi="Arial" w:cs="Arial"/>
          <w:b/>
          <w:bCs/>
        </w:rPr>
      </w:pPr>
      <w:r w:rsidRPr="0A9D2F51">
        <w:rPr>
          <w:rFonts w:ascii="Arial" w:eastAsia="Arial" w:hAnsi="Arial" w:cs="Arial"/>
          <w:b/>
          <w:bCs/>
        </w:rPr>
        <w:t>References</w:t>
      </w:r>
    </w:p>
    <w:p w14:paraId="60BDC91E" w14:textId="2B96A463" w:rsidR="00E06BA1" w:rsidRPr="00C31D85" w:rsidRDefault="00E06BA1" w:rsidP="0A9D2F51">
      <w:pPr>
        <w:spacing w:line="276" w:lineRule="auto"/>
        <w:rPr>
          <w:rFonts w:ascii="Arial" w:eastAsia="Arial" w:hAnsi="Arial" w:cs="Arial"/>
          <w:b/>
          <w:bCs/>
        </w:rPr>
      </w:pPr>
    </w:p>
    <w:p w14:paraId="002F6D26" w14:textId="56B5A22C" w:rsidR="00CA2D67" w:rsidRPr="00CA2D67" w:rsidRDefault="00CA2D67" w:rsidP="217AD9E6">
      <w:pPr>
        <w:pStyle w:val="p1"/>
        <w:spacing w:line="276" w:lineRule="auto"/>
        <w:rPr>
          <w:rFonts w:ascii="Arial" w:eastAsia="Arial" w:hAnsi="Arial" w:cs="Arial"/>
          <w:sz w:val="22"/>
          <w:szCs w:val="22"/>
        </w:rPr>
      </w:pPr>
      <w:r w:rsidRPr="0A9D2F51">
        <w:rPr>
          <w:rFonts w:ascii="Arial" w:eastAsia="Arial" w:hAnsi="Arial" w:cs="Arial"/>
          <w:sz w:val="22"/>
          <w:szCs w:val="22"/>
        </w:rPr>
        <w:t>Braun, V. and Clarke, V. (2019)</w:t>
      </w:r>
    </w:p>
    <w:p w14:paraId="28D8920E" w14:textId="0328EEC0"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Reflecting on reflexive thematic analysis. Qualitative Research in Sport, Exercise and Health, 11(4), pp.589–597.Available at: https://doi.org/10.1080/2159676X.2019.1628806</w:t>
      </w:r>
    </w:p>
    <w:p w14:paraId="1767E074" w14:textId="6281082A"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 xml:space="preserve">(Accessed: </w:t>
      </w:r>
      <w:r w:rsidR="3A8A1AFA" w:rsidRPr="0A9D2F51">
        <w:rPr>
          <w:rFonts w:ascii="Arial" w:eastAsia="Arial" w:hAnsi="Arial" w:cs="Arial"/>
          <w:lang w:val="en-GB" w:eastAsia="en-GB"/>
        </w:rPr>
        <w:t>2</w:t>
      </w:r>
      <w:r w:rsidRPr="0A9D2F51">
        <w:rPr>
          <w:rFonts w:ascii="Arial" w:eastAsia="Arial" w:hAnsi="Arial" w:cs="Arial"/>
          <w:lang w:val="en-GB" w:eastAsia="en-GB"/>
        </w:rPr>
        <w:t xml:space="preserve"> February 2026).</w:t>
      </w:r>
    </w:p>
    <w:p w14:paraId="071A92EB" w14:textId="77777777" w:rsidR="00CA2D67" w:rsidRPr="00CA2D67" w:rsidRDefault="00CA2D67" w:rsidP="217AD9E6">
      <w:pPr>
        <w:spacing w:after="0" w:line="276" w:lineRule="auto"/>
        <w:rPr>
          <w:rFonts w:ascii="Arial" w:eastAsia="Arial" w:hAnsi="Arial" w:cs="Arial"/>
          <w:lang w:val="en-GB" w:eastAsia="en-GB"/>
        </w:rPr>
      </w:pPr>
      <w:r>
        <w:rPr>
          <w:noProof/>
        </w:rPr>
        <mc:AlternateContent>
          <mc:Choice Requires="wps">
            <w:drawing>
              <wp:inline distT="0" distB="0" distL="0" distR="0" wp14:anchorId="60D89F31" wp14:editId="4A6C3DC8">
                <wp:extent cx="6949440" cy="1270"/>
                <wp:effectExtent l="0" t="31750" r="0" b="36830"/>
                <wp:docPr id="183852509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mc:AlternateContent>
      </w:r>
    </w:p>
    <w:p w14:paraId="2182ED82"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Creswell, J.W. (2018)</w:t>
      </w:r>
    </w:p>
    <w:p w14:paraId="085D76F9" w14:textId="352C850A"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Qualitative inquiry and research design: Choosing among five approaches. 4th edn. Thousand Oaks, CA: SAGE Publications.</w:t>
      </w:r>
      <w:r w:rsidR="18CE3BCC" w:rsidRPr="0A9D2F51">
        <w:rPr>
          <w:rFonts w:ascii="Arial" w:eastAsia="Arial" w:hAnsi="Arial" w:cs="Arial"/>
          <w:lang w:val="en-GB" w:eastAsia="en-GB"/>
        </w:rPr>
        <w:t xml:space="preserve"> </w:t>
      </w:r>
      <w:r w:rsidRPr="0A9D2F51">
        <w:rPr>
          <w:rFonts w:ascii="Arial" w:eastAsia="Arial" w:hAnsi="Arial" w:cs="Arial"/>
          <w:lang w:val="en-GB" w:eastAsia="en-GB"/>
        </w:rPr>
        <w:t>Available at: https://uk.sagepub.com/en-gb/eur/qualitative-inquiry-and-research-design/book246896</w:t>
      </w:r>
    </w:p>
    <w:p w14:paraId="04A9D7F9"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(Accessed: 7 February 2026).</w:t>
      </w:r>
    </w:p>
    <w:p w14:paraId="02CF10B3" w14:textId="77777777" w:rsidR="00CA2D67" w:rsidRPr="00CA2D67" w:rsidRDefault="00CA2D67" w:rsidP="217AD9E6">
      <w:pPr>
        <w:spacing w:after="0" w:line="276" w:lineRule="auto"/>
        <w:rPr>
          <w:rFonts w:ascii="Arial" w:eastAsia="Arial" w:hAnsi="Arial" w:cs="Arial"/>
          <w:lang w:val="en-GB" w:eastAsia="en-GB"/>
        </w:rPr>
      </w:pPr>
      <w:r>
        <w:rPr>
          <w:noProof/>
        </w:rPr>
        <mc:AlternateContent>
          <mc:Choice Requires="wps">
            <w:drawing>
              <wp:inline distT="0" distB="0" distL="0" distR="0" wp14:anchorId="0C07A8EC" wp14:editId="7E25B12D">
                <wp:extent cx="6949440" cy="1270"/>
                <wp:effectExtent l="0" t="31750" r="0" b="36830"/>
                <wp:docPr id="476484240"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mc:AlternateContent>
      </w:r>
    </w:p>
    <w:p w14:paraId="5CC06111" w14:textId="124F22A6"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Johnston, M.P. (2017)</w:t>
      </w:r>
    </w:p>
    <w:p w14:paraId="74BD1EBE" w14:textId="68C47CA9"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Secondary data analysis: A method of which the time has come. Qualitative and Quantitative Methods in Libraries, 3(3), pp.619–626.Available at: https://www.qqml-journal.net/index.php/qqml/article/view/169</w:t>
      </w:r>
    </w:p>
    <w:p w14:paraId="16515902" w14:textId="22D4DA29"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 xml:space="preserve">(Accessed: </w:t>
      </w:r>
      <w:r w:rsidR="34AC970D" w:rsidRPr="0A9D2F51">
        <w:rPr>
          <w:rFonts w:ascii="Arial" w:eastAsia="Arial" w:hAnsi="Arial" w:cs="Arial"/>
          <w:lang w:val="en-GB" w:eastAsia="en-GB"/>
        </w:rPr>
        <w:t>4</w:t>
      </w:r>
      <w:r w:rsidRPr="0A9D2F51">
        <w:rPr>
          <w:rFonts w:ascii="Arial" w:eastAsia="Arial" w:hAnsi="Arial" w:cs="Arial"/>
          <w:lang w:val="en-GB" w:eastAsia="en-GB"/>
        </w:rPr>
        <w:t xml:space="preserve"> February 2026).</w:t>
      </w:r>
    </w:p>
    <w:p w14:paraId="49D0707A" w14:textId="77777777" w:rsidR="00CA2D67" w:rsidRPr="00CA2D67" w:rsidRDefault="00CA2D67" w:rsidP="217AD9E6">
      <w:pPr>
        <w:spacing w:after="0" w:line="276" w:lineRule="auto"/>
        <w:rPr>
          <w:rFonts w:ascii="Arial" w:eastAsia="Arial" w:hAnsi="Arial" w:cs="Arial"/>
          <w:lang w:val="en-GB" w:eastAsia="en-GB"/>
        </w:rPr>
      </w:pPr>
      <w:r>
        <w:rPr>
          <w:noProof/>
        </w:rPr>
        <mc:AlternateContent>
          <mc:Choice Requires="wps">
            <w:drawing>
              <wp:inline distT="0" distB="0" distL="0" distR="0" wp14:anchorId="0FDF7580" wp14:editId="5245A3E3">
                <wp:extent cx="6949440" cy="1270"/>
                <wp:effectExtent l="0" t="31750" r="0" b="36830"/>
                <wp:docPr id="478191679"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mc:AlternateContent>
      </w:r>
    </w:p>
    <w:p w14:paraId="5C77CE7D"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Saunders, M., Lewis, P. and Thornhill, A. (2019)</w:t>
      </w:r>
    </w:p>
    <w:p w14:paraId="7B3966E6"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Research methods for business students. 8th edn. Harlow: Pearson Education.</w:t>
      </w:r>
    </w:p>
    <w:p w14:paraId="642D8F6C"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Available at: https://www.pearson.com/uk/educators/higher-education-educators/program/Saunders-Research-Methods-for-Business-Students-8th-Edition/PGM334288.html</w:t>
      </w:r>
    </w:p>
    <w:p w14:paraId="42E40477"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(Accessed: 7 February 2026).</w:t>
      </w:r>
    </w:p>
    <w:p w14:paraId="408C2817" w14:textId="77777777" w:rsidR="00CA2D67" w:rsidRPr="00CA2D67" w:rsidRDefault="00CA2D67" w:rsidP="217AD9E6">
      <w:pPr>
        <w:spacing w:after="0" w:line="276" w:lineRule="auto"/>
        <w:rPr>
          <w:rFonts w:ascii="Arial" w:eastAsia="Arial" w:hAnsi="Arial" w:cs="Arial"/>
          <w:lang w:val="en-GB" w:eastAsia="en-GB"/>
        </w:rPr>
      </w:pPr>
      <w:r>
        <w:rPr>
          <w:noProof/>
        </w:rPr>
        <mc:AlternateContent>
          <mc:Choice Requires="wps">
            <w:drawing>
              <wp:inline distT="0" distB="0" distL="0" distR="0" wp14:anchorId="6A2F3771" wp14:editId="421B0275">
                <wp:extent cx="6949440" cy="1270"/>
                <wp:effectExtent l="0" t="31750" r="0" b="36830"/>
                <wp:docPr id="689945839"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mc:AlternateContent>
      </w:r>
    </w:p>
    <w:p w14:paraId="5BEAD28B"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NHS Digital (2023)</w:t>
      </w:r>
    </w:p>
    <w:p w14:paraId="5A9C16AE"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Mental health prevalence in England.</w:t>
      </w:r>
    </w:p>
    <w:p w14:paraId="311EF88A"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Available at: https://digital.nhs.uk/data-and-information/publications/statistical/adult-psychiatric-morbidity-survey</w:t>
      </w:r>
    </w:p>
    <w:p w14:paraId="0C318C1F" w14:textId="59DA94F4"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 xml:space="preserve">(Accessed: </w:t>
      </w:r>
      <w:r w:rsidR="0DF45268" w:rsidRPr="0A9D2F51">
        <w:rPr>
          <w:rFonts w:ascii="Arial" w:eastAsia="Arial" w:hAnsi="Arial" w:cs="Arial"/>
          <w:lang w:val="en-GB" w:eastAsia="en-GB"/>
        </w:rPr>
        <w:t>5</w:t>
      </w:r>
      <w:r w:rsidRPr="0A9D2F51">
        <w:rPr>
          <w:rFonts w:ascii="Arial" w:eastAsia="Arial" w:hAnsi="Arial" w:cs="Arial"/>
          <w:lang w:val="en-GB" w:eastAsia="en-GB"/>
        </w:rPr>
        <w:t xml:space="preserve"> February 2026).</w:t>
      </w:r>
    </w:p>
    <w:p w14:paraId="63D92766" w14:textId="77777777" w:rsidR="00CA2D67" w:rsidRPr="00CA2D67" w:rsidRDefault="00CA2D67" w:rsidP="217AD9E6">
      <w:pPr>
        <w:spacing w:after="0" w:line="276" w:lineRule="auto"/>
        <w:rPr>
          <w:rFonts w:ascii="Arial" w:eastAsia="Arial" w:hAnsi="Arial" w:cs="Arial"/>
          <w:lang w:val="en-GB" w:eastAsia="en-GB"/>
        </w:rPr>
      </w:pPr>
      <w:r>
        <w:rPr>
          <w:noProof/>
        </w:rPr>
        <mc:AlternateContent>
          <mc:Choice Requires="wps">
            <w:drawing>
              <wp:inline distT="0" distB="0" distL="0" distR="0" wp14:anchorId="269CB9A3" wp14:editId="5C65FF09">
                <wp:extent cx="6949440" cy="1270"/>
                <wp:effectExtent l="0" t="31750" r="0" b="36830"/>
                <wp:docPr id="285148956"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mc:AlternateContent>
      </w:r>
    </w:p>
    <w:p w14:paraId="1CC95F5B"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World Health Organisation (2023)</w:t>
      </w:r>
    </w:p>
    <w:p w14:paraId="03562734" w14:textId="5C87BDCF"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Depression.</w:t>
      </w:r>
      <w:r w:rsidR="0D31D227" w:rsidRPr="0A9D2F51">
        <w:rPr>
          <w:rFonts w:ascii="Arial" w:eastAsia="Arial" w:hAnsi="Arial" w:cs="Arial"/>
          <w:lang w:val="en-GB" w:eastAsia="en-GB"/>
        </w:rPr>
        <w:t xml:space="preserve"> </w:t>
      </w:r>
      <w:r w:rsidRPr="0A9D2F51">
        <w:rPr>
          <w:rFonts w:ascii="Arial" w:eastAsia="Arial" w:hAnsi="Arial" w:cs="Arial"/>
          <w:lang w:val="en-GB" w:eastAsia="en-GB"/>
        </w:rPr>
        <w:t>Available at: https://www.who.int/news-room/fact-sheets/detail/depression</w:t>
      </w:r>
    </w:p>
    <w:p w14:paraId="1B2AA852"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(Accessed: 7 February 2026).</w:t>
      </w:r>
    </w:p>
    <w:p w14:paraId="4E880EA1" w14:textId="77777777" w:rsidR="00CA2D67" w:rsidRPr="00CA2D67" w:rsidRDefault="00CA2D67" w:rsidP="217AD9E6">
      <w:pPr>
        <w:spacing w:after="0" w:line="276" w:lineRule="auto"/>
        <w:rPr>
          <w:rFonts w:ascii="Arial" w:eastAsia="Arial" w:hAnsi="Arial" w:cs="Arial"/>
          <w:lang w:val="en-GB" w:eastAsia="en-GB"/>
        </w:rPr>
      </w:pPr>
      <w:r>
        <w:rPr>
          <w:noProof/>
        </w:rPr>
        <mc:AlternateContent>
          <mc:Choice Requires="wps">
            <w:drawing>
              <wp:inline distT="0" distB="0" distL="0" distR="0" wp14:anchorId="09EBD79C" wp14:editId="7AA1E5F9">
                <wp:extent cx="6949440" cy="1270"/>
                <wp:effectExtent l="0" t="33655" r="0" b="38735"/>
                <wp:docPr id="125793793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mc:AlternateContent>
      </w:r>
    </w:p>
    <w:p w14:paraId="54A62335"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Carers UK (2022)</w:t>
      </w:r>
    </w:p>
    <w:p w14:paraId="04A1979A"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Mental health and unpaid caring.</w:t>
      </w:r>
    </w:p>
    <w:p w14:paraId="46419F46" w14:textId="77777777"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Available at: https://www.carersuk.org/help-and-advice/health-and-wellbeing/mental-health/</w:t>
      </w:r>
    </w:p>
    <w:p w14:paraId="5E882056" w14:textId="47986895" w:rsidR="00CA2D67" w:rsidRPr="00CA2D67" w:rsidRDefault="00CA2D67" w:rsidP="0A9D2F51">
      <w:pPr>
        <w:spacing w:before="100" w:beforeAutospacing="1" w:after="100" w:afterAutospacing="1" w:line="276" w:lineRule="auto"/>
        <w:rPr>
          <w:rFonts w:ascii="Arial" w:eastAsia="Arial" w:hAnsi="Arial" w:cs="Arial"/>
          <w:lang w:val="en-GB" w:eastAsia="en-GB"/>
        </w:rPr>
      </w:pPr>
      <w:r w:rsidRPr="0A9D2F51">
        <w:rPr>
          <w:rFonts w:ascii="Arial" w:eastAsia="Arial" w:hAnsi="Arial" w:cs="Arial"/>
          <w:lang w:val="en-GB" w:eastAsia="en-GB"/>
        </w:rPr>
        <w:t xml:space="preserve">(Accessed: </w:t>
      </w:r>
      <w:r w:rsidR="128C9C72" w:rsidRPr="0A9D2F51">
        <w:rPr>
          <w:rFonts w:ascii="Arial" w:eastAsia="Arial" w:hAnsi="Arial" w:cs="Arial"/>
          <w:lang w:val="en-GB" w:eastAsia="en-GB"/>
        </w:rPr>
        <w:t>8</w:t>
      </w:r>
      <w:r w:rsidRPr="0A9D2F51">
        <w:rPr>
          <w:rFonts w:ascii="Arial" w:eastAsia="Arial" w:hAnsi="Arial" w:cs="Arial"/>
          <w:lang w:val="en-GB" w:eastAsia="en-GB"/>
        </w:rPr>
        <w:t xml:space="preserve"> February 2026).</w:t>
      </w:r>
    </w:p>
    <w:p w14:paraId="364E780A" w14:textId="274D7044" w:rsidR="00EB6F36" w:rsidRDefault="00EB6F36" w:rsidP="217AD9E6">
      <w:pPr>
        <w:spacing w:line="276" w:lineRule="auto"/>
        <w:rPr>
          <w:rFonts w:ascii="Arial" w:eastAsia="Arial" w:hAnsi="Arial" w:cs="Arial"/>
        </w:rPr>
      </w:pPr>
    </w:p>
    <w:p w14:paraId="787444DC" w14:textId="77777777" w:rsidR="00EB6F36" w:rsidRDefault="00EB6F36" w:rsidP="00C46111">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5F011" w14:textId="77777777" w:rsidR="00854E3C" w:rsidRDefault="00854E3C" w:rsidP="00D210FA">
      <w:pPr>
        <w:spacing w:after="0"/>
      </w:pPr>
      <w:r>
        <w:separator/>
      </w:r>
    </w:p>
  </w:endnote>
  <w:endnote w:type="continuationSeparator" w:id="0">
    <w:p w14:paraId="07FC34E2" w14:textId="77777777" w:rsidR="00854E3C" w:rsidRDefault="00854E3C"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Apto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2F1E5" w14:textId="77777777" w:rsidR="00854E3C" w:rsidRDefault="00854E3C" w:rsidP="00D210FA">
      <w:pPr>
        <w:spacing w:after="0"/>
      </w:pPr>
      <w:r>
        <w:separator/>
      </w:r>
    </w:p>
  </w:footnote>
  <w:footnote w:type="continuationSeparator" w:id="0">
    <w:p w14:paraId="3EF4F357" w14:textId="77777777" w:rsidR="00854E3C" w:rsidRDefault="00854E3C"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1"/>
  </w:num>
  <w:num w:numId="4" w16cid:durableId="67852329">
    <w:abstractNumId w:val="12"/>
  </w:num>
  <w:num w:numId="5" w16cid:durableId="825783799">
    <w:abstractNumId w:val="7"/>
  </w:num>
  <w:num w:numId="6" w16cid:durableId="1203637911">
    <w:abstractNumId w:val="6"/>
  </w:num>
  <w:num w:numId="7" w16cid:durableId="1393117886">
    <w:abstractNumId w:val="9"/>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67DE2"/>
    <w:rsid w:val="00077D69"/>
    <w:rsid w:val="00085DF5"/>
    <w:rsid w:val="0008782A"/>
    <w:rsid w:val="00090290"/>
    <w:rsid w:val="000A065A"/>
    <w:rsid w:val="000C29A2"/>
    <w:rsid w:val="000C33A3"/>
    <w:rsid w:val="000E56ED"/>
    <w:rsid w:val="001031CF"/>
    <w:rsid w:val="00106FC5"/>
    <w:rsid w:val="00120DEC"/>
    <w:rsid w:val="00123C19"/>
    <w:rsid w:val="00142AA3"/>
    <w:rsid w:val="00163B5F"/>
    <w:rsid w:val="001779E0"/>
    <w:rsid w:val="00197479"/>
    <w:rsid w:val="001A2DAB"/>
    <w:rsid w:val="001C510E"/>
    <w:rsid w:val="001C55B6"/>
    <w:rsid w:val="001D6CC4"/>
    <w:rsid w:val="00206405"/>
    <w:rsid w:val="002341AD"/>
    <w:rsid w:val="00253267"/>
    <w:rsid w:val="002813C4"/>
    <w:rsid w:val="002823CD"/>
    <w:rsid w:val="00287787"/>
    <w:rsid w:val="00291685"/>
    <w:rsid w:val="0029329C"/>
    <w:rsid w:val="002B0A3D"/>
    <w:rsid w:val="002C0EF5"/>
    <w:rsid w:val="002C51E8"/>
    <w:rsid w:val="002F26AB"/>
    <w:rsid w:val="003007A7"/>
    <w:rsid w:val="003257E1"/>
    <w:rsid w:val="00325DEC"/>
    <w:rsid w:val="0033147C"/>
    <w:rsid w:val="00346FFA"/>
    <w:rsid w:val="0038322D"/>
    <w:rsid w:val="00385494"/>
    <w:rsid w:val="00397D29"/>
    <w:rsid w:val="00397F4D"/>
    <w:rsid w:val="003A3069"/>
    <w:rsid w:val="003B3F75"/>
    <w:rsid w:val="003C20B5"/>
    <w:rsid w:val="003E545F"/>
    <w:rsid w:val="003F03D2"/>
    <w:rsid w:val="003F0EF7"/>
    <w:rsid w:val="003F1E1A"/>
    <w:rsid w:val="0040000B"/>
    <w:rsid w:val="004045E5"/>
    <w:rsid w:val="00421496"/>
    <w:rsid w:val="00422C27"/>
    <w:rsid w:val="004348AC"/>
    <w:rsid w:val="0044367C"/>
    <w:rsid w:val="0044412C"/>
    <w:rsid w:val="004642F0"/>
    <w:rsid w:val="0046627A"/>
    <w:rsid w:val="004669A3"/>
    <w:rsid w:val="00491196"/>
    <w:rsid w:val="004A43C5"/>
    <w:rsid w:val="004A4E7D"/>
    <w:rsid w:val="004B60AA"/>
    <w:rsid w:val="004C0A29"/>
    <w:rsid w:val="004C5F2E"/>
    <w:rsid w:val="004E64E0"/>
    <w:rsid w:val="00500564"/>
    <w:rsid w:val="0050082F"/>
    <w:rsid w:val="0050646B"/>
    <w:rsid w:val="00507437"/>
    <w:rsid w:val="0051102B"/>
    <w:rsid w:val="00516CC0"/>
    <w:rsid w:val="00527877"/>
    <w:rsid w:val="005314A8"/>
    <w:rsid w:val="00531D57"/>
    <w:rsid w:val="00542D1D"/>
    <w:rsid w:val="005475F0"/>
    <w:rsid w:val="00556904"/>
    <w:rsid w:val="005600C7"/>
    <w:rsid w:val="0057184C"/>
    <w:rsid w:val="00574B76"/>
    <w:rsid w:val="00582081"/>
    <w:rsid w:val="005838BC"/>
    <w:rsid w:val="005B2DC0"/>
    <w:rsid w:val="005B3188"/>
    <w:rsid w:val="005B57E1"/>
    <w:rsid w:val="005E61E0"/>
    <w:rsid w:val="005F0F31"/>
    <w:rsid w:val="005F7D75"/>
    <w:rsid w:val="006024ED"/>
    <w:rsid w:val="00604B83"/>
    <w:rsid w:val="0061793F"/>
    <w:rsid w:val="0062123A"/>
    <w:rsid w:val="006413BF"/>
    <w:rsid w:val="00641F50"/>
    <w:rsid w:val="00644906"/>
    <w:rsid w:val="00645BCE"/>
    <w:rsid w:val="006605F8"/>
    <w:rsid w:val="006676A1"/>
    <w:rsid w:val="00676ADD"/>
    <w:rsid w:val="006833BD"/>
    <w:rsid w:val="0069300D"/>
    <w:rsid w:val="006955FC"/>
    <w:rsid w:val="006A5723"/>
    <w:rsid w:val="006B2215"/>
    <w:rsid w:val="006C7E42"/>
    <w:rsid w:val="006D2642"/>
    <w:rsid w:val="006E2D42"/>
    <w:rsid w:val="007177C3"/>
    <w:rsid w:val="00720FEE"/>
    <w:rsid w:val="00764B6F"/>
    <w:rsid w:val="007C6A27"/>
    <w:rsid w:val="007C7319"/>
    <w:rsid w:val="007D1AFC"/>
    <w:rsid w:val="007D43B3"/>
    <w:rsid w:val="007D7291"/>
    <w:rsid w:val="007E5843"/>
    <w:rsid w:val="007F20B4"/>
    <w:rsid w:val="007F525E"/>
    <w:rsid w:val="00802FF1"/>
    <w:rsid w:val="0081539D"/>
    <w:rsid w:val="00822CDA"/>
    <w:rsid w:val="0082695D"/>
    <w:rsid w:val="0083044C"/>
    <w:rsid w:val="00842688"/>
    <w:rsid w:val="00846694"/>
    <w:rsid w:val="0085182D"/>
    <w:rsid w:val="00851906"/>
    <w:rsid w:val="00854E3C"/>
    <w:rsid w:val="00867E5F"/>
    <w:rsid w:val="008709F5"/>
    <w:rsid w:val="00875C6F"/>
    <w:rsid w:val="00877A91"/>
    <w:rsid w:val="00884E86"/>
    <w:rsid w:val="00890534"/>
    <w:rsid w:val="00891124"/>
    <w:rsid w:val="008927FF"/>
    <w:rsid w:val="008B0636"/>
    <w:rsid w:val="008B0F18"/>
    <w:rsid w:val="008B4706"/>
    <w:rsid w:val="008C1616"/>
    <w:rsid w:val="008C1AB7"/>
    <w:rsid w:val="008E3921"/>
    <w:rsid w:val="008F2287"/>
    <w:rsid w:val="0090027B"/>
    <w:rsid w:val="00905238"/>
    <w:rsid w:val="009220C2"/>
    <w:rsid w:val="00931ACE"/>
    <w:rsid w:val="00943987"/>
    <w:rsid w:val="00944480"/>
    <w:rsid w:val="0094702A"/>
    <w:rsid w:val="00967DAB"/>
    <w:rsid w:val="009716D2"/>
    <w:rsid w:val="009724CB"/>
    <w:rsid w:val="00972D8F"/>
    <w:rsid w:val="00977E11"/>
    <w:rsid w:val="00990E76"/>
    <w:rsid w:val="00991A53"/>
    <w:rsid w:val="00996F4E"/>
    <w:rsid w:val="009A22A0"/>
    <w:rsid w:val="009A6C77"/>
    <w:rsid w:val="009B1108"/>
    <w:rsid w:val="009D040C"/>
    <w:rsid w:val="009F0FE1"/>
    <w:rsid w:val="009F71FE"/>
    <w:rsid w:val="00A060DD"/>
    <w:rsid w:val="00A14C34"/>
    <w:rsid w:val="00A22BE8"/>
    <w:rsid w:val="00A27D8D"/>
    <w:rsid w:val="00A31F33"/>
    <w:rsid w:val="00A3334F"/>
    <w:rsid w:val="00A336C6"/>
    <w:rsid w:val="00A36F4A"/>
    <w:rsid w:val="00A40F2E"/>
    <w:rsid w:val="00A41C3B"/>
    <w:rsid w:val="00A4345F"/>
    <w:rsid w:val="00A46F92"/>
    <w:rsid w:val="00A53BF6"/>
    <w:rsid w:val="00A63C16"/>
    <w:rsid w:val="00A70A62"/>
    <w:rsid w:val="00A71DA8"/>
    <w:rsid w:val="00A76F2B"/>
    <w:rsid w:val="00A90A7A"/>
    <w:rsid w:val="00AB1210"/>
    <w:rsid w:val="00AB5409"/>
    <w:rsid w:val="00AB770D"/>
    <w:rsid w:val="00AD12A1"/>
    <w:rsid w:val="00AD78A5"/>
    <w:rsid w:val="00AF2088"/>
    <w:rsid w:val="00AF2D1C"/>
    <w:rsid w:val="00AF3635"/>
    <w:rsid w:val="00AF5FB0"/>
    <w:rsid w:val="00B0080A"/>
    <w:rsid w:val="00B0538C"/>
    <w:rsid w:val="00B0627F"/>
    <w:rsid w:val="00B11B66"/>
    <w:rsid w:val="00B173DA"/>
    <w:rsid w:val="00B23278"/>
    <w:rsid w:val="00B321C1"/>
    <w:rsid w:val="00B376E4"/>
    <w:rsid w:val="00B37AB8"/>
    <w:rsid w:val="00B418DE"/>
    <w:rsid w:val="00B47FE7"/>
    <w:rsid w:val="00B64837"/>
    <w:rsid w:val="00B664A5"/>
    <w:rsid w:val="00B667D0"/>
    <w:rsid w:val="00B67824"/>
    <w:rsid w:val="00BE15BA"/>
    <w:rsid w:val="00C20ED0"/>
    <w:rsid w:val="00C221F6"/>
    <w:rsid w:val="00C31D85"/>
    <w:rsid w:val="00C348A8"/>
    <w:rsid w:val="00C34FA0"/>
    <w:rsid w:val="00C46111"/>
    <w:rsid w:val="00C47DCC"/>
    <w:rsid w:val="00C56338"/>
    <w:rsid w:val="00C76DC4"/>
    <w:rsid w:val="00C83332"/>
    <w:rsid w:val="00C84C7F"/>
    <w:rsid w:val="00C95E04"/>
    <w:rsid w:val="00CA2D67"/>
    <w:rsid w:val="00CA533B"/>
    <w:rsid w:val="00CC0A8F"/>
    <w:rsid w:val="00CC24B6"/>
    <w:rsid w:val="00CC61BE"/>
    <w:rsid w:val="00CD3A64"/>
    <w:rsid w:val="00CE08CD"/>
    <w:rsid w:val="00CE7E8D"/>
    <w:rsid w:val="00D0664A"/>
    <w:rsid w:val="00D13D4D"/>
    <w:rsid w:val="00D210FA"/>
    <w:rsid w:val="00D30F1D"/>
    <w:rsid w:val="00D34F45"/>
    <w:rsid w:val="00D57231"/>
    <w:rsid w:val="00D6322D"/>
    <w:rsid w:val="00D71598"/>
    <w:rsid w:val="00D751FB"/>
    <w:rsid w:val="00D87B48"/>
    <w:rsid w:val="00D91203"/>
    <w:rsid w:val="00D94FD1"/>
    <w:rsid w:val="00D956E9"/>
    <w:rsid w:val="00DF433E"/>
    <w:rsid w:val="00E06BA1"/>
    <w:rsid w:val="00E31F96"/>
    <w:rsid w:val="00E3749C"/>
    <w:rsid w:val="00E41692"/>
    <w:rsid w:val="00E55D74"/>
    <w:rsid w:val="00E653C2"/>
    <w:rsid w:val="00E81234"/>
    <w:rsid w:val="00E9037E"/>
    <w:rsid w:val="00EA120D"/>
    <w:rsid w:val="00EA49C3"/>
    <w:rsid w:val="00EB5E14"/>
    <w:rsid w:val="00EB6F36"/>
    <w:rsid w:val="00EC01AC"/>
    <w:rsid w:val="00EC35A7"/>
    <w:rsid w:val="00ED1049"/>
    <w:rsid w:val="00EE19D9"/>
    <w:rsid w:val="00EE5BDF"/>
    <w:rsid w:val="00EF26FC"/>
    <w:rsid w:val="00F03B6E"/>
    <w:rsid w:val="00F0625F"/>
    <w:rsid w:val="00F07FED"/>
    <w:rsid w:val="00F31B97"/>
    <w:rsid w:val="00F37523"/>
    <w:rsid w:val="00F43906"/>
    <w:rsid w:val="00F46569"/>
    <w:rsid w:val="00F50168"/>
    <w:rsid w:val="00F50D34"/>
    <w:rsid w:val="00F52F83"/>
    <w:rsid w:val="00F61360"/>
    <w:rsid w:val="00F801BB"/>
    <w:rsid w:val="00F83053"/>
    <w:rsid w:val="00FC538A"/>
    <w:rsid w:val="00FE2B9F"/>
    <w:rsid w:val="00FF3CF0"/>
    <w:rsid w:val="00FF4076"/>
    <w:rsid w:val="00FF609E"/>
    <w:rsid w:val="00FF7656"/>
    <w:rsid w:val="038E8079"/>
    <w:rsid w:val="053269AA"/>
    <w:rsid w:val="056C0BAD"/>
    <w:rsid w:val="06FEBAB9"/>
    <w:rsid w:val="07743B58"/>
    <w:rsid w:val="07E1F412"/>
    <w:rsid w:val="099D8B49"/>
    <w:rsid w:val="09B1DDDE"/>
    <w:rsid w:val="0A9D2F51"/>
    <w:rsid w:val="0D31D227"/>
    <w:rsid w:val="0DF45268"/>
    <w:rsid w:val="0F02EB53"/>
    <w:rsid w:val="1018A8A1"/>
    <w:rsid w:val="128C9C72"/>
    <w:rsid w:val="142EEC80"/>
    <w:rsid w:val="15FBB93A"/>
    <w:rsid w:val="17AA4372"/>
    <w:rsid w:val="18A5840F"/>
    <w:rsid w:val="18CE3BCC"/>
    <w:rsid w:val="1A6C2D51"/>
    <w:rsid w:val="1D86F221"/>
    <w:rsid w:val="1F1BA4B8"/>
    <w:rsid w:val="217AD9E6"/>
    <w:rsid w:val="2204019E"/>
    <w:rsid w:val="276C226A"/>
    <w:rsid w:val="2A0AA69C"/>
    <w:rsid w:val="2EA10EC9"/>
    <w:rsid w:val="2F66475C"/>
    <w:rsid w:val="31AFF4CF"/>
    <w:rsid w:val="320EAD64"/>
    <w:rsid w:val="321C6CE2"/>
    <w:rsid w:val="347D6A8D"/>
    <w:rsid w:val="34AC970D"/>
    <w:rsid w:val="3A8A1AFA"/>
    <w:rsid w:val="3C9C2F40"/>
    <w:rsid w:val="3D7FD8EF"/>
    <w:rsid w:val="3E8B1959"/>
    <w:rsid w:val="3EDEDDD6"/>
    <w:rsid w:val="3F6528A0"/>
    <w:rsid w:val="3FC6D327"/>
    <w:rsid w:val="408EAD53"/>
    <w:rsid w:val="440BF826"/>
    <w:rsid w:val="44CDDFA4"/>
    <w:rsid w:val="467DB81A"/>
    <w:rsid w:val="4699AEC9"/>
    <w:rsid w:val="4BA3472D"/>
    <w:rsid w:val="4CC8ED3A"/>
    <w:rsid w:val="4D682FF7"/>
    <w:rsid w:val="4ECA53C7"/>
    <w:rsid w:val="5025A093"/>
    <w:rsid w:val="50952FCE"/>
    <w:rsid w:val="5111D673"/>
    <w:rsid w:val="51A695BC"/>
    <w:rsid w:val="5582FB0D"/>
    <w:rsid w:val="5808F716"/>
    <w:rsid w:val="62903888"/>
    <w:rsid w:val="666EFC39"/>
    <w:rsid w:val="69B1BE4A"/>
    <w:rsid w:val="6C3803CA"/>
    <w:rsid w:val="6E220116"/>
    <w:rsid w:val="6E4916FC"/>
    <w:rsid w:val="7312F917"/>
    <w:rsid w:val="73F56A82"/>
    <w:rsid w:val="78A11484"/>
    <w:rsid w:val="78CA3615"/>
    <w:rsid w:val="7D560C24"/>
    <w:rsid w:val="7FE0A26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customStyle="1" w:styleId="p1">
    <w:name w:val="p1"/>
    <w:basedOn w:val="Normal"/>
    <w:rsid w:val="00CA2D67"/>
    <w:pPr>
      <w:spacing w:before="100" w:beforeAutospacing="1" w:after="100" w:afterAutospacing="1"/>
    </w:pPr>
    <w:rPr>
      <w:rFonts w:ascii="Times New Roman" w:eastAsiaTheme="minorEastAsia" w:hAnsi="Times New Roman" w:cs="Times New Roman"/>
      <w:sz w:val="24"/>
      <w:szCs w:val="24"/>
      <w:lang w:val="en-GB" w:eastAsia="en-GB"/>
    </w:rPr>
  </w:style>
  <w:style w:type="character" w:customStyle="1" w:styleId="s1">
    <w:name w:val="s1"/>
    <w:basedOn w:val="DefaultParagraphFont"/>
    <w:rsid w:val="00CA2D67"/>
  </w:style>
  <w:style w:type="character" w:customStyle="1" w:styleId="s2">
    <w:name w:val="s2"/>
    <w:basedOn w:val="DefaultParagraphFont"/>
    <w:rsid w:val="00CA2D67"/>
  </w:style>
  <w:style w:type="character" w:customStyle="1" w:styleId="s3">
    <w:name w:val="s3"/>
    <w:basedOn w:val="DefaultParagraphFont"/>
    <w:rsid w:val="00CA2D67"/>
  </w:style>
  <w:style w:type="character" w:customStyle="1" w:styleId="s4">
    <w:name w:val="s4"/>
    <w:basedOn w:val="DefaultParagraphFont"/>
    <w:rsid w:val="00CA2D67"/>
  </w:style>
  <w:style w:type="table" w:styleId="GridTable4-Accent1">
    <w:name w:val="Grid Table 4 Accent 1"/>
    <w:basedOn w:val="TableNormal"/>
    <w:uiPriority w:val="49"/>
    <w:pPr>
      <w:spacing w:after="0"/>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170026238">
          <w:marLeft w:val="360"/>
          <w:marRight w:val="0"/>
          <w:marTop w:val="200"/>
          <w:marBottom w:val="0"/>
          <w:divBdr>
            <w:top w:val="none" w:sz="0" w:space="0" w:color="auto"/>
            <w:left w:val="none" w:sz="0" w:space="0" w:color="auto"/>
            <w:bottom w:val="none" w:sz="0" w:space="0" w:color="auto"/>
            <w:right w:val="none" w:sz="0" w:space="0" w:color="auto"/>
          </w:divBdr>
        </w:div>
        <w:div w:id="377171730">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75517881">
          <w:marLeft w:val="360"/>
          <w:marRight w:val="0"/>
          <w:marTop w:val="200"/>
          <w:marBottom w:val="0"/>
          <w:divBdr>
            <w:top w:val="none" w:sz="0" w:space="0" w:color="auto"/>
            <w:left w:val="none" w:sz="0" w:space="0" w:color="auto"/>
            <w:bottom w:val="none" w:sz="0" w:space="0" w:color="auto"/>
            <w:right w:val="none" w:sz="0" w:space="0" w:color="auto"/>
          </w:divBdr>
        </w:div>
        <w:div w:id="1323120837">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Education%20brochure.dotx</Template>
  <TotalTime>0</TotalTime>
  <Pages>1</Pages>
  <Words>4471</Words>
  <Characters>25490</Characters>
  <Application>Microsoft Office Word</Application>
  <DocSecurity>4</DocSecurity>
  <Lines>212</Lines>
  <Paragraphs>59</Paragraphs>
  <ScaleCrop>false</ScaleCrop>
  <Company/>
  <LinksUpToDate>false</LinksUpToDate>
  <CharactersWithSpaces>29902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Sirmenaz Bibi (2232147)</cp:lastModifiedBy>
  <cp:revision>4</cp:revision>
  <dcterms:created xsi:type="dcterms:W3CDTF">2026-02-07T18:07:00Z</dcterms:created>
  <dcterms:modified xsi:type="dcterms:W3CDTF">2026-02-19T20:04:00Z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