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50E6" w:rsidRPr="00AD4B5A" w:rsidRDefault="00DC50E6" w:rsidP="00DC50E6">
      <w:pPr>
        <w:jc w:val="center"/>
        <w:rPr>
          <w:rFonts w:asciiTheme="minorBidi" w:hAnsiTheme="minorBidi"/>
        </w:rPr>
      </w:pPr>
      <w:r w:rsidRPr="00AD4B5A">
        <w:rPr>
          <w:rFonts w:asciiTheme="minorBidi" w:hAnsiTheme="minorBidi"/>
          <w:noProof/>
        </w:rPr>
        <w:drawing>
          <wp:inline distT="0" distB="0" distL="0" distR="0" wp14:anchorId="06172D7F" wp14:editId="42391A2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AD4B5A">
        <w:rPr>
          <w:rFonts w:asciiTheme="minorBidi" w:hAnsiTheme="minorBidi"/>
        </w:rPr>
        <w:fldChar w:fldCharType="begin"/>
      </w:r>
      <w:r w:rsidRPr="00AD4B5A">
        <w:rPr>
          <w:rFonts w:asciiTheme="minorBidi" w:hAnsiTheme="minorBidi"/>
        </w:rPr>
        <w:instrText xml:space="preserve"> INCLUDEPICTURE "C:\\Users\\AzZedin01\\Library\\Group Containers\\UBF8T346G9.ms\\WebArchiveCopyPasteTempFiles\\com.microsoft.Word\\8P2xdp3q1g646AAAAAElFTkSuQmCC" \* MERGEFORMAT </w:instrText>
      </w:r>
      <w:r w:rsidRPr="00AD4B5A">
        <w:rPr>
          <w:rFonts w:asciiTheme="minorBidi" w:hAnsiTheme="minorBidi"/>
        </w:rPr>
        <w:fldChar w:fldCharType="end"/>
      </w:r>
    </w:p>
    <w:p w:rsidR="00DC50E6" w:rsidRPr="00AD4B5A" w:rsidRDefault="00DC50E6" w:rsidP="00DC50E6">
      <w:pPr>
        <w:jc w:val="center"/>
        <w:rPr>
          <w:rFonts w:asciiTheme="minorBidi" w:hAnsiTheme="minorBidi"/>
        </w:rPr>
      </w:pPr>
    </w:p>
    <w:p w:rsidR="00D233A8" w:rsidRPr="00D233A8" w:rsidRDefault="00DC50E6" w:rsidP="00D233A8">
      <w:pPr>
        <w:jc w:val="center"/>
        <w:rPr>
          <w:rFonts w:asciiTheme="minorBidi" w:hAnsiTheme="minorBidi"/>
          <w:b/>
          <w:bCs/>
          <w:sz w:val="28"/>
          <w:szCs w:val="28"/>
        </w:rPr>
      </w:pPr>
      <w:r w:rsidRPr="00AD4B5A">
        <w:rPr>
          <w:rFonts w:asciiTheme="minorBidi" w:hAnsiTheme="minorBidi"/>
          <w:b/>
          <w:bCs/>
          <w:sz w:val="28"/>
          <w:szCs w:val="28"/>
        </w:rPr>
        <w:t xml:space="preserve">Student Name: </w:t>
      </w:r>
      <w:r w:rsidR="00D233A8" w:rsidRPr="00D233A8">
        <w:rPr>
          <w:rFonts w:asciiTheme="minorBidi" w:hAnsiTheme="minorBidi"/>
          <w:b/>
          <w:bCs/>
          <w:sz w:val="28"/>
          <w:szCs w:val="28"/>
        </w:rPr>
        <w:t xml:space="preserve">MD </w:t>
      </w:r>
      <w:proofErr w:type="spellStart"/>
      <w:r w:rsidR="00D233A8" w:rsidRPr="00D233A8">
        <w:rPr>
          <w:rFonts w:asciiTheme="minorBidi" w:hAnsiTheme="minorBidi"/>
          <w:b/>
          <w:bCs/>
          <w:sz w:val="28"/>
          <w:szCs w:val="28"/>
        </w:rPr>
        <w:t>Nebir</w:t>
      </w:r>
      <w:proofErr w:type="spellEnd"/>
      <w:r w:rsidR="00D233A8" w:rsidRPr="00D233A8">
        <w:rPr>
          <w:rFonts w:asciiTheme="minorBidi" w:hAnsiTheme="minorBidi"/>
          <w:b/>
          <w:bCs/>
          <w:sz w:val="28"/>
          <w:szCs w:val="28"/>
        </w:rPr>
        <w:t xml:space="preserve"> Miah </w:t>
      </w:r>
    </w:p>
    <w:p w:rsidR="00DC50E6" w:rsidRPr="00AD4B5A" w:rsidRDefault="00DC50E6" w:rsidP="00DC50E6">
      <w:pPr>
        <w:jc w:val="center"/>
        <w:rPr>
          <w:rFonts w:asciiTheme="minorBidi" w:hAnsiTheme="minorBidi"/>
          <w:b/>
          <w:bCs/>
          <w:sz w:val="28"/>
          <w:szCs w:val="28"/>
        </w:rPr>
      </w:pPr>
      <w:bookmarkStart w:id="0" w:name="_GoBack"/>
      <w:bookmarkEnd w:id="0"/>
      <w:r w:rsidRPr="00AD4B5A">
        <w:rPr>
          <w:rFonts w:asciiTheme="minorBidi" w:hAnsiTheme="minorBidi"/>
          <w:b/>
          <w:bCs/>
          <w:sz w:val="28"/>
          <w:szCs w:val="28"/>
        </w:rPr>
        <w:t>Student ID:</w:t>
      </w:r>
      <w:r w:rsidR="00D233A8" w:rsidRPr="00D233A8">
        <w:t xml:space="preserve"> </w:t>
      </w:r>
      <w:r w:rsidR="00D233A8" w:rsidRPr="00D233A8">
        <w:rPr>
          <w:rFonts w:asciiTheme="minorBidi" w:hAnsiTheme="minorBidi"/>
          <w:b/>
          <w:bCs/>
          <w:sz w:val="28"/>
          <w:szCs w:val="28"/>
        </w:rPr>
        <w:t>2516200</w:t>
      </w:r>
    </w:p>
    <w:p w:rsidR="00DC50E6" w:rsidRPr="00AD4B5A" w:rsidRDefault="00DC50E6" w:rsidP="00DC50E6">
      <w:pPr>
        <w:jc w:val="center"/>
        <w:rPr>
          <w:rFonts w:asciiTheme="minorBidi" w:hAnsiTheme="minorBidi"/>
          <w:b/>
          <w:bCs/>
          <w:sz w:val="28"/>
          <w:szCs w:val="28"/>
        </w:rPr>
      </w:pPr>
    </w:p>
    <w:p w:rsidR="00DC50E6" w:rsidRPr="00AD4B5A" w:rsidRDefault="00DC50E6" w:rsidP="00DC50E6">
      <w:pPr>
        <w:jc w:val="center"/>
        <w:rPr>
          <w:rFonts w:asciiTheme="minorBidi" w:hAnsiTheme="minorBidi"/>
          <w:b/>
          <w:bCs/>
          <w:sz w:val="28"/>
          <w:szCs w:val="28"/>
        </w:rPr>
      </w:pPr>
    </w:p>
    <w:p w:rsidR="00DC50E6" w:rsidRPr="00AD4B5A" w:rsidRDefault="00DC50E6" w:rsidP="00DC50E6">
      <w:pPr>
        <w:jc w:val="center"/>
        <w:rPr>
          <w:rFonts w:asciiTheme="minorBidi" w:hAnsiTheme="minorBidi"/>
          <w:b/>
          <w:bCs/>
          <w:sz w:val="28"/>
          <w:szCs w:val="28"/>
        </w:rPr>
      </w:pPr>
      <w:r w:rsidRPr="00AD4B5A">
        <w:rPr>
          <w:rFonts w:asciiTheme="minorBidi" w:hAnsiTheme="minorBidi"/>
          <w:b/>
          <w:bCs/>
          <w:sz w:val="28"/>
          <w:szCs w:val="28"/>
        </w:rPr>
        <w:t>Module Name: Marketing Management</w:t>
      </w:r>
    </w:p>
    <w:p w:rsidR="00DC50E6" w:rsidRPr="00AD4B5A" w:rsidRDefault="00DC50E6" w:rsidP="00DC50E6">
      <w:pPr>
        <w:jc w:val="center"/>
        <w:rPr>
          <w:rFonts w:asciiTheme="minorBidi" w:hAnsiTheme="minorBidi"/>
          <w:b/>
          <w:bCs/>
          <w:sz w:val="28"/>
          <w:szCs w:val="28"/>
        </w:rPr>
      </w:pPr>
      <w:r w:rsidRPr="00AD4B5A">
        <w:rPr>
          <w:rFonts w:asciiTheme="minorBidi" w:hAnsiTheme="minorBidi"/>
          <w:b/>
          <w:bCs/>
          <w:sz w:val="28"/>
          <w:szCs w:val="28"/>
        </w:rPr>
        <w:t>Module Code: LCMB7024</w:t>
      </w:r>
    </w:p>
    <w:p w:rsidR="00DC50E6" w:rsidRPr="00AD4B5A" w:rsidRDefault="00DC50E6" w:rsidP="00DC50E6">
      <w:pPr>
        <w:rPr>
          <w:rFonts w:asciiTheme="minorBidi" w:hAnsiTheme="minorBidi"/>
          <w:b/>
          <w:bCs/>
          <w:sz w:val="28"/>
          <w:szCs w:val="28"/>
        </w:rPr>
      </w:pPr>
    </w:p>
    <w:p w:rsidR="00DC50E6" w:rsidRPr="00AD4B5A" w:rsidRDefault="00DC50E6" w:rsidP="00DC50E6">
      <w:pPr>
        <w:jc w:val="center"/>
        <w:rPr>
          <w:rFonts w:asciiTheme="minorBidi" w:hAnsiTheme="minorBidi"/>
          <w:b/>
          <w:bCs/>
          <w:sz w:val="28"/>
          <w:szCs w:val="28"/>
        </w:rPr>
      </w:pPr>
    </w:p>
    <w:p w:rsidR="00DC50E6" w:rsidRPr="00AD4B5A" w:rsidRDefault="00DC50E6" w:rsidP="00DC50E6">
      <w:pPr>
        <w:jc w:val="center"/>
        <w:rPr>
          <w:rFonts w:asciiTheme="minorBidi" w:hAnsiTheme="minorBidi"/>
          <w:b/>
          <w:bCs/>
          <w:sz w:val="28"/>
          <w:szCs w:val="28"/>
        </w:rPr>
      </w:pPr>
      <w:r w:rsidRPr="00AD4B5A">
        <w:rPr>
          <w:rFonts w:asciiTheme="minorBidi" w:hAnsiTheme="minorBidi"/>
          <w:b/>
          <w:bCs/>
          <w:sz w:val="28"/>
          <w:szCs w:val="28"/>
        </w:rPr>
        <w:t>Lecturer’s Name:</w:t>
      </w:r>
      <w:r w:rsidR="00D233A8" w:rsidRPr="00D233A8">
        <w:t xml:space="preserve"> </w:t>
      </w:r>
      <w:r w:rsidR="00D233A8" w:rsidRPr="00D233A8">
        <w:rPr>
          <w:rFonts w:asciiTheme="minorBidi" w:hAnsiTheme="minorBidi"/>
          <w:b/>
          <w:bCs/>
          <w:sz w:val="28"/>
          <w:szCs w:val="28"/>
        </w:rPr>
        <w:t xml:space="preserve">Laila </w:t>
      </w:r>
      <w:proofErr w:type="spellStart"/>
      <w:r w:rsidR="00D233A8" w:rsidRPr="00D233A8">
        <w:rPr>
          <w:rFonts w:asciiTheme="minorBidi" w:hAnsiTheme="minorBidi"/>
          <w:b/>
          <w:bCs/>
          <w:sz w:val="28"/>
          <w:szCs w:val="28"/>
        </w:rPr>
        <w:t>maazauz</w:t>
      </w:r>
      <w:proofErr w:type="spellEnd"/>
    </w:p>
    <w:p w:rsidR="00DC50E6" w:rsidRPr="00AD4B5A" w:rsidRDefault="00DC50E6" w:rsidP="00DC50E6">
      <w:pPr>
        <w:jc w:val="center"/>
        <w:rPr>
          <w:rFonts w:asciiTheme="minorBidi" w:hAnsiTheme="minorBidi"/>
          <w:b/>
          <w:bCs/>
          <w:sz w:val="28"/>
          <w:szCs w:val="28"/>
        </w:rPr>
      </w:pPr>
      <w:r w:rsidRPr="00AD4B5A">
        <w:rPr>
          <w:rFonts w:asciiTheme="minorBidi" w:hAnsiTheme="minorBidi"/>
          <w:b/>
          <w:bCs/>
          <w:sz w:val="28"/>
          <w:szCs w:val="28"/>
        </w:rPr>
        <w:t>Work Count: 2637</w:t>
      </w:r>
    </w:p>
    <w:p w:rsidR="00DC50E6" w:rsidRPr="00AD4B5A" w:rsidRDefault="00DC50E6" w:rsidP="00DC50E6">
      <w:pPr>
        <w:jc w:val="center"/>
        <w:rPr>
          <w:rFonts w:asciiTheme="minorBidi" w:hAnsiTheme="minorBidi"/>
          <w:b/>
          <w:bCs/>
          <w:sz w:val="28"/>
          <w:szCs w:val="28"/>
        </w:rPr>
      </w:pPr>
    </w:p>
    <w:p w:rsidR="00DC50E6" w:rsidRPr="00AD4B5A" w:rsidRDefault="00DC50E6" w:rsidP="00DC50E6">
      <w:pPr>
        <w:rPr>
          <w:rFonts w:asciiTheme="minorBidi" w:hAnsiTheme="minorBidi"/>
          <w:b/>
          <w:bCs/>
          <w:sz w:val="28"/>
          <w:szCs w:val="28"/>
        </w:rPr>
      </w:pPr>
    </w:p>
    <w:p w:rsidR="004201AD" w:rsidRDefault="00DC50E6" w:rsidP="00DC50E6">
      <w:pPr>
        <w:jc w:val="center"/>
        <w:rPr>
          <w:rFonts w:asciiTheme="minorBidi" w:hAnsiTheme="minorBidi"/>
          <w:b/>
          <w:bCs/>
          <w:sz w:val="28"/>
          <w:szCs w:val="28"/>
        </w:rPr>
      </w:pPr>
      <w:r w:rsidRPr="00AD4B5A">
        <w:rPr>
          <w:rFonts w:asciiTheme="minorBidi" w:hAnsiTheme="minorBidi"/>
          <w:b/>
          <w:bCs/>
          <w:sz w:val="28"/>
          <w:szCs w:val="28"/>
        </w:rPr>
        <w:t>Term 1</w:t>
      </w:r>
    </w:p>
    <w:p w:rsidR="004201AD" w:rsidRDefault="004201AD">
      <w:pPr>
        <w:spacing w:line="259" w:lineRule="auto"/>
        <w:jc w:val="left"/>
        <w:rPr>
          <w:rFonts w:asciiTheme="minorBidi" w:hAnsiTheme="minorBidi"/>
          <w:b/>
          <w:bCs/>
          <w:sz w:val="28"/>
          <w:szCs w:val="28"/>
        </w:rPr>
      </w:pPr>
      <w:r>
        <w:rPr>
          <w:rFonts w:asciiTheme="minorBidi" w:hAnsiTheme="minorBidi"/>
          <w:b/>
          <w:bCs/>
          <w:sz w:val="28"/>
          <w:szCs w:val="28"/>
        </w:rPr>
        <w:br w:type="page"/>
      </w:r>
    </w:p>
    <w:p w:rsidR="00DC50E6" w:rsidRPr="00AD4B5A" w:rsidRDefault="00DC50E6" w:rsidP="00DC50E6">
      <w:pPr>
        <w:jc w:val="center"/>
        <w:rPr>
          <w:rFonts w:asciiTheme="minorBidi" w:hAnsiTheme="minorBidi"/>
          <w:b/>
          <w:bCs/>
          <w:sz w:val="28"/>
          <w:szCs w:val="28"/>
        </w:rPr>
      </w:pPr>
    </w:p>
    <w:sdt>
      <w:sdtPr>
        <w:rPr>
          <w:rFonts w:ascii="Arial" w:eastAsiaTheme="minorHAnsi" w:hAnsi="Arial" w:cstheme="minorBidi"/>
          <w:color w:val="auto"/>
          <w:sz w:val="24"/>
          <w:szCs w:val="22"/>
        </w:rPr>
        <w:id w:val="569005523"/>
        <w:docPartObj>
          <w:docPartGallery w:val="Table of Contents"/>
          <w:docPartUnique/>
        </w:docPartObj>
      </w:sdtPr>
      <w:sdtEndPr>
        <w:rPr>
          <w:b/>
          <w:bCs/>
          <w:noProof/>
        </w:rPr>
      </w:sdtEndPr>
      <w:sdtContent>
        <w:p w:rsidR="004201AD" w:rsidRDefault="004201AD">
          <w:pPr>
            <w:pStyle w:val="TOCHeading"/>
          </w:pPr>
          <w:r>
            <w:t>Contents</w:t>
          </w:r>
        </w:p>
        <w:p w:rsidR="004201AD" w:rsidRDefault="004201AD">
          <w:pPr>
            <w:pStyle w:val="TOC1"/>
            <w:tabs>
              <w:tab w:val="right" w:leader="dot" w:pos="9350"/>
            </w:tabs>
            <w:rPr>
              <w:rFonts w:asciiTheme="minorHAnsi" w:eastAsiaTheme="minorEastAsia" w:hAnsiTheme="minorHAnsi"/>
              <w:noProof/>
              <w:sz w:val="22"/>
            </w:rPr>
          </w:pPr>
          <w:r>
            <w:fldChar w:fldCharType="begin"/>
          </w:r>
          <w:r>
            <w:instrText xml:space="preserve"> TOC \o "1-2" \h \z \u </w:instrText>
          </w:r>
          <w:r>
            <w:fldChar w:fldCharType="separate"/>
          </w:r>
          <w:hyperlink w:anchor="_Toc223967991" w:history="1">
            <w:r w:rsidRPr="00562E5E">
              <w:rPr>
                <w:rStyle w:val="Hyperlink"/>
                <w:noProof/>
              </w:rPr>
              <w:t>1. Introduction</w:t>
            </w:r>
            <w:r>
              <w:rPr>
                <w:noProof/>
                <w:webHidden/>
              </w:rPr>
              <w:tab/>
            </w:r>
            <w:r>
              <w:rPr>
                <w:noProof/>
                <w:webHidden/>
              </w:rPr>
              <w:fldChar w:fldCharType="begin"/>
            </w:r>
            <w:r>
              <w:rPr>
                <w:noProof/>
                <w:webHidden/>
              </w:rPr>
              <w:instrText xml:space="preserve"> PAGEREF _Toc223967991 \h </w:instrText>
            </w:r>
            <w:r>
              <w:rPr>
                <w:noProof/>
                <w:webHidden/>
              </w:rPr>
            </w:r>
            <w:r>
              <w:rPr>
                <w:noProof/>
                <w:webHidden/>
              </w:rPr>
              <w:fldChar w:fldCharType="separate"/>
            </w:r>
            <w:r>
              <w:rPr>
                <w:noProof/>
                <w:webHidden/>
              </w:rPr>
              <w:t>3</w:t>
            </w:r>
            <w:r>
              <w:rPr>
                <w:noProof/>
                <w:webHidden/>
              </w:rPr>
              <w:fldChar w:fldCharType="end"/>
            </w:r>
          </w:hyperlink>
        </w:p>
        <w:p w:rsidR="004201AD" w:rsidRDefault="004657E6">
          <w:pPr>
            <w:pStyle w:val="TOC1"/>
            <w:tabs>
              <w:tab w:val="right" w:leader="dot" w:pos="9350"/>
            </w:tabs>
            <w:rPr>
              <w:rFonts w:asciiTheme="minorHAnsi" w:eastAsiaTheme="minorEastAsia" w:hAnsiTheme="minorHAnsi"/>
              <w:noProof/>
              <w:sz w:val="22"/>
            </w:rPr>
          </w:pPr>
          <w:hyperlink w:anchor="_Toc223967992" w:history="1">
            <w:r w:rsidR="004201AD" w:rsidRPr="00562E5E">
              <w:rPr>
                <w:rStyle w:val="Hyperlink"/>
                <w:noProof/>
              </w:rPr>
              <w:t>2. Task 1: Critical Analysis of the Macro Marketing Environment</w:t>
            </w:r>
            <w:r w:rsidR="004201AD">
              <w:rPr>
                <w:noProof/>
                <w:webHidden/>
              </w:rPr>
              <w:tab/>
            </w:r>
            <w:r w:rsidR="004201AD">
              <w:rPr>
                <w:noProof/>
                <w:webHidden/>
              </w:rPr>
              <w:fldChar w:fldCharType="begin"/>
            </w:r>
            <w:r w:rsidR="004201AD">
              <w:rPr>
                <w:noProof/>
                <w:webHidden/>
              </w:rPr>
              <w:instrText xml:space="preserve"> PAGEREF _Toc223967992 \h </w:instrText>
            </w:r>
            <w:r w:rsidR="004201AD">
              <w:rPr>
                <w:noProof/>
                <w:webHidden/>
              </w:rPr>
            </w:r>
            <w:r w:rsidR="004201AD">
              <w:rPr>
                <w:noProof/>
                <w:webHidden/>
              </w:rPr>
              <w:fldChar w:fldCharType="separate"/>
            </w:r>
            <w:r w:rsidR="004201AD">
              <w:rPr>
                <w:noProof/>
                <w:webHidden/>
              </w:rPr>
              <w:t>4</w:t>
            </w:r>
            <w:r w:rsidR="004201AD">
              <w:rPr>
                <w:noProof/>
                <w:webHidden/>
              </w:rPr>
              <w:fldChar w:fldCharType="end"/>
            </w:r>
          </w:hyperlink>
        </w:p>
        <w:p w:rsidR="004201AD" w:rsidRDefault="004657E6">
          <w:pPr>
            <w:pStyle w:val="TOC2"/>
            <w:tabs>
              <w:tab w:val="right" w:leader="dot" w:pos="9350"/>
            </w:tabs>
            <w:rPr>
              <w:rFonts w:asciiTheme="minorHAnsi" w:eastAsiaTheme="minorEastAsia" w:hAnsiTheme="minorHAnsi"/>
              <w:noProof/>
              <w:sz w:val="22"/>
            </w:rPr>
          </w:pPr>
          <w:hyperlink w:anchor="_Toc223967993" w:history="1">
            <w:r w:rsidR="004201AD" w:rsidRPr="00562E5E">
              <w:rPr>
                <w:rStyle w:val="Hyperlink"/>
                <w:noProof/>
              </w:rPr>
              <w:t>2.1 Macro Marketing Environment</w:t>
            </w:r>
            <w:r w:rsidR="004201AD">
              <w:rPr>
                <w:noProof/>
                <w:webHidden/>
              </w:rPr>
              <w:tab/>
            </w:r>
            <w:r w:rsidR="004201AD">
              <w:rPr>
                <w:noProof/>
                <w:webHidden/>
              </w:rPr>
              <w:fldChar w:fldCharType="begin"/>
            </w:r>
            <w:r w:rsidR="004201AD">
              <w:rPr>
                <w:noProof/>
                <w:webHidden/>
              </w:rPr>
              <w:instrText xml:space="preserve"> PAGEREF _Toc223967993 \h </w:instrText>
            </w:r>
            <w:r w:rsidR="004201AD">
              <w:rPr>
                <w:noProof/>
                <w:webHidden/>
              </w:rPr>
            </w:r>
            <w:r w:rsidR="004201AD">
              <w:rPr>
                <w:noProof/>
                <w:webHidden/>
              </w:rPr>
              <w:fldChar w:fldCharType="separate"/>
            </w:r>
            <w:r w:rsidR="004201AD">
              <w:rPr>
                <w:noProof/>
                <w:webHidden/>
              </w:rPr>
              <w:t>4</w:t>
            </w:r>
            <w:r w:rsidR="004201AD">
              <w:rPr>
                <w:noProof/>
                <w:webHidden/>
              </w:rPr>
              <w:fldChar w:fldCharType="end"/>
            </w:r>
          </w:hyperlink>
        </w:p>
        <w:p w:rsidR="004201AD" w:rsidRDefault="004657E6">
          <w:pPr>
            <w:pStyle w:val="TOC2"/>
            <w:tabs>
              <w:tab w:val="right" w:leader="dot" w:pos="9350"/>
            </w:tabs>
            <w:rPr>
              <w:rFonts w:asciiTheme="minorHAnsi" w:eastAsiaTheme="minorEastAsia" w:hAnsiTheme="minorHAnsi"/>
              <w:noProof/>
              <w:sz w:val="22"/>
            </w:rPr>
          </w:pPr>
          <w:hyperlink w:anchor="_Toc223967994" w:history="1">
            <w:r w:rsidR="004201AD" w:rsidRPr="00562E5E">
              <w:rPr>
                <w:rStyle w:val="Hyperlink"/>
                <w:noProof/>
              </w:rPr>
              <w:t>2.2 Analysis of Macro Factor 1: Technological Factor</w:t>
            </w:r>
            <w:r w:rsidR="004201AD">
              <w:rPr>
                <w:noProof/>
                <w:webHidden/>
              </w:rPr>
              <w:tab/>
            </w:r>
            <w:r w:rsidR="004201AD">
              <w:rPr>
                <w:noProof/>
                <w:webHidden/>
              </w:rPr>
              <w:fldChar w:fldCharType="begin"/>
            </w:r>
            <w:r w:rsidR="004201AD">
              <w:rPr>
                <w:noProof/>
                <w:webHidden/>
              </w:rPr>
              <w:instrText xml:space="preserve"> PAGEREF _Toc223967994 \h </w:instrText>
            </w:r>
            <w:r w:rsidR="004201AD">
              <w:rPr>
                <w:noProof/>
                <w:webHidden/>
              </w:rPr>
            </w:r>
            <w:r w:rsidR="004201AD">
              <w:rPr>
                <w:noProof/>
                <w:webHidden/>
              </w:rPr>
              <w:fldChar w:fldCharType="separate"/>
            </w:r>
            <w:r w:rsidR="004201AD">
              <w:rPr>
                <w:noProof/>
                <w:webHidden/>
              </w:rPr>
              <w:t>5</w:t>
            </w:r>
            <w:r w:rsidR="004201AD">
              <w:rPr>
                <w:noProof/>
                <w:webHidden/>
              </w:rPr>
              <w:fldChar w:fldCharType="end"/>
            </w:r>
          </w:hyperlink>
        </w:p>
        <w:p w:rsidR="004201AD" w:rsidRDefault="004657E6">
          <w:pPr>
            <w:pStyle w:val="TOC2"/>
            <w:tabs>
              <w:tab w:val="right" w:leader="dot" w:pos="9350"/>
            </w:tabs>
            <w:rPr>
              <w:rFonts w:asciiTheme="minorHAnsi" w:eastAsiaTheme="minorEastAsia" w:hAnsiTheme="minorHAnsi"/>
              <w:noProof/>
              <w:sz w:val="22"/>
            </w:rPr>
          </w:pPr>
          <w:hyperlink w:anchor="_Toc223967995" w:history="1">
            <w:r w:rsidR="004201AD" w:rsidRPr="00562E5E">
              <w:rPr>
                <w:rStyle w:val="Hyperlink"/>
                <w:noProof/>
              </w:rPr>
              <w:t>2.3 Analysis of Macro Factor 2: Legal Factor</w:t>
            </w:r>
            <w:r w:rsidR="004201AD">
              <w:rPr>
                <w:noProof/>
                <w:webHidden/>
              </w:rPr>
              <w:tab/>
            </w:r>
            <w:r w:rsidR="004201AD">
              <w:rPr>
                <w:noProof/>
                <w:webHidden/>
              </w:rPr>
              <w:fldChar w:fldCharType="begin"/>
            </w:r>
            <w:r w:rsidR="004201AD">
              <w:rPr>
                <w:noProof/>
                <w:webHidden/>
              </w:rPr>
              <w:instrText xml:space="preserve"> PAGEREF _Toc223967995 \h </w:instrText>
            </w:r>
            <w:r w:rsidR="004201AD">
              <w:rPr>
                <w:noProof/>
                <w:webHidden/>
              </w:rPr>
            </w:r>
            <w:r w:rsidR="004201AD">
              <w:rPr>
                <w:noProof/>
                <w:webHidden/>
              </w:rPr>
              <w:fldChar w:fldCharType="separate"/>
            </w:r>
            <w:r w:rsidR="004201AD">
              <w:rPr>
                <w:noProof/>
                <w:webHidden/>
              </w:rPr>
              <w:t>7</w:t>
            </w:r>
            <w:r w:rsidR="004201AD">
              <w:rPr>
                <w:noProof/>
                <w:webHidden/>
              </w:rPr>
              <w:fldChar w:fldCharType="end"/>
            </w:r>
          </w:hyperlink>
        </w:p>
        <w:p w:rsidR="004201AD" w:rsidRDefault="004657E6">
          <w:pPr>
            <w:pStyle w:val="TOC1"/>
            <w:tabs>
              <w:tab w:val="right" w:leader="dot" w:pos="9350"/>
            </w:tabs>
            <w:rPr>
              <w:rFonts w:asciiTheme="minorHAnsi" w:eastAsiaTheme="minorEastAsia" w:hAnsiTheme="minorHAnsi"/>
              <w:noProof/>
              <w:sz w:val="22"/>
            </w:rPr>
          </w:pPr>
          <w:hyperlink w:anchor="_Toc223967996" w:history="1">
            <w:r w:rsidR="004201AD" w:rsidRPr="00562E5E">
              <w:rPr>
                <w:rStyle w:val="Hyperlink"/>
                <w:noProof/>
              </w:rPr>
              <w:t>3. Task 2: Strategic Responses of Pioneering and Follower Organisations</w:t>
            </w:r>
            <w:r w:rsidR="004201AD">
              <w:rPr>
                <w:noProof/>
                <w:webHidden/>
              </w:rPr>
              <w:tab/>
            </w:r>
            <w:r w:rsidR="004201AD">
              <w:rPr>
                <w:noProof/>
                <w:webHidden/>
              </w:rPr>
              <w:fldChar w:fldCharType="begin"/>
            </w:r>
            <w:r w:rsidR="004201AD">
              <w:rPr>
                <w:noProof/>
                <w:webHidden/>
              </w:rPr>
              <w:instrText xml:space="preserve"> PAGEREF _Toc223967996 \h </w:instrText>
            </w:r>
            <w:r w:rsidR="004201AD">
              <w:rPr>
                <w:noProof/>
                <w:webHidden/>
              </w:rPr>
            </w:r>
            <w:r w:rsidR="004201AD">
              <w:rPr>
                <w:noProof/>
                <w:webHidden/>
              </w:rPr>
              <w:fldChar w:fldCharType="separate"/>
            </w:r>
            <w:r w:rsidR="004201AD">
              <w:rPr>
                <w:noProof/>
                <w:webHidden/>
              </w:rPr>
              <w:t>9</w:t>
            </w:r>
            <w:r w:rsidR="004201AD">
              <w:rPr>
                <w:noProof/>
                <w:webHidden/>
              </w:rPr>
              <w:fldChar w:fldCharType="end"/>
            </w:r>
          </w:hyperlink>
        </w:p>
        <w:p w:rsidR="004201AD" w:rsidRDefault="004657E6">
          <w:pPr>
            <w:pStyle w:val="TOC2"/>
            <w:tabs>
              <w:tab w:val="right" w:leader="dot" w:pos="9350"/>
            </w:tabs>
            <w:rPr>
              <w:rFonts w:asciiTheme="minorHAnsi" w:eastAsiaTheme="minorEastAsia" w:hAnsiTheme="minorHAnsi"/>
              <w:noProof/>
              <w:sz w:val="22"/>
            </w:rPr>
          </w:pPr>
          <w:hyperlink w:anchor="_Toc223967997" w:history="1">
            <w:r w:rsidR="004201AD" w:rsidRPr="00562E5E">
              <w:rPr>
                <w:rStyle w:val="Hyperlink"/>
                <w:noProof/>
              </w:rPr>
              <w:t>3.1 Pioneering Organisation’s Strategic Responses</w:t>
            </w:r>
            <w:r w:rsidR="004201AD">
              <w:rPr>
                <w:noProof/>
                <w:webHidden/>
              </w:rPr>
              <w:tab/>
            </w:r>
            <w:r w:rsidR="004201AD">
              <w:rPr>
                <w:noProof/>
                <w:webHidden/>
              </w:rPr>
              <w:fldChar w:fldCharType="begin"/>
            </w:r>
            <w:r w:rsidR="004201AD">
              <w:rPr>
                <w:noProof/>
                <w:webHidden/>
              </w:rPr>
              <w:instrText xml:space="preserve"> PAGEREF _Toc223967997 \h </w:instrText>
            </w:r>
            <w:r w:rsidR="004201AD">
              <w:rPr>
                <w:noProof/>
                <w:webHidden/>
              </w:rPr>
            </w:r>
            <w:r w:rsidR="004201AD">
              <w:rPr>
                <w:noProof/>
                <w:webHidden/>
              </w:rPr>
              <w:fldChar w:fldCharType="separate"/>
            </w:r>
            <w:r w:rsidR="004201AD">
              <w:rPr>
                <w:noProof/>
                <w:webHidden/>
              </w:rPr>
              <w:t>9</w:t>
            </w:r>
            <w:r w:rsidR="004201AD">
              <w:rPr>
                <w:noProof/>
                <w:webHidden/>
              </w:rPr>
              <w:fldChar w:fldCharType="end"/>
            </w:r>
          </w:hyperlink>
        </w:p>
        <w:p w:rsidR="004201AD" w:rsidRDefault="004657E6">
          <w:pPr>
            <w:pStyle w:val="TOC2"/>
            <w:tabs>
              <w:tab w:val="right" w:leader="dot" w:pos="9350"/>
            </w:tabs>
            <w:rPr>
              <w:rFonts w:asciiTheme="minorHAnsi" w:eastAsiaTheme="minorEastAsia" w:hAnsiTheme="minorHAnsi"/>
              <w:noProof/>
              <w:sz w:val="22"/>
            </w:rPr>
          </w:pPr>
          <w:hyperlink w:anchor="_Toc223967998" w:history="1">
            <w:r w:rsidR="004201AD" w:rsidRPr="00562E5E">
              <w:rPr>
                <w:rStyle w:val="Hyperlink"/>
                <w:noProof/>
              </w:rPr>
              <w:t>3.2 Follower Organisation’s Strategic Responses – Ford</w:t>
            </w:r>
            <w:r w:rsidR="004201AD">
              <w:rPr>
                <w:noProof/>
                <w:webHidden/>
              </w:rPr>
              <w:tab/>
            </w:r>
            <w:r w:rsidR="004201AD">
              <w:rPr>
                <w:noProof/>
                <w:webHidden/>
              </w:rPr>
              <w:fldChar w:fldCharType="begin"/>
            </w:r>
            <w:r w:rsidR="004201AD">
              <w:rPr>
                <w:noProof/>
                <w:webHidden/>
              </w:rPr>
              <w:instrText xml:space="preserve"> PAGEREF _Toc223967998 \h </w:instrText>
            </w:r>
            <w:r w:rsidR="004201AD">
              <w:rPr>
                <w:noProof/>
                <w:webHidden/>
              </w:rPr>
            </w:r>
            <w:r w:rsidR="004201AD">
              <w:rPr>
                <w:noProof/>
                <w:webHidden/>
              </w:rPr>
              <w:fldChar w:fldCharType="separate"/>
            </w:r>
            <w:r w:rsidR="004201AD">
              <w:rPr>
                <w:noProof/>
                <w:webHidden/>
              </w:rPr>
              <w:t>11</w:t>
            </w:r>
            <w:r w:rsidR="004201AD">
              <w:rPr>
                <w:noProof/>
                <w:webHidden/>
              </w:rPr>
              <w:fldChar w:fldCharType="end"/>
            </w:r>
          </w:hyperlink>
        </w:p>
        <w:p w:rsidR="004201AD" w:rsidRDefault="004657E6">
          <w:pPr>
            <w:pStyle w:val="TOC1"/>
            <w:tabs>
              <w:tab w:val="right" w:leader="dot" w:pos="9350"/>
            </w:tabs>
            <w:rPr>
              <w:rFonts w:asciiTheme="minorHAnsi" w:eastAsiaTheme="minorEastAsia" w:hAnsiTheme="minorHAnsi"/>
              <w:noProof/>
              <w:sz w:val="22"/>
            </w:rPr>
          </w:pPr>
          <w:hyperlink w:anchor="_Toc223967999" w:history="1">
            <w:r w:rsidR="004201AD" w:rsidRPr="00562E5E">
              <w:rPr>
                <w:rStyle w:val="Hyperlink"/>
                <w:noProof/>
              </w:rPr>
              <w:t>4. Conclusion</w:t>
            </w:r>
            <w:r w:rsidR="004201AD">
              <w:rPr>
                <w:noProof/>
                <w:webHidden/>
              </w:rPr>
              <w:tab/>
            </w:r>
            <w:r w:rsidR="004201AD">
              <w:rPr>
                <w:noProof/>
                <w:webHidden/>
              </w:rPr>
              <w:fldChar w:fldCharType="begin"/>
            </w:r>
            <w:r w:rsidR="004201AD">
              <w:rPr>
                <w:noProof/>
                <w:webHidden/>
              </w:rPr>
              <w:instrText xml:space="preserve"> PAGEREF _Toc223967999 \h </w:instrText>
            </w:r>
            <w:r w:rsidR="004201AD">
              <w:rPr>
                <w:noProof/>
                <w:webHidden/>
              </w:rPr>
            </w:r>
            <w:r w:rsidR="004201AD">
              <w:rPr>
                <w:noProof/>
                <w:webHidden/>
              </w:rPr>
              <w:fldChar w:fldCharType="separate"/>
            </w:r>
            <w:r w:rsidR="004201AD">
              <w:rPr>
                <w:noProof/>
                <w:webHidden/>
              </w:rPr>
              <w:t>14</w:t>
            </w:r>
            <w:r w:rsidR="004201AD">
              <w:rPr>
                <w:noProof/>
                <w:webHidden/>
              </w:rPr>
              <w:fldChar w:fldCharType="end"/>
            </w:r>
          </w:hyperlink>
        </w:p>
        <w:p w:rsidR="004201AD" w:rsidRDefault="004657E6">
          <w:pPr>
            <w:pStyle w:val="TOC1"/>
            <w:tabs>
              <w:tab w:val="right" w:leader="dot" w:pos="9350"/>
            </w:tabs>
            <w:rPr>
              <w:rFonts w:asciiTheme="minorHAnsi" w:eastAsiaTheme="minorEastAsia" w:hAnsiTheme="minorHAnsi"/>
              <w:noProof/>
              <w:sz w:val="22"/>
            </w:rPr>
          </w:pPr>
          <w:hyperlink w:anchor="_Toc223968000" w:history="1">
            <w:r w:rsidR="004201AD" w:rsidRPr="00562E5E">
              <w:rPr>
                <w:rStyle w:val="Hyperlink"/>
                <w:noProof/>
              </w:rPr>
              <w:t>5. Reference</w:t>
            </w:r>
            <w:r w:rsidR="004201AD">
              <w:rPr>
                <w:noProof/>
                <w:webHidden/>
              </w:rPr>
              <w:tab/>
            </w:r>
            <w:r w:rsidR="004201AD">
              <w:rPr>
                <w:noProof/>
                <w:webHidden/>
              </w:rPr>
              <w:fldChar w:fldCharType="begin"/>
            </w:r>
            <w:r w:rsidR="004201AD">
              <w:rPr>
                <w:noProof/>
                <w:webHidden/>
              </w:rPr>
              <w:instrText xml:space="preserve"> PAGEREF _Toc223968000 \h </w:instrText>
            </w:r>
            <w:r w:rsidR="004201AD">
              <w:rPr>
                <w:noProof/>
                <w:webHidden/>
              </w:rPr>
            </w:r>
            <w:r w:rsidR="004201AD">
              <w:rPr>
                <w:noProof/>
                <w:webHidden/>
              </w:rPr>
              <w:fldChar w:fldCharType="separate"/>
            </w:r>
            <w:r w:rsidR="004201AD">
              <w:rPr>
                <w:noProof/>
                <w:webHidden/>
              </w:rPr>
              <w:t>15</w:t>
            </w:r>
            <w:r w:rsidR="004201AD">
              <w:rPr>
                <w:noProof/>
                <w:webHidden/>
              </w:rPr>
              <w:fldChar w:fldCharType="end"/>
            </w:r>
          </w:hyperlink>
        </w:p>
        <w:p w:rsidR="004201AD" w:rsidRDefault="004201AD">
          <w:r>
            <w:fldChar w:fldCharType="end"/>
          </w:r>
        </w:p>
      </w:sdtContent>
    </w:sdt>
    <w:p w:rsidR="00DC50E6" w:rsidRPr="00AD4B5A" w:rsidRDefault="00DC50E6" w:rsidP="00DC50E6">
      <w:pPr>
        <w:rPr>
          <w:rFonts w:asciiTheme="minorBidi" w:hAnsiTheme="minorBidi"/>
          <w:b/>
          <w:bCs/>
        </w:rPr>
      </w:pPr>
      <w:r w:rsidRPr="00AD4B5A">
        <w:br w:type="page"/>
      </w:r>
    </w:p>
    <w:p w:rsidR="00032892" w:rsidRPr="00AD4B5A" w:rsidRDefault="00032892" w:rsidP="00032892">
      <w:pPr>
        <w:pStyle w:val="Heading1"/>
      </w:pPr>
      <w:bookmarkStart w:id="1" w:name="_Toc223967991"/>
      <w:r w:rsidRPr="00AD4B5A">
        <w:lastRenderedPageBreak/>
        <w:t>1. Introduction</w:t>
      </w:r>
      <w:bookmarkEnd w:id="1"/>
    </w:p>
    <w:p w:rsidR="00DC50E6" w:rsidRPr="00AD4B5A" w:rsidRDefault="00DC50E6" w:rsidP="00DC50E6">
      <w:r w:rsidRPr="00AD4B5A">
        <w:t xml:space="preserve">The critical analysis of the electric vehicle (EV) industry in this report is based on the macro marketing environment, especially focusing on the technological and legal aspects. It draws a comparison between Tesla as an innovative </w:t>
      </w:r>
      <w:proofErr w:type="spellStart"/>
      <w:r w:rsidRPr="00AD4B5A">
        <w:t>organisation</w:t>
      </w:r>
      <w:proofErr w:type="spellEnd"/>
      <w:r w:rsidRPr="00AD4B5A">
        <w:t xml:space="preserve"> and Ford as </w:t>
      </w:r>
      <w:proofErr w:type="gramStart"/>
      <w:r w:rsidRPr="00AD4B5A">
        <w:t>a</w:t>
      </w:r>
      <w:proofErr w:type="gramEnd"/>
      <w:r w:rsidRPr="00AD4B5A">
        <w:t xml:space="preserve"> imitating </w:t>
      </w:r>
      <w:proofErr w:type="spellStart"/>
      <w:r w:rsidRPr="00AD4B5A">
        <w:t>organisation</w:t>
      </w:r>
      <w:proofErr w:type="spellEnd"/>
      <w:r w:rsidRPr="00AD4B5A">
        <w:t>, the opportunities and threats posed by external changes and the strategic response of each company in maintaining the progress and competitive edge.</w:t>
      </w:r>
    </w:p>
    <w:p w:rsidR="00DC50E6" w:rsidRPr="00AD4B5A" w:rsidRDefault="00DC50E6" w:rsidP="00DC50E6">
      <w:r w:rsidRPr="00AD4B5A">
        <w:t xml:space="preserve">The EV industry has become one of the sectors of the global economy that is the quickest changing under the influence of the accelerating innovation, the growing competition and the sustainability strategy. By 2024, electric car sales are projected to be over 20 million, according to the International Energy Agency, a figure of over 20 percent of all car sales in the world, and are predicted to be more than 20 million in 2025 (IEA, 2025). The industry is very strategically positioned since it is located at the </w:t>
      </w:r>
      <w:proofErr w:type="spellStart"/>
      <w:r w:rsidRPr="00AD4B5A">
        <w:t>centre</w:t>
      </w:r>
      <w:proofErr w:type="spellEnd"/>
      <w:r w:rsidRPr="00AD4B5A">
        <w:t xml:space="preserve"> of industrial transformation, energy transition, and low-carbon transport policy. The level of competition is also growing as the specialist EV companies, as well as conventional automakers, invest in battery technology, software capability, and charging infrastructure in an attempt to gain a market share (IEA, 2025).</w:t>
      </w:r>
    </w:p>
    <w:p w:rsidR="00032892" w:rsidRPr="00AD4B5A" w:rsidRDefault="00DC50E6" w:rsidP="00DC50E6">
      <w:pPr>
        <w:rPr>
          <w:rFonts w:eastAsiaTheme="majorEastAsia" w:cstheme="majorBidi"/>
          <w:b/>
          <w:color w:val="002060"/>
          <w:sz w:val="32"/>
          <w:szCs w:val="32"/>
        </w:rPr>
      </w:pPr>
      <w:r w:rsidRPr="00AD4B5A">
        <w:t>Strategic marketing decision-making requires the analysis of macro-environmental factors due to the situation in the EV industry that is determined by technological disruption, regulation and altering market conditions. The report will initially examine how Tesla and Ford have been affected by technological and legal forces, followed by the assessment of how the two companies have reacted strategically using the applicable marketing paradigms before drawing conclusions on the key comparative results.</w:t>
      </w:r>
      <w:r w:rsidR="00032892" w:rsidRPr="00AD4B5A">
        <w:br w:type="page"/>
      </w:r>
    </w:p>
    <w:p w:rsidR="006F344B" w:rsidRPr="00AD4B5A" w:rsidRDefault="00BC35F5" w:rsidP="00BC35F5">
      <w:pPr>
        <w:pStyle w:val="Heading1"/>
      </w:pPr>
      <w:bookmarkStart w:id="2" w:name="_Toc223967992"/>
      <w:r w:rsidRPr="00AD4B5A">
        <w:lastRenderedPageBreak/>
        <w:t>2. Task 1: Critical Analysis of the Macro Marketing Environment</w:t>
      </w:r>
      <w:bookmarkEnd w:id="2"/>
    </w:p>
    <w:p w:rsidR="00BC35F5" w:rsidRPr="00AD4B5A" w:rsidRDefault="00BC35F5" w:rsidP="00BC35F5">
      <w:pPr>
        <w:pStyle w:val="Heading2"/>
      </w:pPr>
      <w:bookmarkStart w:id="3" w:name="_Toc223967993"/>
      <w:r w:rsidRPr="00AD4B5A">
        <w:t>2.1 Macro Marketing Environment</w:t>
      </w:r>
      <w:bookmarkEnd w:id="3"/>
      <w:r w:rsidRPr="00AD4B5A">
        <w:t xml:space="preserve"> </w:t>
      </w:r>
    </w:p>
    <w:p w:rsidR="00BC35F5" w:rsidRPr="00AD4B5A" w:rsidRDefault="00BC35F5" w:rsidP="00BC35F5">
      <w:pPr>
        <w:pStyle w:val="Heading3"/>
      </w:pPr>
      <w:r w:rsidRPr="00AD4B5A">
        <w:t>2.1.1 PESTLE Framework</w:t>
      </w:r>
    </w:p>
    <w:p w:rsidR="00026A27" w:rsidRPr="00AD4B5A" w:rsidRDefault="00026A27" w:rsidP="00026A27">
      <w:r w:rsidRPr="00AD4B5A">
        <w:t xml:space="preserve">The PESTLE is a strategic analysis tool which measures the external macro-environment influences on </w:t>
      </w:r>
      <w:proofErr w:type="spellStart"/>
      <w:r w:rsidRPr="00AD4B5A">
        <w:t>organisational</w:t>
      </w:r>
      <w:proofErr w:type="spellEnd"/>
      <w:r w:rsidRPr="00AD4B5A">
        <w:t xml:space="preserve"> decisions and performance.</w:t>
      </w:r>
    </w:p>
    <w:p w:rsidR="00BC35F5" w:rsidRPr="00AD4B5A" w:rsidRDefault="00BC35F5" w:rsidP="00BC35F5">
      <w:pPr>
        <w:keepNext/>
        <w:jc w:val="center"/>
      </w:pPr>
      <w:r w:rsidRPr="00AD4B5A">
        <w:rPr>
          <w:noProof/>
        </w:rPr>
        <w:drawing>
          <wp:inline distT="0" distB="0" distL="0" distR="0" wp14:anchorId="7243DDB7" wp14:editId="309DB562">
            <wp:extent cx="4800395" cy="2834690"/>
            <wp:effectExtent l="0" t="0" r="635" b="3810"/>
            <wp:docPr id="1" name="Picture 1" descr="PESTLE Analysis: A Guide to Understanding Market Infl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A Guide to Understanding Market Influen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0421" cy="2840610"/>
                    </a:xfrm>
                    <a:prstGeom prst="rect">
                      <a:avLst/>
                    </a:prstGeom>
                    <a:noFill/>
                    <a:ln>
                      <a:noFill/>
                    </a:ln>
                  </pic:spPr>
                </pic:pic>
              </a:graphicData>
            </a:graphic>
          </wp:inline>
        </w:drawing>
      </w:r>
    </w:p>
    <w:p w:rsidR="00BC35F5" w:rsidRPr="00AD4B5A" w:rsidRDefault="00BC35F5" w:rsidP="00BC35F5">
      <w:pPr>
        <w:pStyle w:val="Caption"/>
        <w:jc w:val="center"/>
      </w:pPr>
      <w:r w:rsidRPr="00AD4B5A">
        <w:t xml:space="preserve">Figure </w:t>
      </w:r>
      <w:fldSimple w:instr=" SEQ Figure \* ARABIC ">
        <w:r w:rsidR="00953C23" w:rsidRPr="00AD4B5A">
          <w:rPr>
            <w:noProof/>
          </w:rPr>
          <w:t>1</w:t>
        </w:r>
      </w:fldSimple>
      <w:r w:rsidRPr="00AD4B5A">
        <w:t>: Components of PESTEL Framework. Source:</w:t>
      </w:r>
      <w:r w:rsidR="00A97280" w:rsidRPr="00AD4B5A">
        <w:t xml:space="preserve"> </w:t>
      </w:r>
      <w:proofErr w:type="spellStart"/>
      <w:r w:rsidR="00A97280" w:rsidRPr="00AD4B5A">
        <w:t>Ormston</w:t>
      </w:r>
      <w:proofErr w:type="spellEnd"/>
      <w:r w:rsidR="00A97280" w:rsidRPr="00AD4B5A">
        <w:t xml:space="preserve"> (2025).</w:t>
      </w:r>
    </w:p>
    <w:p w:rsidR="00026A27" w:rsidRPr="00AD4B5A" w:rsidRDefault="00026A27" w:rsidP="00026A27">
      <w:r w:rsidRPr="00AD4B5A">
        <w:t>It analyses political, economic, social, technological, legal, and environmental forces (</w:t>
      </w:r>
      <w:proofErr w:type="spellStart"/>
      <w:r w:rsidRPr="00AD4B5A">
        <w:t>Ormston</w:t>
      </w:r>
      <w:proofErr w:type="spellEnd"/>
      <w:r w:rsidRPr="00AD4B5A">
        <w:t>, 2025). This assists firms to recognize external opportunities, threats and tailor their marketing strategies to evolving industry conditions.</w:t>
      </w:r>
    </w:p>
    <w:p w:rsidR="00BC35F5" w:rsidRPr="00AD4B5A" w:rsidRDefault="00BC35F5" w:rsidP="00BC35F5">
      <w:pPr>
        <w:pStyle w:val="Heading3"/>
      </w:pPr>
      <w:r w:rsidRPr="00AD4B5A">
        <w:t>2.1.2 Justification for Selected Macro Factors</w:t>
      </w:r>
    </w:p>
    <w:p w:rsidR="00BC35F5" w:rsidRPr="00AD4B5A" w:rsidRDefault="00026A27" w:rsidP="00BC35F5">
      <w:r w:rsidRPr="00AD4B5A">
        <w:t>Technological and legal aspects are the most strategic in the electric vehicle (EV) industry as these determine the direction of innovation, regulation and competitive edge directly.</w:t>
      </w:r>
    </w:p>
    <w:p w:rsidR="00A97280" w:rsidRPr="00AD4B5A" w:rsidRDefault="00BC35F5" w:rsidP="00A97280">
      <w:pPr>
        <w:keepNext/>
      </w:pPr>
      <w:r w:rsidRPr="00AD4B5A">
        <w:rPr>
          <w:noProof/>
        </w:rPr>
        <w:lastRenderedPageBreak/>
        <w:drawing>
          <wp:inline distT="0" distB="0" distL="0" distR="0" wp14:anchorId="2D444CD7" wp14:editId="30449E96">
            <wp:extent cx="5962650" cy="3448050"/>
            <wp:effectExtent l="0" t="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BC35F5" w:rsidRPr="00AD4B5A" w:rsidRDefault="00A97280" w:rsidP="00A97280">
      <w:pPr>
        <w:pStyle w:val="Caption"/>
        <w:jc w:val="center"/>
      </w:pPr>
      <w:r w:rsidRPr="00AD4B5A">
        <w:t xml:space="preserve">Figure </w:t>
      </w:r>
      <w:fldSimple w:instr=" SEQ Figure \* ARABIC ">
        <w:r w:rsidR="00953C23" w:rsidRPr="00AD4B5A">
          <w:rPr>
            <w:noProof/>
          </w:rPr>
          <w:t>2</w:t>
        </w:r>
      </w:fldSimple>
      <w:r w:rsidRPr="00AD4B5A">
        <w:t>: List of sub-factors for selected macro factors. Source: Own Contribution.</w:t>
      </w:r>
    </w:p>
    <w:p w:rsidR="001E3612" w:rsidRPr="00AD4B5A" w:rsidRDefault="001E3612" w:rsidP="001E3612">
      <w:r w:rsidRPr="00AD4B5A">
        <w:t>The improvement of products and market differentiation is generated through technological advances in battery functions, charging networks, and software (Tiwari et al., 2026). Meanwhile, legal aspects, including emissions, safety norms and zero-emission regulations, have a significant impact on production decisions, compliance expenditures and access to the market (</w:t>
      </w:r>
      <w:proofErr w:type="spellStart"/>
      <w:r w:rsidRPr="00AD4B5A">
        <w:t>Simao</w:t>
      </w:r>
      <w:proofErr w:type="spellEnd"/>
      <w:r w:rsidRPr="00AD4B5A">
        <w:t xml:space="preserve"> et al., 2024). All these combine to influence industry, strategic investment and positioning, such that they are extremely applicable when considering Tesla as a pioneer and Ford as a follower.</w:t>
      </w:r>
    </w:p>
    <w:p w:rsidR="003250BE" w:rsidRPr="00AD4B5A" w:rsidRDefault="003250BE" w:rsidP="003250BE">
      <w:pPr>
        <w:pStyle w:val="Heading2"/>
      </w:pPr>
      <w:bookmarkStart w:id="4" w:name="_Toc223967994"/>
      <w:r w:rsidRPr="00AD4B5A">
        <w:t>2.2 Analysis of Macro Factor 1: Technological Factor</w:t>
      </w:r>
      <w:bookmarkEnd w:id="4"/>
      <w:r w:rsidRPr="00AD4B5A">
        <w:t xml:space="preserve"> </w:t>
      </w:r>
    </w:p>
    <w:p w:rsidR="003250BE" w:rsidRPr="00AD4B5A" w:rsidRDefault="003250BE" w:rsidP="00967793">
      <w:pPr>
        <w:pStyle w:val="Heading3"/>
      </w:pPr>
      <w:r w:rsidRPr="00AD4B5A">
        <w:t xml:space="preserve">2.2.1 Impact on the Pioneer </w:t>
      </w:r>
      <w:proofErr w:type="spellStart"/>
      <w:r w:rsidRPr="00AD4B5A">
        <w:t>Organisation</w:t>
      </w:r>
      <w:proofErr w:type="spellEnd"/>
      <w:r w:rsidRPr="00AD4B5A">
        <w:t xml:space="preserve"> – Tesla</w:t>
      </w:r>
    </w:p>
    <w:p w:rsidR="00E72AC3" w:rsidRPr="00AD4B5A" w:rsidRDefault="001E3612" w:rsidP="00967793">
      <w:r w:rsidRPr="00AD4B5A">
        <w:t xml:space="preserve">The use of technological innovation poses a significant opportunity to Tesla since the EV industry is heavily influenced by battery performance, software capability, and access to charging. The statistics within the industry support it: the IEA showed over 4 million electric cars sold in Q1 2025, which is a 35 percent increase over the past year (IEA, 2025). </w:t>
      </w:r>
    </w:p>
    <w:p w:rsidR="00E72AC3" w:rsidRPr="00AD4B5A" w:rsidRDefault="00E72AC3" w:rsidP="00E72AC3">
      <w:pPr>
        <w:keepNext/>
      </w:pPr>
      <w:r w:rsidRPr="00AD4B5A">
        <w:rPr>
          <w:noProof/>
        </w:rPr>
        <w:lastRenderedPageBreak/>
        <w:drawing>
          <wp:inline distT="0" distB="0" distL="0" distR="0" wp14:anchorId="5384A919" wp14:editId="2357FE4C">
            <wp:extent cx="5943600" cy="3009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009900"/>
                    </a:xfrm>
                    <a:prstGeom prst="rect">
                      <a:avLst/>
                    </a:prstGeom>
                  </pic:spPr>
                </pic:pic>
              </a:graphicData>
            </a:graphic>
          </wp:inline>
        </w:drawing>
      </w:r>
    </w:p>
    <w:p w:rsidR="00E72AC3" w:rsidRPr="00AD4B5A" w:rsidRDefault="00E72AC3" w:rsidP="00E72AC3">
      <w:pPr>
        <w:pStyle w:val="Caption"/>
        <w:jc w:val="center"/>
      </w:pPr>
      <w:r w:rsidRPr="00AD4B5A">
        <w:t xml:space="preserve">Figure </w:t>
      </w:r>
      <w:fldSimple w:instr=" SEQ Figure \* ARABIC ">
        <w:r w:rsidR="00953C23" w:rsidRPr="00AD4B5A">
          <w:rPr>
            <w:noProof/>
          </w:rPr>
          <w:t>3</w:t>
        </w:r>
      </w:fldSimple>
      <w:r w:rsidRPr="00AD4B5A">
        <w:t>: Global EV sales growth. Source: IEA (2025).</w:t>
      </w:r>
    </w:p>
    <w:p w:rsidR="001E3612" w:rsidRPr="00AD4B5A" w:rsidRDefault="001E3612" w:rsidP="00967793">
      <w:r w:rsidRPr="00AD4B5A">
        <w:t>This high growth rate adds to the strategic importance of companies with high technological capability.</w:t>
      </w:r>
    </w:p>
    <w:p w:rsidR="001E3612" w:rsidRPr="00AD4B5A" w:rsidRDefault="001E3612" w:rsidP="001E3612">
      <w:r w:rsidRPr="00AD4B5A">
        <w:t>This environment has enabled Tesla to reinforce differentiation. Its 2024 annual report has shown it produced about 1.773 million vehicles and delivered about 1.789 million vehicles showing how extensive its technology-based business is (Yahoo Finance, 2025). Tesla also stated that its Supercharger has over 75,000</w:t>
      </w:r>
      <w:r w:rsidR="00944BB3" w:rsidRPr="00AD4B5A">
        <w:t xml:space="preserve"> </w:t>
      </w:r>
      <w:r w:rsidRPr="00AD4B5A">
        <w:t xml:space="preserve">chargers around the world which enhances convenience, customer trust and control of the ecosystem (Tesla, 2025). Together with soft updates via the air, co-located digital systems and comprehensive vehicle data collection increase the first-mover edge of Tesla and complicate imitation (Rashid and </w:t>
      </w:r>
      <w:proofErr w:type="spellStart"/>
      <w:r w:rsidRPr="00AD4B5A">
        <w:t>Kausik</w:t>
      </w:r>
      <w:proofErr w:type="spellEnd"/>
      <w:r w:rsidRPr="00AD4B5A">
        <w:t>, 2024).</w:t>
      </w:r>
    </w:p>
    <w:p w:rsidR="001E3612" w:rsidRPr="00AD4B5A" w:rsidRDefault="001E3612" w:rsidP="001E3612">
      <w:r w:rsidRPr="00AD4B5A">
        <w:t>There are threats presented by technological change, however. With battery, software and charging technologies spread throughout the industry, other competitors can copy previous benefits faster (</w:t>
      </w:r>
      <w:proofErr w:type="spellStart"/>
      <w:r w:rsidRPr="00AD4B5A">
        <w:t>Dumen</w:t>
      </w:r>
      <w:proofErr w:type="spellEnd"/>
      <w:r w:rsidRPr="00AD4B5A">
        <w:t>, 2024). Tesla thus experiences an increasing pressure of R&amp;D and the threat of new technology advances by competitors eroding its control over time (</w:t>
      </w:r>
      <w:proofErr w:type="spellStart"/>
      <w:r w:rsidRPr="00AD4B5A">
        <w:t>Dumen</w:t>
      </w:r>
      <w:proofErr w:type="spellEnd"/>
      <w:r w:rsidRPr="00AD4B5A">
        <w:t>, 2024).</w:t>
      </w:r>
    </w:p>
    <w:p w:rsidR="003250BE" w:rsidRPr="00AD4B5A" w:rsidRDefault="003250BE" w:rsidP="00600AFD">
      <w:pPr>
        <w:pStyle w:val="Heading3"/>
      </w:pPr>
      <w:r w:rsidRPr="00AD4B5A">
        <w:lastRenderedPageBreak/>
        <w:t xml:space="preserve">2.2.2 Impact on the Follower </w:t>
      </w:r>
      <w:proofErr w:type="spellStart"/>
      <w:r w:rsidRPr="00AD4B5A">
        <w:t>Organisa</w:t>
      </w:r>
      <w:r w:rsidR="00600AFD" w:rsidRPr="00AD4B5A">
        <w:t>tion</w:t>
      </w:r>
      <w:proofErr w:type="spellEnd"/>
      <w:r w:rsidR="00600AFD" w:rsidRPr="00AD4B5A">
        <w:t xml:space="preserve"> – Ford</w:t>
      </w:r>
    </w:p>
    <w:p w:rsidR="001E3612" w:rsidRPr="00AD4B5A" w:rsidRDefault="001E3612" w:rsidP="001E3612">
      <w:r w:rsidRPr="00AD4B5A">
        <w:t xml:space="preserve">As a follower </w:t>
      </w:r>
      <w:proofErr w:type="spellStart"/>
      <w:r w:rsidRPr="00AD4B5A">
        <w:t>organisation</w:t>
      </w:r>
      <w:proofErr w:type="spellEnd"/>
      <w:r w:rsidRPr="00AD4B5A">
        <w:t>, technological change is an opportunity and a challenge to Ford. Due to its later entrance into the EV market, Ford could study what has already been developed and eliminate part of the risk in strategic decisions (</w:t>
      </w:r>
      <w:proofErr w:type="spellStart"/>
      <w:r w:rsidRPr="00AD4B5A">
        <w:t>Sotoodeh</w:t>
      </w:r>
      <w:proofErr w:type="spellEnd"/>
      <w:r w:rsidRPr="00AD4B5A">
        <w:t>, 2025).</w:t>
      </w:r>
    </w:p>
    <w:p w:rsidR="001E3612" w:rsidRPr="00AD4B5A" w:rsidRDefault="001E3612" w:rsidP="001E3612">
      <w:r w:rsidRPr="00AD4B5A">
        <w:t>Advancements in technology give Ford the chance to embrace established battery systems, online and innovative production processes. Investing in electrification, Ford has built its EV lineup with the likes of the Mustang Mach-E and F-150 Lightning (Ford Media center, 2022). These innovations demonstrate how Ford tried to shift to the traditional combustion to the competitive electric mobility.</w:t>
      </w:r>
    </w:p>
    <w:p w:rsidR="001E3612" w:rsidRPr="00AD4B5A" w:rsidRDefault="001E3612" w:rsidP="001E3612">
      <w:r w:rsidRPr="00AD4B5A">
        <w:t>Nonetheless, Ford is experiencing evident technological challenges. As a competitor, it might not be able to keep up with the pace of innovation and integrated technological ecosystem held by Tesla. Catch-up investment in batteries, software and production system is costly and complicated (Su, 2024). Further, Ford also has to cope with this transition and, at the same time, continue to rely on its old internal combustion business. Technological change, therefore, presents an opportunity of growth to Ford, but also reveals frailties in flexibility and could curb its competitive edge over Tesla (</w:t>
      </w:r>
      <w:proofErr w:type="spellStart"/>
      <w:r w:rsidRPr="00AD4B5A">
        <w:t>Sotoodeh</w:t>
      </w:r>
      <w:proofErr w:type="spellEnd"/>
      <w:r w:rsidRPr="00AD4B5A">
        <w:t>, 2025).</w:t>
      </w:r>
    </w:p>
    <w:p w:rsidR="004929B8" w:rsidRPr="00AD4B5A" w:rsidRDefault="000C5587" w:rsidP="000C5587">
      <w:pPr>
        <w:pStyle w:val="Heading2"/>
      </w:pPr>
      <w:bookmarkStart w:id="5" w:name="_Toc223967995"/>
      <w:r w:rsidRPr="00AD4B5A">
        <w:t xml:space="preserve">2.3 </w:t>
      </w:r>
      <w:r w:rsidR="004929B8" w:rsidRPr="00AD4B5A">
        <w:t>Analysis of Macro Factor 2: Legal Factor</w:t>
      </w:r>
      <w:bookmarkEnd w:id="5"/>
      <w:r w:rsidR="004929B8" w:rsidRPr="00AD4B5A">
        <w:t xml:space="preserve"> </w:t>
      </w:r>
    </w:p>
    <w:p w:rsidR="004929B8" w:rsidRPr="00AD4B5A" w:rsidRDefault="004929B8" w:rsidP="000C5587">
      <w:pPr>
        <w:pStyle w:val="Heading3"/>
      </w:pPr>
      <w:r w:rsidRPr="00AD4B5A">
        <w:t>2.3.1 Impact on t</w:t>
      </w:r>
      <w:r w:rsidR="000C5587" w:rsidRPr="00AD4B5A">
        <w:t xml:space="preserve">he Pioneer </w:t>
      </w:r>
      <w:proofErr w:type="spellStart"/>
      <w:r w:rsidR="000C5587" w:rsidRPr="00AD4B5A">
        <w:t>Organisation</w:t>
      </w:r>
      <w:proofErr w:type="spellEnd"/>
      <w:r w:rsidR="000C5587" w:rsidRPr="00AD4B5A">
        <w:t xml:space="preserve"> – Tesla</w:t>
      </w:r>
    </w:p>
    <w:p w:rsidR="001E3612" w:rsidRPr="00AD4B5A" w:rsidRDefault="001E3612" w:rsidP="001E3612">
      <w:r w:rsidRPr="00AD4B5A">
        <w:t xml:space="preserve">Tesla faces significant opportunities due to legal factors since EV demand strongly depends on emissions regulations, social incentives, and zero-emission goals. In the United States, the federal tax breaks on qualifying EVs are up to $7,500 until 2032, whereas the zero-emission goal of the new car and van in the EU in 2035 partially promotes EV usage (Tesla, 2024; </w:t>
      </w:r>
      <w:proofErr w:type="spellStart"/>
      <w:r w:rsidRPr="00AD4B5A">
        <w:t>Allcott</w:t>
      </w:r>
      <w:proofErr w:type="spellEnd"/>
      <w:r w:rsidRPr="00AD4B5A">
        <w:t xml:space="preserve"> et al., 2024). Such policies increase demand and make Tesla a leader in a </w:t>
      </w:r>
      <w:proofErr w:type="spellStart"/>
      <w:r w:rsidRPr="00AD4B5A">
        <w:t>decarbonising</w:t>
      </w:r>
      <w:proofErr w:type="spellEnd"/>
      <w:r w:rsidRPr="00AD4B5A">
        <w:t xml:space="preserve"> market.</w:t>
      </w:r>
    </w:p>
    <w:p w:rsidR="001E3612" w:rsidRPr="00AD4B5A" w:rsidRDefault="001E3612" w:rsidP="001E3612">
      <w:r w:rsidRPr="00AD4B5A">
        <w:t>Compliance-based regulation also works in Tesla favor, selling regulation credits. In 2024, its annual report counted 2.763 billion dollars in annual automotive regulatory credit revenue, which increased by 54% per year, demonstrating how regulatory frameworks can create competitive advantage to an early EV leader (Tesla, 2024; Singhi, 2025).</w:t>
      </w:r>
    </w:p>
    <w:p w:rsidR="001E3612" w:rsidRPr="00AD4B5A" w:rsidRDefault="001E3612" w:rsidP="001E3612">
      <w:r w:rsidRPr="00AD4B5A">
        <w:lastRenderedPageBreak/>
        <w:t>Nevertheless, there are also threats of legal factors. Regulation could decrease future credit income, and Tesla faces tariffs, customs regulations, and trade controls in the global business (</w:t>
      </w:r>
      <w:proofErr w:type="spellStart"/>
      <w:r w:rsidRPr="00AD4B5A">
        <w:t>Isidore</w:t>
      </w:r>
      <w:proofErr w:type="spellEnd"/>
      <w:r w:rsidRPr="00AD4B5A">
        <w:t>, 2025). Moreover, continued safety, compliance and recall requirements, such as NHTSA inquiries can impose additional cost, operational stress and reputation risk (Tesla, 2024). Thus, the Tesla global advantage is not only based on innovation but also the capacity to handle legal uncertainty.</w:t>
      </w:r>
    </w:p>
    <w:p w:rsidR="004929B8" w:rsidRPr="00AD4B5A" w:rsidRDefault="004929B8" w:rsidP="000C5587">
      <w:pPr>
        <w:pStyle w:val="Heading3"/>
      </w:pPr>
      <w:r w:rsidRPr="00AD4B5A">
        <w:t>2.3.2 Impact on t</w:t>
      </w:r>
      <w:r w:rsidR="000C5587" w:rsidRPr="00AD4B5A">
        <w:t xml:space="preserve">he Follower </w:t>
      </w:r>
      <w:proofErr w:type="spellStart"/>
      <w:r w:rsidR="000C5587" w:rsidRPr="00AD4B5A">
        <w:t>Organisation</w:t>
      </w:r>
      <w:proofErr w:type="spellEnd"/>
      <w:r w:rsidR="000C5587" w:rsidRPr="00AD4B5A">
        <w:t xml:space="preserve"> – Ford</w:t>
      </w:r>
    </w:p>
    <w:p w:rsidR="001E3612" w:rsidRPr="00AD4B5A" w:rsidRDefault="001E3612" w:rsidP="001E3612">
      <w:r w:rsidRPr="00AD4B5A">
        <w:t>In the case of Ford, the shift to EVs is pushed by legal pressure. Stricter emissions regulations and zero-emission targets are making internal combustion strategies less viable in the long term and compelling conventional manufacturers to electrify faster (Malik et al., 2025). The 2035 goal of the EU of 0 g CO2/km is of special importance since it places further stress on old companies to change their operations towards EVs (European Environment Agency, 2023). Subsidies and electrification goals also provide a chance to increase the demand of the EV models by Ford (IEA, 2025).</w:t>
      </w:r>
    </w:p>
    <w:p w:rsidR="00944BB3" w:rsidRPr="00AD4B5A" w:rsidRDefault="001E3612" w:rsidP="001E3612">
      <w:r w:rsidRPr="00AD4B5A">
        <w:t>However, Ford is weaker than Tesla since it has to adjust without losing its business based heavily on its history of combustion engines. In a 2024 earnings presentation, Ford Model e has a full-year EBIT loss of $5.1 billion, despite the significant investment in battery plants and next-generation EV products (Eckert and Gomes, 2025). In 2024, despite becoming the #2 EV brand in the U.S., the size of the losses indicates that compliance-oriented transition is expensive to a follower. Subsequently, legal considerations favor the growth of EV at Ford, but also reveal more significant transition risk and lack of flexibility than Tesla.</w:t>
      </w:r>
    </w:p>
    <w:p w:rsidR="00944BB3" w:rsidRPr="00AD4B5A" w:rsidRDefault="00944BB3" w:rsidP="00944BB3">
      <w:r w:rsidRPr="00AD4B5A">
        <w:br w:type="page"/>
      </w:r>
    </w:p>
    <w:p w:rsidR="004929B8" w:rsidRPr="00AD4B5A" w:rsidRDefault="00944BB3" w:rsidP="00944BB3">
      <w:pPr>
        <w:pStyle w:val="Heading1"/>
      </w:pPr>
      <w:bookmarkStart w:id="6" w:name="_Toc223967996"/>
      <w:r w:rsidRPr="00AD4B5A">
        <w:lastRenderedPageBreak/>
        <w:t xml:space="preserve">3. Task 2: Strategic Responses of Pioneering and Follower </w:t>
      </w:r>
      <w:proofErr w:type="spellStart"/>
      <w:r w:rsidRPr="00AD4B5A">
        <w:t>Organisations</w:t>
      </w:r>
      <w:bookmarkEnd w:id="6"/>
      <w:proofErr w:type="spellEnd"/>
    </w:p>
    <w:p w:rsidR="00246FFB" w:rsidRPr="00AD4B5A" w:rsidRDefault="00246FFB" w:rsidP="00246FFB">
      <w:pPr>
        <w:pStyle w:val="Heading2"/>
      </w:pPr>
      <w:bookmarkStart w:id="7" w:name="_Toc223967997"/>
      <w:r w:rsidRPr="00AD4B5A">
        <w:t xml:space="preserve">3.1 Pioneering </w:t>
      </w:r>
      <w:proofErr w:type="spellStart"/>
      <w:r w:rsidRPr="00AD4B5A">
        <w:t>Organisation’s</w:t>
      </w:r>
      <w:proofErr w:type="spellEnd"/>
      <w:r w:rsidRPr="00AD4B5A">
        <w:t xml:space="preserve"> Strategic Responses</w:t>
      </w:r>
      <w:bookmarkEnd w:id="7"/>
    </w:p>
    <w:p w:rsidR="00944BB3" w:rsidRPr="00AD4B5A" w:rsidRDefault="00944BB3" w:rsidP="00246FFB">
      <w:pPr>
        <w:pStyle w:val="Heading3"/>
      </w:pPr>
      <w:r w:rsidRPr="00AD4B5A">
        <w:t>3.1.1 Strategic Response to Technological and Legal Changes</w:t>
      </w:r>
    </w:p>
    <w:p w:rsidR="00246FFB" w:rsidRPr="00AD4B5A" w:rsidRDefault="00246FFB" w:rsidP="00246FFB">
      <w:r w:rsidRPr="00AD4B5A">
        <w:t>Being a first-mover in the electric vehicle market, Tesla has come up with various strategic reactions to technical and legal shifts to continue growing and build competitive strength. One of its main reactions is the ongoing product innovativeness, especially battery efficiency, software capability and autonomous driving development (Tiwari et al., 2026). The cars of Tesla are software products, and these are enhanced by post-sale over-the-air updates that enhance their performance, safety, and user experience. This reinforces customer value and has contributed to the technological lead of Tesla (Li et al., 2024).</w:t>
      </w:r>
    </w:p>
    <w:p w:rsidR="00246FFB" w:rsidRPr="00AD4B5A" w:rsidRDefault="00246FFB" w:rsidP="00246FFB">
      <w:r w:rsidRPr="00AD4B5A">
        <w:t>Tesla has also increased its supercharger network resulting in an ecosystem of charging that minimizes range anxiety and makes life even more convenient to the customers (Tesla, 2025). Such infrastructure contributes to the increased adoption of EVs and solidifies Tesla with a command of a unique ecosystem that other companies might struggle to imitate. Moreover, the company employs vehicle data to improve the performance of software and autonomous driving functions, which also contributes to differentiation (Zhang, 2023).</w:t>
      </w:r>
    </w:p>
    <w:p w:rsidR="00246FFB" w:rsidRPr="00AD4B5A" w:rsidRDefault="00246FFB" w:rsidP="00246FFB">
      <w:r w:rsidRPr="00AD4B5A">
        <w:t xml:space="preserve">Tesla fits well into zero-emission regulations and environmental policy trends regarding legal change, which would enable it to receive government incentives and </w:t>
      </w:r>
      <w:proofErr w:type="spellStart"/>
      <w:r w:rsidRPr="00AD4B5A">
        <w:t>favourable</w:t>
      </w:r>
      <w:proofErr w:type="spellEnd"/>
      <w:r w:rsidRPr="00AD4B5A">
        <w:t xml:space="preserve"> regulatory support (Tesla, 2025). The company also benefits by selling regulatory credits to other manufacturers. Further, the </w:t>
      </w:r>
      <w:proofErr w:type="spellStart"/>
      <w:r w:rsidRPr="00AD4B5A">
        <w:t>Gigafactories</w:t>
      </w:r>
      <w:proofErr w:type="spellEnd"/>
      <w:r w:rsidRPr="00AD4B5A">
        <w:t xml:space="preserve"> and massive global production of Tesla allow it to effectively fulfill the increasing demand and enhance its reputation as an innovative and sustainable market leader (Miao, 2025).</w:t>
      </w:r>
    </w:p>
    <w:p w:rsidR="00944BB3" w:rsidRPr="00AD4B5A" w:rsidRDefault="00944BB3" w:rsidP="00246FFB">
      <w:pPr>
        <w:pStyle w:val="Heading3"/>
      </w:pPr>
      <w:r w:rsidRPr="00AD4B5A">
        <w:t>3.1.2 Application of Porter’s Generic Strategies</w:t>
      </w:r>
    </w:p>
    <w:p w:rsidR="00246FFB" w:rsidRPr="00AD4B5A" w:rsidRDefault="00246FFB" w:rsidP="00246FFB">
      <w:r w:rsidRPr="00AD4B5A">
        <w:t xml:space="preserve">The competitive strategy of Tesla can be explained by Porters Generic Strategies, specifically broad differentiation. According to Porter, differentiation firms pursue competitive advantage by providing unique products or services that are valued by consumers in a broad market (Ali and Anwar, 2021). Tesla mirrors this strategy by </w:t>
      </w:r>
      <w:r w:rsidRPr="00AD4B5A">
        <w:lastRenderedPageBreak/>
        <w:t>prioritizing battery technology, a unified software platform, autonomous capabilities and proprietary charging networks (Miao, 2025).</w:t>
      </w:r>
    </w:p>
    <w:p w:rsidR="00246FFB" w:rsidRPr="00AD4B5A" w:rsidRDefault="00246FFB" w:rsidP="00246FFB">
      <w:r w:rsidRPr="00AD4B5A">
        <w:t>Tesla competes not with a primary focus on low price, but with innovation, performance and brand prestige (Xiao, 2024). Its cars also provide a hi-tech experience behind the wheel, and the over-the-air updating and integration into the ecosystem are additional value to the main product (Tesla, 2025). The high brand image of Tesla, which is linked to innovation and sustainability, also enhances customer loyalty and diminishes price competition.</w:t>
      </w:r>
    </w:p>
    <w:p w:rsidR="00F136AB" w:rsidRPr="00AD4B5A" w:rsidRDefault="002523F8" w:rsidP="00F136AB">
      <w:pPr>
        <w:keepNext/>
      </w:pPr>
      <w:r w:rsidRPr="00AD4B5A">
        <w:rPr>
          <w:noProof/>
        </w:rPr>
        <w:drawing>
          <wp:inline distT="0" distB="0" distL="0" distR="0" wp14:anchorId="01C377C4" wp14:editId="42D638A0">
            <wp:extent cx="6547485" cy="47916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51451" cy="4794511"/>
                    </a:xfrm>
                    <a:prstGeom prst="rect">
                      <a:avLst/>
                    </a:prstGeom>
                    <a:noFill/>
                  </pic:spPr>
                </pic:pic>
              </a:graphicData>
            </a:graphic>
          </wp:inline>
        </w:drawing>
      </w:r>
    </w:p>
    <w:p w:rsidR="002523F8" w:rsidRPr="00AD4B5A" w:rsidRDefault="00F136AB" w:rsidP="00F136AB">
      <w:pPr>
        <w:pStyle w:val="Caption"/>
        <w:jc w:val="center"/>
      </w:pPr>
      <w:r w:rsidRPr="00AD4B5A">
        <w:t xml:space="preserve">Figure </w:t>
      </w:r>
      <w:fldSimple w:instr=" SEQ Figure \* ARABIC ">
        <w:r w:rsidR="00953C23" w:rsidRPr="00AD4B5A">
          <w:rPr>
            <w:noProof/>
          </w:rPr>
          <w:t>4</w:t>
        </w:r>
      </w:fldSimple>
      <w:r w:rsidRPr="00AD4B5A">
        <w:t>: Application of Porter’s Generic Strategies to Tesla. Source: Own Contribution.</w:t>
      </w:r>
    </w:p>
    <w:p w:rsidR="00DA4A37" w:rsidRPr="00AD4B5A" w:rsidRDefault="00246FFB" w:rsidP="00DA4A37">
      <w:r w:rsidRPr="00AD4B5A">
        <w:lastRenderedPageBreak/>
        <w:t>Figure shows that Tesla is in the broad differentiation quadrant since it focuses on a broad market and it aims at creating competitive advantage by developing unique technological and brand based value.</w:t>
      </w:r>
    </w:p>
    <w:p w:rsidR="00944BB3" w:rsidRPr="00AD4B5A" w:rsidRDefault="00944BB3" w:rsidP="00246FFB">
      <w:pPr>
        <w:pStyle w:val="Heading3"/>
      </w:pPr>
      <w:r w:rsidRPr="00AD4B5A">
        <w:t xml:space="preserve">3.1.3 Critical Evaluation </w:t>
      </w:r>
    </w:p>
    <w:p w:rsidR="00944BB3" w:rsidRPr="00AD4B5A" w:rsidRDefault="00246FFB" w:rsidP="00944BB3">
      <w:r w:rsidRPr="00AD4B5A">
        <w:t>The Tesla approach has excellent strengths such as technological dominance, brand creation and ecosystem domination (Xiao, 2024). These strengths are however not beyond limitation. Increased competition, emulation by major players in the industry, price pressure and reliance on government subsidies could diminish its superiority in the long run. The only solution to sustained success is by Tesla maintaining its innovativeness as it considers changing competition and the regulatory environment.</w:t>
      </w:r>
    </w:p>
    <w:p w:rsidR="00246FFB" w:rsidRPr="00AD4B5A" w:rsidRDefault="00246FFB" w:rsidP="00246FFB">
      <w:pPr>
        <w:pStyle w:val="Heading2"/>
      </w:pPr>
      <w:bookmarkStart w:id="8" w:name="_Toc223967998"/>
      <w:r w:rsidRPr="00AD4B5A">
        <w:t xml:space="preserve">3.2 Follower </w:t>
      </w:r>
      <w:proofErr w:type="spellStart"/>
      <w:r w:rsidRPr="00AD4B5A">
        <w:t>Organisation’s</w:t>
      </w:r>
      <w:proofErr w:type="spellEnd"/>
      <w:r w:rsidRPr="00AD4B5A">
        <w:t xml:space="preserve"> Strategic Responses – Ford</w:t>
      </w:r>
      <w:bookmarkEnd w:id="8"/>
    </w:p>
    <w:p w:rsidR="00246FFB" w:rsidRPr="00AD4B5A" w:rsidRDefault="00246FFB" w:rsidP="00246FFB">
      <w:pPr>
        <w:pStyle w:val="Heading3"/>
      </w:pPr>
      <w:r w:rsidRPr="00AD4B5A">
        <w:t>3.2.1 Strategic Response to Technological and Legal Changes</w:t>
      </w:r>
    </w:p>
    <w:p w:rsidR="00032892" w:rsidRPr="00AD4B5A" w:rsidRDefault="00032892" w:rsidP="00032892">
      <w:r w:rsidRPr="00AD4B5A">
        <w:t>Ford motor company as a follower in the electric vehicle market has undergone a strategic change to electrification as a result of the technological advancement and the restricting environmental standards. The development of new EV models, including the Mustang Mach-E or the F-150 Lightning (electric variations based on the well-known lines of Ford vehicles) is one of the essential technological reactions (Ford Media center, 2022). Ford uses the current brand awareness by producing EV versions of its popular products in order to adapt to the technological transition toward electric mobility.</w:t>
      </w:r>
    </w:p>
    <w:p w:rsidR="00032892" w:rsidRPr="00AD4B5A" w:rsidRDefault="00032892" w:rsidP="00032892">
      <w:r w:rsidRPr="00AD4B5A">
        <w:t xml:space="preserve">Ford is also investing more in battery technology and EV platforms as well as partnership and joint ventures in order to enhance its technology (Bridge and </w:t>
      </w:r>
      <w:proofErr w:type="spellStart"/>
      <w:r w:rsidRPr="00AD4B5A">
        <w:t>Faigen</w:t>
      </w:r>
      <w:proofErr w:type="spellEnd"/>
      <w:r w:rsidRPr="00AD4B5A">
        <w:t>, 2022). These investments focus on the long-term electrification support, as well as allowing Ford to bridge the technological gap with the early EV innovators gradually.</w:t>
      </w:r>
    </w:p>
    <w:p w:rsidR="00032892" w:rsidRPr="00AD4B5A" w:rsidRDefault="00032892" w:rsidP="00032892">
      <w:r w:rsidRPr="00AD4B5A">
        <w:t>Regulatory and legal demands have also enhanced the strategic shift at Ford. The increase in emissions laws and other environmental rules in leading markets is pushing the traditional manufacturers to create more EVs and lessen the use of internal combustion engines (</w:t>
      </w:r>
      <w:proofErr w:type="spellStart"/>
      <w:r w:rsidRPr="00AD4B5A">
        <w:t>Aslam</w:t>
      </w:r>
      <w:proofErr w:type="spellEnd"/>
      <w:r w:rsidRPr="00AD4B5A">
        <w:t xml:space="preserve"> et al., 2025). Ford is therefore reorganizing its product portfolio in the achievement of zero-emission and regulatory demands.</w:t>
      </w:r>
    </w:p>
    <w:p w:rsidR="00032892" w:rsidRPr="00AD4B5A" w:rsidRDefault="00032892" w:rsidP="00032892">
      <w:r w:rsidRPr="00AD4B5A">
        <w:lastRenderedPageBreak/>
        <w:t>Nonetheless, as opposed to innovative EV companies, Ford has to juggle its increased EV investments with its big traditional internal combustion engine (ICE) business (</w:t>
      </w:r>
      <w:proofErr w:type="spellStart"/>
      <w:r w:rsidRPr="00AD4B5A">
        <w:t>Williment</w:t>
      </w:r>
      <w:proofErr w:type="spellEnd"/>
      <w:r w:rsidRPr="00AD4B5A">
        <w:t>, 2026). This poses a strategic challenge because the company has to cope with the technological change and remain profitable in its current business.</w:t>
      </w:r>
    </w:p>
    <w:p w:rsidR="00246FFB" w:rsidRPr="00AD4B5A" w:rsidRDefault="00246FFB" w:rsidP="00246FFB">
      <w:pPr>
        <w:pStyle w:val="Heading3"/>
      </w:pPr>
      <w:r w:rsidRPr="00AD4B5A">
        <w:t xml:space="preserve">3.2.2 Application of </w:t>
      </w:r>
      <w:proofErr w:type="spellStart"/>
      <w:r w:rsidRPr="00AD4B5A">
        <w:t>Ansoff’s</w:t>
      </w:r>
      <w:proofErr w:type="spellEnd"/>
      <w:r w:rsidRPr="00AD4B5A">
        <w:t xml:space="preserve"> Growth Matrix</w:t>
      </w:r>
    </w:p>
    <w:p w:rsidR="00032892" w:rsidRPr="00AD4B5A" w:rsidRDefault="00032892" w:rsidP="00032892">
      <w:r w:rsidRPr="00AD4B5A">
        <w:t>The strategic move by Ford to enter into the EV industry can be examined by the use of the Growth Matrix developed by Ansoff which elucidates the way organizations seek to grow by using both market and product based strategies. In the strategy of EVs, Ford is mainly involved in product development as the company is willing to launch new electric variants of the already existing vehicle models, such as the Mustang Mach-E and the F-150 Lightning (</w:t>
      </w:r>
      <w:proofErr w:type="spellStart"/>
      <w:r w:rsidRPr="00AD4B5A">
        <w:t>Williment</w:t>
      </w:r>
      <w:proofErr w:type="spellEnd"/>
      <w:r w:rsidRPr="00AD4B5A">
        <w:t>, 2026). Ford has an opportunity to venture into the EV market by electrifying the existing product lines as it has a strong brand reputation and a customer base.</w:t>
      </w:r>
    </w:p>
    <w:p w:rsidR="00032892" w:rsidRPr="00AD4B5A" w:rsidRDefault="00032892" w:rsidP="00032892">
      <w:r w:rsidRPr="00AD4B5A">
        <w:t>Moreover, Ford is also in the process of market development by expanding the sales of EV into various geographical areas where environmental laws and the need of customers in electric mobility are on the rise (Blanchard, 2024). Such a policy will allow Ford to progressively increase its EV presence and adapt to changing regulatory factors and technological shifts.</w:t>
      </w:r>
    </w:p>
    <w:p w:rsidR="00953C23" w:rsidRPr="00AD4B5A" w:rsidRDefault="00953C23" w:rsidP="005B0BA4">
      <w:pPr>
        <w:keepNext/>
        <w:jc w:val="center"/>
      </w:pPr>
      <w:r w:rsidRPr="00AD4B5A">
        <w:rPr>
          <w:noProof/>
        </w:rPr>
        <w:lastRenderedPageBreak/>
        <w:drawing>
          <wp:inline distT="0" distB="0" distL="0" distR="0" wp14:anchorId="2F47223A" wp14:editId="56F8DC37">
            <wp:extent cx="5866891" cy="45053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89262" cy="4522505"/>
                    </a:xfrm>
                    <a:prstGeom prst="rect">
                      <a:avLst/>
                    </a:prstGeom>
                    <a:noFill/>
                  </pic:spPr>
                </pic:pic>
              </a:graphicData>
            </a:graphic>
          </wp:inline>
        </w:drawing>
      </w:r>
    </w:p>
    <w:p w:rsidR="00953C23" w:rsidRPr="00AD4B5A" w:rsidRDefault="00953C23" w:rsidP="00953C23">
      <w:pPr>
        <w:pStyle w:val="Caption"/>
        <w:jc w:val="center"/>
      </w:pPr>
      <w:r w:rsidRPr="00AD4B5A">
        <w:t xml:space="preserve">Figure </w:t>
      </w:r>
      <w:fldSimple w:instr=" SEQ Figure \* ARABIC ">
        <w:r w:rsidRPr="00AD4B5A">
          <w:rPr>
            <w:noProof/>
          </w:rPr>
          <w:t>5</w:t>
        </w:r>
      </w:fldSimple>
      <w:r w:rsidRPr="00AD4B5A">
        <w:t>: Application of Ansoff Growth Matrix to Ford’s EV strategy. Source: Own Contribution.</w:t>
      </w:r>
    </w:p>
    <w:p w:rsidR="00246FFB" w:rsidRPr="00AD4B5A" w:rsidRDefault="00246FFB" w:rsidP="00246FFB">
      <w:pPr>
        <w:pStyle w:val="Heading3"/>
      </w:pPr>
      <w:r w:rsidRPr="00AD4B5A">
        <w:t>3.2.3 Critical Evaluation</w:t>
      </w:r>
    </w:p>
    <w:p w:rsidR="00DC50E6" w:rsidRPr="00AD4B5A" w:rsidRDefault="00032892" w:rsidP="00246FFB">
      <w:r w:rsidRPr="00AD4B5A">
        <w:t>Ford has an advantage in its strategy as the company has good manufacturing capacities, recognized brand name, and a widespread distribution network across the globe that helps the company scale the production of EV (Yu, 2024). Nevertheless, the company has weaknesses, such as the slower rate of innovation relative to EV pioneers, high costs of investment and reliance on legacy combustion vehicle revenues. All these aspects can limit the adaptation rates of Ford in the fast-changing EV market.</w:t>
      </w:r>
    </w:p>
    <w:p w:rsidR="00DC50E6" w:rsidRPr="00AD4B5A" w:rsidRDefault="00DC50E6">
      <w:pPr>
        <w:spacing w:line="259" w:lineRule="auto"/>
        <w:jc w:val="left"/>
      </w:pPr>
      <w:r w:rsidRPr="00AD4B5A">
        <w:br w:type="page"/>
      </w:r>
    </w:p>
    <w:p w:rsidR="00DC50E6" w:rsidRPr="00AD4B5A" w:rsidRDefault="00DC50E6" w:rsidP="00DC50E6">
      <w:pPr>
        <w:pStyle w:val="Heading1"/>
      </w:pPr>
      <w:bookmarkStart w:id="9" w:name="_Toc223967999"/>
      <w:r w:rsidRPr="00AD4B5A">
        <w:lastRenderedPageBreak/>
        <w:t>4. Conclusion</w:t>
      </w:r>
      <w:bookmarkEnd w:id="9"/>
    </w:p>
    <w:p w:rsidR="00DC50E6" w:rsidRPr="00AD4B5A" w:rsidRDefault="00DC50E6" w:rsidP="00DC50E6">
      <w:r w:rsidRPr="00AD4B5A">
        <w:t>The discussion has revealed that Tesla and Ford have both considerable opportunities and threats in the electric vehicle industry due to technological and legal factors. Innovative technology aids in battery changes, automation and software, however, the competitive pressures, risk of imitations and levels of investments are also progressed. Law, such as emissions, zero-emission goals, and EV incentives, promote the expansion of the market as well as providing compliance expenses and ambiguity in regulation. The two companies are however exposed differently. Being a first-mover, Tesla enjoys first-mover benefits more directly, those of ecosystem control and regulatory alignment. By comparison, follower Ford is under more pressure in terms of transition since it has to adjust to these changes and, at the same time, operate on the legacy internal combustion business and a less rapid innovation process.</w:t>
      </w:r>
    </w:p>
    <w:p w:rsidR="00DC50E6" w:rsidRPr="00AD4B5A" w:rsidRDefault="00DC50E6" w:rsidP="00DC50E6">
      <w:r w:rsidRPr="00AD4B5A">
        <w:t>Strategic responses evaluation shows that Tesla and Ford have taken different strategies to keep growing. The Tesla approach is mainly broad differentiation, which is complemented by a technological advantage, software integration, charging network and good brand position. Ford, on the other hand, adheres to the product development and market adaptation model with its established brand and manufacturing volumes entering the EVs market with electrified versions of the pre-existing models. Generally, Tesla seems to be in a better position as it has integrated innovation, strength and regulatory benefit in the ecosystem at a better rate in comparison with Ford.</w:t>
      </w:r>
    </w:p>
    <w:p w:rsidR="00AD4B5A" w:rsidRDefault="00DC50E6" w:rsidP="00DC50E6">
      <w:r w:rsidRPr="00AD4B5A">
        <w:t>In general, the EV industry shows that the constant environmental scanning and flexible marketing approach are keys to maintaining the competitive edge. Companies that react first to technology and legal transformation stand a better chance of realizing growth in the long run in this very dynamic and regulated market.</w:t>
      </w:r>
    </w:p>
    <w:p w:rsidR="00AD4B5A" w:rsidRDefault="00AD4B5A">
      <w:pPr>
        <w:spacing w:line="259" w:lineRule="auto"/>
        <w:jc w:val="left"/>
      </w:pPr>
      <w:r>
        <w:br w:type="page"/>
      </w:r>
    </w:p>
    <w:p w:rsidR="00246FFB" w:rsidRDefault="00AD4B5A" w:rsidP="00AD4B5A">
      <w:pPr>
        <w:pStyle w:val="Heading1"/>
      </w:pPr>
      <w:bookmarkStart w:id="10" w:name="_Toc223968000"/>
      <w:r>
        <w:lastRenderedPageBreak/>
        <w:t>5. Reference</w:t>
      </w:r>
      <w:bookmarkEnd w:id="10"/>
    </w:p>
    <w:p w:rsidR="004201AD" w:rsidRPr="004201AD" w:rsidRDefault="004201AD" w:rsidP="004201AD">
      <w:r w:rsidRPr="004201AD">
        <w:t>Ali, B.J. and Anwar, G. (2021). Porter’s Generic Competitive Strategies and Its Influence on the Competitive Advantage. </w:t>
      </w:r>
      <w:r w:rsidRPr="004201AD">
        <w:rPr>
          <w:i/>
          <w:iCs/>
        </w:rPr>
        <w:t>International Journal of Advanced Engineering, Management and Science</w:t>
      </w:r>
      <w:r w:rsidRPr="004201AD">
        <w:t xml:space="preserve">, [online] 7(6), pp.42–51. </w:t>
      </w:r>
      <w:proofErr w:type="spellStart"/>
      <w:proofErr w:type="gramStart"/>
      <w:r w:rsidRPr="004201AD">
        <w:t>doi</w:t>
      </w:r>
      <w:proofErr w:type="gramEnd"/>
      <w:r w:rsidRPr="004201AD">
        <w:t>:</w:t>
      </w:r>
      <w:hyperlink r:id="rId17" w:history="1">
        <w:r w:rsidRPr="004201AD">
          <w:rPr>
            <w:color w:val="0563C1" w:themeColor="hyperlink"/>
            <w:u w:val="single"/>
          </w:rPr>
          <w:t>https</w:t>
        </w:r>
        <w:proofErr w:type="spellEnd"/>
        <w:r w:rsidRPr="004201AD">
          <w:rPr>
            <w:color w:val="0563C1" w:themeColor="hyperlink"/>
            <w:u w:val="single"/>
          </w:rPr>
          <w:t>://doi.org/10.22161/ijaems.76.5</w:t>
        </w:r>
      </w:hyperlink>
      <w:r w:rsidRPr="004201AD">
        <w:t>.</w:t>
      </w:r>
    </w:p>
    <w:p w:rsidR="004201AD" w:rsidRPr="004201AD" w:rsidRDefault="004201AD" w:rsidP="004201AD">
      <w:proofErr w:type="spellStart"/>
      <w:r w:rsidRPr="004201AD">
        <w:t>Allcott</w:t>
      </w:r>
      <w:proofErr w:type="spellEnd"/>
      <w:r w:rsidRPr="004201AD">
        <w:t xml:space="preserve">, H., Kane, R., </w:t>
      </w:r>
      <w:proofErr w:type="spellStart"/>
      <w:r w:rsidRPr="004201AD">
        <w:t>Maydanchik</w:t>
      </w:r>
      <w:proofErr w:type="spellEnd"/>
      <w:r w:rsidRPr="004201AD">
        <w:t xml:space="preserve">, M., Shapiro, J.S. and </w:t>
      </w:r>
      <w:proofErr w:type="spellStart"/>
      <w:r w:rsidRPr="004201AD">
        <w:t>Tintelnot</w:t>
      </w:r>
      <w:proofErr w:type="spellEnd"/>
      <w:r w:rsidRPr="004201AD">
        <w:t>, F. (2024). The Effects of ‘Buy American’: Electric Vehicles and the Inflation Reduction Act. </w:t>
      </w:r>
      <w:r w:rsidRPr="004201AD">
        <w:rPr>
          <w:i/>
          <w:iCs/>
        </w:rPr>
        <w:t>SSRN Electronic Journal</w:t>
      </w:r>
      <w:r w:rsidRPr="004201AD">
        <w:t xml:space="preserve">. </w:t>
      </w:r>
      <w:proofErr w:type="spellStart"/>
      <w:proofErr w:type="gramStart"/>
      <w:r w:rsidRPr="004201AD">
        <w:t>doi</w:t>
      </w:r>
      <w:proofErr w:type="gramEnd"/>
      <w:r w:rsidRPr="004201AD">
        <w:t>:</w:t>
      </w:r>
      <w:hyperlink r:id="rId18" w:history="1">
        <w:r w:rsidRPr="004201AD">
          <w:rPr>
            <w:color w:val="0563C1" w:themeColor="hyperlink"/>
            <w:u w:val="single"/>
          </w:rPr>
          <w:t>https</w:t>
        </w:r>
        <w:proofErr w:type="spellEnd"/>
        <w:r w:rsidRPr="004201AD">
          <w:rPr>
            <w:color w:val="0563C1" w:themeColor="hyperlink"/>
            <w:u w:val="single"/>
          </w:rPr>
          <w:t>://doi.org/10.2139/ssrn.4978830</w:t>
        </w:r>
      </w:hyperlink>
      <w:r w:rsidRPr="004201AD">
        <w:t>.</w:t>
      </w:r>
    </w:p>
    <w:p w:rsidR="004201AD" w:rsidRPr="004201AD" w:rsidRDefault="004201AD" w:rsidP="004201AD">
      <w:proofErr w:type="spellStart"/>
      <w:r w:rsidRPr="004201AD">
        <w:t>Aslam</w:t>
      </w:r>
      <w:proofErr w:type="spellEnd"/>
      <w:r w:rsidRPr="004201AD">
        <w:t xml:space="preserve">, B., </w:t>
      </w:r>
      <w:proofErr w:type="spellStart"/>
      <w:r w:rsidRPr="004201AD">
        <w:t>Zhantian</w:t>
      </w:r>
      <w:proofErr w:type="spellEnd"/>
      <w:r w:rsidRPr="004201AD">
        <w:t xml:space="preserve">, B., </w:t>
      </w:r>
      <w:proofErr w:type="spellStart"/>
      <w:r w:rsidRPr="004201AD">
        <w:t>Amjad</w:t>
      </w:r>
      <w:proofErr w:type="spellEnd"/>
      <w:r w:rsidRPr="004201AD">
        <w:t>, M.A. and Zhang, G. (2025). Decarbonizing transport: EV production versus conventional vehicles. </w:t>
      </w:r>
      <w:r w:rsidRPr="004201AD">
        <w:rPr>
          <w:i/>
          <w:iCs/>
        </w:rPr>
        <w:t>Transport Policy</w:t>
      </w:r>
      <w:r w:rsidRPr="004201AD">
        <w:t xml:space="preserve">, [online] 174, p.103821. </w:t>
      </w:r>
      <w:proofErr w:type="spellStart"/>
      <w:proofErr w:type="gramStart"/>
      <w:r w:rsidRPr="004201AD">
        <w:t>doi</w:t>
      </w:r>
      <w:proofErr w:type="gramEnd"/>
      <w:r w:rsidRPr="004201AD">
        <w:t>:</w:t>
      </w:r>
      <w:hyperlink r:id="rId19" w:history="1">
        <w:r w:rsidRPr="004201AD">
          <w:rPr>
            <w:color w:val="0563C1" w:themeColor="hyperlink"/>
            <w:u w:val="single"/>
          </w:rPr>
          <w:t>https</w:t>
        </w:r>
        <w:proofErr w:type="spellEnd"/>
        <w:r w:rsidRPr="004201AD">
          <w:rPr>
            <w:color w:val="0563C1" w:themeColor="hyperlink"/>
            <w:u w:val="single"/>
          </w:rPr>
          <w:t>://doi.org/10.1016/j.tranpol.2025.103821</w:t>
        </w:r>
      </w:hyperlink>
      <w:r w:rsidRPr="004201AD">
        <w:t>.</w:t>
      </w:r>
    </w:p>
    <w:p w:rsidR="004201AD" w:rsidRPr="004201AD" w:rsidRDefault="004201AD" w:rsidP="004201AD">
      <w:r w:rsidRPr="004201AD">
        <w:t>Blanchard, O. (2024). </w:t>
      </w:r>
      <w:r w:rsidRPr="004201AD">
        <w:rPr>
          <w:i/>
          <w:iCs/>
        </w:rPr>
        <w:t>Ford’s Broadened EV Strategy with Focus on Profitability and New Models</w:t>
      </w:r>
      <w:r w:rsidRPr="004201AD">
        <w:t>. [</w:t>
      </w:r>
      <w:proofErr w:type="gramStart"/>
      <w:r w:rsidRPr="004201AD">
        <w:t>online</w:t>
      </w:r>
      <w:proofErr w:type="gramEnd"/>
      <w:r w:rsidRPr="004201AD">
        <w:t xml:space="preserve">] The </w:t>
      </w:r>
      <w:proofErr w:type="spellStart"/>
      <w:r w:rsidRPr="004201AD">
        <w:t>Futurum</w:t>
      </w:r>
      <w:proofErr w:type="spellEnd"/>
      <w:r w:rsidRPr="004201AD">
        <w:t xml:space="preserve"> Group. Available at: </w:t>
      </w:r>
      <w:hyperlink r:id="rId20" w:history="1">
        <w:r w:rsidRPr="004201AD">
          <w:rPr>
            <w:color w:val="0563C1" w:themeColor="hyperlink"/>
            <w:u w:val="single"/>
          </w:rPr>
          <w:t>https://futurumgroup.com/insights/fords-broadened-ev-strategy-with-focus-on-profitability-and-new-models/</w:t>
        </w:r>
      </w:hyperlink>
      <w:r w:rsidRPr="004201AD">
        <w:t>.</w:t>
      </w:r>
    </w:p>
    <w:p w:rsidR="004201AD" w:rsidRPr="004201AD" w:rsidRDefault="004201AD" w:rsidP="004201AD">
      <w:r w:rsidRPr="004201AD">
        <w:t xml:space="preserve">Bridge, G. and </w:t>
      </w:r>
      <w:proofErr w:type="spellStart"/>
      <w:r w:rsidRPr="004201AD">
        <w:t>Faigen</w:t>
      </w:r>
      <w:proofErr w:type="spellEnd"/>
      <w:r w:rsidRPr="004201AD">
        <w:t>, E. (2022). Towards the lithium-ion battery production network: Thinking beyond mineral supply chains. </w:t>
      </w:r>
      <w:r w:rsidRPr="004201AD">
        <w:rPr>
          <w:i/>
          <w:iCs/>
        </w:rPr>
        <w:t>Energy Research &amp; Social Science</w:t>
      </w:r>
      <w:r w:rsidRPr="004201AD">
        <w:t xml:space="preserve">, [online] 89(102659), p.102659. </w:t>
      </w:r>
      <w:proofErr w:type="spellStart"/>
      <w:proofErr w:type="gramStart"/>
      <w:r w:rsidRPr="004201AD">
        <w:t>doi</w:t>
      </w:r>
      <w:proofErr w:type="gramEnd"/>
      <w:r w:rsidRPr="004201AD">
        <w:t>:</w:t>
      </w:r>
      <w:hyperlink r:id="rId21" w:history="1">
        <w:r w:rsidRPr="004201AD">
          <w:rPr>
            <w:color w:val="0563C1" w:themeColor="hyperlink"/>
            <w:u w:val="single"/>
          </w:rPr>
          <w:t>https</w:t>
        </w:r>
        <w:proofErr w:type="spellEnd"/>
        <w:r w:rsidRPr="004201AD">
          <w:rPr>
            <w:color w:val="0563C1" w:themeColor="hyperlink"/>
            <w:u w:val="single"/>
          </w:rPr>
          <w:t>://doi.org/10.1016/j.erss.2022.102659</w:t>
        </w:r>
      </w:hyperlink>
      <w:r w:rsidRPr="004201AD">
        <w:t>.</w:t>
      </w:r>
    </w:p>
    <w:p w:rsidR="004201AD" w:rsidRPr="004201AD" w:rsidRDefault="004201AD" w:rsidP="004201AD">
      <w:proofErr w:type="spellStart"/>
      <w:r w:rsidRPr="004201AD">
        <w:t>Dumen</w:t>
      </w:r>
      <w:proofErr w:type="spellEnd"/>
      <w:r w:rsidRPr="004201AD">
        <w:t xml:space="preserve">, O. (2024). Impact of Battery Technologies on Competitiveness in </w:t>
      </w:r>
      <w:proofErr w:type="gramStart"/>
      <w:r w:rsidRPr="004201AD">
        <w:t>The</w:t>
      </w:r>
      <w:proofErr w:type="gramEnd"/>
      <w:r w:rsidRPr="004201AD">
        <w:t xml:space="preserve"> Electric Vehicle Industry. [</w:t>
      </w:r>
      <w:proofErr w:type="gramStart"/>
      <w:r w:rsidRPr="004201AD">
        <w:t>online</w:t>
      </w:r>
      <w:proofErr w:type="gramEnd"/>
      <w:r w:rsidRPr="004201AD">
        <w:t xml:space="preserve">] </w:t>
      </w:r>
      <w:proofErr w:type="spellStart"/>
      <w:r w:rsidRPr="004201AD">
        <w:t>doi:</w:t>
      </w:r>
      <w:hyperlink r:id="rId22" w:history="1">
        <w:r w:rsidRPr="004201AD">
          <w:rPr>
            <w:color w:val="0563C1" w:themeColor="hyperlink"/>
            <w:u w:val="single"/>
          </w:rPr>
          <w:t>https</w:t>
        </w:r>
        <w:proofErr w:type="spellEnd"/>
        <w:r w:rsidRPr="004201AD">
          <w:rPr>
            <w:color w:val="0563C1" w:themeColor="hyperlink"/>
            <w:u w:val="single"/>
          </w:rPr>
          <w:t>://doi.org/10.13140/RG.2.2.32395.60963</w:t>
        </w:r>
      </w:hyperlink>
      <w:r w:rsidRPr="004201AD">
        <w:t>.</w:t>
      </w:r>
    </w:p>
    <w:p w:rsidR="004201AD" w:rsidRPr="004201AD" w:rsidRDefault="004201AD" w:rsidP="004201AD">
      <w:r w:rsidRPr="004201AD">
        <w:t>Eckert, N. and Gomes, N. (2025). Ford projects mounting EV losses for 2025, Q4 profit up. </w:t>
      </w:r>
      <w:r w:rsidRPr="004201AD">
        <w:rPr>
          <w:i/>
          <w:iCs/>
        </w:rPr>
        <w:t>Reuters</w:t>
      </w:r>
      <w:r w:rsidRPr="004201AD">
        <w:t>. [</w:t>
      </w:r>
      <w:proofErr w:type="gramStart"/>
      <w:r w:rsidRPr="004201AD">
        <w:t>online</w:t>
      </w:r>
      <w:proofErr w:type="gramEnd"/>
      <w:r w:rsidRPr="004201AD">
        <w:t xml:space="preserve">] 5 Feb. Available at: </w:t>
      </w:r>
      <w:hyperlink r:id="rId23" w:history="1">
        <w:r w:rsidRPr="004201AD">
          <w:rPr>
            <w:color w:val="0563C1" w:themeColor="hyperlink"/>
            <w:u w:val="single"/>
          </w:rPr>
          <w:t>https://www.reuters.com/business/autos-transportation/ford-projects-mounting-ev-losses-2025-q4-profit-up-2025-02-05/</w:t>
        </w:r>
      </w:hyperlink>
      <w:r w:rsidRPr="004201AD">
        <w:t>.</w:t>
      </w:r>
    </w:p>
    <w:p w:rsidR="004201AD" w:rsidRPr="004201AD" w:rsidRDefault="004201AD" w:rsidP="004201AD">
      <w:r w:rsidRPr="004201AD">
        <w:t>European Environment Agency (2023). </w:t>
      </w:r>
      <w:r w:rsidRPr="004201AD">
        <w:rPr>
          <w:i/>
          <w:iCs/>
        </w:rPr>
        <w:t>CO2 performance of new passenger cars in Europe</w:t>
      </w:r>
      <w:r w:rsidRPr="004201AD">
        <w:t>. [</w:t>
      </w:r>
      <w:proofErr w:type="gramStart"/>
      <w:r w:rsidRPr="004201AD">
        <w:t>online</w:t>
      </w:r>
      <w:proofErr w:type="gramEnd"/>
      <w:r w:rsidRPr="004201AD">
        <w:t xml:space="preserve">] www.eea.europa.eu. Available at: </w:t>
      </w:r>
      <w:hyperlink r:id="rId24" w:history="1">
        <w:r w:rsidRPr="004201AD">
          <w:rPr>
            <w:color w:val="0563C1" w:themeColor="hyperlink"/>
            <w:u w:val="single"/>
          </w:rPr>
          <w:t>https://www.eea.europa.eu/en/analysis/indicators/co2-performance-of-new-passenger</w:t>
        </w:r>
      </w:hyperlink>
      <w:r w:rsidRPr="004201AD">
        <w:t>.</w:t>
      </w:r>
    </w:p>
    <w:p w:rsidR="004201AD" w:rsidRPr="004201AD" w:rsidRDefault="004201AD" w:rsidP="004201AD">
      <w:r w:rsidRPr="004201AD">
        <w:t>Ford Media Center (2022). </w:t>
      </w:r>
      <w:r w:rsidRPr="004201AD">
        <w:rPr>
          <w:i/>
          <w:iCs/>
        </w:rPr>
        <w:t xml:space="preserve">Ford Releases New Battery Capacity Plan, Raw Materials Details to Scale EVs; On Track to Ramp to 600K Run Rate by ’23 and 2M+ by ’26, </w:t>
      </w:r>
      <w:r w:rsidRPr="004201AD">
        <w:rPr>
          <w:i/>
          <w:iCs/>
        </w:rPr>
        <w:lastRenderedPageBreak/>
        <w:t>Leveraging Global Relationships | Great Britain | Ford Media Center</w:t>
      </w:r>
      <w:r w:rsidRPr="004201AD">
        <w:t>. [</w:t>
      </w:r>
      <w:proofErr w:type="gramStart"/>
      <w:r w:rsidRPr="004201AD">
        <w:t>online</w:t>
      </w:r>
      <w:proofErr w:type="gramEnd"/>
      <w:r w:rsidRPr="004201AD">
        <w:t xml:space="preserve">] Ford.com. Available at: </w:t>
      </w:r>
      <w:hyperlink r:id="rId25" w:history="1">
        <w:r w:rsidRPr="004201AD">
          <w:rPr>
            <w:color w:val="0563C1" w:themeColor="hyperlink"/>
            <w:u w:val="single"/>
          </w:rPr>
          <w:t>https://media.ford.com/content/fordmedia/feu/gb/en/news/2022/07/21/Ford-Releases-New-Battery-Capacity-Plan.html</w:t>
        </w:r>
      </w:hyperlink>
      <w:r w:rsidRPr="004201AD">
        <w:t>.</w:t>
      </w:r>
    </w:p>
    <w:p w:rsidR="004201AD" w:rsidRPr="004201AD" w:rsidRDefault="004201AD" w:rsidP="004201AD">
      <w:r w:rsidRPr="004201AD">
        <w:t>IEA (2025). </w:t>
      </w:r>
      <w:r w:rsidRPr="004201AD">
        <w:rPr>
          <w:i/>
          <w:iCs/>
        </w:rPr>
        <w:t>Executive summary – Global EV Outlook 2025 – Analysis - IEA</w:t>
      </w:r>
      <w:r w:rsidRPr="004201AD">
        <w:t>. [</w:t>
      </w:r>
      <w:proofErr w:type="gramStart"/>
      <w:r w:rsidRPr="004201AD">
        <w:t>online</w:t>
      </w:r>
      <w:proofErr w:type="gramEnd"/>
      <w:r w:rsidRPr="004201AD">
        <w:t xml:space="preserve">] IEA. Available at: </w:t>
      </w:r>
      <w:hyperlink r:id="rId26" w:history="1">
        <w:r w:rsidRPr="004201AD">
          <w:rPr>
            <w:color w:val="0563C1" w:themeColor="hyperlink"/>
            <w:u w:val="single"/>
          </w:rPr>
          <w:t>https://www.iea.org/reports/global-ev-outlook-2025/executive-summary</w:t>
        </w:r>
      </w:hyperlink>
      <w:r w:rsidRPr="004201AD">
        <w:t>.</w:t>
      </w:r>
    </w:p>
    <w:p w:rsidR="004201AD" w:rsidRPr="004201AD" w:rsidRDefault="004201AD" w:rsidP="004201AD">
      <w:r w:rsidRPr="004201AD">
        <w:t>IEA (2025). </w:t>
      </w:r>
      <w:r w:rsidRPr="004201AD">
        <w:rPr>
          <w:i/>
          <w:iCs/>
        </w:rPr>
        <w:t>Trends in electric car markets – Global EV Outlook 2025</w:t>
      </w:r>
      <w:r w:rsidRPr="004201AD">
        <w:t>. [</w:t>
      </w:r>
      <w:proofErr w:type="gramStart"/>
      <w:r w:rsidRPr="004201AD">
        <w:t>online</w:t>
      </w:r>
      <w:proofErr w:type="gramEnd"/>
      <w:r w:rsidRPr="004201AD">
        <w:t xml:space="preserve">] IEA. Available at: </w:t>
      </w:r>
      <w:hyperlink r:id="rId27" w:history="1">
        <w:r w:rsidRPr="004201AD">
          <w:rPr>
            <w:color w:val="0563C1" w:themeColor="hyperlink"/>
            <w:u w:val="single"/>
          </w:rPr>
          <w:t>https://www.iea.org/reports/global-ev-outlook-2025/trends-in-electric-car-markets-2</w:t>
        </w:r>
      </w:hyperlink>
      <w:r w:rsidRPr="004201AD">
        <w:t>.</w:t>
      </w:r>
    </w:p>
    <w:p w:rsidR="004201AD" w:rsidRPr="004201AD" w:rsidRDefault="004201AD" w:rsidP="004201AD">
      <w:proofErr w:type="spellStart"/>
      <w:r w:rsidRPr="004201AD">
        <w:t>Isidore</w:t>
      </w:r>
      <w:proofErr w:type="spellEnd"/>
      <w:r w:rsidRPr="004201AD">
        <w:t>, C. (2025). </w:t>
      </w:r>
      <w:r w:rsidRPr="004201AD">
        <w:rPr>
          <w:i/>
          <w:iCs/>
        </w:rPr>
        <w:t>A big problem for Tesla isn’t getting much attention</w:t>
      </w:r>
      <w:r w:rsidRPr="004201AD">
        <w:t>. [</w:t>
      </w:r>
      <w:proofErr w:type="gramStart"/>
      <w:r w:rsidRPr="004201AD">
        <w:t>online</w:t>
      </w:r>
      <w:proofErr w:type="gramEnd"/>
      <w:r w:rsidRPr="004201AD">
        <w:t xml:space="preserve">] CNN. Available at: </w:t>
      </w:r>
      <w:hyperlink r:id="rId28" w:history="1">
        <w:r w:rsidRPr="004201AD">
          <w:rPr>
            <w:color w:val="0563C1" w:themeColor="hyperlink"/>
            <w:u w:val="single"/>
          </w:rPr>
          <w:t>https://edition.cnn.com/2025/07/22/business/tesla-regulatory-credit-sales-revenue</w:t>
        </w:r>
      </w:hyperlink>
      <w:r w:rsidRPr="004201AD">
        <w:t>.</w:t>
      </w:r>
    </w:p>
    <w:p w:rsidR="004201AD" w:rsidRPr="004201AD" w:rsidRDefault="004201AD" w:rsidP="004201AD">
      <w:r w:rsidRPr="004201AD">
        <w:t>Li, C., Na, J., Nan, K., Qin, J. and Wu, M. (2024). Tesla’s product improvement strategies in the electric vehicle market. </w:t>
      </w:r>
      <w:r w:rsidRPr="004201AD">
        <w:rPr>
          <w:i/>
          <w:iCs/>
        </w:rPr>
        <w:t>Advances in economics, Management and Political Sciences</w:t>
      </w:r>
      <w:r w:rsidRPr="004201AD">
        <w:t xml:space="preserve">, 92(1), pp.177–185. </w:t>
      </w:r>
      <w:proofErr w:type="spellStart"/>
      <w:proofErr w:type="gramStart"/>
      <w:r w:rsidRPr="004201AD">
        <w:t>doi</w:t>
      </w:r>
      <w:proofErr w:type="gramEnd"/>
      <w:r w:rsidRPr="004201AD">
        <w:t>:</w:t>
      </w:r>
      <w:hyperlink r:id="rId29" w:history="1">
        <w:r w:rsidRPr="004201AD">
          <w:rPr>
            <w:color w:val="0563C1" w:themeColor="hyperlink"/>
            <w:u w:val="single"/>
          </w:rPr>
          <w:t>https</w:t>
        </w:r>
        <w:proofErr w:type="spellEnd"/>
        <w:r w:rsidRPr="004201AD">
          <w:rPr>
            <w:color w:val="0563C1" w:themeColor="hyperlink"/>
            <w:u w:val="single"/>
          </w:rPr>
          <w:t>://doi.org/10.54254/2754-1169/92/20231197</w:t>
        </w:r>
      </w:hyperlink>
      <w:r w:rsidRPr="004201AD">
        <w:t>.</w:t>
      </w:r>
    </w:p>
    <w:p w:rsidR="004201AD" w:rsidRPr="004201AD" w:rsidRDefault="004201AD" w:rsidP="004201AD">
      <w:r w:rsidRPr="004201AD">
        <w:t xml:space="preserve">Malik, M.A.I., </w:t>
      </w:r>
      <w:proofErr w:type="spellStart"/>
      <w:r w:rsidRPr="004201AD">
        <w:t>Kalam</w:t>
      </w:r>
      <w:proofErr w:type="spellEnd"/>
      <w:r w:rsidRPr="004201AD">
        <w:t xml:space="preserve">, M.A., </w:t>
      </w:r>
      <w:proofErr w:type="spellStart"/>
      <w:r w:rsidRPr="004201AD">
        <w:t>Ikram</w:t>
      </w:r>
      <w:proofErr w:type="spellEnd"/>
      <w:r w:rsidRPr="004201AD">
        <w:t xml:space="preserve">, A., </w:t>
      </w:r>
      <w:proofErr w:type="spellStart"/>
      <w:r w:rsidRPr="004201AD">
        <w:t>Zeeshan</w:t>
      </w:r>
      <w:proofErr w:type="spellEnd"/>
      <w:r w:rsidRPr="004201AD">
        <w:t xml:space="preserve">, S. and </w:t>
      </w:r>
      <w:proofErr w:type="spellStart"/>
      <w:r w:rsidRPr="004201AD">
        <w:t>Raza</w:t>
      </w:r>
      <w:proofErr w:type="spellEnd"/>
      <w:r w:rsidRPr="004201AD">
        <w:t xml:space="preserve"> </w:t>
      </w:r>
      <w:proofErr w:type="spellStart"/>
      <w:r w:rsidRPr="004201AD">
        <w:t>Zahidi</w:t>
      </w:r>
      <w:proofErr w:type="spellEnd"/>
      <w:r w:rsidRPr="004201AD">
        <w:t>, S.Q. (2025). Energy transition towards electric vehicle technology: Recent advancements. </w:t>
      </w:r>
      <w:r w:rsidRPr="004201AD">
        <w:rPr>
          <w:i/>
          <w:iCs/>
        </w:rPr>
        <w:t>Energy Reports</w:t>
      </w:r>
      <w:r w:rsidRPr="004201AD">
        <w:t xml:space="preserve">, 13, pp.2958–2996. </w:t>
      </w:r>
      <w:proofErr w:type="spellStart"/>
      <w:proofErr w:type="gramStart"/>
      <w:r w:rsidRPr="004201AD">
        <w:t>doi</w:t>
      </w:r>
      <w:proofErr w:type="gramEnd"/>
      <w:r w:rsidRPr="004201AD">
        <w:t>:</w:t>
      </w:r>
      <w:hyperlink r:id="rId30" w:history="1">
        <w:r w:rsidRPr="004201AD">
          <w:rPr>
            <w:color w:val="0563C1" w:themeColor="hyperlink"/>
            <w:u w:val="single"/>
          </w:rPr>
          <w:t>https</w:t>
        </w:r>
        <w:proofErr w:type="spellEnd"/>
        <w:r w:rsidRPr="004201AD">
          <w:rPr>
            <w:color w:val="0563C1" w:themeColor="hyperlink"/>
            <w:u w:val="single"/>
          </w:rPr>
          <w:t>://doi.org/10.1016/j.egyr.2025.02.029</w:t>
        </w:r>
      </w:hyperlink>
      <w:r w:rsidRPr="004201AD">
        <w:t>.</w:t>
      </w:r>
    </w:p>
    <w:p w:rsidR="004201AD" w:rsidRPr="004201AD" w:rsidRDefault="004201AD" w:rsidP="004201AD">
      <w:r w:rsidRPr="004201AD">
        <w:t xml:space="preserve">Miao, T. (2025). Strategic Analysis of </w:t>
      </w:r>
      <w:proofErr w:type="spellStart"/>
      <w:r w:rsidRPr="004201AD">
        <w:t>Teslas</w:t>
      </w:r>
      <w:proofErr w:type="spellEnd"/>
      <w:r w:rsidRPr="004201AD">
        <w:t xml:space="preserve"> Future Growth: Innovation, Expansion, and Market Trends. </w:t>
      </w:r>
      <w:r w:rsidRPr="004201AD">
        <w:rPr>
          <w:i/>
          <w:iCs/>
        </w:rPr>
        <w:t>Advances in Economics, Management and Political Sciences</w:t>
      </w:r>
      <w:r w:rsidRPr="004201AD">
        <w:t xml:space="preserve">, 225(1), pp.24–29. </w:t>
      </w:r>
      <w:proofErr w:type="spellStart"/>
      <w:proofErr w:type="gramStart"/>
      <w:r w:rsidRPr="004201AD">
        <w:t>doi</w:t>
      </w:r>
      <w:proofErr w:type="gramEnd"/>
      <w:r w:rsidRPr="004201AD">
        <w:t>:</w:t>
      </w:r>
      <w:hyperlink r:id="rId31" w:history="1">
        <w:r w:rsidRPr="004201AD">
          <w:rPr>
            <w:color w:val="0563C1" w:themeColor="hyperlink"/>
            <w:u w:val="single"/>
          </w:rPr>
          <w:t>https</w:t>
        </w:r>
        <w:proofErr w:type="spellEnd"/>
        <w:r w:rsidRPr="004201AD">
          <w:rPr>
            <w:color w:val="0563C1" w:themeColor="hyperlink"/>
            <w:u w:val="single"/>
          </w:rPr>
          <w:t>://doi.org/10.54254/2754-1169/2025.cau27622</w:t>
        </w:r>
      </w:hyperlink>
      <w:r w:rsidRPr="004201AD">
        <w:t>.</w:t>
      </w:r>
    </w:p>
    <w:p w:rsidR="004201AD" w:rsidRPr="004201AD" w:rsidRDefault="004201AD" w:rsidP="004201AD">
      <w:proofErr w:type="spellStart"/>
      <w:r w:rsidRPr="004201AD">
        <w:t>Ormston</w:t>
      </w:r>
      <w:proofErr w:type="spellEnd"/>
      <w:r w:rsidRPr="004201AD">
        <w:t>, A. (2025). PESTLE Analysis: A Guide to Understanding Market Influences. [</w:t>
      </w:r>
      <w:proofErr w:type="gramStart"/>
      <w:r w:rsidRPr="004201AD">
        <w:t>online</w:t>
      </w:r>
      <w:proofErr w:type="gramEnd"/>
      <w:r w:rsidRPr="004201AD">
        <w:t xml:space="preserve">] B2B International. Available at: </w:t>
      </w:r>
      <w:hyperlink r:id="rId32" w:history="1">
        <w:r w:rsidRPr="004201AD">
          <w:rPr>
            <w:color w:val="0563C1" w:themeColor="hyperlink"/>
            <w:u w:val="single"/>
          </w:rPr>
          <w:t>https://www.b2binternational.com/2025/04/03/pestle-analysis/</w:t>
        </w:r>
      </w:hyperlink>
      <w:r w:rsidRPr="004201AD">
        <w:t>.</w:t>
      </w:r>
    </w:p>
    <w:p w:rsidR="004201AD" w:rsidRPr="004201AD" w:rsidRDefault="004201AD" w:rsidP="004201AD">
      <w:r w:rsidRPr="004201AD">
        <w:t xml:space="preserve">Rashid, A.B. and </w:t>
      </w:r>
      <w:proofErr w:type="spellStart"/>
      <w:r w:rsidRPr="004201AD">
        <w:t>Kausik</w:t>
      </w:r>
      <w:proofErr w:type="spellEnd"/>
      <w:r w:rsidRPr="004201AD">
        <w:t>, A.K. (2024). AI Revolutionizing Industries Worldwide: a Comprehensive Overview of Its Diverse Applications. </w:t>
      </w:r>
      <w:r w:rsidRPr="004201AD">
        <w:rPr>
          <w:i/>
          <w:iCs/>
        </w:rPr>
        <w:t>Hybrid Advances</w:t>
      </w:r>
      <w:r w:rsidRPr="004201AD">
        <w:t xml:space="preserve">, 7(100277), pp.100277–100277. </w:t>
      </w:r>
      <w:proofErr w:type="spellStart"/>
      <w:proofErr w:type="gramStart"/>
      <w:r w:rsidRPr="004201AD">
        <w:t>doi</w:t>
      </w:r>
      <w:proofErr w:type="gramEnd"/>
      <w:r w:rsidRPr="004201AD">
        <w:t>:</w:t>
      </w:r>
      <w:hyperlink r:id="rId33" w:history="1">
        <w:r w:rsidRPr="004201AD">
          <w:rPr>
            <w:color w:val="0563C1" w:themeColor="hyperlink"/>
            <w:u w:val="single"/>
          </w:rPr>
          <w:t>https</w:t>
        </w:r>
        <w:proofErr w:type="spellEnd"/>
        <w:r w:rsidRPr="004201AD">
          <w:rPr>
            <w:color w:val="0563C1" w:themeColor="hyperlink"/>
            <w:u w:val="single"/>
          </w:rPr>
          <w:t>://doi.org/10.1016/j.hybadv.2024.100277</w:t>
        </w:r>
      </w:hyperlink>
      <w:r w:rsidRPr="004201AD">
        <w:t>.</w:t>
      </w:r>
    </w:p>
    <w:p w:rsidR="004201AD" w:rsidRPr="004201AD" w:rsidRDefault="004201AD" w:rsidP="004201AD">
      <w:proofErr w:type="spellStart"/>
      <w:r w:rsidRPr="004201AD">
        <w:t>Simão</w:t>
      </w:r>
      <w:proofErr w:type="spellEnd"/>
      <w:r w:rsidRPr="004201AD">
        <w:t xml:space="preserve">, M.S., Vicente, I., Cardoso, B.B., </w:t>
      </w:r>
      <w:proofErr w:type="spellStart"/>
      <w:r w:rsidRPr="004201AD">
        <w:t>Gianesini</w:t>
      </w:r>
      <w:proofErr w:type="spellEnd"/>
      <w:r w:rsidRPr="004201AD">
        <w:t xml:space="preserve">, M.A., </w:t>
      </w:r>
      <w:proofErr w:type="spellStart"/>
      <w:r w:rsidRPr="004201AD">
        <w:t>Dobes</w:t>
      </w:r>
      <w:proofErr w:type="spellEnd"/>
      <w:r w:rsidRPr="004201AD">
        <w:t xml:space="preserve">, M.I., </w:t>
      </w:r>
      <w:proofErr w:type="spellStart"/>
      <w:r w:rsidRPr="004201AD">
        <w:t>Kinceler</w:t>
      </w:r>
      <w:proofErr w:type="spellEnd"/>
      <w:r w:rsidRPr="004201AD">
        <w:t xml:space="preserve">, R. and </w:t>
      </w:r>
      <w:proofErr w:type="spellStart"/>
      <w:r w:rsidRPr="004201AD">
        <w:t>Jeremias</w:t>
      </w:r>
      <w:proofErr w:type="spellEnd"/>
      <w:r w:rsidRPr="004201AD">
        <w:t xml:space="preserve">, T. (2024). Regulations and standards for electric vehicle charging </w:t>
      </w:r>
      <w:r w:rsidRPr="004201AD">
        <w:lastRenderedPageBreak/>
        <w:t xml:space="preserve">infrastructure: A comparative analysis between Brazil and leading countries in </w:t>
      </w:r>
      <w:proofErr w:type="spellStart"/>
      <w:r w:rsidRPr="004201AD">
        <w:t>electromobility</w:t>
      </w:r>
      <w:proofErr w:type="spellEnd"/>
      <w:r w:rsidRPr="004201AD">
        <w:t>. </w:t>
      </w:r>
      <w:r w:rsidRPr="004201AD">
        <w:rPr>
          <w:i/>
          <w:iCs/>
        </w:rPr>
        <w:t>Sustainable Energy Technologies and Assessments</w:t>
      </w:r>
      <w:r w:rsidRPr="004201AD">
        <w:t xml:space="preserve">, [online] 73, p.104119. </w:t>
      </w:r>
      <w:proofErr w:type="spellStart"/>
      <w:proofErr w:type="gramStart"/>
      <w:r w:rsidRPr="004201AD">
        <w:t>doi</w:t>
      </w:r>
      <w:proofErr w:type="gramEnd"/>
      <w:r w:rsidRPr="004201AD">
        <w:t>:</w:t>
      </w:r>
      <w:hyperlink r:id="rId34" w:history="1">
        <w:r w:rsidRPr="004201AD">
          <w:rPr>
            <w:color w:val="0563C1" w:themeColor="hyperlink"/>
            <w:u w:val="single"/>
          </w:rPr>
          <w:t>https</w:t>
        </w:r>
        <w:proofErr w:type="spellEnd"/>
        <w:r w:rsidRPr="004201AD">
          <w:rPr>
            <w:color w:val="0563C1" w:themeColor="hyperlink"/>
            <w:u w:val="single"/>
          </w:rPr>
          <w:t>://doi.org/10.1016/j.seta.2024.104119</w:t>
        </w:r>
      </w:hyperlink>
      <w:r w:rsidRPr="004201AD">
        <w:t>.</w:t>
      </w:r>
    </w:p>
    <w:p w:rsidR="004201AD" w:rsidRPr="004201AD" w:rsidRDefault="004201AD" w:rsidP="004201AD">
      <w:r w:rsidRPr="004201AD">
        <w:t>Singhi, R. (2025). </w:t>
      </w:r>
      <w:r w:rsidRPr="004201AD">
        <w:rPr>
          <w:i/>
          <w:iCs/>
        </w:rPr>
        <w:t>Tesla’s Regulatory Credit Cash Cow Is Fading Fast: Why it Matters</w:t>
      </w:r>
      <w:r w:rsidRPr="004201AD">
        <w:t>. [</w:t>
      </w:r>
      <w:proofErr w:type="gramStart"/>
      <w:r w:rsidRPr="004201AD">
        <w:t>online</w:t>
      </w:r>
      <w:proofErr w:type="gramEnd"/>
      <w:r w:rsidRPr="004201AD">
        <w:t>] Yahoo Finance. Available at: https://finance.yahoo.com/news/teslas-regulatory-credit-cash-cow-145600904.html.</w:t>
      </w:r>
    </w:p>
    <w:p w:rsidR="004201AD" w:rsidRPr="004201AD" w:rsidRDefault="004201AD" w:rsidP="004201AD">
      <w:proofErr w:type="spellStart"/>
      <w:r w:rsidRPr="004201AD">
        <w:t>Sotoodeh</w:t>
      </w:r>
      <w:proofErr w:type="spellEnd"/>
      <w:r w:rsidRPr="004201AD">
        <w:t>, J. (2025). </w:t>
      </w:r>
      <w:r w:rsidRPr="004201AD">
        <w:rPr>
          <w:i/>
          <w:iCs/>
        </w:rPr>
        <w:t>Strategic Response to Market Disruption: Ford Motor Company’s Digital Transformation in the Age of Electric Vehicles</w:t>
      </w:r>
      <w:r w:rsidRPr="004201AD">
        <w:t>. [</w:t>
      </w:r>
      <w:proofErr w:type="gramStart"/>
      <w:r w:rsidRPr="004201AD">
        <w:t>online</w:t>
      </w:r>
      <w:proofErr w:type="gramEnd"/>
      <w:r w:rsidRPr="004201AD">
        <w:t xml:space="preserve">] </w:t>
      </w:r>
      <w:proofErr w:type="spellStart"/>
      <w:r w:rsidRPr="004201AD">
        <w:t>doi:</w:t>
      </w:r>
      <w:hyperlink r:id="rId35" w:history="1">
        <w:r w:rsidRPr="004201AD">
          <w:rPr>
            <w:color w:val="0563C1" w:themeColor="hyperlink"/>
            <w:u w:val="single"/>
          </w:rPr>
          <w:t>https</w:t>
        </w:r>
        <w:proofErr w:type="spellEnd"/>
        <w:r w:rsidRPr="004201AD">
          <w:rPr>
            <w:color w:val="0563C1" w:themeColor="hyperlink"/>
            <w:u w:val="single"/>
          </w:rPr>
          <w:t>://doi.org/10.13140/RG.2.2.33689.68968</w:t>
        </w:r>
      </w:hyperlink>
      <w:r w:rsidRPr="004201AD">
        <w:t>.</w:t>
      </w:r>
    </w:p>
    <w:p w:rsidR="004201AD" w:rsidRPr="004201AD" w:rsidRDefault="004201AD" w:rsidP="004201AD">
      <w:proofErr w:type="spellStart"/>
      <w:r w:rsidRPr="004201AD">
        <w:t>Sotoodeh</w:t>
      </w:r>
      <w:proofErr w:type="spellEnd"/>
      <w:r w:rsidRPr="004201AD">
        <w:t>, J. (2025). </w:t>
      </w:r>
      <w:r w:rsidRPr="004201AD">
        <w:rPr>
          <w:i/>
          <w:iCs/>
        </w:rPr>
        <w:t>Strategic Response to Market Disruption: Ford Motor Company’s Digital Transformation in the Age of Electric Vehicles</w:t>
      </w:r>
      <w:r w:rsidRPr="004201AD">
        <w:t>. [</w:t>
      </w:r>
      <w:proofErr w:type="gramStart"/>
      <w:r w:rsidRPr="004201AD">
        <w:t>online</w:t>
      </w:r>
      <w:proofErr w:type="gramEnd"/>
      <w:r w:rsidRPr="004201AD">
        <w:t xml:space="preserve">] </w:t>
      </w:r>
      <w:proofErr w:type="spellStart"/>
      <w:r w:rsidRPr="004201AD">
        <w:t>doi:</w:t>
      </w:r>
      <w:hyperlink r:id="rId36" w:history="1">
        <w:r w:rsidRPr="004201AD">
          <w:rPr>
            <w:color w:val="0563C1" w:themeColor="hyperlink"/>
            <w:u w:val="single"/>
          </w:rPr>
          <w:t>https</w:t>
        </w:r>
        <w:proofErr w:type="spellEnd"/>
        <w:r w:rsidRPr="004201AD">
          <w:rPr>
            <w:color w:val="0563C1" w:themeColor="hyperlink"/>
            <w:u w:val="single"/>
          </w:rPr>
          <w:t>://doi.org/10.13140/RG.2.2.33689.68968</w:t>
        </w:r>
      </w:hyperlink>
      <w:r w:rsidRPr="004201AD">
        <w:t>.</w:t>
      </w:r>
    </w:p>
    <w:p w:rsidR="004201AD" w:rsidRPr="004201AD" w:rsidRDefault="004201AD" w:rsidP="004201AD">
      <w:r w:rsidRPr="004201AD">
        <w:t>Su, T. (2024). Comparative Analysis of Tesla and Ford: Investment Recommendations Based on the 7Ps Marketing Portfolio and Porter’s Five Forces Model. </w:t>
      </w:r>
      <w:r w:rsidRPr="004201AD">
        <w:rPr>
          <w:i/>
          <w:iCs/>
        </w:rPr>
        <w:t>Transactions on Economics Business and Management Research</w:t>
      </w:r>
      <w:r w:rsidRPr="004201AD">
        <w:t xml:space="preserve">, 13, pp.212–219. </w:t>
      </w:r>
      <w:proofErr w:type="spellStart"/>
      <w:proofErr w:type="gramStart"/>
      <w:r w:rsidRPr="004201AD">
        <w:t>doi</w:t>
      </w:r>
      <w:proofErr w:type="gramEnd"/>
      <w:r w:rsidRPr="004201AD">
        <w:t>:</w:t>
      </w:r>
      <w:hyperlink r:id="rId37" w:history="1">
        <w:r w:rsidRPr="004201AD">
          <w:rPr>
            <w:color w:val="0563C1" w:themeColor="hyperlink"/>
            <w:u w:val="single"/>
          </w:rPr>
          <w:t>https</w:t>
        </w:r>
        <w:proofErr w:type="spellEnd"/>
        <w:r w:rsidRPr="004201AD">
          <w:rPr>
            <w:color w:val="0563C1" w:themeColor="hyperlink"/>
            <w:u w:val="single"/>
          </w:rPr>
          <w:t>://doi.org/10.62051/f5tc1w57</w:t>
        </w:r>
      </w:hyperlink>
      <w:r w:rsidRPr="004201AD">
        <w:t>.</w:t>
      </w:r>
    </w:p>
    <w:p w:rsidR="004201AD" w:rsidRPr="004201AD" w:rsidRDefault="004201AD" w:rsidP="004201AD">
      <w:r w:rsidRPr="004201AD">
        <w:t>Tesla (2024). </w:t>
      </w:r>
      <w:r w:rsidRPr="004201AD">
        <w:rPr>
          <w:i/>
          <w:iCs/>
        </w:rPr>
        <w:t>Tesla, Inc. Annual Report on Form 10-K for the Year Ended December 31, 2024</w:t>
      </w:r>
      <w:r w:rsidRPr="004201AD">
        <w:t>. [</w:t>
      </w:r>
      <w:proofErr w:type="gramStart"/>
      <w:r w:rsidRPr="004201AD">
        <w:t>online</w:t>
      </w:r>
      <w:proofErr w:type="gramEnd"/>
      <w:r w:rsidRPr="004201AD">
        <w:t xml:space="preserve">] Available at: </w:t>
      </w:r>
      <w:hyperlink r:id="rId38" w:history="1">
        <w:r w:rsidRPr="004201AD">
          <w:rPr>
            <w:color w:val="0563C1" w:themeColor="hyperlink"/>
            <w:u w:val="single"/>
          </w:rPr>
          <w:t>https://ir.tesla.com/_flysystem/s3/sec/000162828025003063/tsla-20241231-gen.pdf</w:t>
        </w:r>
      </w:hyperlink>
      <w:r w:rsidRPr="004201AD">
        <w:t>.</w:t>
      </w:r>
    </w:p>
    <w:p w:rsidR="004201AD" w:rsidRPr="004201AD" w:rsidRDefault="004201AD" w:rsidP="004201AD">
      <w:r w:rsidRPr="004201AD">
        <w:t>Tesla. (2025). </w:t>
      </w:r>
      <w:r w:rsidRPr="004201AD">
        <w:rPr>
          <w:i/>
          <w:iCs/>
        </w:rPr>
        <w:t>Supercharger | Tesla</w:t>
      </w:r>
      <w:r w:rsidRPr="004201AD">
        <w:t>. [</w:t>
      </w:r>
      <w:proofErr w:type="gramStart"/>
      <w:r w:rsidRPr="004201AD">
        <w:t>online</w:t>
      </w:r>
      <w:proofErr w:type="gramEnd"/>
      <w:r w:rsidRPr="004201AD">
        <w:t xml:space="preserve">] Available at: </w:t>
      </w:r>
      <w:hyperlink r:id="rId39" w:history="1">
        <w:r w:rsidRPr="004201AD">
          <w:rPr>
            <w:color w:val="0563C1" w:themeColor="hyperlink"/>
            <w:u w:val="single"/>
          </w:rPr>
          <w:t>https://www.tesla.com/supercharger</w:t>
        </w:r>
      </w:hyperlink>
      <w:proofErr w:type="gramStart"/>
      <w:r w:rsidRPr="004201AD">
        <w:t>?.</w:t>
      </w:r>
      <w:proofErr w:type="gramEnd"/>
    </w:p>
    <w:p w:rsidR="004201AD" w:rsidRPr="004201AD" w:rsidRDefault="004201AD" w:rsidP="004201AD">
      <w:r w:rsidRPr="004201AD">
        <w:t>Tiwari, R., K, A., S, H., R, L. and Kumar, P. (2026). Exploring battery-powered electric vehicles: Energy sources, configurations, and management approaches. </w:t>
      </w:r>
      <w:r w:rsidRPr="004201AD">
        <w:rPr>
          <w:i/>
          <w:iCs/>
        </w:rPr>
        <w:t>Next Energy</w:t>
      </w:r>
      <w:r w:rsidRPr="004201AD">
        <w:t xml:space="preserve">, 11, p.100528. </w:t>
      </w:r>
      <w:proofErr w:type="spellStart"/>
      <w:proofErr w:type="gramStart"/>
      <w:r w:rsidRPr="004201AD">
        <w:t>doi</w:t>
      </w:r>
      <w:proofErr w:type="gramEnd"/>
      <w:r w:rsidRPr="004201AD">
        <w:t>:</w:t>
      </w:r>
      <w:hyperlink r:id="rId40" w:history="1">
        <w:r w:rsidRPr="004201AD">
          <w:rPr>
            <w:color w:val="0563C1" w:themeColor="hyperlink"/>
            <w:u w:val="single"/>
          </w:rPr>
          <w:t>https</w:t>
        </w:r>
        <w:proofErr w:type="spellEnd"/>
        <w:r w:rsidRPr="004201AD">
          <w:rPr>
            <w:color w:val="0563C1" w:themeColor="hyperlink"/>
            <w:u w:val="single"/>
          </w:rPr>
          <w:t>://doi.org/10.1016/j.nxener.2026.100528</w:t>
        </w:r>
      </w:hyperlink>
      <w:r w:rsidRPr="004201AD">
        <w:t>.</w:t>
      </w:r>
    </w:p>
    <w:p w:rsidR="004201AD" w:rsidRPr="004201AD" w:rsidRDefault="004201AD" w:rsidP="004201AD">
      <w:proofErr w:type="spellStart"/>
      <w:r w:rsidRPr="004201AD">
        <w:t>Williment</w:t>
      </w:r>
      <w:proofErr w:type="spellEnd"/>
      <w:r w:rsidRPr="004201AD">
        <w:t>, C. (2026). </w:t>
      </w:r>
      <w:r w:rsidRPr="004201AD">
        <w:rPr>
          <w:i/>
          <w:iCs/>
        </w:rPr>
        <w:t>Ford: Reshaping Sustainability Strategies to Incorporate EVs</w:t>
      </w:r>
      <w:r w:rsidRPr="004201AD">
        <w:t>. [</w:t>
      </w:r>
      <w:proofErr w:type="gramStart"/>
      <w:r w:rsidRPr="004201AD">
        <w:t>online</w:t>
      </w:r>
      <w:proofErr w:type="gramEnd"/>
      <w:r w:rsidRPr="004201AD">
        <w:t xml:space="preserve">] Sustainabilitymag.com. Available at: </w:t>
      </w:r>
      <w:hyperlink r:id="rId41" w:history="1">
        <w:r w:rsidRPr="004201AD">
          <w:rPr>
            <w:color w:val="0563C1" w:themeColor="hyperlink"/>
            <w:u w:val="single"/>
          </w:rPr>
          <w:t>https://sustainabilitymag.com/news/ford-reshaping-sustainability-strategies-to-incorporate-evs</w:t>
        </w:r>
      </w:hyperlink>
      <w:r w:rsidRPr="004201AD">
        <w:t>.</w:t>
      </w:r>
    </w:p>
    <w:p w:rsidR="004201AD" w:rsidRPr="004201AD" w:rsidRDefault="004201AD" w:rsidP="004201AD">
      <w:r w:rsidRPr="004201AD">
        <w:lastRenderedPageBreak/>
        <w:t>Xiao, N. (2024). An Analysis of Tesla’s Disruptive Innovation Strategy. </w:t>
      </w:r>
      <w:r w:rsidRPr="004201AD">
        <w:rPr>
          <w:i/>
          <w:iCs/>
        </w:rPr>
        <w:t>Advances in Economics Management and Political Sciences</w:t>
      </w:r>
      <w:r w:rsidRPr="004201AD">
        <w:t xml:space="preserve">, [online] 121(1), pp.63–69. </w:t>
      </w:r>
      <w:proofErr w:type="spellStart"/>
      <w:proofErr w:type="gramStart"/>
      <w:r w:rsidRPr="004201AD">
        <w:t>doi</w:t>
      </w:r>
      <w:proofErr w:type="gramEnd"/>
      <w:r w:rsidRPr="004201AD">
        <w:t>:</w:t>
      </w:r>
      <w:hyperlink r:id="rId42" w:history="1">
        <w:r w:rsidRPr="004201AD">
          <w:rPr>
            <w:color w:val="0563C1" w:themeColor="hyperlink"/>
            <w:u w:val="single"/>
          </w:rPr>
          <w:t>https</w:t>
        </w:r>
        <w:proofErr w:type="spellEnd"/>
        <w:r w:rsidRPr="004201AD">
          <w:rPr>
            <w:color w:val="0563C1" w:themeColor="hyperlink"/>
            <w:u w:val="single"/>
          </w:rPr>
          <w:t>://doi.org/10.54254/2754-1169/121/20242572</w:t>
        </w:r>
      </w:hyperlink>
      <w:r w:rsidRPr="004201AD">
        <w:t>.</w:t>
      </w:r>
    </w:p>
    <w:p w:rsidR="004201AD" w:rsidRPr="004201AD" w:rsidRDefault="004201AD" w:rsidP="004201AD">
      <w:r w:rsidRPr="004201AD">
        <w:t>Xiao, N. (2024). An Analysis of Tesla’s Disruptive Innovation Strategy. </w:t>
      </w:r>
      <w:r w:rsidRPr="004201AD">
        <w:rPr>
          <w:i/>
          <w:iCs/>
        </w:rPr>
        <w:t>Advances in Economics Management and Political Sciences</w:t>
      </w:r>
      <w:r w:rsidRPr="004201AD">
        <w:t xml:space="preserve">, [online] 121(1), pp.63–69. </w:t>
      </w:r>
      <w:proofErr w:type="spellStart"/>
      <w:proofErr w:type="gramStart"/>
      <w:r w:rsidRPr="004201AD">
        <w:t>doi</w:t>
      </w:r>
      <w:proofErr w:type="gramEnd"/>
      <w:r w:rsidRPr="004201AD">
        <w:t>:</w:t>
      </w:r>
      <w:hyperlink r:id="rId43" w:history="1">
        <w:r w:rsidRPr="004201AD">
          <w:rPr>
            <w:color w:val="0563C1" w:themeColor="hyperlink"/>
            <w:u w:val="single"/>
          </w:rPr>
          <w:t>https</w:t>
        </w:r>
        <w:proofErr w:type="spellEnd"/>
        <w:r w:rsidRPr="004201AD">
          <w:rPr>
            <w:color w:val="0563C1" w:themeColor="hyperlink"/>
            <w:u w:val="single"/>
          </w:rPr>
          <w:t>://doi.org/10.54254/2754-1169/121/20242572</w:t>
        </w:r>
      </w:hyperlink>
      <w:r w:rsidRPr="004201AD">
        <w:t>.</w:t>
      </w:r>
    </w:p>
    <w:p w:rsidR="004201AD" w:rsidRPr="004201AD" w:rsidRDefault="004201AD" w:rsidP="004201AD">
      <w:r w:rsidRPr="004201AD">
        <w:t>Yahoo Finance (2025). </w:t>
      </w:r>
      <w:r w:rsidRPr="004201AD">
        <w:rPr>
          <w:i/>
          <w:iCs/>
        </w:rPr>
        <w:t>Tesla registers annual vehicle delivery drop in 2024</w:t>
      </w:r>
      <w:r w:rsidRPr="004201AD">
        <w:t>. [</w:t>
      </w:r>
      <w:proofErr w:type="gramStart"/>
      <w:r w:rsidRPr="004201AD">
        <w:t>online</w:t>
      </w:r>
      <w:proofErr w:type="gramEnd"/>
      <w:r w:rsidRPr="004201AD">
        <w:t xml:space="preserve">] Yahoo Finance. Available at: </w:t>
      </w:r>
      <w:hyperlink r:id="rId44" w:history="1">
        <w:r w:rsidRPr="004201AD">
          <w:rPr>
            <w:color w:val="0563C1" w:themeColor="hyperlink"/>
            <w:u w:val="single"/>
          </w:rPr>
          <w:t>https://finance.yahoo.com/news/tesla-registers-annual-vehicle-delivery-125318512.html</w:t>
        </w:r>
      </w:hyperlink>
      <w:r w:rsidRPr="004201AD">
        <w:t>.</w:t>
      </w:r>
    </w:p>
    <w:p w:rsidR="004201AD" w:rsidRPr="004201AD" w:rsidRDefault="004201AD" w:rsidP="004201AD">
      <w:r w:rsidRPr="004201AD">
        <w:t>Yu, Y. (2024). Market Competition Analysis and Strategic Research of Ford Motor Company. </w:t>
      </w:r>
      <w:r w:rsidRPr="004201AD">
        <w:rPr>
          <w:i/>
          <w:iCs/>
        </w:rPr>
        <w:t>Highlights in Business, Economics and Management</w:t>
      </w:r>
      <w:r w:rsidRPr="004201AD">
        <w:t xml:space="preserve">, [online] 24, pp.1263–1273. </w:t>
      </w:r>
      <w:proofErr w:type="spellStart"/>
      <w:proofErr w:type="gramStart"/>
      <w:r w:rsidRPr="004201AD">
        <w:t>doi</w:t>
      </w:r>
      <w:proofErr w:type="gramEnd"/>
      <w:r w:rsidRPr="004201AD">
        <w:t>:</w:t>
      </w:r>
      <w:hyperlink r:id="rId45" w:history="1">
        <w:r w:rsidRPr="004201AD">
          <w:rPr>
            <w:color w:val="0563C1" w:themeColor="hyperlink"/>
            <w:u w:val="single"/>
          </w:rPr>
          <w:t>https</w:t>
        </w:r>
        <w:proofErr w:type="spellEnd"/>
        <w:r w:rsidRPr="004201AD">
          <w:rPr>
            <w:color w:val="0563C1" w:themeColor="hyperlink"/>
            <w:u w:val="single"/>
          </w:rPr>
          <w:t>://doi.org/10.54097/99hc1323</w:t>
        </w:r>
      </w:hyperlink>
      <w:r w:rsidRPr="004201AD">
        <w:t>.</w:t>
      </w:r>
    </w:p>
    <w:p w:rsidR="004201AD" w:rsidRPr="004201AD" w:rsidRDefault="004201AD" w:rsidP="004201AD">
      <w:r w:rsidRPr="004201AD">
        <w:t>Zhang, H. (2023). The Application of Digital Technology in Tesla Automobile Industry: Key Factors and Global Market Expansion. </w:t>
      </w:r>
      <w:r w:rsidRPr="004201AD">
        <w:rPr>
          <w:i/>
          <w:iCs/>
        </w:rPr>
        <w:t>Highlights in Business, Economics and Management</w:t>
      </w:r>
      <w:r w:rsidRPr="004201AD">
        <w:t xml:space="preserve">, 23, pp.1094–1098. </w:t>
      </w:r>
      <w:proofErr w:type="spellStart"/>
      <w:proofErr w:type="gramStart"/>
      <w:r w:rsidRPr="004201AD">
        <w:t>doi</w:t>
      </w:r>
      <w:proofErr w:type="gramEnd"/>
      <w:r w:rsidRPr="004201AD">
        <w:t>:</w:t>
      </w:r>
      <w:hyperlink r:id="rId46" w:history="1">
        <w:r w:rsidRPr="004201AD">
          <w:rPr>
            <w:color w:val="0563C1" w:themeColor="hyperlink"/>
            <w:u w:val="single"/>
          </w:rPr>
          <w:t>https</w:t>
        </w:r>
        <w:proofErr w:type="spellEnd"/>
        <w:r w:rsidRPr="004201AD">
          <w:rPr>
            <w:color w:val="0563C1" w:themeColor="hyperlink"/>
            <w:u w:val="single"/>
          </w:rPr>
          <w:t>://doi.org/10.54097/01fbhb62</w:t>
        </w:r>
      </w:hyperlink>
      <w:r w:rsidRPr="004201AD">
        <w:t>.</w:t>
      </w:r>
    </w:p>
    <w:p w:rsidR="00AD4B5A" w:rsidRPr="00AD4B5A" w:rsidRDefault="00AD4B5A" w:rsidP="00AD4B5A"/>
    <w:sectPr w:rsidR="00AD4B5A" w:rsidRPr="00AD4B5A">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57E6" w:rsidRDefault="004657E6" w:rsidP="004201AD">
      <w:pPr>
        <w:spacing w:after="0" w:line="240" w:lineRule="auto"/>
      </w:pPr>
      <w:r>
        <w:separator/>
      </w:r>
    </w:p>
  </w:endnote>
  <w:endnote w:type="continuationSeparator" w:id="0">
    <w:p w:rsidR="004657E6" w:rsidRDefault="004657E6" w:rsidP="00420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2666054"/>
      <w:docPartObj>
        <w:docPartGallery w:val="Page Numbers (Bottom of Page)"/>
        <w:docPartUnique/>
      </w:docPartObj>
    </w:sdtPr>
    <w:sdtEndPr>
      <w:rPr>
        <w:noProof/>
      </w:rPr>
    </w:sdtEndPr>
    <w:sdtContent>
      <w:p w:rsidR="004201AD" w:rsidRDefault="004201AD">
        <w:pPr>
          <w:pStyle w:val="Footer"/>
          <w:jc w:val="right"/>
        </w:pPr>
        <w:r>
          <w:fldChar w:fldCharType="begin"/>
        </w:r>
        <w:r>
          <w:instrText xml:space="preserve"> PAGE   \* MERGEFORMAT </w:instrText>
        </w:r>
        <w:r>
          <w:fldChar w:fldCharType="separate"/>
        </w:r>
        <w:r w:rsidR="00D233A8">
          <w:rPr>
            <w:noProof/>
          </w:rPr>
          <w:t>18</w:t>
        </w:r>
        <w:r>
          <w:rPr>
            <w:noProof/>
          </w:rPr>
          <w:fldChar w:fldCharType="end"/>
        </w:r>
      </w:p>
    </w:sdtContent>
  </w:sdt>
  <w:p w:rsidR="004201AD" w:rsidRDefault="004201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57E6" w:rsidRDefault="004657E6" w:rsidP="004201AD">
      <w:pPr>
        <w:spacing w:after="0" w:line="240" w:lineRule="auto"/>
      </w:pPr>
      <w:r>
        <w:separator/>
      </w:r>
    </w:p>
  </w:footnote>
  <w:footnote w:type="continuationSeparator" w:id="0">
    <w:p w:rsidR="004657E6" w:rsidRDefault="004657E6" w:rsidP="004201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273"/>
    <w:rsid w:val="000030FA"/>
    <w:rsid w:val="00020323"/>
    <w:rsid w:val="00026A27"/>
    <w:rsid w:val="00032892"/>
    <w:rsid w:val="000C5587"/>
    <w:rsid w:val="001E3612"/>
    <w:rsid w:val="0020671D"/>
    <w:rsid w:val="00246FFB"/>
    <w:rsid w:val="002523F8"/>
    <w:rsid w:val="002E682A"/>
    <w:rsid w:val="003250BE"/>
    <w:rsid w:val="004201AD"/>
    <w:rsid w:val="00441200"/>
    <w:rsid w:val="004657E6"/>
    <w:rsid w:val="004929B8"/>
    <w:rsid w:val="005B0BA4"/>
    <w:rsid w:val="00600AFD"/>
    <w:rsid w:val="006F344B"/>
    <w:rsid w:val="00944BB3"/>
    <w:rsid w:val="00953C23"/>
    <w:rsid w:val="00967793"/>
    <w:rsid w:val="00A97280"/>
    <w:rsid w:val="00AD4B5A"/>
    <w:rsid w:val="00BC35F5"/>
    <w:rsid w:val="00BE7D80"/>
    <w:rsid w:val="00D233A8"/>
    <w:rsid w:val="00DA4A37"/>
    <w:rsid w:val="00DC50E6"/>
    <w:rsid w:val="00E11273"/>
    <w:rsid w:val="00E72AC3"/>
    <w:rsid w:val="00F136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7BA5F1-6A78-4D5D-8F83-16A0B0A78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020323"/>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020323"/>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Heading2"/>
    <w:next w:val="Normal"/>
    <w:link w:val="Heading3Char"/>
    <w:uiPriority w:val="9"/>
    <w:unhideWhenUsed/>
    <w:qFormat/>
    <w:rsid w:val="00BC35F5"/>
    <w:pPr>
      <w:outlineLvl w:val="2"/>
    </w:pPr>
    <w:rPr>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323"/>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020323"/>
    <w:rPr>
      <w:rFonts w:ascii="Arial" w:eastAsiaTheme="majorEastAsia" w:hAnsi="Arial" w:cstheme="majorBidi"/>
      <w:b/>
      <w:color w:val="2E74B5" w:themeColor="accent1" w:themeShade="BF"/>
      <w:sz w:val="28"/>
      <w:szCs w:val="26"/>
    </w:rPr>
  </w:style>
  <w:style w:type="character" w:customStyle="1" w:styleId="Heading3Char">
    <w:name w:val="Heading 3 Char"/>
    <w:basedOn w:val="DefaultParagraphFont"/>
    <w:link w:val="Heading3"/>
    <w:uiPriority w:val="9"/>
    <w:rsid w:val="00BC35F5"/>
    <w:rPr>
      <w:rFonts w:ascii="Arial" w:eastAsiaTheme="majorEastAsia" w:hAnsi="Arial" w:cstheme="majorBidi"/>
      <w:b/>
      <w:color w:val="000000" w:themeColor="text1"/>
      <w:sz w:val="24"/>
      <w:szCs w:val="26"/>
    </w:rPr>
  </w:style>
  <w:style w:type="paragraph" w:styleId="Caption">
    <w:name w:val="caption"/>
    <w:basedOn w:val="Normal"/>
    <w:next w:val="Normal"/>
    <w:uiPriority w:val="35"/>
    <w:unhideWhenUsed/>
    <w:qFormat/>
    <w:rsid w:val="00BC35F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201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01AD"/>
    <w:rPr>
      <w:rFonts w:ascii="Arial" w:hAnsi="Arial"/>
      <w:sz w:val="24"/>
    </w:rPr>
  </w:style>
  <w:style w:type="paragraph" w:styleId="Footer">
    <w:name w:val="footer"/>
    <w:basedOn w:val="Normal"/>
    <w:link w:val="FooterChar"/>
    <w:uiPriority w:val="99"/>
    <w:unhideWhenUsed/>
    <w:rsid w:val="004201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01AD"/>
    <w:rPr>
      <w:rFonts w:ascii="Arial" w:hAnsi="Arial"/>
      <w:sz w:val="24"/>
    </w:rPr>
  </w:style>
  <w:style w:type="paragraph" w:styleId="TOCHeading">
    <w:name w:val="TOC Heading"/>
    <w:basedOn w:val="Heading1"/>
    <w:next w:val="Normal"/>
    <w:uiPriority w:val="39"/>
    <w:unhideWhenUsed/>
    <w:qFormat/>
    <w:rsid w:val="004201A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201AD"/>
    <w:pPr>
      <w:spacing w:after="100"/>
    </w:pPr>
  </w:style>
  <w:style w:type="paragraph" w:styleId="TOC2">
    <w:name w:val="toc 2"/>
    <w:basedOn w:val="Normal"/>
    <w:next w:val="Normal"/>
    <w:autoRedefine/>
    <w:uiPriority w:val="39"/>
    <w:unhideWhenUsed/>
    <w:rsid w:val="004201AD"/>
    <w:pPr>
      <w:spacing w:after="100"/>
      <w:ind w:left="240"/>
    </w:pPr>
  </w:style>
  <w:style w:type="paragraph" w:styleId="TOC3">
    <w:name w:val="toc 3"/>
    <w:basedOn w:val="Normal"/>
    <w:next w:val="Normal"/>
    <w:autoRedefine/>
    <w:uiPriority w:val="39"/>
    <w:unhideWhenUsed/>
    <w:rsid w:val="004201AD"/>
    <w:pPr>
      <w:spacing w:after="100"/>
      <w:ind w:left="480"/>
    </w:pPr>
  </w:style>
  <w:style w:type="character" w:styleId="Hyperlink">
    <w:name w:val="Hyperlink"/>
    <w:basedOn w:val="DefaultParagraphFont"/>
    <w:uiPriority w:val="99"/>
    <w:unhideWhenUsed/>
    <w:rsid w:val="004201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doi.org/10.2139/ssrn.4978830" TargetMode="External"/><Relationship Id="rId26" Type="http://schemas.openxmlformats.org/officeDocument/2006/relationships/hyperlink" Target="https://www.iea.org/reports/global-ev-outlook-2025/executive-summary" TargetMode="External"/><Relationship Id="rId39" Type="http://schemas.openxmlformats.org/officeDocument/2006/relationships/hyperlink" Target="https://www.tesla.com/supercharger" TargetMode="External"/><Relationship Id="rId21" Type="http://schemas.openxmlformats.org/officeDocument/2006/relationships/hyperlink" Target="https://doi.org/10.1016/j.erss.2022.102659" TargetMode="External"/><Relationship Id="rId34" Type="http://schemas.openxmlformats.org/officeDocument/2006/relationships/hyperlink" Target="https://doi.org/10.1016/j.seta.2024.104119" TargetMode="External"/><Relationship Id="rId42" Type="http://schemas.openxmlformats.org/officeDocument/2006/relationships/hyperlink" Target="https://doi.org/10.54254/2754-1169/121/20242572"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doi.org/10.54254/2754-1169/92/20231197" TargetMode="External"/><Relationship Id="rId11" Type="http://schemas.openxmlformats.org/officeDocument/2006/relationships/diagramQuickStyle" Target="diagrams/quickStyle1.xml"/><Relationship Id="rId24" Type="http://schemas.openxmlformats.org/officeDocument/2006/relationships/hyperlink" Target="https://www.eea.europa.eu/en/analysis/indicators/co2-performance-of-new-passenger" TargetMode="External"/><Relationship Id="rId32" Type="http://schemas.openxmlformats.org/officeDocument/2006/relationships/hyperlink" Target="https://www.b2binternational.com/2025/04/03/pestle-analysis/" TargetMode="External"/><Relationship Id="rId37" Type="http://schemas.openxmlformats.org/officeDocument/2006/relationships/hyperlink" Target="https://doi.org/10.62051/f5tc1w57" TargetMode="External"/><Relationship Id="rId40" Type="http://schemas.openxmlformats.org/officeDocument/2006/relationships/hyperlink" Target="https://doi.org/10.1016/j.nxener.2026.100528" TargetMode="External"/><Relationship Id="rId45" Type="http://schemas.openxmlformats.org/officeDocument/2006/relationships/hyperlink" Target="https://doi.org/10.54097/99hc1323"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reuters.com/business/autos-transportation/ford-projects-mounting-ev-losses-2025-q4-profit-up-2025-02-05/" TargetMode="External"/><Relationship Id="rId28" Type="http://schemas.openxmlformats.org/officeDocument/2006/relationships/hyperlink" Target="https://edition.cnn.com/2025/07/22/business/tesla-regulatory-credit-sales-revenue" TargetMode="External"/><Relationship Id="rId36" Type="http://schemas.openxmlformats.org/officeDocument/2006/relationships/hyperlink" Target="https://doi.org/10.13140/RG.2.2.33689.68968" TargetMode="External"/><Relationship Id="rId49"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doi.org/10.1016/j.tranpol.2025.103821" TargetMode="External"/><Relationship Id="rId31" Type="http://schemas.openxmlformats.org/officeDocument/2006/relationships/hyperlink" Target="https://doi.org/10.54254/2754-1169/2025.cau27622" TargetMode="External"/><Relationship Id="rId44" Type="http://schemas.openxmlformats.org/officeDocument/2006/relationships/hyperlink" Target="https://finance.yahoo.com/news/tesla-registers-annual-vehicle-delivery-125318512.html"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5.png"/><Relationship Id="rId22" Type="http://schemas.openxmlformats.org/officeDocument/2006/relationships/hyperlink" Target="https://doi.org/10.13140/RG.2.2.32395.60963" TargetMode="External"/><Relationship Id="rId27" Type="http://schemas.openxmlformats.org/officeDocument/2006/relationships/hyperlink" Target="https://www.iea.org/reports/global-ev-outlook-2025/trends-in-electric-car-markets-2" TargetMode="External"/><Relationship Id="rId30" Type="http://schemas.openxmlformats.org/officeDocument/2006/relationships/hyperlink" Target="https://doi.org/10.1016/j.egyr.2025.02.029" TargetMode="External"/><Relationship Id="rId35" Type="http://schemas.openxmlformats.org/officeDocument/2006/relationships/hyperlink" Target="https://doi.org/10.13140/RG.2.2.33689.68968" TargetMode="External"/><Relationship Id="rId43" Type="http://schemas.openxmlformats.org/officeDocument/2006/relationships/hyperlink" Target="https://doi.org/10.54254/2754-1169/121/20242572"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hyperlink" Target="https://doi.org/10.22161/ijaems.76.5" TargetMode="External"/><Relationship Id="rId25" Type="http://schemas.openxmlformats.org/officeDocument/2006/relationships/hyperlink" Target="https://media.ford.com/content/fordmedia/feu/gb/en/news/2022/07/21/Ford-Releases-New-Battery-Capacity-Plan.html" TargetMode="External"/><Relationship Id="rId33" Type="http://schemas.openxmlformats.org/officeDocument/2006/relationships/hyperlink" Target="https://doi.org/10.1016/j.hybadv.2024.100277" TargetMode="External"/><Relationship Id="rId38" Type="http://schemas.openxmlformats.org/officeDocument/2006/relationships/hyperlink" Target="https://ir.tesla.com/_flysystem/s3/sec/000162828025003063/tsla-20241231-gen.pdf" TargetMode="External"/><Relationship Id="rId46" Type="http://schemas.openxmlformats.org/officeDocument/2006/relationships/hyperlink" Target="https://doi.org/10.54097/01fbhb62" TargetMode="External"/><Relationship Id="rId20" Type="http://schemas.openxmlformats.org/officeDocument/2006/relationships/hyperlink" Target="https://futurumgroup.com/insights/fords-broadened-ev-strategy-with-focus-on-profitability-and-new-models/" TargetMode="External"/><Relationship Id="rId41" Type="http://schemas.openxmlformats.org/officeDocument/2006/relationships/hyperlink" Target="https://sustainabilitymag.com/news/ford-reshaping-sustainability-strategies-to-incorporate-evs" TargetMode="External"/><Relationship Id="rId1" Type="http://schemas.openxmlformats.org/officeDocument/2006/relationships/customXml" Target="../customXml/item1.xml"/><Relationship Id="rId6" Type="http://schemas.openxmlformats.org/officeDocument/2006/relationships/endnotes" Target="endnotes.xml"/></Relationships>
</file>

<file path=word/diagrams/_rels/data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diagrams/_rels/drawing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1F60E4-DE25-4649-947E-4944A1CDC8F3}" type="doc">
      <dgm:prSet loTypeId="urn:microsoft.com/office/officeart/2005/8/layout/vList4" loCatId="picture" qsTypeId="urn:microsoft.com/office/officeart/2005/8/quickstyle/simple1" qsCatId="simple" csTypeId="urn:microsoft.com/office/officeart/2005/8/colors/colorful5" csCatId="colorful" phldr="1"/>
      <dgm:spPr/>
      <dgm:t>
        <a:bodyPr/>
        <a:lstStyle/>
        <a:p>
          <a:endParaRPr lang="en-US"/>
        </a:p>
      </dgm:t>
    </dgm:pt>
    <dgm:pt modelId="{80CCC1D6-8E5D-4E9A-847E-455312CD1A0A}">
      <dgm:prSet phldrT="[Text]" custT="1"/>
      <dgm:spPr/>
      <dgm:t>
        <a:bodyPr/>
        <a:lstStyle/>
        <a:p>
          <a:r>
            <a:rPr lang="en-US" sz="1400" b="1">
              <a:latin typeface="Arial" panose="020B0604020202020204" pitchFamily="34" charset="0"/>
              <a:cs typeface="Arial" panose="020B0604020202020204" pitchFamily="34" charset="0"/>
            </a:rPr>
            <a:t>Technological factors</a:t>
          </a:r>
        </a:p>
      </dgm:t>
    </dgm:pt>
    <dgm:pt modelId="{8AB31FBF-C4D8-42E1-97FB-00C1CA2CDC40}" type="parTrans" cxnId="{98F41E5C-CAB1-46C2-8FF1-F08C8431F16F}">
      <dgm:prSet/>
      <dgm:spPr/>
      <dgm:t>
        <a:bodyPr/>
        <a:lstStyle/>
        <a:p>
          <a:endParaRPr lang="en-US">
            <a:latin typeface="Arial" panose="020B0604020202020204" pitchFamily="34" charset="0"/>
            <a:cs typeface="Arial" panose="020B0604020202020204" pitchFamily="34" charset="0"/>
          </a:endParaRPr>
        </a:p>
      </dgm:t>
    </dgm:pt>
    <dgm:pt modelId="{B5CBBEE7-458F-427F-B3B8-B9D8D6BD2C32}" type="sibTrans" cxnId="{98F41E5C-CAB1-46C2-8FF1-F08C8431F16F}">
      <dgm:prSet/>
      <dgm:spPr/>
      <dgm:t>
        <a:bodyPr/>
        <a:lstStyle/>
        <a:p>
          <a:endParaRPr lang="en-US">
            <a:latin typeface="Arial" panose="020B0604020202020204" pitchFamily="34" charset="0"/>
            <a:cs typeface="Arial" panose="020B0604020202020204" pitchFamily="34" charset="0"/>
          </a:endParaRPr>
        </a:p>
      </dgm:t>
    </dgm:pt>
    <dgm:pt modelId="{EE5E8889-3EDB-4188-BC4D-BFF15FCFB343}">
      <dgm:prSet phldrT="[Text]"/>
      <dgm:spPr/>
      <dgm:t>
        <a:bodyPr/>
        <a:lstStyle/>
        <a:p>
          <a:r>
            <a:rPr lang="en-US" sz="900" b="1">
              <a:latin typeface="Arial" panose="020B0604020202020204" pitchFamily="34" charset="0"/>
              <a:cs typeface="Arial" panose="020B0604020202020204" pitchFamily="34" charset="0"/>
            </a:rPr>
            <a:t>Battery technology advancement</a:t>
          </a:r>
          <a:r>
            <a:rPr lang="en-US" sz="900">
              <a:latin typeface="Arial" panose="020B0604020202020204" pitchFamily="34" charset="0"/>
              <a:cs typeface="Arial" panose="020B0604020202020204" pitchFamily="34" charset="0"/>
            </a:rPr>
            <a:t>: Improvements in battery range, charging speed, lifespan, and cost.</a:t>
          </a:r>
        </a:p>
      </dgm:t>
    </dgm:pt>
    <dgm:pt modelId="{0540E2A4-147A-4333-9978-6F572E048BBB}" type="parTrans" cxnId="{3DBC06F2-CE89-45C7-B584-20AB54616D8B}">
      <dgm:prSet/>
      <dgm:spPr/>
      <dgm:t>
        <a:bodyPr/>
        <a:lstStyle/>
        <a:p>
          <a:endParaRPr lang="en-US">
            <a:latin typeface="Arial" panose="020B0604020202020204" pitchFamily="34" charset="0"/>
            <a:cs typeface="Arial" panose="020B0604020202020204" pitchFamily="34" charset="0"/>
          </a:endParaRPr>
        </a:p>
      </dgm:t>
    </dgm:pt>
    <dgm:pt modelId="{70FDEADF-8E56-4E4E-91A7-002E7C9DF027}" type="sibTrans" cxnId="{3DBC06F2-CE89-45C7-B584-20AB54616D8B}">
      <dgm:prSet/>
      <dgm:spPr/>
      <dgm:t>
        <a:bodyPr/>
        <a:lstStyle/>
        <a:p>
          <a:endParaRPr lang="en-US">
            <a:latin typeface="Arial" panose="020B0604020202020204" pitchFamily="34" charset="0"/>
            <a:cs typeface="Arial" panose="020B0604020202020204" pitchFamily="34" charset="0"/>
          </a:endParaRPr>
        </a:p>
      </dgm:t>
    </dgm:pt>
    <dgm:pt modelId="{2D6C5EF5-6FD7-4D69-BEFB-2ADA2A7E3C37}">
      <dgm:prSet phldrT="[Text]"/>
      <dgm:spPr/>
      <dgm:t>
        <a:bodyPr/>
        <a:lstStyle/>
        <a:p>
          <a:r>
            <a:rPr lang="en-US" sz="900" b="1">
              <a:latin typeface="Arial" panose="020B0604020202020204" pitchFamily="34" charset="0"/>
              <a:cs typeface="Arial" panose="020B0604020202020204" pitchFamily="34" charset="0"/>
            </a:rPr>
            <a:t>Charging infrastructure development: </a:t>
          </a:r>
          <a:r>
            <a:rPr lang="en-US" sz="900">
              <a:latin typeface="Arial" panose="020B0604020202020204" pitchFamily="34" charset="0"/>
              <a:cs typeface="Arial" panose="020B0604020202020204" pitchFamily="34" charset="0"/>
            </a:rPr>
            <a:t>Expansion and accessibility of public and private charging networks.</a:t>
          </a:r>
        </a:p>
      </dgm:t>
    </dgm:pt>
    <dgm:pt modelId="{C934D87E-09A8-48ED-B021-DD3175342BFF}" type="parTrans" cxnId="{6FBB0B7D-D2BD-424D-A964-FEBD70E3C11F}">
      <dgm:prSet/>
      <dgm:spPr/>
      <dgm:t>
        <a:bodyPr/>
        <a:lstStyle/>
        <a:p>
          <a:endParaRPr lang="en-US">
            <a:latin typeface="Arial" panose="020B0604020202020204" pitchFamily="34" charset="0"/>
            <a:cs typeface="Arial" panose="020B0604020202020204" pitchFamily="34" charset="0"/>
          </a:endParaRPr>
        </a:p>
      </dgm:t>
    </dgm:pt>
    <dgm:pt modelId="{91A25D7F-5168-4284-B985-8922931D5006}" type="sibTrans" cxnId="{6FBB0B7D-D2BD-424D-A964-FEBD70E3C11F}">
      <dgm:prSet/>
      <dgm:spPr/>
      <dgm:t>
        <a:bodyPr/>
        <a:lstStyle/>
        <a:p>
          <a:endParaRPr lang="en-US">
            <a:latin typeface="Arial" panose="020B0604020202020204" pitchFamily="34" charset="0"/>
            <a:cs typeface="Arial" panose="020B0604020202020204" pitchFamily="34" charset="0"/>
          </a:endParaRPr>
        </a:p>
      </dgm:t>
    </dgm:pt>
    <dgm:pt modelId="{10233343-DC5B-4CD3-9271-36D3FBFB4574}">
      <dgm:prSet phldrT="[Text]" custT="1"/>
      <dgm:spPr/>
      <dgm:t>
        <a:bodyPr/>
        <a:lstStyle/>
        <a:p>
          <a:r>
            <a:rPr lang="en-US" sz="1400" b="1">
              <a:latin typeface="Arial" panose="020B0604020202020204" pitchFamily="34" charset="0"/>
              <a:cs typeface="Arial" panose="020B0604020202020204" pitchFamily="34" charset="0"/>
            </a:rPr>
            <a:t>Legal factors</a:t>
          </a:r>
        </a:p>
      </dgm:t>
    </dgm:pt>
    <dgm:pt modelId="{90EEFD7D-AD6F-4CD4-A7E1-8D6536557CB5}" type="parTrans" cxnId="{42E0F2A2-680F-4A45-A2FB-717ACA13D5E0}">
      <dgm:prSet/>
      <dgm:spPr/>
      <dgm:t>
        <a:bodyPr/>
        <a:lstStyle/>
        <a:p>
          <a:endParaRPr lang="en-US">
            <a:latin typeface="Arial" panose="020B0604020202020204" pitchFamily="34" charset="0"/>
            <a:cs typeface="Arial" panose="020B0604020202020204" pitchFamily="34" charset="0"/>
          </a:endParaRPr>
        </a:p>
      </dgm:t>
    </dgm:pt>
    <dgm:pt modelId="{51337BFB-69D3-48A3-84F9-59E5043CCF02}" type="sibTrans" cxnId="{42E0F2A2-680F-4A45-A2FB-717ACA13D5E0}">
      <dgm:prSet/>
      <dgm:spPr/>
      <dgm:t>
        <a:bodyPr/>
        <a:lstStyle/>
        <a:p>
          <a:endParaRPr lang="en-US">
            <a:latin typeface="Arial" panose="020B0604020202020204" pitchFamily="34" charset="0"/>
            <a:cs typeface="Arial" panose="020B0604020202020204" pitchFamily="34" charset="0"/>
          </a:endParaRPr>
        </a:p>
      </dgm:t>
    </dgm:pt>
    <dgm:pt modelId="{DCF9D419-DE8C-4432-A018-3E54C36B6EDF}">
      <dgm:prSet phldrT="[Text]"/>
      <dgm:spPr/>
      <dgm:t>
        <a:bodyPr/>
        <a:lstStyle/>
        <a:p>
          <a:r>
            <a:rPr lang="en-US" sz="900" b="1">
              <a:latin typeface="Arial" panose="020B0604020202020204" pitchFamily="34" charset="0"/>
              <a:cs typeface="Arial" panose="020B0604020202020204" pitchFamily="34" charset="0"/>
            </a:rPr>
            <a:t>Vehicle emissions regulations: </a:t>
          </a:r>
          <a:r>
            <a:rPr lang="en-US" sz="900">
              <a:latin typeface="Arial" panose="020B0604020202020204" pitchFamily="34" charset="0"/>
              <a:cs typeface="Arial" panose="020B0604020202020204" pitchFamily="34" charset="0"/>
            </a:rPr>
            <a:t>Laws pushing firms away from internal combustion engines and toward zero-emission vehicles.
</a:t>
          </a:r>
          <a:r>
            <a:rPr lang="en-US" sz="900" b="1">
              <a:latin typeface="Arial" panose="020B0604020202020204" pitchFamily="34" charset="0"/>
              <a:cs typeface="Arial" panose="020B0604020202020204" pitchFamily="34" charset="0"/>
            </a:rPr>
            <a:t>Government EV incentives and subsidy schemes: </a:t>
          </a:r>
          <a:r>
            <a:rPr lang="en-US" sz="900">
              <a:latin typeface="Arial" panose="020B0604020202020204" pitchFamily="34" charset="0"/>
              <a:cs typeface="Arial" panose="020B0604020202020204" pitchFamily="34" charset="0"/>
            </a:rPr>
            <a:t>Legal frameworks supporting EV adoption through tax credits, grants, or purchase incentives.
</a:t>
          </a:r>
          <a:r>
            <a:rPr lang="en-US" sz="900" b="1">
              <a:latin typeface="Arial" panose="020B0604020202020204" pitchFamily="34" charset="0"/>
              <a:cs typeface="Arial" panose="020B0604020202020204" pitchFamily="34" charset="0"/>
            </a:rPr>
            <a:t>Battery disposal and recycling regulations: </a:t>
          </a:r>
          <a:r>
            <a:rPr lang="en-US" sz="900">
              <a:latin typeface="Arial" panose="020B0604020202020204" pitchFamily="34" charset="0"/>
              <a:cs typeface="Arial" panose="020B0604020202020204" pitchFamily="34" charset="0"/>
            </a:rPr>
            <a:t>Legal requirements on environmental handling, reuse, and disposal of EV batteries.
</a:t>
          </a:r>
          <a:r>
            <a:rPr lang="en-US" sz="900" b="1">
              <a:latin typeface="Arial" panose="020B0604020202020204" pitchFamily="34" charset="0"/>
              <a:cs typeface="Arial" panose="020B0604020202020204" pitchFamily="34" charset="0"/>
            </a:rPr>
            <a:t>Vehicle safety and compliance standards: </a:t>
          </a:r>
          <a:r>
            <a:rPr lang="en-US" sz="900">
              <a:latin typeface="Arial" panose="020B0604020202020204" pitchFamily="34" charset="0"/>
              <a:cs typeface="Arial" panose="020B0604020202020204" pitchFamily="34" charset="0"/>
            </a:rPr>
            <a:t>Rules covering crash safety, autonomous features, battery safety, and product certification.
</a:t>
          </a:r>
          <a:r>
            <a:rPr lang="en-US" sz="900" b="1">
              <a:latin typeface="Arial" panose="020B0604020202020204" pitchFamily="34" charset="0"/>
              <a:cs typeface="Arial" panose="020B0604020202020204" pitchFamily="34" charset="0"/>
            </a:rPr>
            <a:t>Trade policies and import/export regulations: </a:t>
          </a:r>
          <a:r>
            <a:rPr lang="en-US" sz="900">
              <a:latin typeface="Arial" panose="020B0604020202020204" pitchFamily="34" charset="0"/>
              <a:cs typeface="Arial" panose="020B0604020202020204" pitchFamily="34" charset="0"/>
            </a:rPr>
            <a:t>Tariffs, local production rules, and international legal barriers affecting EV supply chains and market access.</a:t>
          </a:r>
        </a:p>
      </dgm:t>
    </dgm:pt>
    <dgm:pt modelId="{CAE13CCE-4201-4C07-90E0-3DDC3B54C71E}" type="parTrans" cxnId="{CB8210B8-7053-4E38-9DC4-C3662BD01E89}">
      <dgm:prSet/>
      <dgm:spPr/>
      <dgm:t>
        <a:bodyPr/>
        <a:lstStyle/>
        <a:p>
          <a:endParaRPr lang="en-US">
            <a:latin typeface="Arial" panose="020B0604020202020204" pitchFamily="34" charset="0"/>
            <a:cs typeface="Arial" panose="020B0604020202020204" pitchFamily="34" charset="0"/>
          </a:endParaRPr>
        </a:p>
      </dgm:t>
    </dgm:pt>
    <dgm:pt modelId="{14979D73-3089-4B02-954C-39C6B2A2EFD7}" type="sibTrans" cxnId="{CB8210B8-7053-4E38-9DC4-C3662BD01E89}">
      <dgm:prSet/>
      <dgm:spPr/>
      <dgm:t>
        <a:bodyPr/>
        <a:lstStyle/>
        <a:p>
          <a:endParaRPr lang="en-US">
            <a:latin typeface="Arial" panose="020B0604020202020204" pitchFamily="34" charset="0"/>
            <a:cs typeface="Arial" panose="020B0604020202020204" pitchFamily="34" charset="0"/>
          </a:endParaRPr>
        </a:p>
      </dgm:t>
    </dgm:pt>
    <dgm:pt modelId="{3F276FFC-6168-4468-B0E3-F25BF5D97449}">
      <dgm:prSet phldrT="[Text]"/>
      <dgm:spPr/>
      <dgm:t>
        <a:bodyPr/>
        <a:lstStyle/>
        <a:p>
          <a:r>
            <a:rPr lang="en-US" sz="900" b="1">
              <a:latin typeface="Arial" panose="020B0604020202020204" pitchFamily="34" charset="0"/>
              <a:cs typeface="Arial" panose="020B0604020202020204" pitchFamily="34" charset="0"/>
            </a:rPr>
            <a:t>Software and connectivity systems:</a:t>
          </a:r>
          <a:r>
            <a:rPr lang="en-US" sz="900">
              <a:latin typeface="Arial" panose="020B0604020202020204" pitchFamily="34" charset="0"/>
              <a:cs typeface="Arial" panose="020B0604020202020204" pitchFamily="34" charset="0"/>
            </a:rPr>
            <a:t> Use of AI, over-the-air updates, smart features, and vehicle data systems.</a:t>
          </a:r>
        </a:p>
      </dgm:t>
    </dgm:pt>
    <dgm:pt modelId="{0C773983-814F-4B59-9D5C-CA66D69BC7CB}" type="parTrans" cxnId="{AD36DCAD-6687-41DC-8193-6EFA2A013AB4}">
      <dgm:prSet/>
      <dgm:spPr/>
      <dgm:t>
        <a:bodyPr/>
        <a:lstStyle/>
        <a:p>
          <a:endParaRPr lang="en-US">
            <a:latin typeface="Arial" panose="020B0604020202020204" pitchFamily="34" charset="0"/>
            <a:cs typeface="Arial" panose="020B0604020202020204" pitchFamily="34" charset="0"/>
          </a:endParaRPr>
        </a:p>
      </dgm:t>
    </dgm:pt>
    <dgm:pt modelId="{DC3E1140-AD90-474C-9692-6B39057613BE}" type="sibTrans" cxnId="{AD36DCAD-6687-41DC-8193-6EFA2A013AB4}">
      <dgm:prSet/>
      <dgm:spPr/>
      <dgm:t>
        <a:bodyPr/>
        <a:lstStyle/>
        <a:p>
          <a:endParaRPr lang="en-US">
            <a:latin typeface="Arial" panose="020B0604020202020204" pitchFamily="34" charset="0"/>
            <a:cs typeface="Arial" panose="020B0604020202020204" pitchFamily="34" charset="0"/>
          </a:endParaRPr>
        </a:p>
      </dgm:t>
    </dgm:pt>
    <dgm:pt modelId="{872C0656-6406-4DB2-8B1E-A9A91ACA4E5D}">
      <dgm:prSet phldrT="[Text]"/>
      <dgm:spPr/>
      <dgm:t>
        <a:bodyPr/>
        <a:lstStyle/>
        <a:p>
          <a:r>
            <a:rPr lang="en-US" sz="900" b="1">
              <a:latin typeface="Arial" panose="020B0604020202020204" pitchFamily="34" charset="0"/>
              <a:cs typeface="Arial" panose="020B0604020202020204" pitchFamily="34" charset="0"/>
            </a:rPr>
            <a:t>Autonomous and driver-assistance technology: </a:t>
          </a:r>
          <a:r>
            <a:rPr lang="en-US" sz="900">
              <a:latin typeface="Arial" panose="020B0604020202020204" pitchFamily="34" charset="0"/>
              <a:cs typeface="Arial" panose="020B0604020202020204" pitchFamily="34" charset="0"/>
            </a:rPr>
            <a:t>Development of self-driving and advanced safety technologies.</a:t>
          </a:r>
        </a:p>
      </dgm:t>
    </dgm:pt>
    <dgm:pt modelId="{8E1DA8E6-6A54-4D8F-AC74-36502BD75FC5}" type="parTrans" cxnId="{15C2EB40-9119-4476-974A-89370040FF7E}">
      <dgm:prSet/>
      <dgm:spPr/>
      <dgm:t>
        <a:bodyPr/>
        <a:lstStyle/>
        <a:p>
          <a:endParaRPr lang="en-US">
            <a:latin typeface="Arial" panose="020B0604020202020204" pitchFamily="34" charset="0"/>
            <a:cs typeface="Arial" panose="020B0604020202020204" pitchFamily="34" charset="0"/>
          </a:endParaRPr>
        </a:p>
      </dgm:t>
    </dgm:pt>
    <dgm:pt modelId="{8A7EC4B2-AEA4-4535-A209-980A57A4C349}" type="sibTrans" cxnId="{15C2EB40-9119-4476-974A-89370040FF7E}">
      <dgm:prSet/>
      <dgm:spPr/>
      <dgm:t>
        <a:bodyPr/>
        <a:lstStyle/>
        <a:p>
          <a:endParaRPr lang="en-US">
            <a:latin typeface="Arial" panose="020B0604020202020204" pitchFamily="34" charset="0"/>
            <a:cs typeface="Arial" panose="020B0604020202020204" pitchFamily="34" charset="0"/>
          </a:endParaRPr>
        </a:p>
      </dgm:t>
    </dgm:pt>
    <dgm:pt modelId="{24A3D429-F30B-4CAF-B083-6CCB0FA2B6F8}">
      <dgm:prSet phldrT="[Text]"/>
      <dgm:spPr/>
      <dgm:t>
        <a:bodyPr/>
        <a:lstStyle/>
        <a:p>
          <a:r>
            <a:rPr lang="en-US" sz="900" b="1">
              <a:latin typeface="Arial" panose="020B0604020202020204" pitchFamily="34" charset="0"/>
              <a:cs typeface="Arial" panose="020B0604020202020204" pitchFamily="34" charset="0"/>
            </a:rPr>
            <a:t>Manufacturing and production innovation: </a:t>
          </a:r>
          <a:r>
            <a:rPr lang="en-US" sz="900">
              <a:latin typeface="Arial" panose="020B0604020202020204" pitchFamily="34" charset="0"/>
              <a:cs typeface="Arial" panose="020B0604020202020204" pitchFamily="34" charset="0"/>
            </a:rPr>
            <a:t>Automation, platform efficiency, and new production methods that reduce cost and improve scalability.</a:t>
          </a:r>
        </a:p>
      </dgm:t>
    </dgm:pt>
    <dgm:pt modelId="{7D34859E-4EEB-453D-A135-30C288F3FD61}" type="parTrans" cxnId="{4163B335-13CF-4CF4-A1CB-C647E30DF9E3}">
      <dgm:prSet/>
      <dgm:spPr/>
      <dgm:t>
        <a:bodyPr/>
        <a:lstStyle/>
        <a:p>
          <a:endParaRPr lang="en-US">
            <a:latin typeface="Arial" panose="020B0604020202020204" pitchFamily="34" charset="0"/>
            <a:cs typeface="Arial" panose="020B0604020202020204" pitchFamily="34" charset="0"/>
          </a:endParaRPr>
        </a:p>
      </dgm:t>
    </dgm:pt>
    <dgm:pt modelId="{21CBD708-04F2-4F5D-AC02-7949BE2C9FC0}" type="sibTrans" cxnId="{4163B335-13CF-4CF4-A1CB-C647E30DF9E3}">
      <dgm:prSet/>
      <dgm:spPr/>
      <dgm:t>
        <a:bodyPr/>
        <a:lstStyle/>
        <a:p>
          <a:endParaRPr lang="en-US">
            <a:latin typeface="Arial" panose="020B0604020202020204" pitchFamily="34" charset="0"/>
            <a:cs typeface="Arial" panose="020B0604020202020204" pitchFamily="34" charset="0"/>
          </a:endParaRPr>
        </a:p>
      </dgm:t>
    </dgm:pt>
    <dgm:pt modelId="{030F4DC5-D6B0-4497-ACFF-39E83CB3B39A}" type="pres">
      <dgm:prSet presAssocID="{251F60E4-DE25-4649-947E-4944A1CDC8F3}" presName="linear" presStyleCnt="0">
        <dgm:presLayoutVars>
          <dgm:dir/>
          <dgm:resizeHandles val="exact"/>
        </dgm:presLayoutVars>
      </dgm:prSet>
      <dgm:spPr/>
      <dgm:t>
        <a:bodyPr/>
        <a:lstStyle/>
        <a:p>
          <a:endParaRPr lang="en-US"/>
        </a:p>
      </dgm:t>
    </dgm:pt>
    <dgm:pt modelId="{8140B3CA-E07F-4A7D-B7DD-FB70EC88DDC6}" type="pres">
      <dgm:prSet presAssocID="{80CCC1D6-8E5D-4E9A-847E-455312CD1A0A}" presName="comp" presStyleCnt="0"/>
      <dgm:spPr/>
    </dgm:pt>
    <dgm:pt modelId="{BF87A948-727E-42AA-8656-5A04D4A502DD}" type="pres">
      <dgm:prSet presAssocID="{80CCC1D6-8E5D-4E9A-847E-455312CD1A0A}" presName="box" presStyleLbl="node1" presStyleIdx="0" presStyleCnt="2"/>
      <dgm:spPr/>
      <dgm:t>
        <a:bodyPr/>
        <a:lstStyle/>
        <a:p>
          <a:endParaRPr lang="en-US"/>
        </a:p>
      </dgm:t>
    </dgm:pt>
    <dgm:pt modelId="{C7C74F22-76E9-4E99-BCD9-A8957B3BDA51}" type="pres">
      <dgm:prSet presAssocID="{80CCC1D6-8E5D-4E9A-847E-455312CD1A0A}" presName="img" presStyleLbl="fgImgPlace1" presStyleIdx="0" presStyleCnt="2"/>
      <dgm:spPr>
        <a:blipFill dpi="0" rotWithShape="1">
          <a:blip xmlns:r="http://schemas.openxmlformats.org/officeDocument/2006/relationships" r:embed="rId1"/>
          <a:srcRect/>
          <a:stretch>
            <a:fillRect l="-45847" t="1259" r="-45847" b="1259"/>
          </a:stretch>
        </a:blipFill>
      </dgm:spPr>
    </dgm:pt>
    <dgm:pt modelId="{2D5718EC-F13F-45C0-AC80-197C53AAC9A8}" type="pres">
      <dgm:prSet presAssocID="{80CCC1D6-8E5D-4E9A-847E-455312CD1A0A}" presName="text" presStyleLbl="node1" presStyleIdx="0" presStyleCnt="2">
        <dgm:presLayoutVars>
          <dgm:bulletEnabled val="1"/>
        </dgm:presLayoutVars>
      </dgm:prSet>
      <dgm:spPr/>
      <dgm:t>
        <a:bodyPr/>
        <a:lstStyle/>
        <a:p>
          <a:endParaRPr lang="en-US"/>
        </a:p>
      </dgm:t>
    </dgm:pt>
    <dgm:pt modelId="{92DE2BB3-A9E1-4294-9895-E16C3B5E700D}" type="pres">
      <dgm:prSet presAssocID="{B5CBBEE7-458F-427F-B3B8-B9D8D6BD2C32}" presName="spacer" presStyleCnt="0"/>
      <dgm:spPr/>
    </dgm:pt>
    <dgm:pt modelId="{67647D3C-8C53-4E3C-A23B-8907B7BDB673}" type="pres">
      <dgm:prSet presAssocID="{10233343-DC5B-4CD3-9271-36D3FBFB4574}" presName="comp" presStyleCnt="0"/>
      <dgm:spPr/>
    </dgm:pt>
    <dgm:pt modelId="{8C086291-97E8-4B4D-A8C4-313B4F1D7FFF}" type="pres">
      <dgm:prSet presAssocID="{10233343-DC5B-4CD3-9271-36D3FBFB4574}" presName="box" presStyleLbl="node1" presStyleIdx="1" presStyleCnt="2"/>
      <dgm:spPr/>
      <dgm:t>
        <a:bodyPr/>
        <a:lstStyle/>
        <a:p>
          <a:endParaRPr lang="en-US"/>
        </a:p>
      </dgm:t>
    </dgm:pt>
    <dgm:pt modelId="{F9BC2F43-6EC6-4DE0-865D-3881C2773CD3}" type="pres">
      <dgm:prSet presAssocID="{10233343-DC5B-4CD3-9271-36D3FBFB4574}" presName="img" presStyleLbl="fgImgPlace1" presStyleIdx="1" presStyleCnt="2"/>
      <dgm:spPr>
        <a:blipFill dpi="0" rotWithShape="1">
          <a:blip xmlns:r="http://schemas.openxmlformats.org/officeDocument/2006/relationships" r:embed="rId2"/>
          <a:srcRect/>
          <a:stretch>
            <a:fillRect l="-26677" t="-5704" r="-26677" b="-5704"/>
          </a:stretch>
        </a:blipFill>
      </dgm:spPr>
    </dgm:pt>
    <dgm:pt modelId="{FC433CA5-FC74-4E2E-A891-2D5D6F9A76EB}" type="pres">
      <dgm:prSet presAssocID="{10233343-DC5B-4CD3-9271-36D3FBFB4574}" presName="text" presStyleLbl="node1" presStyleIdx="1" presStyleCnt="2">
        <dgm:presLayoutVars>
          <dgm:bulletEnabled val="1"/>
        </dgm:presLayoutVars>
      </dgm:prSet>
      <dgm:spPr/>
      <dgm:t>
        <a:bodyPr/>
        <a:lstStyle/>
        <a:p>
          <a:endParaRPr lang="en-US"/>
        </a:p>
      </dgm:t>
    </dgm:pt>
  </dgm:ptLst>
  <dgm:cxnLst>
    <dgm:cxn modelId="{E17110DB-5324-4489-B5BC-EB54880C7459}" type="presOf" srcId="{80CCC1D6-8E5D-4E9A-847E-455312CD1A0A}" destId="{2D5718EC-F13F-45C0-AC80-197C53AAC9A8}" srcOrd="1" destOrd="0" presId="urn:microsoft.com/office/officeart/2005/8/layout/vList4"/>
    <dgm:cxn modelId="{4163B335-13CF-4CF4-A1CB-C647E30DF9E3}" srcId="{80CCC1D6-8E5D-4E9A-847E-455312CD1A0A}" destId="{24A3D429-F30B-4CAF-B083-6CCB0FA2B6F8}" srcOrd="4" destOrd="0" parTransId="{7D34859E-4EEB-453D-A135-30C288F3FD61}" sibTransId="{21CBD708-04F2-4F5D-AC02-7949BE2C9FC0}"/>
    <dgm:cxn modelId="{3CC62ACC-14FC-4617-AABD-657AB96E3A6B}" type="presOf" srcId="{24A3D429-F30B-4CAF-B083-6CCB0FA2B6F8}" destId="{BF87A948-727E-42AA-8656-5A04D4A502DD}" srcOrd="0" destOrd="5" presId="urn:microsoft.com/office/officeart/2005/8/layout/vList4"/>
    <dgm:cxn modelId="{42E0F2A2-680F-4A45-A2FB-717ACA13D5E0}" srcId="{251F60E4-DE25-4649-947E-4944A1CDC8F3}" destId="{10233343-DC5B-4CD3-9271-36D3FBFB4574}" srcOrd="1" destOrd="0" parTransId="{90EEFD7D-AD6F-4CD4-A7E1-8D6536557CB5}" sibTransId="{51337BFB-69D3-48A3-84F9-59E5043CCF02}"/>
    <dgm:cxn modelId="{1931030D-C2D1-4781-A1A2-625FE38FAF38}" type="presOf" srcId="{251F60E4-DE25-4649-947E-4944A1CDC8F3}" destId="{030F4DC5-D6B0-4497-ACFF-39E83CB3B39A}" srcOrd="0" destOrd="0" presId="urn:microsoft.com/office/officeart/2005/8/layout/vList4"/>
    <dgm:cxn modelId="{3FE69E21-9C75-412F-9D0A-E55971BBC46C}" type="presOf" srcId="{3F276FFC-6168-4468-B0E3-F25BF5D97449}" destId="{2D5718EC-F13F-45C0-AC80-197C53AAC9A8}" srcOrd="1" destOrd="3" presId="urn:microsoft.com/office/officeart/2005/8/layout/vList4"/>
    <dgm:cxn modelId="{12763B0A-B3C7-4FAE-8B3A-B5BBDC8897B3}" type="presOf" srcId="{DCF9D419-DE8C-4432-A018-3E54C36B6EDF}" destId="{FC433CA5-FC74-4E2E-A891-2D5D6F9A76EB}" srcOrd="1" destOrd="1" presId="urn:microsoft.com/office/officeart/2005/8/layout/vList4"/>
    <dgm:cxn modelId="{6FBB0B7D-D2BD-424D-A964-FEBD70E3C11F}" srcId="{80CCC1D6-8E5D-4E9A-847E-455312CD1A0A}" destId="{2D6C5EF5-6FD7-4D69-BEFB-2ADA2A7E3C37}" srcOrd="1" destOrd="0" parTransId="{C934D87E-09A8-48ED-B021-DD3175342BFF}" sibTransId="{91A25D7F-5168-4284-B985-8922931D5006}"/>
    <dgm:cxn modelId="{C878848F-55BE-41A1-8356-73ED4A5293DE}" type="presOf" srcId="{EE5E8889-3EDB-4188-BC4D-BFF15FCFB343}" destId="{BF87A948-727E-42AA-8656-5A04D4A502DD}" srcOrd="0" destOrd="1" presId="urn:microsoft.com/office/officeart/2005/8/layout/vList4"/>
    <dgm:cxn modelId="{98F41E5C-CAB1-46C2-8FF1-F08C8431F16F}" srcId="{251F60E4-DE25-4649-947E-4944A1CDC8F3}" destId="{80CCC1D6-8E5D-4E9A-847E-455312CD1A0A}" srcOrd="0" destOrd="0" parTransId="{8AB31FBF-C4D8-42E1-97FB-00C1CA2CDC40}" sibTransId="{B5CBBEE7-458F-427F-B3B8-B9D8D6BD2C32}"/>
    <dgm:cxn modelId="{9DAF224F-D759-491E-8E80-B83EAE2DF57E}" type="presOf" srcId="{80CCC1D6-8E5D-4E9A-847E-455312CD1A0A}" destId="{BF87A948-727E-42AA-8656-5A04D4A502DD}" srcOrd="0" destOrd="0" presId="urn:microsoft.com/office/officeart/2005/8/layout/vList4"/>
    <dgm:cxn modelId="{3DBC06F2-CE89-45C7-B584-20AB54616D8B}" srcId="{80CCC1D6-8E5D-4E9A-847E-455312CD1A0A}" destId="{EE5E8889-3EDB-4188-BC4D-BFF15FCFB343}" srcOrd="0" destOrd="0" parTransId="{0540E2A4-147A-4333-9978-6F572E048BBB}" sibTransId="{70FDEADF-8E56-4E4E-91A7-002E7C9DF027}"/>
    <dgm:cxn modelId="{661D20E5-D9DD-49C4-95FC-D4ED97855D1A}" type="presOf" srcId="{2D6C5EF5-6FD7-4D69-BEFB-2ADA2A7E3C37}" destId="{BF87A948-727E-42AA-8656-5A04D4A502DD}" srcOrd="0" destOrd="2" presId="urn:microsoft.com/office/officeart/2005/8/layout/vList4"/>
    <dgm:cxn modelId="{0BE8C5E0-B3CA-450B-B7C9-A87EC583E5CD}" type="presOf" srcId="{DCF9D419-DE8C-4432-A018-3E54C36B6EDF}" destId="{8C086291-97E8-4B4D-A8C4-313B4F1D7FFF}" srcOrd="0" destOrd="1" presId="urn:microsoft.com/office/officeart/2005/8/layout/vList4"/>
    <dgm:cxn modelId="{AD36DCAD-6687-41DC-8193-6EFA2A013AB4}" srcId="{80CCC1D6-8E5D-4E9A-847E-455312CD1A0A}" destId="{3F276FFC-6168-4468-B0E3-F25BF5D97449}" srcOrd="2" destOrd="0" parTransId="{0C773983-814F-4B59-9D5C-CA66D69BC7CB}" sibTransId="{DC3E1140-AD90-474C-9692-6B39057613BE}"/>
    <dgm:cxn modelId="{AF00A8AC-D6AA-4265-A086-CC3070EE4727}" type="presOf" srcId="{EE5E8889-3EDB-4188-BC4D-BFF15FCFB343}" destId="{2D5718EC-F13F-45C0-AC80-197C53AAC9A8}" srcOrd="1" destOrd="1" presId="urn:microsoft.com/office/officeart/2005/8/layout/vList4"/>
    <dgm:cxn modelId="{79031525-FCF9-48FC-A243-17B7F00EE545}" type="presOf" srcId="{3F276FFC-6168-4468-B0E3-F25BF5D97449}" destId="{BF87A948-727E-42AA-8656-5A04D4A502DD}" srcOrd="0" destOrd="3" presId="urn:microsoft.com/office/officeart/2005/8/layout/vList4"/>
    <dgm:cxn modelId="{15C2EB40-9119-4476-974A-89370040FF7E}" srcId="{80CCC1D6-8E5D-4E9A-847E-455312CD1A0A}" destId="{872C0656-6406-4DB2-8B1E-A9A91ACA4E5D}" srcOrd="3" destOrd="0" parTransId="{8E1DA8E6-6A54-4D8F-AC74-36502BD75FC5}" sibTransId="{8A7EC4B2-AEA4-4535-A209-980A57A4C349}"/>
    <dgm:cxn modelId="{2AFC9125-82AE-4B99-B0A3-E49B6B69B746}" type="presOf" srcId="{2D6C5EF5-6FD7-4D69-BEFB-2ADA2A7E3C37}" destId="{2D5718EC-F13F-45C0-AC80-197C53AAC9A8}" srcOrd="1" destOrd="2" presId="urn:microsoft.com/office/officeart/2005/8/layout/vList4"/>
    <dgm:cxn modelId="{43705AD7-F16E-4A8E-BAF2-12DE40A3C47B}" type="presOf" srcId="{872C0656-6406-4DB2-8B1E-A9A91ACA4E5D}" destId="{2D5718EC-F13F-45C0-AC80-197C53AAC9A8}" srcOrd="1" destOrd="4" presId="urn:microsoft.com/office/officeart/2005/8/layout/vList4"/>
    <dgm:cxn modelId="{CB8210B8-7053-4E38-9DC4-C3662BD01E89}" srcId="{10233343-DC5B-4CD3-9271-36D3FBFB4574}" destId="{DCF9D419-DE8C-4432-A018-3E54C36B6EDF}" srcOrd="0" destOrd="0" parTransId="{CAE13CCE-4201-4C07-90E0-3DDC3B54C71E}" sibTransId="{14979D73-3089-4B02-954C-39C6B2A2EFD7}"/>
    <dgm:cxn modelId="{9F791A92-93C3-4367-8FDE-43BBB193CCD4}" type="presOf" srcId="{10233343-DC5B-4CD3-9271-36D3FBFB4574}" destId="{FC433CA5-FC74-4E2E-A891-2D5D6F9A76EB}" srcOrd="1" destOrd="0" presId="urn:microsoft.com/office/officeart/2005/8/layout/vList4"/>
    <dgm:cxn modelId="{64385866-19FC-496E-B6BE-8D9D56458399}" type="presOf" srcId="{872C0656-6406-4DB2-8B1E-A9A91ACA4E5D}" destId="{BF87A948-727E-42AA-8656-5A04D4A502DD}" srcOrd="0" destOrd="4" presId="urn:microsoft.com/office/officeart/2005/8/layout/vList4"/>
    <dgm:cxn modelId="{E677C017-F160-4BDF-AF24-A0B8F50E245B}" type="presOf" srcId="{24A3D429-F30B-4CAF-B083-6CCB0FA2B6F8}" destId="{2D5718EC-F13F-45C0-AC80-197C53AAC9A8}" srcOrd="1" destOrd="5" presId="urn:microsoft.com/office/officeart/2005/8/layout/vList4"/>
    <dgm:cxn modelId="{BC918FDC-6D73-4CD9-BF19-187F35EEDD1B}" type="presOf" srcId="{10233343-DC5B-4CD3-9271-36D3FBFB4574}" destId="{8C086291-97E8-4B4D-A8C4-313B4F1D7FFF}" srcOrd="0" destOrd="0" presId="urn:microsoft.com/office/officeart/2005/8/layout/vList4"/>
    <dgm:cxn modelId="{90833AA3-2A19-4A20-9C86-8C7AC5B23C47}" type="presParOf" srcId="{030F4DC5-D6B0-4497-ACFF-39E83CB3B39A}" destId="{8140B3CA-E07F-4A7D-B7DD-FB70EC88DDC6}" srcOrd="0" destOrd="0" presId="urn:microsoft.com/office/officeart/2005/8/layout/vList4"/>
    <dgm:cxn modelId="{7392C778-F48E-4CEC-9AB9-1DF7E14FA836}" type="presParOf" srcId="{8140B3CA-E07F-4A7D-B7DD-FB70EC88DDC6}" destId="{BF87A948-727E-42AA-8656-5A04D4A502DD}" srcOrd="0" destOrd="0" presId="urn:microsoft.com/office/officeart/2005/8/layout/vList4"/>
    <dgm:cxn modelId="{559F0D3A-8FCB-4EB6-8BE3-17FB9A71CD86}" type="presParOf" srcId="{8140B3CA-E07F-4A7D-B7DD-FB70EC88DDC6}" destId="{C7C74F22-76E9-4E99-BCD9-A8957B3BDA51}" srcOrd="1" destOrd="0" presId="urn:microsoft.com/office/officeart/2005/8/layout/vList4"/>
    <dgm:cxn modelId="{AAA8E4A9-E63F-462A-A606-E9D36389167F}" type="presParOf" srcId="{8140B3CA-E07F-4A7D-B7DD-FB70EC88DDC6}" destId="{2D5718EC-F13F-45C0-AC80-197C53AAC9A8}" srcOrd="2" destOrd="0" presId="urn:microsoft.com/office/officeart/2005/8/layout/vList4"/>
    <dgm:cxn modelId="{187A461E-030D-47C5-8893-1CEF8DD731B0}" type="presParOf" srcId="{030F4DC5-D6B0-4497-ACFF-39E83CB3B39A}" destId="{92DE2BB3-A9E1-4294-9895-E16C3B5E700D}" srcOrd="1" destOrd="0" presId="urn:microsoft.com/office/officeart/2005/8/layout/vList4"/>
    <dgm:cxn modelId="{CB125B80-4D70-4890-97BE-4F2D3B361B43}" type="presParOf" srcId="{030F4DC5-D6B0-4497-ACFF-39E83CB3B39A}" destId="{67647D3C-8C53-4E3C-A23B-8907B7BDB673}" srcOrd="2" destOrd="0" presId="urn:microsoft.com/office/officeart/2005/8/layout/vList4"/>
    <dgm:cxn modelId="{885ECFF9-3924-4BA7-8384-EF53BDF9C0FE}" type="presParOf" srcId="{67647D3C-8C53-4E3C-A23B-8907B7BDB673}" destId="{8C086291-97E8-4B4D-A8C4-313B4F1D7FFF}" srcOrd="0" destOrd="0" presId="urn:microsoft.com/office/officeart/2005/8/layout/vList4"/>
    <dgm:cxn modelId="{DA962C98-40FA-4BF7-A871-3FBB4C824B47}" type="presParOf" srcId="{67647D3C-8C53-4E3C-A23B-8907B7BDB673}" destId="{F9BC2F43-6EC6-4DE0-865D-3881C2773CD3}" srcOrd="1" destOrd="0" presId="urn:microsoft.com/office/officeart/2005/8/layout/vList4"/>
    <dgm:cxn modelId="{BB458264-0DB4-4FB1-B522-0D9321D22367}" type="presParOf" srcId="{67647D3C-8C53-4E3C-A23B-8907B7BDB673}" destId="{FC433CA5-FC74-4E2E-A891-2D5D6F9A76EB}" srcOrd="2" destOrd="0" presId="urn:microsoft.com/office/officeart/2005/8/layout/vList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87A948-727E-42AA-8656-5A04D4A502DD}">
      <dsp:nvSpPr>
        <dsp:cNvPr id="0" name=""/>
        <dsp:cNvSpPr/>
      </dsp:nvSpPr>
      <dsp:spPr>
        <a:xfrm>
          <a:off x="0" y="0"/>
          <a:ext cx="5962650" cy="1641527"/>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lvl="0" algn="l"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Technological factors</a:t>
          </a:r>
        </a:p>
        <a:p>
          <a:pPr marL="57150" lvl="1" indent="-57150" algn="l"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Battery technology advancement</a:t>
          </a:r>
          <a:r>
            <a:rPr lang="en-US" sz="900" kern="1200">
              <a:latin typeface="Arial" panose="020B0604020202020204" pitchFamily="34" charset="0"/>
              <a:cs typeface="Arial" panose="020B0604020202020204" pitchFamily="34" charset="0"/>
            </a:rPr>
            <a:t>: Improvements in battery range, charging speed, lifespan, and cost.</a:t>
          </a:r>
        </a:p>
        <a:p>
          <a:pPr marL="57150" lvl="1" indent="-57150" algn="l"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Charging infrastructure development: </a:t>
          </a:r>
          <a:r>
            <a:rPr lang="en-US" sz="900" kern="1200">
              <a:latin typeface="Arial" panose="020B0604020202020204" pitchFamily="34" charset="0"/>
              <a:cs typeface="Arial" panose="020B0604020202020204" pitchFamily="34" charset="0"/>
            </a:rPr>
            <a:t>Expansion and accessibility of public and private charging networks.</a:t>
          </a:r>
        </a:p>
        <a:p>
          <a:pPr marL="57150" lvl="1" indent="-57150" algn="l"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Software and connectivity systems:</a:t>
          </a:r>
          <a:r>
            <a:rPr lang="en-US" sz="900" kern="1200">
              <a:latin typeface="Arial" panose="020B0604020202020204" pitchFamily="34" charset="0"/>
              <a:cs typeface="Arial" panose="020B0604020202020204" pitchFamily="34" charset="0"/>
            </a:rPr>
            <a:t> Use of AI, over-the-air updates, smart features, and vehicle data systems.</a:t>
          </a:r>
        </a:p>
        <a:p>
          <a:pPr marL="57150" lvl="1" indent="-57150" algn="l"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Autonomous and driver-assistance technology: </a:t>
          </a:r>
          <a:r>
            <a:rPr lang="en-US" sz="900" kern="1200">
              <a:latin typeface="Arial" panose="020B0604020202020204" pitchFamily="34" charset="0"/>
              <a:cs typeface="Arial" panose="020B0604020202020204" pitchFamily="34" charset="0"/>
            </a:rPr>
            <a:t>Development of self-driving and advanced safety technologies.</a:t>
          </a:r>
        </a:p>
        <a:p>
          <a:pPr marL="57150" lvl="1" indent="-57150" algn="l"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Manufacturing and production innovation: </a:t>
          </a:r>
          <a:r>
            <a:rPr lang="en-US" sz="900" kern="1200">
              <a:latin typeface="Arial" panose="020B0604020202020204" pitchFamily="34" charset="0"/>
              <a:cs typeface="Arial" panose="020B0604020202020204" pitchFamily="34" charset="0"/>
            </a:rPr>
            <a:t>Automation, platform efficiency, and new production methods that reduce cost and improve scalability.</a:t>
          </a:r>
        </a:p>
      </dsp:txBody>
      <dsp:txXfrm>
        <a:off x="1356682" y="0"/>
        <a:ext cx="4605967" cy="1641527"/>
      </dsp:txXfrm>
    </dsp:sp>
    <dsp:sp modelId="{C7C74F22-76E9-4E99-BCD9-A8957B3BDA51}">
      <dsp:nvSpPr>
        <dsp:cNvPr id="0" name=""/>
        <dsp:cNvSpPr/>
      </dsp:nvSpPr>
      <dsp:spPr>
        <a:xfrm>
          <a:off x="164152" y="164152"/>
          <a:ext cx="1192530" cy="1313222"/>
        </a:xfrm>
        <a:prstGeom prst="roundRect">
          <a:avLst>
            <a:gd name="adj" fmla="val 10000"/>
          </a:avLst>
        </a:prstGeom>
        <a:blipFill dpi="0" rotWithShape="1">
          <a:blip xmlns:r="http://schemas.openxmlformats.org/officeDocument/2006/relationships" r:embed="rId1"/>
          <a:srcRect/>
          <a:stretch>
            <a:fillRect l="-45847" t="1259" r="-45847" b="1259"/>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C086291-97E8-4B4D-A8C4-313B4F1D7FFF}">
      <dsp:nvSpPr>
        <dsp:cNvPr id="0" name=""/>
        <dsp:cNvSpPr/>
      </dsp:nvSpPr>
      <dsp:spPr>
        <a:xfrm>
          <a:off x="0" y="1805680"/>
          <a:ext cx="5962650" cy="1641527"/>
        </a:xfrm>
        <a:prstGeom prst="roundRect">
          <a:avLst>
            <a:gd name="adj" fmla="val 10000"/>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lvl="0" algn="l"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Legal factors</a:t>
          </a:r>
        </a:p>
        <a:p>
          <a:pPr marL="57150" lvl="1" indent="-57150" algn="l"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Vehicle emissions regulations: </a:t>
          </a:r>
          <a:r>
            <a:rPr lang="en-US" sz="900" kern="1200">
              <a:latin typeface="Arial" panose="020B0604020202020204" pitchFamily="34" charset="0"/>
              <a:cs typeface="Arial" panose="020B0604020202020204" pitchFamily="34" charset="0"/>
            </a:rPr>
            <a:t>Laws pushing firms away from internal combustion engines and toward zero-emission vehicles.
</a:t>
          </a:r>
          <a:r>
            <a:rPr lang="en-US" sz="900" b="1" kern="1200">
              <a:latin typeface="Arial" panose="020B0604020202020204" pitchFamily="34" charset="0"/>
              <a:cs typeface="Arial" panose="020B0604020202020204" pitchFamily="34" charset="0"/>
            </a:rPr>
            <a:t>Government EV incentives and subsidy schemes: </a:t>
          </a:r>
          <a:r>
            <a:rPr lang="en-US" sz="900" kern="1200">
              <a:latin typeface="Arial" panose="020B0604020202020204" pitchFamily="34" charset="0"/>
              <a:cs typeface="Arial" panose="020B0604020202020204" pitchFamily="34" charset="0"/>
            </a:rPr>
            <a:t>Legal frameworks supporting EV adoption through tax credits, grants, or purchase incentives.
</a:t>
          </a:r>
          <a:r>
            <a:rPr lang="en-US" sz="900" b="1" kern="1200">
              <a:latin typeface="Arial" panose="020B0604020202020204" pitchFamily="34" charset="0"/>
              <a:cs typeface="Arial" panose="020B0604020202020204" pitchFamily="34" charset="0"/>
            </a:rPr>
            <a:t>Battery disposal and recycling regulations: </a:t>
          </a:r>
          <a:r>
            <a:rPr lang="en-US" sz="900" kern="1200">
              <a:latin typeface="Arial" panose="020B0604020202020204" pitchFamily="34" charset="0"/>
              <a:cs typeface="Arial" panose="020B0604020202020204" pitchFamily="34" charset="0"/>
            </a:rPr>
            <a:t>Legal requirements on environmental handling, reuse, and disposal of EV batteries.
</a:t>
          </a:r>
          <a:r>
            <a:rPr lang="en-US" sz="900" b="1" kern="1200">
              <a:latin typeface="Arial" panose="020B0604020202020204" pitchFamily="34" charset="0"/>
              <a:cs typeface="Arial" panose="020B0604020202020204" pitchFamily="34" charset="0"/>
            </a:rPr>
            <a:t>Vehicle safety and compliance standards: </a:t>
          </a:r>
          <a:r>
            <a:rPr lang="en-US" sz="900" kern="1200">
              <a:latin typeface="Arial" panose="020B0604020202020204" pitchFamily="34" charset="0"/>
              <a:cs typeface="Arial" panose="020B0604020202020204" pitchFamily="34" charset="0"/>
            </a:rPr>
            <a:t>Rules covering crash safety, autonomous features, battery safety, and product certification.
</a:t>
          </a:r>
          <a:r>
            <a:rPr lang="en-US" sz="900" b="1" kern="1200">
              <a:latin typeface="Arial" panose="020B0604020202020204" pitchFamily="34" charset="0"/>
              <a:cs typeface="Arial" panose="020B0604020202020204" pitchFamily="34" charset="0"/>
            </a:rPr>
            <a:t>Trade policies and import/export regulations: </a:t>
          </a:r>
          <a:r>
            <a:rPr lang="en-US" sz="900" kern="1200">
              <a:latin typeface="Arial" panose="020B0604020202020204" pitchFamily="34" charset="0"/>
              <a:cs typeface="Arial" panose="020B0604020202020204" pitchFamily="34" charset="0"/>
            </a:rPr>
            <a:t>Tariffs, local production rules, and international legal barriers affecting EV supply chains and market access.</a:t>
          </a:r>
        </a:p>
      </dsp:txBody>
      <dsp:txXfrm>
        <a:off x="1356682" y="1805680"/>
        <a:ext cx="4605967" cy="1641527"/>
      </dsp:txXfrm>
    </dsp:sp>
    <dsp:sp modelId="{F9BC2F43-6EC6-4DE0-865D-3881C2773CD3}">
      <dsp:nvSpPr>
        <dsp:cNvPr id="0" name=""/>
        <dsp:cNvSpPr/>
      </dsp:nvSpPr>
      <dsp:spPr>
        <a:xfrm>
          <a:off x="164152" y="1969833"/>
          <a:ext cx="1192530" cy="1313222"/>
        </a:xfrm>
        <a:prstGeom prst="roundRect">
          <a:avLst>
            <a:gd name="adj" fmla="val 10000"/>
          </a:avLst>
        </a:prstGeom>
        <a:blipFill dpi="0" rotWithShape="1">
          <a:blip xmlns:r="http://schemas.openxmlformats.org/officeDocument/2006/relationships" r:embed="rId2"/>
          <a:srcRect/>
          <a:stretch>
            <a:fillRect l="-26677" t="-5704" r="-26677" b="-5704"/>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314A4-5E7C-4091-A74F-43C0C0A42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18</Pages>
  <Words>4269</Words>
  <Characters>24339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Nebir Mia</dc:creator>
  <cp:keywords/>
  <dc:description/>
  <cp:lastModifiedBy>N I T P</cp:lastModifiedBy>
  <cp:revision>8</cp:revision>
  <dcterms:created xsi:type="dcterms:W3CDTF">2026-03-09T16:18:00Z</dcterms:created>
  <dcterms:modified xsi:type="dcterms:W3CDTF">2026-03-11T05:29:00Z</dcterms:modified>
</cp:coreProperties>
</file>