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rPr>
          <w:rFonts w:ascii="Arial" w:hAnsi="Arial"/>
        </w:rPr>
      </w:pPr>
    </w:p>
    <w:p>
      <w:pPr>
        <w:pStyle w:val="Body A"/>
        <w:rPr>
          <w:rFonts w:ascii="Arial" w:hAnsi="Arial"/>
        </w:rPr>
      </w:pPr>
    </w:p>
    <w:p>
      <w:pPr>
        <w:pStyle w:val="Body A"/>
        <w:rPr>
          <w:rFonts w:ascii="Arial" w:hAnsi="Arial"/>
        </w:rPr>
      </w:pPr>
    </w:p>
    <w:tbl>
      <w:tblPr>
        <w:tblW w:w="814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1718"/>
        <w:gridCol w:w="2704"/>
        <w:gridCol w:w="1862"/>
        <w:gridCol w:w="1863"/>
      </w:tblGrid>
      <w:tr>
        <w:tblPrEx>
          <w:shd w:val="clear" w:color="auto" w:fill="cadfff"/>
        </w:tblPrEx>
        <w:trPr>
          <w:trHeight w:val="493" w:hRule="atLeast"/>
        </w:trPr>
        <w:tc>
          <w:tcPr>
            <w:tcW w:type="dxa" w:w="17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Student name:</w:t>
            </w:r>
          </w:p>
        </w:tc>
        <w:tc>
          <w:tcPr>
            <w:tcW w:type="dxa" w:w="27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rPr>
              <w:t>Alexander Skinner</w:t>
            </w:r>
          </w:p>
        </w:tc>
        <w:tc>
          <w:tcPr>
            <w:tcW w:type="dxa" w:w="18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Student ID number:</w:t>
            </w:r>
          </w:p>
        </w:tc>
        <w:tc>
          <w:tcPr>
            <w:tcW w:type="dxa" w:w="18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spacing w:before="120" w:after="120" w:line="240" w:lineRule="auto"/>
              <w:jc w:val="both"/>
            </w:pPr>
            <w:r>
              <w:rPr>
                <w:rFonts w:ascii="Arial" w:hAnsi="Arial"/>
                <w:b w:val="1"/>
                <w:bCs w:val="1"/>
                <w:sz w:val="22"/>
                <w:szCs w:val="22"/>
                <w:shd w:val="nil" w:color="auto" w:fill="auto"/>
                <w:rtl w:val="0"/>
              </w:rPr>
              <w:t>2319908</w:t>
            </w:r>
          </w:p>
        </w:tc>
      </w:tr>
      <w:tr>
        <w:tblPrEx>
          <w:shd w:val="clear" w:color="auto" w:fill="cadfff"/>
        </w:tblPrEx>
        <w:trPr>
          <w:trHeight w:val="266" w:hRule="atLeast"/>
        </w:trPr>
        <w:tc>
          <w:tcPr>
            <w:tcW w:type="dxa" w:w="17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Programme:</w:t>
            </w:r>
          </w:p>
        </w:tc>
        <w:tc>
          <w:tcPr>
            <w:tcW w:type="dxa" w:w="64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 xml:space="preserve">Graduate Diploma in Policing (GDIP) </w:t>
            </w:r>
          </w:p>
        </w:tc>
      </w:tr>
      <w:tr>
        <w:tblPrEx>
          <w:shd w:val="clear" w:color="auto" w:fill="cadfff"/>
        </w:tblPrEx>
        <w:trPr>
          <w:trHeight w:val="266" w:hRule="atLeast"/>
        </w:trPr>
        <w:tc>
          <w:tcPr>
            <w:tcW w:type="dxa" w:w="17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Module:</w:t>
            </w:r>
          </w:p>
        </w:tc>
        <w:tc>
          <w:tcPr>
            <w:tcW w:type="dxa" w:w="64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 xml:space="preserve">Operational Policing Practice 3 </w:t>
            </w:r>
          </w:p>
        </w:tc>
      </w:tr>
      <w:tr>
        <w:tblPrEx>
          <w:shd w:val="clear" w:color="auto" w:fill="cadfff"/>
        </w:tblPrEx>
        <w:trPr>
          <w:trHeight w:val="513" w:hRule="atLeast"/>
        </w:trPr>
        <w:tc>
          <w:tcPr>
            <w:tcW w:type="dxa" w:w="17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Module code:</w:t>
            </w:r>
          </w:p>
        </w:tc>
        <w:tc>
          <w:tcPr>
            <w:tcW w:type="dxa" w:w="27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BMPP6005D</w:t>
            </w:r>
          </w:p>
        </w:tc>
        <w:tc>
          <w:tcPr>
            <w:tcW w:type="dxa" w:w="18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Assignment Title:</w:t>
            </w:r>
          </w:p>
        </w:tc>
        <w:tc>
          <w:tcPr>
            <w:tcW w:type="dxa" w:w="18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Academic assignment</w:t>
            </w:r>
          </w:p>
        </w:tc>
      </w:tr>
    </w:tbl>
    <w:p>
      <w:pPr>
        <w:pStyle w:val="Body A"/>
        <w:rPr>
          <w:rFonts w:ascii="Arial" w:cs="Arial" w:hAnsi="Arial" w:eastAsia="Arial"/>
        </w:rPr>
      </w:pPr>
    </w:p>
    <w:p>
      <w:pPr>
        <w:pStyle w:val="Body A"/>
        <w:rPr>
          <w:rFonts w:ascii="Arial" w:cs="Arial" w:hAnsi="Arial" w:eastAsia="Arial"/>
        </w:rPr>
      </w:pPr>
    </w:p>
    <w:p>
      <w:pPr>
        <w:pStyle w:val="Body A"/>
        <w:rPr>
          <w:rFonts w:ascii="Arial" w:cs="Arial" w:hAnsi="Arial" w:eastAsia="Arial"/>
        </w:rPr>
      </w:pPr>
    </w:p>
    <w:p>
      <w:pPr>
        <w:pStyle w:val="Body A"/>
        <w:rPr>
          <w:rFonts w:ascii="Arial" w:cs="Arial" w:hAnsi="Arial" w:eastAsia="Arial"/>
        </w:rPr>
      </w:pPr>
    </w:p>
    <w:p>
      <w:pPr>
        <w:pStyle w:val="Body A"/>
        <w:rPr>
          <w:rFonts w:ascii="Arial" w:cs="Arial" w:hAnsi="Arial" w:eastAsia="Arial"/>
          <w:b w:val="1"/>
          <w:bCs w:val="1"/>
          <w:sz w:val="24"/>
          <w:szCs w:val="24"/>
        </w:rPr>
      </w:pPr>
      <w:r>
        <w:rPr>
          <w:rFonts w:ascii="Arial" w:hAnsi="Arial"/>
          <w:b w:val="1"/>
          <w:bCs w:val="1"/>
          <w:rtl w:val="0"/>
          <w:lang w:val="en-US"/>
        </w:rPr>
        <w:t xml:space="preserve">Essay 1 </w:t>
      </w:r>
    </w:p>
    <w:p>
      <w:pPr>
        <w:pStyle w:val="Body A"/>
        <w:rPr>
          <w:rFonts w:ascii="Arial" w:cs="Arial" w:hAnsi="Arial" w:eastAsia="Arial"/>
          <w:b w:val="1"/>
          <w:bCs w:val="1"/>
          <w:sz w:val="24"/>
          <w:szCs w:val="24"/>
        </w:rPr>
      </w:pPr>
      <w:r>
        <w:rPr>
          <w:rFonts w:ascii="Arial" w:hAnsi="Arial"/>
          <w:b w:val="1"/>
          <w:bCs w:val="1"/>
          <w:sz w:val="24"/>
          <w:szCs w:val="24"/>
          <w:rtl w:val="0"/>
          <w:lang w:val="en-US"/>
        </w:rPr>
        <w:t>How effectively has the police service adapted to accommodate diversity within the UK? Consider the police force itself and/or the way police engage with diverse communities.</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In this essay I am going to discuss how the Police service has developed in providing a service that accommodates the diverse nature of the public in the UK today. I am going to do this by exploring policies and procedures that have been implemented by the College of Policing, training that might have been undertaken to upscale officers as well as the feedback surrounding this.</w:t>
      </w:r>
    </w:p>
    <w:p>
      <w:pPr>
        <w:pStyle w:val="Body A"/>
        <w:rPr>
          <w:rFonts w:ascii="Arial" w:cs="Arial" w:hAnsi="Arial" w:eastAsia="Arial"/>
        </w:rPr>
      </w:pPr>
      <w:r>
        <w:rPr>
          <w:rFonts w:ascii="Arial" w:hAnsi="Arial"/>
          <w:sz w:val="24"/>
          <w:szCs w:val="24"/>
          <w:rtl w:val="0"/>
          <w:lang w:val="en-US"/>
        </w:rPr>
        <w:t>Police in the UK have been heavily scrutinised when it comes to the task of accommodating diversity, and engaging with diverse communities. There have been a number of initiatives aimed at promoting diversity and inclusion, however there is a large amount of research showing that there are still significant challenges faced by police, both within their institutions well as their engagement within the diverse communities that they police.</w:t>
      </w:r>
      <w:r>
        <w:rPr>
          <w:rFonts w:ascii="Arial" w:hAnsi="Arial"/>
          <w:sz w:val="24"/>
          <w:szCs w:val="24"/>
          <w:rtl w:val="0"/>
          <w:lang w:val="en-US"/>
        </w:rPr>
        <w:t xml:space="preserve"> </w:t>
      </w:r>
    </w:p>
    <w:p>
      <w:pPr>
        <w:pStyle w:val="Body A"/>
        <w:rPr>
          <w:rFonts w:ascii="Arial" w:cs="Arial" w:hAnsi="Arial" w:eastAsia="Arial"/>
          <w:sz w:val="24"/>
          <w:szCs w:val="24"/>
        </w:rPr>
      </w:pPr>
      <w:r>
        <w:rPr>
          <w:rFonts w:ascii="Arial" w:hAnsi="Arial"/>
          <w:sz w:val="24"/>
          <w:szCs w:val="24"/>
          <w:rtl w:val="0"/>
          <w:lang w:val="en-US"/>
        </w:rPr>
        <w:t>As of 2024, the top five ethnicities in the UK in terms of numbers are White (81.7%), Asian (9.</w:t>
      </w:r>
      <w:r>
        <w:rPr>
          <w:rFonts w:ascii="Arial" w:hAnsi="Arial"/>
          <w:sz w:val="24"/>
          <w:szCs w:val="24"/>
          <w:rtl w:val="0"/>
          <w:lang w:val="en-US"/>
        </w:rPr>
        <w:t>3</w:t>
      </w:r>
      <w:r>
        <w:rPr>
          <w:rFonts w:ascii="Arial" w:hAnsi="Arial"/>
          <w:sz w:val="24"/>
          <w:szCs w:val="24"/>
          <w:rtl w:val="0"/>
          <w:lang w:val="en-US"/>
        </w:rPr>
        <w:t>%), Black (4.</w:t>
      </w:r>
      <w:r>
        <w:rPr>
          <w:rFonts w:ascii="Arial" w:hAnsi="Arial"/>
          <w:sz w:val="24"/>
          <w:szCs w:val="24"/>
          <w:rtl w:val="0"/>
          <w:lang w:val="en-US"/>
        </w:rPr>
        <w:t>0</w:t>
      </w:r>
      <w:r>
        <w:rPr>
          <w:rFonts w:ascii="Arial" w:hAnsi="Arial"/>
          <w:sz w:val="24"/>
          <w:szCs w:val="24"/>
          <w:rtl w:val="0"/>
          <w:lang w:val="en-US"/>
        </w:rPr>
        <w:t>%) and mixed race (</w:t>
      </w:r>
      <w:r>
        <w:rPr>
          <w:rFonts w:ascii="Arial" w:hAnsi="Arial"/>
          <w:sz w:val="24"/>
          <w:szCs w:val="24"/>
          <w:rtl w:val="0"/>
          <w:lang w:val="en-US"/>
        </w:rPr>
        <w:t>2.9</w:t>
      </w:r>
      <w:r>
        <w:rPr>
          <w:rFonts w:ascii="Arial" w:hAnsi="Arial"/>
          <w:sz w:val="24"/>
          <w:szCs w:val="24"/>
          <w:rtl w:val="0"/>
          <w:lang w:val="en-US"/>
        </w:rPr>
        <w:t>%) (</w:t>
      </w:r>
      <w:r>
        <w:rPr>
          <w:rFonts w:ascii="Arial" w:hAnsi="Arial"/>
          <w:sz w:val="24"/>
          <w:szCs w:val="24"/>
          <w:rtl w:val="0"/>
          <w:lang w:val="en-US"/>
        </w:rPr>
        <w:t>Office for National Statistics, 2022)</w:t>
      </w:r>
      <w:r>
        <w:rPr>
          <w:rFonts w:ascii="Arial" w:hAnsi="Arial"/>
          <w:sz w:val="24"/>
          <w:szCs w:val="24"/>
          <w:rtl w:val="0"/>
          <w:lang w:val="en-US"/>
        </w:rPr>
        <w:t>. Due to the large number of diverse communities that we have policing has also had to adapt and evolve in order to effectively deal with the new struggle that arise from protecting and serving these communities.</w:t>
      </w:r>
    </w:p>
    <w:p>
      <w:pPr>
        <w:pStyle w:val="Body A"/>
        <w:rPr>
          <w:rFonts w:ascii="Arial" w:cs="Arial" w:hAnsi="Arial" w:eastAsia="Arial"/>
          <w:sz w:val="24"/>
          <w:szCs w:val="24"/>
          <w:lang w:val="en-US"/>
        </w:rPr>
      </w:pPr>
      <w:r>
        <w:rPr>
          <w:rFonts w:ascii="Arial" w:hAnsi="Arial"/>
          <w:sz w:val="24"/>
          <w:szCs w:val="24"/>
          <w:rtl w:val="0"/>
          <w:lang w:val="en-US"/>
        </w:rPr>
        <w:t xml:space="preserve">One of the ways in which the UK police force has attempted to tackle diversity has been through its recruitment drives. Initiatives have been designed to support unrepresented candidates, in order to diversify police forces. </w:t>
      </w:r>
      <w:r>
        <w:rPr>
          <w:rFonts w:ascii="Arial" w:hAnsi="Arial"/>
          <w:sz w:val="24"/>
          <w:szCs w:val="24"/>
          <w:rtl w:val="0"/>
          <w:lang w:val="en-US"/>
        </w:rPr>
        <w:t xml:space="preserve">The Police Uplift Programme that concluded in 2023, resulted in the recruitment of an additional 20,947 police officers. The programme itself aimed to increase workforce diversity, with notable increases in ethnic minority officers, which they attribute to the Online Assessment Process (Home Office, 2024). These programmes demonstrate a positive commitment to diversifying the uk Police force, with the aim to better reflect the communities that they serve. Processes such as the Online Assessment Process also helped improve fairness in the recruitment process. This clearly shows that the police force has shown a concerted, effective effort in their recruitment strategy, however the Police Federation (2024) states that the progress is still slow when it comes to improving the number of diverse officers in the force, despite the overall improvements. </w:t>
      </w:r>
    </w:p>
    <w:p>
      <w:pPr>
        <w:pStyle w:val="Body A"/>
        <w:rPr>
          <w:rFonts w:ascii="Arial" w:cs="Arial" w:hAnsi="Arial" w:eastAsia="Arial"/>
          <w:sz w:val="24"/>
          <w:szCs w:val="24"/>
        </w:rPr>
      </w:pPr>
      <w:r>
        <w:rPr>
          <w:rFonts w:ascii="Arial" w:hAnsi="Arial"/>
          <w:sz w:val="24"/>
          <w:szCs w:val="24"/>
          <w:rtl w:val="0"/>
          <w:lang w:val="en-US"/>
        </w:rPr>
        <w:t>The goal</w:t>
      </w:r>
      <w:r>
        <w:rPr>
          <w:rFonts w:ascii="Arial" w:hAnsi="Arial"/>
          <w:sz w:val="24"/>
          <w:szCs w:val="24"/>
          <w:rtl w:val="0"/>
          <w:lang w:val="en-US"/>
        </w:rPr>
        <w:t xml:space="preserve"> of improving diversity within the forces </w:t>
      </w:r>
      <w:r>
        <w:rPr>
          <w:rFonts w:ascii="Arial" w:hAnsi="Arial"/>
          <w:sz w:val="24"/>
          <w:szCs w:val="24"/>
          <w:rtl w:val="0"/>
          <w:lang w:val="en-US"/>
        </w:rPr>
        <w:t>are not only to provide more opportunities for underrepresented communities within the force, but also to allow the police forces to evolve in a way that allows them to communicate with and support the communities that they represent more effectively. This is an admirable goal, however some researchers such as Hesketh and Stubbs (2024) have argued that the measures that have been taken often fail to address the deeper systematic issues within the police force in the uk, and therefore fall short of the goals that they have outlined for themselves. They have argued that although they may be increasing representation within the force, they are not in fact leading to any substantial changes within the organisation itself, and that in order for any meaningful changes to take place, they would require a deep overhaul of the organisational culture and their recruitment process (Hesketh and Stubbs, 2024). In addition to this study, Fielding (2024), conducted a review of the effects of diverse recruitment in the UK Police force, the findings of which showed that while the numbers of diverse candidates have risen, the effects of the increase in the numbers have not yet let to any conclusive evidence that any meaningful change has taken place in regards to the policing in diverse communities. The research concludes that recruitment alone has not yet been sufficient enough to lead to any impactful change (Fielding, 2024).</w:t>
      </w:r>
    </w:p>
    <w:p>
      <w:pPr>
        <w:pStyle w:val="Body A"/>
        <w:rPr>
          <w:rFonts w:ascii="Arial" w:cs="Arial" w:hAnsi="Arial" w:eastAsia="Arial"/>
          <w:sz w:val="24"/>
          <w:szCs w:val="24"/>
        </w:rPr>
      </w:pPr>
      <w:r>
        <w:rPr>
          <w:rFonts w:ascii="Arial" w:hAnsi="Arial"/>
          <w:sz w:val="24"/>
          <w:szCs w:val="24"/>
          <w:rtl w:val="0"/>
          <w:lang w:val="en-US"/>
        </w:rPr>
        <w:t>When it comes to the Police and their engagement with diverse communities, this topic has often been a strained one, as has the relationship with police and such communities. There are a number of historical issues around the subject that have lead to mistrust from diverse communities. Bullock and Johnson (2018) explored the subject of police engagement with Muslim communities, and stated that there were a number of barriers that blocked police from effectively working with them, such as mistrust as well as a lack of understanding from the police around their culture and ways of life. Bullock and Johnson stated that in order for police to effectively work with these communities, they would need to advance, and move their organisational culture beyond superficial engagement, and they would need to adopt deeper partnerships with diverse communities, leading stronger partnerships and better policing outcomes (Bullock and Johnson, 2018).</w:t>
      </w:r>
    </w:p>
    <w:p>
      <w:pPr>
        <w:pStyle w:val="Body A"/>
        <w:rPr>
          <w:rFonts w:ascii="Arial" w:cs="Arial" w:hAnsi="Arial" w:eastAsia="Arial"/>
          <w:sz w:val="24"/>
          <w:szCs w:val="24"/>
        </w:rPr>
      </w:pPr>
      <w:r>
        <w:rPr>
          <w:rFonts w:ascii="Arial" w:hAnsi="Arial"/>
          <w:sz w:val="24"/>
          <w:szCs w:val="24"/>
          <w:rtl w:val="0"/>
          <w:lang w:val="en-US"/>
        </w:rPr>
        <w:t xml:space="preserve">Charman (2024) supports this research, as they </w:t>
      </w:r>
      <w:r>
        <w:rPr>
          <w:rFonts w:ascii="Arial" w:hAnsi="Arial"/>
          <w:sz w:val="24"/>
          <w:szCs w:val="24"/>
          <w:rtl w:val="0"/>
          <w:lang w:val="en-US"/>
        </w:rPr>
        <w:t>highlight</w:t>
      </w:r>
      <w:r>
        <w:rPr>
          <w:rFonts w:ascii="Arial" w:hAnsi="Arial"/>
          <w:sz w:val="24"/>
          <w:szCs w:val="24"/>
          <w:rtl w:val="0"/>
          <w:lang w:val="en-US"/>
        </w:rPr>
        <w:t xml:space="preserve"> the challenges facing policing diverse communities in the UK</w:t>
      </w:r>
      <w:r>
        <w:rPr>
          <w:rFonts w:ascii="Arial" w:hAnsi="Arial"/>
          <w:sz w:val="24"/>
          <w:szCs w:val="24"/>
          <w:rtl w:val="0"/>
          <w:lang w:val="en-US"/>
        </w:rPr>
        <w:t>, as well as the lack of deep cultural change</w:t>
      </w:r>
      <w:r>
        <w:rPr>
          <w:rFonts w:ascii="Arial" w:hAnsi="Arial"/>
          <w:sz w:val="24"/>
          <w:szCs w:val="24"/>
          <w:rtl w:val="0"/>
          <w:lang w:val="en-US"/>
        </w:rPr>
        <w:t xml:space="preserve">. They </w:t>
      </w:r>
      <w:r>
        <w:rPr>
          <w:rFonts w:ascii="Arial" w:hAnsi="Arial"/>
          <w:sz w:val="24"/>
          <w:szCs w:val="24"/>
          <w:rtl w:val="0"/>
          <w:lang w:val="en-US"/>
        </w:rPr>
        <w:t>state</w:t>
      </w:r>
      <w:r>
        <w:rPr>
          <w:rFonts w:ascii="Arial" w:hAnsi="Arial"/>
          <w:sz w:val="24"/>
          <w:szCs w:val="24"/>
          <w:rtl w:val="0"/>
          <w:lang w:val="en-US"/>
        </w:rPr>
        <w:t xml:space="preserve"> that despite there being many structural changes, there has been, on the whole, a lack of focus on cultural change within the police. They concluded that without addressing the current cultures and attitudes in the force as a whole, on a far deeper level, there will only be superficial changes to the attempt to tackle the challenges around accommodating diversity in the UK.</w:t>
      </w:r>
      <w:r>
        <w:rPr>
          <w:rFonts w:ascii="Arial" w:hAnsi="Arial"/>
          <w:sz w:val="24"/>
          <w:szCs w:val="24"/>
          <w:rtl w:val="0"/>
          <w:lang w:val="en-US"/>
        </w:rPr>
        <w:t xml:space="preserve"> Therefore, Charman</w:t>
      </w:r>
      <w:r>
        <w:rPr>
          <w:rFonts w:ascii="Arial" w:hAnsi="Arial" w:hint="default"/>
          <w:sz w:val="24"/>
          <w:szCs w:val="24"/>
          <w:rtl w:val="0"/>
          <w:lang w:val="en-US"/>
        </w:rPr>
        <w:t>’</w:t>
      </w:r>
      <w:r>
        <w:rPr>
          <w:rFonts w:ascii="Arial" w:hAnsi="Arial"/>
          <w:sz w:val="24"/>
          <w:szCs w:val="24"/>
          <w:rtl w:val="0"/>
          <w:lang w:val="en-US"/>
        </w:rPr>
        <w:t xml:space="preserve">s study shows that for mental wellbeing to be managed effectively, it requires a cultural transformation in order to sustain long lasting improvements. </w:t>
      </w:r>
    </w:p>
    <w:p>
      <w:pPr>
        <w:pStyle w:val="Body A"/>
        <w:rPr>
          <w:rFonts w:ascii="Arial" w:cs="Arial" w:hAnsi="Arial" w:eastAsia="Arial"/>
          <w:sz w:val="24"/>
          <w:szCs w:val="24"/>
        </w:rPr>
      </w:pPr>
      <w:r>
        <w:rPr>
          <w:rFonts w:ascii="Arial" w:hAnsi="Arial"/>
          <w:sz w:val="24"/>
          <w:szCs w:val="24"/>
          <w:rtl w:val="0"/>
          <w:lang w:val="en-US"/>
        </w:rPr>
        <w:t>In conclusion, there have clearly been strong efforts that have been made around supporting our diverse communities in the UK, however the studies that I have outline</w:t>
      </w:r>
      <w:r>
        <w:rPr>
          <w:rFonts w:ascii="Arial" w:hAnsi="Arial"/>
          <w:sz w:val="24"/>
          <w:szCs w:val="24"/>
          <w:rtl w:val="0"/>
          <w:lang w:val="en-US"/>
        </w:rPr>
        <w:t>d</w:t>
      </w:r>
      <w:r>
        <w:rPr>
          <w:rFonts w:ascii="Arial" w:hAnsi="Arial"/>
          <w:sz w:val="24"/>
          <w:szCs w:val="24"/>
          <w:rtl w:val="0"/>
          <w:lang w:val="en-US"/>
        </w:rPr>
        <w:t xml:space="preserve"> above have made it clear that the police force in the UK still has a long way to go until they have managed to successfully integrate diversity into not only their ranks, but also in a way that gains the support of these communities as a whole. There is evidently still mistrust from these communities when it comes to police, however as these studies state, these issues will not be solved until further attempts to restructure the organisation as a whole are made, rather than the superficial attempts that have been made so far.</w:t>
      </w: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WORD COUNT: 987</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Essay 2</w:t>
      </w:r>
    </w:p>
    <w:p>
      <w:pPr>
        <w:pStyle w:val="Body A"/>
        <w:rPr>
          <w:rFonts w:ascii="Arial" w:cs="Arial" w:hAnsi="Arial" w:eastAsia="Arial"/>
          <w:sz w:val="24"/>
          <w:szCs w:val="24"/>
        </w:rPr>
      </w:pPr>
      <w:r>
        <w:rPr>
          <w:rFonts w:ascii="Arial" w:hAnsi="Arial"/>
          <w:sz w:val="24"/>
          <w:szCs w:val="24"/>
          <w:rtl w:val="0"/>
          <w:lang w:val="en-US"/>
        </w:rPr>
        <w:t xml:space="preserve">Response policing </w:t>
      </w:r>
      <w:r>
        <w:rPr>
          <w:rFonts w:ascii="Arial" w:hAnsi="Arial" w:hint="default"/>
          <w:sz w:val="24"/>
          <w:szCs w:val="24"/>
          <w:rtl w:val="0"/>
        </w:rPr>
        <w:t xml:space="preserve">– </w:t>
      </w:r>
      <w:r>
        <w:rPr>
          <w:rFonts w:ascii="Arial" w:hAnsi="Arial"/>
          <w:sz w:val="24"/>
          <w:szCs w:val="24"/>
          <w:rtl w:val="0"/>
          <w:lang w:val="en-US"/>
        </w:rPr>
        <w:t>Why is it important to manage mental wellbeing in policing? What can be the consequences if mental wellbeing is not managed appropriately?</w:t>
      </w:r>
    </w:p>
    <w:p>
      <w:pPr>
        <w:pStyle w:val="Body A"/>
        <w:rPr>
          <w:rFonts w:ascii="Arial" w:cs="Arial" w:hAnsi="Arial" w:eastAsia="Arial"/>
          <w:sz w:val="24"/>
          <w:szCs w:val="24"/>
        </w:rPr>
      </w:pPr>
    </w:p>
    <w:p>
      <w:pPr>
        <w:pStyle w:val="Body A"/>
        <w:rPr>
          <w:rFonts w:ascii="Arial" w:cs="Arial" w:hAnsi="Arial" w:eastAsia="Arial"/>
          <w:sz w:val="24"/>
          <w:szCs w:val="24"/>
          <w:lang w:val="en-US"/>
        </w:rPr>
      </w:pPr>
      <w:r>
        <w:rPr>
          <w:rFonts w:ascii="Arial" w:hAnsi="Arial"/>
          <w:sz w:val="24"/>
          <w:szCs w:val="24"/>
          <w:rtl w:val="0"/>
          <w:lang w:val="en-US"/>
        </w:rPr>
        <w:t>In this essay, I shall be discussing importance of mental wellbeing in policing</w:t>
      </w:r>
      <w:r>
        <w:rPr>
          <w:rFonts w:ascii="Arial" w:hAnsi="Arial"/>
          <w:sz w:val="24"/>
          <w:szCs w:val="24"/>
          <w:rtl w:val="0"/>
          <w:lang w:val="en-US"/>
        </w:rPr>
        <w:t xml:space="preserve">, and the potential consequences of officers not being given the proper support to be able to manage their mental wellbeing. I shall also be evaluating sources that discuss the catalysts for poor mental health in policing. I will be doing this by researching a range of studies statistics regarding the matter. </w:t>
      </w:r>
    </w:p>
    <w:p>
      <w:pPr>
        <w:pStyle w:val="Body A"/>
        <w:rPr>
          <w:rFonts w:ascii="Arial" w:cs="Arial" w:hAnsi="Arial" w:eastAsia="Arial"/>
          <w:sz w:val="24"/>
          <w:szCs w:val="24"/>
        </w:rPr>
      </w:pPr>
      <w:r>
        <w:rPr>
          <w:rFonts w:ascii="Arial" w:hAnsi="Arial"/>
          <w:sz w:val="24"/>
          <w:szCs w:val="24"/>
          <w:rtl w:val="0"/>
          <w:lang w:val="en-US"/>
        </w:rPr>
        <w:t xml:space="preserve">The </w:t>
      </w:r>
      <w:r>
        <w:rPr>
          <w:rFonts w:ascii="Arial" w:hAnsi="Arial"/>
          <w:sz w:val="24"/>
          <w:szCs w:val="24"/>
          <w:rtl w:val="0"/>
          <w:lang w:val="en-US"/>
        </w:rPr>
        <w:t xml:space="preserve">occupation of a Police Officer </w:t>
      </w:r>
      <w:r>
        <w:rPr>
          <w:rFonts w:ascii="Arial" w:hAnsi="Arial"/>
          <w:sz w:val="24"/>
          <w:szCs w:val="24"/>
          <w:rtl w:val="0"/>
          <w:lang w:val="en-US"/>
        </w:rPr>
        <w:t>can be a rewarding one, however it does not come without its challenges, which can lead to negative effects on the mental health of it</w:t>
      </w:r>
      <w:r>
        <w:rPr>
          <w:rFonts w:ascii="Arial" w:hAnsi="Arial" w:hint="default"/>
          <w:sz w:val="24"/>
          <w:szCs w:val="24"/>
          <w:rtl w:val="0"/>
          <w:lang w:val="en-US"/>
        </w:rPr>
        <w:t>’</w:t>
      </w:r>
      <w:r>
        <w:rPr>
          <w:rFonts w:ascii="Arial" w:hAnsi="Arial"/>
          <w:sz w:val="24"/>
          <w:szCs w:val="24"/>
          <w:rtl w:val="0"/>
          <w:lang w:val="en-US"/>
        </w:rPr>
        <w:t xml:space="preserve">s officers. On average, depending on the length of their career, an officer may encounter 400 - 600 traumatic incidents in their lifetime, in comparison to the average 3 - 4 traumatic incidents that are encountered by civilians during their lifetimes (British Psychological Society, 2022). </w:t>
      </w:r>
    </w:p>
    <w:p>
      <w:pPr>
        <w:pStyle w:val="Body A"/>
        <w:rPr>
          <w:rFonts w:ascii="Arial" w:cs="Arial" w:hAnsi="Arial" w:eastAsia="Arial"/>
          <w:sz w:val="24"/>
          <w:szCs w:val="24"/>
        </w:rPr>
      </w:pPr>
      <w:r>
        <w:rPr>
          <w:rFonts w:ascii="Arial" w:hAnsi="Arial"/>
          <w:sz w:val="24"/>
          <w:szCs w:val="24"/>
          <w:rtl w:val="0"/>
          <w:lang w:val="en-US"/>
        </w:rPr>
        <w:t>A University College London led study from 2020 looked at the negative side affects of being a police officer</w:t>
      </w:r>
      <w:r>
        <w:rPr>
          <w:rFonts w:ascii="Arial" w:hAnsi="Arial"/>
          <w:sz w:val="24"/>
          <w:szCs w:val="24"/>
          <w:rtl w:val="0"/>
          <w:lang w:val="en-US"/>
        </w:rPr>
        <w:t>, from participants across the globe</w:t>
      </w:r>
      <w:r>
        <w:rPr>
          <w:rFonts w:ascii="Arial" w:hAnsi="Arial"/>
          <w:sz w:val="24"/>
          <w:szCs w:val="24"/>
          <w:rtl w:val="0"/>
          <w:lang w:val="en-US"/>
        </w:rPr>
        <w:t>. The stresses were found to stem from not only what they have witnessed, but also from the stress that can be induced from high workloads and pressures from the organisations they work for. The study looked at a wide range of officers, internationally, and found that mental health issues were a substantial health concern among those in the profession. They found that approximately one in four were drinking at potentially hazardous levels, and approximately one in ten met the criteria for mental health disorders and suicidal thoughts. (University College London, 2020). The study found that 14% of their participants met the criteria for PTSD, 14.5% met the criteria for depression, 9.5% met the criteria for anxiety disorders and 8.5% had suicidal thoughts.  (University College London, 2020).</w:t>
      </w:r>
      <w:r>
        <w:rPr>
          <w:rFonts w:ascii="Arial" w:hAnsi="Arial"/>
          <w:sz w:val="24"/>
          <w:szCs w:val="24"/>
          <w:rtl w:val="0"/>
          <w:lang w:val="en-US"/>
        </w:rPr>
        <w:t xml:space="preserve"> This study sources participants from worldwide, which indicates that the problem of poor mental health in policing is not confined to one specific country, and it is an issue that requires urgent attention. It highlights that the continuous exposure to traumatic situations has a clear effect on officers, resulting in often permanent negative effects. Therefore, the ability to manage mental health and wellbeing for police officers is vital in order for officers to continue to enact their job effectively.</w:t>
      </w:r>
    </w:p>
    <w:p>
      <w:pPr>
        <w:pStyle w:val="Body A"/>
        <w:rPr>
          <w:rFonts w:ascii="Arial" w:cs="Arial" w:hAnsi="Arial" w:eastAsia="Arial"/>
          <w:sz w:val="24"/>
          <w:szCs w:val="24"/>
        </w:rPr>
      </w:pPr>
      <w:r>
        <w:rPr>
          <w:rFonts w:ascii="Arial" w:hAnsi="Arial"/>
          <w:sz w:val="24"/>
          <w:szCs w:val="24"/>
          <w:rtl w:val="0"/>
          <w:lang w:val="en-US"/>
        </w:rPr>
        <w:t>An officer who is struggling with mental health issues, including the ones stated above, may suffer from a long term impact on their careers. The side effects of this can lead to a decrease in job performance, strains on the personal lifestyle of officers as well as their relationships with other, as well as an increase in the likelihood of suffering with their physical health (Vector Solutions, 2025)</w:t>
      </w:r>
      <w:r>
        <w:rPr>
          <w:rFonts w:ascii="Arial" w:hAnsi="Arial"/>
          <w:sz w:val="24"/>
          <w:szCs w:val="24"/>
          <w:rtl w:val="0"/>
          <w:lang w:val="en-US"/>
        </w:rPr>
        <w:t xml:space="preserve">. </w:t>
      </w:r>
    </w:p>
    <w:p>
      <w:pPr>
        <w:pStyle w:val="Body A"/>
        <w:rPr>
          <w:rFonts w:ascii="Arial" w:cs="Arial" w:hAnsi="Arial" w:eastAsia="Arial"/>
          <w:sz w:val="24"/>
          <w:szCs w:val="24"/>
        </w:rPr>
      </w:pPr>
      <w:r>
        <w:rPr>
          <w:rFonts w:ascii="Arial" w:hAnsi="Arial"/>
          <w:sz w:val="24"/>
          <w:szCs w:val="24"/>
          <w:rtl w:val="0"/>
          <w:lang w:val="en-US"/>
        </w:rPr>
        <w:t>While the issues that can be induced from the stresses of a policing career can manifest themselves in an array of mental health disorders, these can also in turn affect an officer</w:t>
      </w:r>
      <w:r>
        <w:rPr>
          <w:rFonts w:ascii="Arial" w:hAnsi="Arial" w:hint="default"/>
          <w:sz w:val="24"/>
          <w:szCs w:val="24"/>
          <w:rtl w:val="0"/>
          <w:lang w:val="en-US"/>
        </w:rPr>
        <w:t>’</w:t>
      </w:r>
      <w:r>
        <w:rPr>
          <w:rFonts w:ascii="Arial" w:hAnsi="Arial"/>
          <w:sz w:val="24"/>
          <w:szCs w:val="24"/>
          <w:rtl w:val="0"/>
          <w:lang w:val="en-US"/>
        </w:rPr>
        <w:t xml:space="preserve">s physical health. Health Psychology Research conducted a study in 2023 on the effects of poor mental health on the physical health of police officers. The study found that these mental health issues can lead to physical ailments such as high blood pressure, gastrointestinal issues as well as an increased risk of suffering from heart disease (Health Psychology Research, 2023). </w:t>
      </w:r>
    </w:p>
    <w:p>
      <w:pPr>
        <w:pStyle w:val="Body A"/>
        <w:rPr>
          <w:rFonts w:ascii="Arial" w:cs="Arial" w:hAnsi="Arial" w:eastAsia="Arial"/>
          <w:sz w:val="24"/>
          <w:szCs w:val="24"/>
        </w:rPr>
      </w:pPr>
      <w:r>
        <w:rPr>
          <w:rFonts w:ascii="Arial" w:hAnsi="Arial"/>
          <w:sz w:val="24"/>
          <w:szCs w:val="24"/>
          <w:rtl w:val="0"/>
          <w:lang w:val="en-US"/>
        </w:rPr>
        <w:t>Without receiving proper support for any of these issues, it can lead to a long term impact on an officer</w:t>
      </w:r>
      <w:r>
        <w:rPr>
          <w:rFonts w:ascii="Arial" w:hAnsi="Arial" w:hint="default"/>
          <w:sz w:val="24"/>
          <w:szCs w:val="24"/>
          <w:rtl w:val="0"/>
          <w:lang w:val="en-US"/>
        </w:rPr>
        <w:t>’</w:t>
      </w:r>
      <w:r>
        <w:rPr>
          <w:rFonts w:ascii="Arial" w:hAnsi="Arial"/>
          <w:sz w:val="24"/>
          <w:szCs w:val="24"/>
          <w:rtl w:val="0"/>
          <w:lang w:val="en-US"/>
        </w:rPr>
        <w:t xml:space="preserve">s career. Officers struggling with their mental health are more likely to suffer with burnout in their careers, leading to an early retirement and therefore ;ending to a lower staff retention for a police force. This can lead to increased expenditure in training new officers in order to make up for the officers that have left the job due to possibly avoidable circumstances like job-related stress (Vector Solutions, 2025). The Police Federation also backed this up in their 2024 article, noting that in the UK, over 14,500 officers in the UK had to be signed off from working due to factors such as stress, depression, anxiety or PTSD from 2023 - 2024. They also noted that this had increased by 130% from 2012 - 2013 (Police Federation, 2024). The Federation also found that within their study, that there was a large stigma around mental health in the Police, noting that  the culture within the workplace discourages officers from seeking help. They noted that many officers believe that by admitting that they are struggling with mental health issues, it may have a negative effect on their career progression, and that it may lead to them being perceived as weak by their colleagues (Police Federation, 2024). </w:t>
      </w:r>
    </w:p>
    <w:p>
      <w:pPr>
        <w:pStyle w:val="Body A"/>
        <w:rPr>
          <w:rFonts w:ascii="Arial" w:cs="Arial" w:hAnsi="Arial" w:eastAsia="Arial"/>
          <w:sz w:val="24"/>
          <w:szCs w:val="24"/>
        </w:rPr>
      </w:pPr>
      <w:r>
        <w:rPr>
          <w:rFonts w:ascii="Arial" w:hAnsi="Arial"/>
          <w:sz w:val="24"/>
          <w:szCs w:val="24"/>
          <w:rtl w:val="0"/>
          <w:lang w:val="en-US"/>
        </w:rPr>
        <w:t>In response to the growing awareness around mental health issues in police officers, there have been a number of initiatives that have grown around tackling the problem. Initiatives such as the Blue Light Programme and Oscar Kilo have been created in order to assist officers struggling with their mental health issues, in an effort to tackle the issues before they become too much for the officers to bare. They provide services such as mindfulness workshops, mental health awareness programmes as well as resilience training.</w:t>
      </w:r>
    </w:p>
    <w:p>
      <w:pPr>
        <w:pStyle w:val="Body A"/>
        <w:rPr>
          <w:rFonts w:ascii="Arial" w:cs="Arial" w:hAnsi="Arial" w:eastAsia="Arial"/>
          <w:sz w:val="24"/>
          <w:szCs w:val="24"/>
        </w:rPr>
      </w:pPr>
      <w:r>
        <w:rPr>
          <w:rFonts w:ascii="Arial" w:hAnsi="Arial"/>
          <w:sz w:val="24"/>
          <w:szCs w:val="24"/>
          <w:rtl w:val="0"/>
          <w:lang w:val="en-US"/>
        </w:rPr>
        <w:t>In conclusion, there is a clear need for mental health awareness within the police forces across the UK. The studies and articles that I have mentioned above have highlighted the necessity for better ways for forces to tackle these issues, not only for the benefit of the individual, but also for the benefit of the force. It can be bad enough for individual officers to be struggling with mental health issues, which have been proven to lead to more serious physical health issues later down the line, but it has also shown that the force as a whole can suffer negatively from the impact of having officers needing to take time from work in order to heal, both physically and mentally. If these issues are addressed, it will not only benefit the individual, but also the force as a whole, in regards to their reputation as well as the monetary gain that they will enjoy from higher retention rates, negating the need to retrain new officers and to provide cover for officers suffering from burnout from the role.</w:t>
      </w: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WORD COUNT: 1,008</w:t>
      </w: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b w:val="1"/>
          <w:bCs w:val="1"/>
        </w:rPr>
      </w:pPr>
      <w:r>
        <w:rPr>
          <w:rFonts w:ascii="Arial" w:hAnsi="Arial"/>
          <w:b w:val="1"/>
          <w:bCs w:val="1"/>
          <w:rtl w:val="0"/>
          <w:lang w:val="en-US"/>
        </w:rPr>
        <w:t>Essay 3</w:t>
      </w:r>
    </w:p>
    <w:p>
      <w:pPr>
        <w:pStyle w:val="Default"/>
        <w:suppressAutoHyphens w:val="1"/>
        <w:spacing w:before="0" w:line="240" w:lineRule="auto"/>
        <w:rPr>
          <w:rFonts w:ascii="Arial" w:cs="Arial" w:hAnsi="Arial" w:eastAsia="Arial"/>
          <w:b w:val="1"/>
          <w:bCs w:val="1"/>
        </w:rPr>
      </w:pPr>
      <w:r>
        <w:rPr>
          <w:rFonts w:ascii="Arial" w:hAnsi="Arial"/>
          <w:b w:val="1"/>
          <w:bCs w:val="1"/>
          <w:rtl w:val="0"/>
          <w:lang w:val="en-US"/>
        </w:rPr>
        <w:t>Outline potential links between serious and organised crime and public protection issues. What characteristics make some people more vulnerable to exploitation by serious and organised crime gangs?</w:t>
      </w: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r>
        <w:rPr>
          <w:rFonts w:ascii="Arial" w:hAnsi="Arial"/>
          <w:rtl w:val="0"/>
          <w:lang w:val="en-US"/>
        </w:rPr>
        <w:t>In</w:t>
      </w:r>
      <w:r>
        <w:rPr>
          <w:rFonts w:ascii="Arial" w:hAnsi="Arial"/>
          <w:rtl w:val="0"/>
          <w:lang w:val="en-US"/>
        </w:rPr>
        <w:t xml:space="preserve"> this essay, I shall be looking into serious organised crime in relation to the issues it causes to public protection. Organised crime has far reaching consequences when it come to public protection. These groups are often known to target and exploit those in financial distress, offering them assistance and services in exchange for them to use vulnerable people and their homes in order to carry out illegal and illicit activities. Exploitation such as this is detrimental to not only the vulnerable individuals at the receiving end of it, but also the communities around them, where it can often lead to an erosion of their safety and trust in public services (Scottish Government, 2018). People from lower socio-economic backgrounds are also more susceptible to being recruited by organised crime groups. The attraction of financial gain that they can provide to people from these backgrounds can also be a factor in their allure. Avenues such as this tend to lend the promise of potential to advance and gain more money and power in communities where they would otherwise being extremely limited. This attractive goal is even more prevalent in organised crime gangs who are targeting and grooming youths into their ranks. Youths are at a heightened risk - especially those who are already living in lower socioeconomic areas. This issue can also be more likely to occur for those who have family members who are already taking part in working for these gangs (Scottish Government, 2018). </w:t>
      </w:r>
    </w:p>
    <w:p>
      <w:pPr>
        <w:pStyle w:val="Default"/>
        <w:suppressAutoHyphens w:val="1"/>
        <w:spacing w:before="0" w:line="240" w:lineRule="auto"/>
        <w:rPr>
          <w:rFonts w:ascii="Arial" w:cs="Arial" w:hAnsi="Arial" w:eastAsia="Arial"/>
        </w:rPr>
      </w:pPr>
      <w:r>
        <w:rPr>
          <w:rFonts w:ascii="Arial" w:hAnsi="Arial"/>
          <w:rtl w:val="0"/>
          <w:lang w:val="en-US"/>
        </w:rPr>
        <w:t>Criminal gangs often target young children, and often these children can be as young as 11, in order to use them to smuggle drugs across the country, in what is known as County Lines Drug Trafficking. These activities can often expose them to violent criminal activities, whereby they are not only forced or coerced to take part in them, but are also victim to criminal activities themselves (HM Inspectorate of Probation, 2024).</w:t>
      </w:r>
    </w:p>
    <w:p>
      <w:pPr>
        <w:pStyle w:val="Default"/>
        <w:suppressAutoHyphens w:val="1"/>
        <w:spacing w:before="0" w:line="240" w:lineRule="auto"/>
        <w:rPr>
          <w:rFonts w:ascii="Arial" w:cs="Arial" w:hAnsi="Arial" w:eastAsia="Arial"/>
          <w:lang w:val="en-US"/>
        </w:rPr>
      </w:pPr>
      <w:r>
        <w:rPr>
          <w:rFonts w:ascii="Arial" w:hAnsi="Arial"/>
          <w:rtl w:val="0"/>
        </w:rPr>
        <w:t>G</w:t>
      </w:r>
      <w:r>
        <w:rPr>
          <w:rFonts w:ascii="Arial" w:hAnsi="Arial" w:hint="default"/>
          <w:rtl w:val="0"/>
          <w:lang w:val="da-DK"/>
        </w:rPr>
        <w:t>ø</w:t>
      </w:r>
      <w:r>
        <w:rPr>
          <w:rFonts w:ascii="Arial" w:hAnsi="Arial"/>
          <w:rtl w:val="0"/>
          <w:lang w:val="da-DK"/>
        </w:rPr>
        <w:t>tzsche-Astrup, O</w:t>
      </w:r>
      <w:r>
        <w:rPr>
          <w:rFonts w:ascii="Arial" w:hAnsi="Arial"/>
          <w:rtl w:val="0"/>
          <w:lang w:val="en-US"/>
        </w:rPr>
        <w:t xml:space="preserve"> et al (2022) conducted a study on personality traits that are often displayed in individuals who take part or are groomed into taking part in organised crime. They noted that these individuals may present certain traits such leading to emotional instability and vulnerability, and in turn leading them to be less likely to pursue conventional lifestyles like the majority of society, and therefore making them more likely to follow paths in organised crime (</w:t>
      </w:r>
      <w:r>
        <w:rPr>
          <w:rFonts w:ascii="Arial" w:hAnsi="Arial"/>
          <w:rtl w:val="0"/>
        </w:rPr>
        <w:t>G</w:t>
      </w:r>
      <w:r>
        <w:rPr>
          <w:rFonts w:ascii="Arial" w:hAnsi="Arial" w:hint="default"/>
          <w:rtl w:val="0"/>
          <w:lang w:val="da-DK"/>
        </w:rPr>
        <w:t>ø</w:t>
      </w:r>
      <w:r>
        <w:rPr>
          <w:rFonts w:ascii="Arial" w:hAnsi="Arial"/>
          <w:rtl w:val="0"/>
          <w:lang w:val="da-DK"/>
        </w:rPr>
        <w:t>tzsche-Astrup, O</w:t>
      </w:r>
      <w:r>
        <w:rPr>
          <w:rFonts w:ascii="Arial" w:hAnsi="Arial"/>
          <w:rtl w:val="0"/>
          <w:lang w:val="en-US"/>
        </w:rPr>
        <w:t xml:space="preserve"> et al (2022). </w:t>
      </w:r>
    </w:p>
    <w:p>
      <w:pPr>
        <w:pStyle w:val="Default"/>
        <w:suppressAutoHyphens w:val="1"/>
        <w:spacing w:before="0" w:line="240" w:lineRule="auto"/>
        <w:rPr>
          <w:rFonts w:ascii="Arial" w:cs="Arial" w:hAnsi="Arial" w:eastAsia="Arial"/>
        </w:rPr>
      </w:pPr>
      <w:r>
        <w:rPr>
          <w:rFonts w:ascii="Arial" w:hAnsi="Arial"/>
          <w:rtl w:val="0"/>
          <w:lang w:val="en-US"/>
        </w:rPr>
        <w:t>Early intervention in the lives of these youths can assist in them avoiding these paths. Programmes such as the Violence Reduction Unit and Redthread are making efforts in this area, whereby they aim to work with police and hospitals in order to build a rapport with vulnerable individuals, especially those who have been arrested. Their interventions have shown a positive effect in reducing the rates of youths reoffending by engaging with them at critical moments in their lives and steering them on a legitimate path (Local Government Association, 2022).</w:t>
      </w:r>
    </w:p>
    <w:p>
      <w:pPr>
        <w:pStyle w:val="Default"/>
        <w:suppressAutoHyphens w:val="1"/>
        <w:spacing w:before="0" w:line="240" w:lineRule="auto"/>
        <w:rPr>
          <w:rFonts w:ascii="Arial" w:cs="Arial" w:hAnsi="Arial" w:eastAsia="Arial"/>
        </w:rPr>
      </w:pPr>
      <w:r>
        <w:rPr>
          <w:rFonts w:ascii="Arial" w:hAnsi="Arial"/>
          <w:rtl w:val="0"/>
          <w:lang w:val="en-US"/>
        </w:rPr>
        <w:t xml:space="preserve">The UK Government also has what they call a Serious Violence Strategy, whereby they have described violence as being a public health issue. They also agree that it is of high importance that early intervention is at the heart of stopping organised crime, as youths caught up in the cycle of it are the ones most susceptible to carrying it on in the future, and therefore grooming future young people into the lifestyles as well. They agree that a multi-agency approach is necessary in the attempt to limit organised crime (HM Government, </w:t>
      </w:r>
      <w:r>
        <w:rPr>
          <w:rFonts w:ascii="Arial" w:hAnsi="Arial"/>
          <w:rtl w:val="0"/>
        </w:rPr>
        <w:t>2023)</w:t>
      </w:r>
      <w:r>
        <w:rPr>
          <w:rFonts w:ascii="Arial" w:hAnsi="Arial"/>
          <w:rtl w:val="0"/>
          <w:lang w:val="en-US"/>
        </w:rPr>
        <w:t>.</w:t>
      </w:r>
      <w:r>
        <w:rPr>
          <w:rFonts w:ascii="Arial" w:hAnsi="Arial"/>
          <w:rtl w:val="0"/>
          <w:lang w:val="en-US"/>
        </w:rPr>
        <w:t xml:space="preserve"> This approach is essential for protecting the public, as it helps to bring down the numbers of youths both participating and becoming perpetrators within organised crime gangs.</w:t>
      </w:r>
    </w:p>
    <w:p>
      <w:pPr>
        <w:pStyle w:val="Default"/>
        <w:suppressAutoHyphens w:val="1"/>
        <w:spacing w:before="0" w:line="240" w:lineRule="auto"/>
        <w:rPr>
          <w:rFonts w:ascii="Arial" w:cs="Arial" w:hAnsi="Arial" w:eastAsia="Arial"/>
        </w:rPr>
      </w:pPr>
      <w:r>
        <w:rPr>
          <w:rFonts w:ascii="Arial" w:hAnsi="Arial"/>
          <w:rtl w:val="0"/>
          <w:lang w:val="en-US"/>
        </w:rPr>
        <w:t>Young people are not the only targets of organised crime, as there are other predatory practices such as cuckooing that are used to target vulnerable people. Police have taken measures in order to identify and tackle the practice of cuckooing but it is still prevalent today. Cuckooing is where organised crime members will target a vulnerable individual</w:t>
      </w:r>
      <w:r>
        <w:rPr>
          <w:rFonts w:ascii="Arial" w:hAnsi="Arial" w:hint="default"/>
          <w:rtl w:val="0"/>
          <w:lang w:val="en-US"/>
        </w:rPr>
        <w:t>’</w:t>
      </w:r>
      <w:r>
        <w:rPr>
          <w:rFonts w:ascii="Arial" w:hAnsi="Arial"/>
          <w:rtl w:val="0"/>
          <w:lang w:val="en-US"/>
        </w:rPr>
        <w:t>s home, whether they are socioeconomically vulnerable, mentally vulnerable or vulnerable due to old age. They will use the home for various criminal activities that can span from using the property to store drugs or stolen items, or for facilitating sex work, or to take over the property in order to exploit the individual for their benefits and therefore financially abusing the victim. They may even just use the property to take it over for a place for them to live, against the wishes of the tenant (</w:t>
      </w:r>
      <w:r>
        <w:rPr>
          <w:rFonts w:ascii="Arial" w:hAnsi="Arial"/>
          <w:rtl w:val="0"/>
        </w:rPr>
        <w:t>Darby, P</w:t>
      </w:r>
      <w:r>
        <w:rPr>
          <w:rFonts w:ascii="Arial" w:hAnsi="Arial"/>
          <w:rtl w:val="0"/>
          <w:lang w:val="en-US"/>
        </w:rPr>
        <w:t xml:space="preserve">, </w:t>
      </w:r>
      <w:r>
        <w:rPr>
          <w:rFonts w:ascii="Arial" w:hAnsi="Arial"/>
          <w:rtl w:val="0"/>
        </w:rPr>
        <w:t>2020)</w:t>
      </w:r>
      <w:r>
        <w:rPr>
          <w:rFonts w:ascii="Arial" w:hAnsi="Arial"/>
          <w:rtl w:val="0"/>
          <w:lang w:val="en-US"/>
        </w:rPr>
        <w:t>.</w:t>
      </w:r>
    </w:p>
    <w:p>
      <w:pPr>
        <w:pStyle w:val="Default"/>
        <w:suppressAutoHyphens w:val="1"/>
        <w:spacing w:before="0" w:line="240" w:lineRule="auto"/>
        <w:rPr>
          <w:rFonts w:ascii="Arial" w:cs="Arial" w:hAnsi="Arial" w:eastAsia="Arial"/>
        </w:rPr>
      </w:pPr>
      <w:r>
        <w:rPr>
          <w:rFonts w:ascii="Arial" w:hAnsi="Arial"/>
          <w:rtl w:val="0"/>
          <w:lang w:val="en-US"/>
        </w:rPr>
        <w:t>They will often start this by luring the victim into a false sense of security, through befriending them, eventually moving into the individual</w:t>
      </w:r>
      <w:r>
        <w:rPr>
          <w:rFonts w:ascii="Arial" w:hAnsi="Arial" w:hint="default"/>
          <w:rtl w:val="0"/>
          <w:lang w:val="en-US"/>
        </w:rPr>
        <w:t>’</w:t>
      </w:r>
      <w:r>
        <w:rPr>
          <w:rFonts w:ascii="Arial" w:hAnsi="Arial"/>
          <w:rtl w:val="0"/>
          <w:lang w:val="en-US"/>
        </w:rPr>
        <w:t>s home. They often alienate this person from their support networks, threatening them with violence if there is any sign of them not cooperating. Signs of cuckooing often include a large number of people entering and leaving the individual</w:t>
      </w:r>
      <w:r>
        <w:rPr>
          <w:rFonts w:ascii="Arial" w:hAnsi="Arial" w:hint="default"/>
          <w:rtl w:val="0"/>
          <w:lang w:val="en-US"/>
        </w:rPr>
        <w:t>’</w:t>
      </w:r>
      <w:r>
        <w:rPr>
          <w:rFonts w:ascii="Arial" w:hAnsi="Arial"/>
          <w:rtl w:val="0"/>
          <w:lang w:val="en-US"/>
        </w:rPr>
        <w:t>s home, signs of drug use in the home, an increase in antisocial behaviour and a lack of healthcare visitors to name a few (</w:t>
      </w:r>
      <w:r>
        <w:rPr>
          <w:rFonts w:ascii="Arial" w:hAnsi="Arial"/>
          <w:rtl w:val="0"/>
        </w:rPr>
        <w:t>Darby, P</w:t>
      </w:r>
      <w:r>
        <w:rPr>
          <w:rFonts w:ascii="Arial" w:hAnsi="Arial"/>
          <w:rtl w:val="0"/>
          <w:lang w:val="en-US"/>
        </w:rPr>
        <w:t xml:space="preserve">, </w:t>
      </w:r>
      <w:r>
        <w:rPr>
          <w:rFonts w:ascii="Arial" w:hAnsi="Arial"/>
          <w:rtl w:val="0"/>
        </w:rPr>
        <w:t>2020)</w:t>
      </w:r>
      <w:r>
        <w:rPr>
          <w:rFonts w:ascii="Arial" w:hAnsi="Arial"/>
          <w:rtl w:val="0"/>
          <w:lang w:val="en-US"/>
        </w:rPr>
        <w:t>. Due to the nature of cuckooing, it can often be hard for law enforcement to identify, or even stop. The efforts to do so often require a multi-agency effort in order to identify victims and to support them (College of Policing, n.d).</w:t>
      </w:r>
    </w:p>
    <w:p>
      <w:pPr>
        <w:pStyle w:val="Default"/>
        <w:suppressAutoHyphens w:val="1"/>
        <w:spacing w:before="0" w:line="240" w:lineRule="auto"/>
        <w:rPr>
          <w:rFonts w:ascii="Arial" w:cs="Arial" w:hAnsi="Arial" w:eastAsia="Arial"/>
        </w:rPr>
      </w:pPr>
      <w:r>
        <w:rPr>
          <w:rFonts w:ascii="Arial" w:hAnsi="Arial"/>
          <w:rtl w:val="0"/>
          <w:lang w:val="en-US"/>
        </w:rPr>
        <w:t>In conclusion, organised crime can have devastating effects on not only the individuals suffering the hands of these gangs, but also the communities around them. The studies that I have looked at in this essay have shown that there are many avenues and victims targeted by these criminal gangs, and that there are clearly efforts that have been made by police and partner agencies in order to identify and tackle the issues in this area, however there is clearly more that needs to be done in educating communities and local authorities in ways of identifying and limiting these activities.</w:t>
      </w: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b w:val="1"/>
          <w:bCs w:val="1"/>
        </w:rPr>
      </w:pPr>
      <w:r>
        <w:rPr>
          <w:rFonts w:ascii="Arial" w:hAnsi="Arial"/>
          <w:b w:val="1"/>
          <w:bCs w:val="1"/>
          <w:rtl w:val="0"/>
          <w:lang w:val="en-US"/>
        </w:rPr>
        <w:t>WORD COUNT: 980</w:t>
      </w:r>
    </w:p>
    <w:p>
      <w:pPr>
        <w:pStyle w:val="Default"/>
        <w:suppressAutoHyphens w:val="1"/>
        <w:spacing w:before="0" w:after="240" w:line="240" w:lineRule="auto"/>
        <w:jc w:val="left"/>
        <w:rPr>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b w:val="1"/>
          <w:bCs w:val="1"/>
        </w:rPr>
      </w:pPr>
      <w:r>
        <w:rPr>
          <w:rFonts w:ascii="Arial" w:hAnsi="Arial"/>
          <w:b w:val="1"/>
          <w:bCs w:val="1"/>
          <w:rtl w:val="0"/>
          <w:lang w:val="en-US"/>
        </w:rPr>
        <w:t>Essay 4</w:t>
      </w:r>
    </w:p>
    <w:p>
      <w:pPr>
        <w:pStyle w:val="Default"/>
        <w:suppressAutoHyphens w:val="1"/>
        <w:spacing w:before="0" w:line="240" w:lineRule="auto"/>
        <w:rPr>
          <w:rFonts w:ascii="Arial" w:cs="Arial" w:hAnsi="Arial" w:eastAsia="Arial"/>
          <w:b w:val="1"/>
          <w:bCs w:val="1"/>
        </w:rPr>
      </w:pPr>
      <w:r>
        <w:rPr>
          <w:rFonts w:ascii="Arial" w:hAnsi="Arial"/>
          <w:b w:val="1"/>
          <w:bCs w:val="1"/>
          <w:rtl w:val="0"/>
          <w:lang w:val="en-US"/>
        </w:rPr>
        <w:t>How effective is early intervention an effective means of preventing young people from offending or re-offending?</w:t>
      </w: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r>
        <w:rPr>
          <w:rFonts w:ascii="Arial" w:hAnsi="Arial"/>
          <w:rtl w:val="0"/>
          <w:lang w:val="en-US"/>
        </w:rPr>
        <w:t xml:space="preserve">This essay </w:t>
      </w:r>
      <w:r>
        <w:rPr>
          <w:rFonts w:ascii="Arial" w:hAnsi="Arial"/>
          <w:rtl w:val="0"/>
          <w:lang w:val="en-US"/>
        </w:rPr>
        <w:t xml:space="preserve">I </w:t>
      </w:r>
      <w:r>
        <w:rPr>
          <w:rFonts w:ascii="Arial" w:hAnsi="Arial"/>
          <w:rtl w:val="0"/>
          <w:lang w:val="en-US"/>
        </w:rPr>
        <w:t xml:space="preserve">will </w:t>
      </w:r>
      <w:r>
        <w:rPr>
          <w:rFonts w:ascii="Arial" w:hAnsi="Arial"/>
          <w:rtl w:val="0"/>
          <w:lang w:val="en-US"/>
        </w:rPr>
        <w:t>be discussing</w:t>
      </w:r>
      <w:r>
        <w:rPr>
          <w:rFonts w:ascii="Arial" w:hAnsi="Arial"/>
          <w:rtl w:val="0"/>
          <w:lang w:val="en-US"/>
        </w:rPr>
        <w:t xml:space="preserve"> early intervention as an effective means of preventing young people from offending or reoffending</w:t>
      </w:r>
      <w:r>
        <w:rPr>
          <w:rFonts w:ascii="Arial" w:hAnsi="Arial"/>
          <w:rtl w:val="0"/>
          <w:lang w:val="en-US"/>
        </w:rPr>
        <w:t xml:space="preserve">, as well as the various strategies that have been put into place. I shall also be evaluating the effectiveness of these strategies and what can be done </w:t>
      </w:r>
      <w:r>
        <w:rPr>
          <w:rFonts w:ascii="Arial" w:hAnsi="Arial"/>
          <w:rtl w:val="0"/>
          <w:lang w:val="en-US"/>
        </w:rPr>
        <w:t>. Early intervention has had a positive effect in this area, as a useful strategy in limiting and eliminating the opportunity for youths to take part in criminal activity. In the UK, the average age in which individuals are first recognised as taking part in criminal activity is around 24 years old, however the most common age for these individuals to actually start engaging in criminal</w:t>
      </w:r>
      <w:r>
        <w:rPr>
          <w:rFonts w:ascii="Arial" w:hAnsi="Arial"/>
          <w:rtl w:val="0"/>
          <w:lang w:val="en-US"/>
        </w:rPr>
        <w:t xml:space="preserve"> </w:t>
      </w:r>
      <w:r>
        <w:rPr>
          <w:rFonts w:ascii="Arial" w:hAnsi="Arial"/>
          <w:rtl w:val="0"/>
          <w:lang w:val="en-US"/>
        </w:rPr>
        <w:t xml:space="preserve">activity is around 15 years old (Dawes, W. et al, </w:t>
      </w:r>
      <w:r>
        <w:rPr>
          <w:rFonts w:ascii="Arial" w:hAnsi="Arial"/>
          <w:rtl w:val="0"/>
        </w:rPr>
        <w:t>2017</w:t>
      </w:r>
      <w:r>
        <w:rPr>
          <w:rFonts w:ascii="Arial" w:hAnsi="Arial"/>
          <w:rtl w:val="0"/>
          <w:lang w:val="en-US"/>
        </w:rPr>
        <w:t>).</w:t>
      </w:r>
    </w:p>
    <w:p>
      <w:pPr>
        <w:pStyle w:val="Default"/>
        <w:suppressAutoHyphens w:val="1"/>
        <w:spacing w:before="0" w:line="240" w:lineRule="auto"/>
        <w:rPr>
          <w:rFonts w:ascii="Arial" w:cs="Arial" w:hAnsi="Arial" w:eastAsia="Arial"/>
        </w:rPr>
      </w:pPr>
      <w:r>
        <w:rPr>
          <w:rFonts w:ascii="Arial" w:hAnsi="Arial"/>
          <w:rtl w:val="0"/>
          <w:lang w:val="en-US"/>
        </w:rPr>
        <w:t xml:space="preserve">Early intervention programmes tend to have roots in developmental psychology and criminological theory, and aim to limit criminal behaviour in youths before it takes root in their lives leading into adulthood. Once they become adults, these behaviours become much harder to eliminate. </w:t>
      </w:r>
    </w:p>
    <w:p>
      <w:pPr>
        <w:pStyle w:val="Default"/>
        <w:suppressAutoHyphens w:val="1"/>
        <w:spacing w:before="0" w:line="240" w:lineRule="auto"/>
        <w:rPr>
          <w:rFonts w:ascii="Arial" w:cs="Arial" w:hAnsi="Arial" w:eastAsia="Arial"/>
        </w:rPr>
      </w:pPr>
      <w:r>
        <w:rPr>
          <w:rFonts w:ascii="Arial" w:hAnsi="Arial"/>
          <w:rtl w:val="0"/>
          <w:lang w:val="en-US"/>
        </w:rPr>
        <w:t>Developmental and life-course criminology is one theory that supports the notion that criminal behaviour should be addressed at a young age. Moffitt noted in their 1993 study that early intervention can disrupt this behaviour (Moffitt, 1993).</w:t>
      </w:r>
      <w:r>
        <w:rPr>
          <w:rFonts w:ascii="Arial" w:hAnsi="Arial"/>
          <w:rtl w:val="0"/>
          <w:lang w:val="en-US"/>
        </w:rPr>
        <w:t xml:space="preserve"> In this article, Moffitt argues that young offenders often engage in antisocial behaviour as a form of rebellion, and in order to impress their peers. Moffitt states that offenders who display persistent offender behaviour into adulthood in fact display traits from early childhood that have persisted into their adult lives. This study supports the notion that early intervention can be an effective mode of preventing reoffending in later life </w:t>
      </w:r>
      <w:r>
        <w:rPr>
          <w:rFonts w:ascii="Arial" w:hAnsi="Arial"/>
          <w:rtl w:val="0"/>
          <w:lang w:val="en-US"/>
        </w:rPr>
        <w:t>(Moffitt, 1993)</w:t>
      </w:r>
      <w:r>
        <w:rPr>
          <w:rFonts w:ascii="Arial" w:hAnsi="Arial"/>
          <w:rtl w:val="0"/>
          <w:lang w:val="en-US"/>
        </w:rPr>
        <w:t>.</w:t>
      </w:r>
    </w:p>
    <w:p>
      <w:pPr>
        <w:pStyle w:val="Default"/>
        <w:suppressAutoHyphens w:val="1"/>
        <w:spacing w:before="0" w:line="240" w:lineRule="auto"/>
        <w:rPr>
          <w:rFonts w:ascii="Arial" w:cs="Arial" w:hAnsi="Arial" w:eastAsia="Arial"/>
        </w:rPr>
      </w:pPr>
      <w:r>
        <w:rPr>
          <w:rFonts w:ascii="Arial" w:hAnsi="Arial"/>
          <w:rtl w:val="0"/>
          <w:lang w:val="en-US"/>
        </w:rPr>
        <w:t>A UK based case study from 2005</w:t>
      </w:r>
      <w:r>
        <w:rPr>
          <w:rFonts w:ascii="Arial" w:hAnsi="Arial"/>
          <w:rtl w:val="0"/>
          <w:lang w:val="en-US"/>
        </w:rPr>
        <w:t xml:space="preserve">, from </w:t>
      </w:r>
      <w:r>
        <w:rPr>
          <w:rFonts w:ascii="Arial" w:hAnsi="Arial"/>
          <w:rtl w:val="0"/>
          <w:lang w:val="en-US"/>
        </w:rPr>
        <w:t>the Youth Inclusion Panels</w:t>
      </w:r>
      <w:r>
        <w:rPr>
          <w:rFonts w:ascii="Arial" w:hAnsi="Arial"/>
          <w:rtl w:val="0"/>
          <w:lang w:val="en-US"/>
        </w:rPr>
        <w:t xml:space="preserve">, </w:t>
      </w:r>
      <w:r>
        <w:rPr>
          <w:rFonts w:ascii="Arial" w:hAnsi="Arial"/>
          <w:rtl w:val="0"/>
          <w:lang w:val="en-US"/>
        </w:rPr>
        <w:t>devised a scheme that identifies and supports children aged 8 to 13 that are considered to be of higher risk of taking part in antisocial behaviour, offending or reoffending. The panels brought together multiple different partner agencies in order to tackle the issues surrounding this, from police and social services. They have developed schemes in order to tackle the issues through mentoring the individuals, family support, education and mental health support. They have also found that recreational activities such as taking part in sports and clubs have also had a positive effect in steering youths away from antisocial behaviours and criminal activities, as they have provided a positive distraction for these youths to take part in (Youth Justice Board, 2005). The individuals who have taken part in these activities have also been proven to have reduced rates of reoffending, when compared to youths who were in similar positions who had not taken part in the scheme. Continued support is needed in these areas however, as without consistent efforts, there is a likelihood that the individuals may continue down paths to reoffending. There are also issues surrounding how this scheme and ones like it are implemented across the country, as different local authorities are in consisted in how they implement these methods, leading to varied outcomes. The outcomes also tend to be varied in relation to how engaged some of the families of the offenders can be, as some tend to be disengaged and unwilling to take part.</w:t>
      </w:r>
    </w:p>
    <w:p>
      <w:pPr>
        <w:pStyle w:val="Default"/>
        <w:suppressAutoHyphens w:val="1"/>
        <w:spacing w:before="0" w:line="240" w:lineRule="auto"/>
        <w:rPr>
          <w:rFonts w:ascii="Arial" w:cs="Arial" w:hAnsi="Arial" w:eastAsia="Arial"/>
          <w:lang w:val="en-US"/>
        </w:rPr>
      </w:pPr>
      <w:r>
        <w:rPr>
          <w:rFonts w:ascii="Arial" w:hAnsi="Arial"/>
          <w:rtl w:val="0"/>
          <w:lang w:val="en-US"/>
        </w:rPr>
        <w:t xml:space="preserve">There are also programmes such as the Triple P - Positive Parenting Programme, that have researched and implemented early intervention programmes aimed at tackling offending behaviour in youths. This has been implemented internationally, with positive results. They have tailored their support to parents, in order to to promote positive relationships between parents and their children, as well as equipping parents in disciplining strategies that they might not otherwise have, and in doing so they have been able to provide a positive impact in the homes of offending youths and therefore tackling the issue at an early stage, and by assisting the parents, who are the adults who take primary care in shaping the lives of these youths. This programme has had a positive impact in reducing some of the behavioural issues that face many children who end up taking part in criminal activities, such as aggression and defiance of authority figures, which have often been linked to enhancing future criminal behaviour </w:t>
      </w:r>
      <w:r>
        <w:rPr>
          <w:rFonts w:ascii="Arial" w:hAnsi="Arial"/>
          <w:rtl w:val="0"/>
          <w:lang w:val="en-US"/>
        </w:rPr>
        <w:t>(</w:t>
      </w:r>
      <w:r>
        <w:rPr>
          <w:rFonts w:ascii="Arial" w:hAnsi="Arial"/>
          <w:rtl w:val="0"/>
          <w:lang w:val="nl-NL"/>
        </w:rPr>
        <w:t>Sanders, M.R.,</w:t>
      </w:r>
      <w:r>
        <w:rPr>
          <w:rFonts w:ascii="Arial" w:hAnsi="Arial"/>
          <w:rtl w:val="0"/>
          <w:lang w:val="en-US"/>
        </w:rPr>
        <w:t xml:space="preserve"> et al, 2008).</w:t>
      </w:r>
    </w:p>
    <w:p>
      <w:pPr>
        <w:pStyle w:val="Default"/>
        <w:suppressAutoHyphens w:val="1"/>
        <w:spacing w:before="0" w:line="240" w:lineRule="auto"/>
        <w:rPr>
          <w:rFonts w:ascii="Arial" w:cs="Arial" w:hAnsi="Arial" w:eastAsia="Arial"/>
        </w:rPr>
      </w:pPr>
      <w:r>
        <w:rPr>
          <w:rFonts w:ascii="Arial" w:hAnsi="Arial"/>
          <w:rtl w:val="0"/>
          <w:lang w:val="en-US"/>
        </w:rPr>
        <w:t>Farrington et al (2010) analysed the effectiveness of early prevention programmes. They state that while the impact of such programmes are limited, the findings show that by changing the early trajectories of youths involved in these programmes, they can change the behavioural and social skills of youths, which can shift the developmental trajectories to better outcomes (Farrington, D.P, 2010). This supports articles mentioned earlier in this essay such as the one by Moffitt (1993), in stating that the early intervention of youths can change the behavioural attributes in a positive way that avoids offender behaviour in later life.</w:t>
      </w:r>
    </w:p>
    <w:p>
      <w:pPr>
        <w:pStyle w:val="Default"/>
        <w:suppressAutoHyphens w:val="1"/>
        <w:spacing w:before="0" w:line="240" w:lineRule="auto"/>
        <w:rPr>
          <w:rFonts w:ascii="Arial" w:cs="Arial" w:hAnsi="Arial" w:eastAsia="Arial"/>
        </w:rPr>
      </w:pPr>
      <w:r>
        <w:rPr>
          <w:rFonts w:ascii="Arial" w:hAnsi="Arial"/>
          <w:rtl w:val="0"/>
          <w:lang w:val="en-US"/>
        </w:rPr>
        <w:t>Police in the UK also taken part in the shaping of youth in regards to offending and reoffending. Youth Offending Teams, also known as YOTS, are multi-agency initiatives that were created by the Crime and Disorder Act of 1998, and they work with agencies such as social services and schools in order to tackle criminal behaviour in youths</w:t>
      </w:r>
      <w:r>
        <w:rPr>
          <w:rFonts w:ascii="Arial" w:hAnsi="Arial"/>
          <w:rtl w:val="0"/>
          <w:lang w:val="en-US"/>
        </w:rPr>
        <w:t xml:space="preserve"> </w:t>
      </w:r>
      <w:r>
        <w:rPr>
          <w:rFonts w:ascii="Arial" w:hAnsi="Arial"/>
          <w:rtl w:val="0"/>
          <w:lang w:val="en-US"/>
        </w:rPr>
        <w:t>(</w:t>
      </w:r>
      <w:r>
        <w:rPr>
          <w:rFonts w:ascii="Arial" w:hAnsi="Arial"/>
          <w:rtl w:val="0"/>
          <w:lang w:val="en-US"/>
        </w:rPr>
        <w:t>Youth Justice Board</w:t>
      </w:r>
      <w:r>
        <w:rPr>
          <w:rFonts w:ascii="Arial" w:hAnsi="Arial"/>
          <w:rtl w:val="0"/>
          <w:lang w:val="en-US"/>
        </w:rPr>
        <w:t>, 2010).</w:t>
      </w:r>
      <w:r>
        <w:rPr>
          <w:rFonts w:ascii="Arial" w:hAnsi="Arial"/>
          <w:rtl w:val="0"/>
          <w:lang w:val="en-US"/>
        </w:rPr>
        <w:t xml:space="preserve"> YOTS have demonstrated how police can work well with partner agencies in order to reduce the likelihood of youths reoffending in the future. </w:t>
      </w:r>
    </w:p>
    <w:p>
      <w:pPr>
        <w:pStyle w:val="Default"/>
        <w:suppressAutoHyphens w:val="1"/>
        <w:spacing w:before="0" w:line="240" w:lineRule="auto"/>
        <w:rPr>
          <w:rFonts w:ascii="Arial" w:cs="Arial" w:hAnsi="Arial" w:eastAsia="Arial"/>
        </w:rPr>
      </w:pPr>
      <w:r>
        <w:rPr>
          <w:rFonts w:ascii="Arial" w:hAnsi="Arial"/>
          <w:rtl w:val="0"/>
          <w:lang w:val="en-US"/>
        </w:rPr>
        <w:t>In conclusion, there have been many initiatives that have shown a positive impact on the offending and reoffending rates in youths. They have shown that there is not only a necessity for early intervention in the lives of these individuals, but also that these efforts have been highly effective. The issues that can arise from these interventions mainly tend to stem from the individual</w:t>
      </w:r>
      <w:r>
        <w:rPr>
          <w:rFonts w:ascii="Arial" w:hAnsi="Arial" w:hint="default"/>
          <w:rtl w:val="0"/>
          <w:lang w:val="en-US"/>
        </w:rPr>
        <w:t>’</w:t>
      </w:r>
      <w:r>
        <w:rPr>
          <w:rFonts w:ascii="Arial" w:hAnsi="Arial"/>
          <w:rtl w:val="0"/>
          <w:lang w:val="en-US"/>
        </w:rPr>
        <w:t>s willingness to participate, as well as how well these initiatives have been implemented across the Local Authorities. This being said, all the research and studies show that offending rates can be limited through early intervention, taking the negative behaviours that test youths may have, as well as giving them alternative avenues for them to spend their time on, such as extra curricular activities.</w:t>
      </w: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b w:val="1"/>
          <w:bCs w:val="1"/>
        </w:rPr>
      </w:pPr>
      <w:r>
        <w:rPr>
          <w:rFonts w:ascii="Arial" w:hAnsi="Arial"/>
          <w:b w:val="1"/>
          <w:bCs w:val="1"/>
          <w:rtl w:val="0"/>
          <w:lang w:val="en-US"/>
        </w:rPr>
        <w:t>WORD COUNT: 1,008</w:t>
      </w: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b w:val="1"/>
          <w:bCs w:val="1"/>
          <w:sz w:val="26"/>
          <w:szCs w:val="26"/>
          <w:lang w:val="en-US"/>
        </w:rPr>
      </w:pPr>
      <w:r>
        <w:rPr>
          <w:rFonts w:ascii="Arial" w:hAnsi="Arial"/>
          <w:b w:val="1"/>
          <w:bCs w:val="1"/>
          <w:sz w:val="26"/>
          <w:szCs w:val="26"/>
          <w:rtl w:val="0"/>
          <w:lang w:val="en-US"/>
        </w:rPr>
        <w:t>Bibliography:</w:t>
      </w:r>
    </w:p>
    <w:p>
      <w:pPr>
        <w:pStyle w:val="Default"/>
        <w:suppressAutoHyphens w:val="1"/>
        <w:spacing w:before="0" w:line="240" w:lineRule="auto"/>
        <w:rPr>
          <w:rFonts w:ascii="Arial" w:cs="Arial" w:hAnsi="Arial" w:eastAsia="Arial"/>
          <w:b w:val="1"/>
          <w:bCs w:val="1"/>
          <w:sz w:val="26"/>
          <w:szCs w:val="26"/>
        </w:rPr>
      </w:pPr>
    </w:p>
    <w:p>
      <w:pPr>
        <w:pStyle w:val="Default"/>
        <w:suppressAutoHyphens w:val="1"/>
        <w:spacing w:before="0" w:after="240" w:line="240" w:lineRule="auto"/>
        <w:jc w:val="left"/>
        <w:rPr>
          <w:rFonts w:ascii="Arial" w:cs="Arial" w:hAnsi="Arial" w:eastAsia="Arial"/>
        </w:rPr>
      </w:pPr>
      <w:r>
        <w:rPr>
          <w:rFonts w:ascii="Arial" w:hAnsi="Arial"/>
          <w:rtl w:val="0"/>
          <w:lang w:val="en-US"/>
        </w:rPr>
        <w:t xml:space="preserve">American Police Training (2022) Mental health in law enforcement.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"https://americanpolicetraining.com/blog/detail/mental-health.html"</w:instrText>
      </w:r>
      <w:r>
        <w:rPr>
          <w:rStyle w:val="Hyperlink.0"/>
          <w:rFonts w:ascii="Arial" w:cs="Arial" w:hAnsi="Arial" w:eastAsia="Arial"/>
        </w:rPr>
        <w:fldChar w:fldCharType="separate" w:fldLock="0"/>
      </w:r>
      <w:r>
        <w:rPr>
          <w:rStyle w:val="Hyperlink.0"/>
          <w:rFonts w:ascii="Arial" w:hAnsi="Arial"/>
          <w:rtl w:val="0"/>
          <w:lang w:val="en-US"/>
        </w:rPr>
        <w:t>https://americanpolicetraining.com/blog/detail/mental-health.html</w:t>
      </w:r>
      <w:r>
        <w:rPr>
          <w:rFonts w:ascii="Arial" w:cs="Arial" w:hAnsi="Arial" w:eastAsia="Arial"/>
        </w:rPr>
        <w:fldChar w:fldCharType="end" w:fldLock="0"/>
      </w:r>
      <w:r>
        <w:rPr>
          <w:rFonts w:ascii="Arial" w:hAnsi="Arial"/>
          <w:rtl w:val="0"/>
          <w:lang w:val="en-US"/>
        </w:rPr>
        <w:t xml:space="preserve"> (Accessed: 26 May 2025).</w:t>
      </w:r>
    </w:p>
    <w:p>
      <w:pPr>
        <w:pStyle w:val="Default"/>
        <w:suppressAutoHyphens w:val="1"/>
        <w:spacing w:before="0" w:after="240" w:line="240" w:lineRule="auto"/>
        <w:jc w:val="left"/>
        <w:rPr>
          <w:rFonts w:ascii="Arial" w:cs="Arial" w:hAnsi="Arial" w:eastAsia="Arial"/>
        </w:rPr>
      </w:pPr>
      <w:r>
        <w:rPr>
          <w:rFonts w:ascii="Arial" w:hAnsi="Arial"/>
          <w:rtl w:val="0"/>
          <w:lang w:val="en-US"/>
        </w:rPr>
        <w:t xml:space="preserve">Associated Press (2023) The cumulative stress of policing has public safety consequences for law enforcement officers, too. </w:t>
      </w:r>
      <w:r>
        <w:rPr>
          <w:rStyle w:val="None"/>
          <w:rFonts w:ascii="Arial" w:hAnsi="Arial"/>
          <w:i w:val="1"/>
          <w:iCs w:val="1"/>
          <w:rtl w:val="0"/>
          <w:lang w:val="en-US"/>
        </w:rPr>
        <w:t>AP News</w:t>
      </w:r>
      <w:r>
        <w:rPr>
          <w:rFonts w:ascii="Arial" w:hAnsi="Arial"/>
          <w:rtl w:val="0"/>
          <w:lang w:val="en-US"/>
        </w:rPr>
        <w:t xml:space="preserv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"https://apnews.com/article/12cbfbac3f683fe6f43850463e56177c"</w:instrText>
      </w:r>
      <w:r>
        <w:rPr>
          <w:rStyle w:val="Hyperlink.0"/>
          <w:rFonts w:ascii="Arial" w:cs="Arial" w:hAnsi="Arial" w:eastAsia="Arial"/>
        </w:rPr>
        <w:fldChar w:fldCharType="separate" w:fldLock="0"/>
      </w:r>
      <w:r>
        <w:rPr>
          <w:rStyle w:val="Hyperlink.0"/>
          <w:rFonts w:ascii="Arial" w:hAnsi="Arial"/>
          <w:rtl w:val="0"/>
          <w:lang w:val="en-US"/>
        </w:rPr>
        <w:t>https://apnews.com/article/12cbfbac3f683fe6f43850463e56177c</w:t>
      </w:r>
      <w:r>
        <w:rPr>
          <w:rFonts w:ascii="Arial" w:cs="Arial" w:hAnsi="Arial" w:eastAsia="Arial"/>
        </w:rPr>
        <w:fldChar w:fldCharType="end" w:fldLock="0"/>
      </w:r>
      <w:r>
        <w:rPr>
          <w:rFonts w:ascii="Arial" w:hAnsi="Arial"/>
          <w:rtl w:val="0"/>
          <w:lang w:val="en-US"/>
        </w:rPr>
        <w:t xml:space="preserve"> (Accessed: 26 May 2025).</w:t>
      </w:r>
    </w:p>
    <w:p>
      <w:pPr>
        <w:pStyle w:val="Default"/>
        <w:suppressAutoHyphens w:val="1"/>
        <w:spacing w:before="0" w:after="240" w:line="240" w:lineRule="auto"/>
        <w:jc w:val="left"/>
        <w:rPr>
          <w:rFonts w:ascii="Arial" w:cs="Arial" w:hAnsi="Arial" w:eastAsia="Arial"/>
        </w:rPr>
      </w:pPr>
      <w:r>
        <w:rPr>
          <w:rFonts w:ascii="Arial" w:hAnsi="Arial"/>
          <w:rtl w:val="0"/>
          <w:lang w:val="en-US"/>
        </w:rPr>
        <w:t xml:space="preserve">British Psychological Society (BPS) (2022) Police: why and how we should care. </w:t>
      </w:r>
      <w:r>
        <w:rPr>
          <w:rStyle w:val="None"/>
          <w:rFonts w:ascii="Arial" w:hAnsi="Arial"/>
          <w:i w:val="1"/>
          <w:iCs w:val="1"/>
          <w:rtl w:val="0"/>
          <w:lang w:val="en-US"/>
        </w:rPr>
        <w:t>The Psychologist</w:t>
      </w:r>
      <w:r>
        <w:rPr>
          <w:rFonts w:ascii="Arial" w:hAnsi="Arial"/>
          <w:rtl w:val="0"/>
          <w:lang w:val="en-US"/>
        </w:rPr>
        <w:t xml:space="preserv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"https://www.bps.org.uk/psychologist/police-why-and-how-we-should-care"</w:instrText>
      </w:r>
      <w:r>
        <w:rPr>
          <w:rStyle w:val="Hyperlink.0"/>
          <w:rFonts w:ascii="Arial" w:cs="Arial" w:hAnsi="Arial" w:eastAsia="Arial"/>
        </w:rPr>
        <w:fldChar w:fldCharType="separate" w:fldLock="0"/>
      </w:r>
      <w:r>
        <w:rPr>
          <w:rStyle w:val="Hyperlink.0"/>
          <w:rFonts w:ascii="Arial" w:hAnsi="Arial"/>
          <w:rtl w:val="0"/>
          <w:lang w:val="en-US"/>
        </w:rPr>
        <w:t>https://www.bps.org.uk/psychologist/police-why-and-how-we-should-care</w:t>
      </w:r>
      <w:r>
        <w:rPr>
          <w:rFonts w:ascii="Arial" w:cs="Arial" w:hAnsi="Arial" w:eastAsia="Arial"/>
        </w:rPr>
        <w:fldChar w:fldCharType="end" w:fldLock="0"/>
      </w:r>
      <w:r>
        <w:rPr>
          <w:rFonts w:ascii="Arial" w:hAnsi="Arial"/>
          <w:rtl w:val="0"/>
          <w:lang w:val="en-US"/>
        </w:rPr>
        <w:t xml:space="preserve"> (Accessed: 26 May 2025).</w:t>
      </w:r>
    </w:p>
    <w:p>
      <w:pPr>
        <w:pStyle w:val="Default"/>
        <w:suppressAutoHyphens w:val="1"/>
        <w:spacing w:before="0" w:after="240" w:line="240" w:lineRule="auto"/>
        <w:jc w:val="left"/>
        <w:rPr>
          <w:rFonts w:ascii="Arial" w:cs="Arial" w:hAnsi="Arial" w:eastAsia="Arial"/>
        </w:rPr>
      </w:pPr>
      <w:r>
        <w:rPr>
          <w:rFonts w:ascii="Arial" w:hAnsi="Arial"/>
          <w:rtl w:val="0"/>
          <w:lang w:val="en-US"/>
        </w:rPr>
        <w:t xml:space="preserve">Bullock, K. and Garland, J. (2021) Police officers, mental health and stigma. </w:t>
      </w:r>
      <w:r>
        <w:rPr>
          <w:rStyle w:val="None"/>
          <w:rFonts w:ascii="Arial" w:hAnsi="Arial"/>
          <w:i w:val="1"/>
          <w:iCs w:val="1"/>
          <w:rtl w:val="0"/>
          <w:lang w:val="en-US"/>
        </w:rPr>
        <w:t>The Police Journal: Theory, Practice and Principles</w:t>
      </w:r>
      <w:r>
        <w:rPr>
          <w:rFonts w:ascii="Arial" w:hAnsi="Arial"/>
          <w:rtl w:val="0"/>
        </w:rPr>
        <w:t>, 94(4), pp. 427</w:t>
      </w:r>
      <w:r>
        <w:rPr>
          <w:rFonts w:ascii="Arial" w:hAnsi="Arial" w:hint="default"/>
          <w:rtl w:val="0"/>
        </w:rPr>
        <w:t>–</w:t>
      </w:r>
      <w:r>
        <w:rPr>
          <w:rFonts w:ascii="Arial" w:hAnsi="Arial"/>
          <w:rtl w:val="0"/>
          <w:lang w:val="en-US"/>
        </w:rPr>
        <w:t xml:space="preserve">446.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"https://journals.sagepub.com/doi/full/10.1177/0032258X211049009"</w:instrText>
      </w:r>
      <w:r>
        <w:rPr>
          <w:rStyle w:val="Hyperlink.0"/>
          <w:rFonts w:ascii="Arial" w:cs="Arial" w:hAnsi="Arial" w:eastAsia="Arial"/>
        </w:rPr>
        <w:fldChar w:fldCharType="separate" w:fldLock="0"/>
      </w:r>
      <w:r>
        <w:rPr>
          <w:rStyle w:val="Hyperlink.0"/>
          <w:rFonts w:ascii="Arial" w:hAnsi="Arial"/>
          <w:rtl w:val="0"/>
          <w:lang w:val="en-US"/>
        </w:rPr>
        <w:t>https://journals.sagepub.com/doi/full/10.1177/0032258X211049009</w:t>
      </w:r>
      <w:r>
        <w:rPr>
          <w:rFonts w:ascii="Arial" w:cs="Arial" w:hAnsi="Arial" w:eastAsia="Arial"/>
        </w:rPr>
        <w:fldChar w:fldCharType="end" w:fldLock="0"/>
      </w:r>
      <w:r>
        <w:rPr>
          <w:rFonts w:ascii="Arial" w:hAnsi="Arial"/>
          <w:rtl w:val="0"/>
          <w:lang w:val="en-US"/>
        </w:rPr>
        <w:t>(Accessed: 26 May 2025).</w:t>
      </w:r>
    </w:p>
    <w:p>
      <w:pPr>
        <w:pStyle w:val="Default"/>
        <w:suppressAutoHyphens w:val="1"/>
        <w:spacing w:before="0" w:after="240" w:line="240" w:lineRule="auto"/>
        <w:jc w:val="left"/>
        <w:rPr>
          <w:rFonts w:ascii="Arial" w:cs="Arial" w:hAnsi="Arial" w:eastAsia="Arial"/>
        </w:rPr>
      </w:pPr>
      <w:r>
        <w:rPr>
          <w:rFonts w:ascii="Arial" w:hAnsi="Arial"/>
          <w:rtl w:val="0"/>
          <w:lang w:val="en-US"/>
        </w:rPr>
        <w:t xml:space="preserve">Bullock, K. and Johnson, P. (2018) Police engagement with Muslim communities: breaking out, breaking in and breaking through. </w:t>
      </w:r>
      <w:r>
        <w:rPr>
          <w:rStyle w:val="None"/>
          <w:rFonts w:ascii="Arial" w:hAnsi="Arial"/>
          <w:i w:val="1"/>
          <w:iCs w:val="1"/>
          <w:rtl w:val="0"/>
          <w:lang w:val="en-US"/>
        </w:rPr>
        <w:t>Policing and Society</w:t>
      </w:r>
      <w:r>
        <w:rPr>
          <w:rFonts w:ascii="Arial" w:hAnsi="Arial"/>
          <w:rtl w:val="0"/>
        </w:rPr>
        <w:t>, 28(5), pp. 556</w:t>
      </w:r>
      <w:r>
        <w:rPr>
          <w:rFonts w:ascii="Arial" w:hAnsi="Arial" w:hint="default"/>
          <w:rtl w:val="0"/>
        </w:rPr>
        <w:t>–</w:t>
      </w:r>
      <w:r>
        <w:rPr>
          <w:rFonts w:ascii="Arial" w:hAnsi="Arial"/>
          <w:rtl w:val="0"/>
          <w:lang w:val="en-US"/>
        </w:rPr>
        <w:t xml:space="preserve">570.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"https://www.tandfonline.com/doi/abs/10.1080/10439463.2017.1339706"</w:instrText>
      </w:r>
      <w:r>
        <w:rPr>
          <w:rStyle w:val="Hyperlink.0"/>
          <w:rFonts w:ascii="Arial" w:cs="Arial" w:hAnsi="Arial" w:eastAsia="Arial"/>
        </w:rPr>
        <w:fldChar w:fldCharType="separate" w:fldLock="0"/>
      </w:r>
      <w:r>
        <w:rPr>
          <w:rStyle w:val="Hyperlink.0"/>
          <w:rFonts w:ascii="Arial" w:hAnsi="Arial"/>
          <w:rtl w:val="0"/>
          <w:lang w:val="en-US"/>
        </w:rPr>
        <w:t>https://www.tandfonline.com/doi/abs/10.1080/10439463.2017.1339706</w:t>
      </w:r>
      <w:r>
        <w:rPr>
          <w:rFonts w:ascii="Arial" w:cs="Arial" w:hAnsi="Arial" w:eastAsia="Arial"/>
        </w:rPr>
        <w:fldChar w:fldCharType="end" w:fldLock="0"/>
      </w:r>
      <w:r>
        <w:rPr>
          <w:rFonts w:ascii="Arial" w:hAnsi="Arial"/>
          <w:rtl w:val="0"/>
          <w:lang w:val="en-US"/>
        </w:rPr>
        <w:t xml:space="preserve"> (Accessed: 26 May 2025).</w:t>
      </w:r>
    </w:p>
    <w:p>
      <w:pPr>
        <w:pStyle w:val="Default"/>
        <w:suppressAutoHyphens w:val="1"/>
        <w:spacing w:before="0" w:after="240" w:line="240" w:lineRule="auto"/>
        <w:jc w:val="left"/>
        <w:rPr>
          <w:rFonts w:ascii="Arial" w:cs="Arial" w:hAnsi="Arial" w:eastAsia="Arial"/>
        </w:rPr>
      </w:pPr>
      <w:r>
        <w:rPr>
          <w:rFonts w:ascii="Arial" w:hAnsi="Arial"/>
          <w:rtl w:val="0"/>
          <w:lang w:val="en-US"/>
        </w:rPr>
        <w:t xml:space="preserve">Cambridge Interfaith Programme (no date) Effective Community Policing: Negotiating Changing Religious Identities. University of Cambridge.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"https://www.interfaith.cam.ac.uk/resources/lecturespapersandspeeches/effectivecommunitypolicing"</w:instrText>
      </w:r>
      <w:r>
        <w:rPr>
          <w:rStyle w:val="Hyperlink.0"/>
          <w:rFonts w:ascii="Arial" w:cs="Arial" w:hAnsi="Arial" w:eastAsia="Arial"/>
        </w:rPr>
        <w:fldChar w:fldCharType="separate" w:fldLock="0"/>
      </w:r>
      <w:r>
        <w:rPr>
          <w:rStyle w:val="Hyperlink.0"/>
          <w:rFonts w:ascii="Arial" w:hAnsi="Arial"/>
          <w:rtl w:val="0"/>
          <w:lang w:val="en-US"/>
        </w:rPr>
        <w:t>https://www.interfaith.cam.ac.uk/resources/lecturespapersandspeeches/effectivecommunitypolicing</w:t>
      </w:r>
      <w:r>
        <w:rPr>
          <w:rFonts w:ascii="Arial" w:cs="Arial" w:hAnsi="Arial" w:eastAsia="Arial"/>
        </w:rPr>
        <w:fldChar w:fldCharType="end" w:fldLock="0"/>
      </w:r>
      <w:r>
        <w:rPr>
          <w:rFonts w:ascii="Arial" w:hAnsi="Arial"/>
          <w:rtl w:val="0"/>
          <w:lang w:val="en-US"/>
        </w:rPr>
        <w:t xml:space="preserve"> (Accessed: 26 May 2025).</w:t>
      </w:r>
    </w:p>
    <w:p>
      <w:pPr>
        <w:pStyle w:val="Default"/>
        <w:suppressAutoHyphens w:val="1"/>
        <w:spacing w:before="0" w:after="240" w:line="240" w:lineRule="auto"/>
        <w:jc w:val="left"/>
        <w:rPr>
          <w:rFonts w:ascii="Arial" w:cs="Arial" w:hAnsi="Arial" w:eastAsia="Arial"/>
        </w:rPr>
      </w:pPr>
      <w:r>
        <w:rPr>
          <w:rFonts w:ascii="Arial" w:hAnsi="Arial"/>
          <w:rtl w:val="0"/>
          <w:lang w:val="en-US"/>
        </w:rPr>
        <w:t xml:space="preserve">Charman, S. (2024) Steering a path to cultural change: Emerging and enduring characteristics of policing cultures in the UK. </w:t>
      </w:r>
      <w:r>
        <w:rPr>
          <w:rStyle w:val="None"/>
          <w:rFonts w:ascii="Arial" w:hAnsi="Arial"/>
          <w:i w:val="1"/>
          <w:iCs w:val="1"/>
          <w:rtl w:val="0"/>
          <w:lang w:val="en-US"/>
        </w:rPr>
        <w:t>Policing: A Journal of Policy and Practice</w:t>
      </w:r>
      <w:r>
        <w:rPr>
          <w:rFonts w:ascii="Arial" w:hAnsi="Arial"/>
          <w:rtl w:val="0"/>
          <w:lang w:val="en-US"/>
        </w:rPr>
        <w:t xml:space="preserv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"https://journals.sagepub.com/doi/full/10.1177/14613557241298814"</w:instrText>
      </w:r>
      <w:r>
        <w:rPr>
          <w:rStyle w:val="Hyperlink.0"/>
          <w:rFonts w:ascii="Arial" w:cs="Arial" w:hAnsi="Arial" w:eastAsia="Arial"/>
        </w:rPr>
        <w:fldChar w:fldCharType="separate" w:fldLock="0"/>
      </w:r>
      <w:r>
        <w:rPr>
          <w:rStyle w:val="Hyperlink.0"/>
          <w:rFonts w:ascii="Arial" w:hAnsi="Arial"/>
          <w:rtl w:val="0"/>
          <w:lang w:val="en-US"/>
        </w:rPr>
        <w:t>https://journals.sagepub.com/doi/full/10.1177/14613557241298814</w:t>
      </w:r>
      <w:r>
        <w:rPr>
          <w:rFonts w:ascii="Arial" w:cs="Arial" w:hAnsi="Arial" w:eastAsia="Arial"/>
        </w:rPr>
        <w:fldChar w:fldCharType="end" w:fldLock="0"/>
      </w:r>
      <w:r>
        <w:rPr>
          <w:rFonts w:ascii="Arial" w:hAnsi="Arial"/>
          <w:rtl w:val="0"/>
          <w:lang w:val="en-US"/>
        </w:rPr>
        <w:t xml:space="preserve"> (Accessed: 26 May 2025).</w:t>
      </w:r>
    </w:p>
    <w:p>
      <w:pPr>
        <w:pStyle w:val="Default"/>
        <w:suppressAutoHyphens w:val="1"/>
        <w:spacing w:before="0" w:after="240" w:line="240" w:lineRule="auto"/>
        <w:jc w:val="left"/>
        <w:rPr>
          <w:rStyle w:val="None"/>
          <w:rFonts w:ascii="Arial" w:cs="Arial" w:hAnsi="Arial" w:eastAsia="Arial"/>
          <w:outline w:val="0"/>
          <w:color w:val="000000"/>
          <w:u w:val="none"/>
          <w14:textFill>
            <w14:solidFill>
              <w14:srgbClr w14:val="000000"/>
            </w14:solidFill>
          </w14:textFill>
        </w:rPr>
      </w:pPr>
      <w:r>
        <w:rPr>
          <w:rStyle w:val="None"/>
          <w:rFonts w:ascii="Arial" w:hAnsi="Arial"/>
          <w:outline w:val="0"/>
          <w:color w:val="000000"/>
          <w:u w:val="none"/>
          <w:rtl w:val="0"/>
          <w:lang w:val="en-US"/>
          <w14:textFill>
            <w14:solidFill>
              <w14:srgbClr w14:val="000000"/>
            </w14:solidFill>
          </w14:textFill>
        </w:rPr>
        <w:t xml:space="preserve">College of Policing (2024) Understanding and preventing 'cuckooing' victimisation. Available at: </w:t>
      </w:r>
      <w:r>
        <w:rPr>
          <w:rStyle w:val="Hyperlink.1"/>
          <w:rFonts w:ascii="Arial" w:cs="Arial" w:hAnsi="Arial" w:eastAsia="Arial"/>
          <w:outline w:val="0"/>
          <w:color w:val="0000ff"/>
          <w:u w:val="single" w:color="0000ff"/>
          <w14:textFill>
            <w14:solidFill>
              <w14:srgbClr w14:val="0000FF"/>
            </w14:solidFill>
          </w14:textFill>
        </w:rPr>
        <w:fldChar w:fldCharType="begin" w:fldLock="0"/>
      </w:r>
      <w:r>
        <w:rPr>
          <w:rStyle w:val="Hyperlink.1"/>
          <w:rFonts w:ascii="Arial" w:cs="Arial" w:hAnsi="Arial" w:eastAsia="Arial"/>
          <w:outline w:val="0"/>
          <w:color w:val="0000ff"/>
          <w:u w:val="single" w:color="0000ff"/>
          <w14:textFill>
            <w14:solidFill>
              <w14:srgbClr w14:val="0000FF"/>
            </w14:solidFill>
          </w14:textFill>
        </w:rPr>
        <w:instrText xml:space="preserve"> HYPERLINK "https://www.college.police.uk/research/projects/understanding-and-preventing-cuckooing-victimisation"</w:instrText>
      </w:r>
      <w:r>
        <w:rPr>
          <w:rStyle w:val="Hyperlink.1"/>
          <w:rFonts w:ascii="Arial" w:cs="Arial" w:hAnsi="Arial" w:eastAsia="Arial"/>
          <w:outline w:val="0"/>
          <w:color w:val="0000ff"/>
          <w:u w:val="single" w:color="0000ff"/>
          <w14:textFill>
            <w14:solidFill>
              <w14:srgbClr w14:val="0000FF"/>
            </w14:solidFill>
          </w14:textFill>
        </w:rPr>
        <w:fldChar w:fldCharType="separate" w:fldLock="0"/>
      </w:r>
      <w:r>
        <w:rPr>
          <w:rStyle w:val="Hyperlink.1"/>
          <w:rFonts w:ascii="Arial" w:hAnsi="Arial"/>
          <w:outline w:val="0"/>
          <w:color w:val="0000ff"/>
          <w:u w:val="single" w:color="0000ff"/>
          <w:rtl w:val="0"/>
          <w:lang w:val="en-US"/>
          <w14:textFill>
            <w14:solidFill>
              <w14:srgbClr w14:val="0000FF"/>
            </w14:solidFill>
          </w14:textFill>
        </w:rPr>
        <w:t>https://www.college.police.uk/research/projects/understanding-and-preventing-cuckooing-victimisation</w:t>
      </w:r>
      <w:r>
        <w:rPr>
          <w:rFonts w:ascii="Arial" w:cs="Arial" w:hAnsi="Arial" w:eastAsia="Arial"/>
          <w:outline w:val="0"/>
          <w:color w:val="0000ee"/>
          <w:u w:val="single"/>
          <w14:textFill>
            <w14:solidFill>
              <w14:srgbClr w14:val="0000EE"/>
            </w14:solidFill>
          </w14:textFill>
        </w:rPr>
        <w:fldChar w:fldCharType="end" w:fldLock="0"/>
      </w:r>
      <w:r>
        <w:rPr>
          <w:rStyle w:val="None"/>
          <w:rFonts w:ascii="Arial" w:hAnsi="Arial"/>
          <w:outline w:val="0"/>
          <w:color w:val="000000"/>
          <w:u w:val="none"/>
          <w:rtl w:val="0"/>
          <w:lang w:val="en-US"/>
          <w14:textFill>
            <w14:solidFill>
              <w14:srgbClr w14:val="000000"/>
            </w14:solidFill>
          </w14:textFill>
        </w:rPr>
        <w:t xml:space="preserve"> (Accessed: 26 May 2025).</w:t>
      </w:r>
    </w:p>
    <w:p>
      <w:pPr>
        <w:pStyle w:val="Default"/>
        <w:suppressAutoHyphens w:val="1"/>
        <w:spacing w:before="0" w:after="240" w:line="240" w:lineRule="auto"/>
        <w:jc w:val="left"/>
        <w:rPr>
          <w:rFonts w:ascii="Arial" w:cs="Arial" w:hAnsi="Arial" w:eastAsia="Arial"/>
        </w:rPr>
      </w:pPr>
      <w:r>
        <w:rPr>
          <w:rFonts w:ascii="Arial" w:hAnsi="Arial"/>
          <w:rtl w:val="0"/>
          <w:lang w:val="en-US"/>
        </w:rPr>
        <w:t xml:space="preserve">Darby, P. (2020) Cuckooing </w:t>
      </w:r>
      <w:r>
        <w:rPr>
          <w:rFonts w:ascii="Arial" w:hAnsi="Arial" w:hint="default"/>
          <w:rtl w:val="0"/>
        </w:rPr>
        <w:t xml:space="preserve">– </w:t>
      </w:r>
      <w:r>
        <w:rPr>
          <w:rFonts w:ascii="Arial" w:hAnsi="Arial"/>
          <w:rtl w:val="0"/>
          <w:lang w:val="en-US"/>
        </w:rPr>
        <w:t xml:space="preserve">Redbridge Safeguarding Adults Board. </w:t>
      </w:r>
      <w:r>
        <w:rPr>
          <w:rStyle w:val="None"/>
          <w:rFonts w:ascii="Arial" w:hAnsi="Arial"/>
          <w:i w:val="1"/>
          <w:iCs w:val="1"/>
          <w:rtl w:val="0"/>
          <w:lang w:val="de-DE"/>
        </w:rPr>
        <w:t>Redbridgesab.org.uk</w:t>
      </w:r>
      <w:r>
        <w:rPr>
          <w:rFonts w:ascii="Arial" w:hAnsi="Arial"/>
          <w:rtl w:val="0"/>
          <w:lang w:val="en-US"/>
        </w:rPr>
        <w:t xml:space="preserv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"https://www.redbridgesab.org.uk/for-professionals/types-of-abuse/exploitation/cuckooing/"</w:instrText>
      </w:r>
      <w:r>
        <w:rPr>
          <w:rStyle w:val="Hyperlink.0"/>
          <w:rFonts w:ascii="Arial" w:cs="Arial" w:hAnsi="Arial" w:eastAsia="Arial"/>
        </w:rPr>
        <w:fldChar w:fldCharType="separate" w:fldLock="0"/>
      </w:r>
      <w:r>
        <w:rPr>
          <w:rStyle w:val="Hyperlink.0"/>
          <w:rFonts w:ascii="Arial" w:hAnsi="Arial"/>
          <w:rtl w:val="0"/>
          <w:lang w:val="en-US"/>
        </w:rPr>
        <w:t>https://www.redbridgesab.org.uk/for-professionals/types-of-abuse/exploitation/cuckooing/</w:t>
      </w:r>
      <w:r>
        <w:rPr>
          <w:rFonts w:ascii="Arial" w:cs="Arial" w:hAnsi="Arial" w:eastAsia="Arial"/>
        </w:rPr>
        <w:fldChar w:fldCharType="end" w:fldLock="0"/>
      </w:r>
      <w:r>
        <w:rPr>
          <w:rFonts w:ascii="Arial" w:hAnsi="Arial"/>
          <w:rtl w:val="0"/>
          <w:lang w:val="en-US"/>
        </w:rPr>
        <w:t xml:space="preserve"> (Accessed: 26 May 2025).</w:t>
      </w:r>
    </w:p>
    <w:p>
      <w:pPr>
        <w:pStyle w:val="Default"/>
        <w:suppressAutoHyphens w:val="1"/>
        <w:spacing w:before="0" w:after="240" w:line="240" w:lineRule="auto"/>
        <w:jc w:val="left"/>
        <w:rPr>
          <w:rFonts w:ascii="Arial" w:cs="Arial" w:hAnsi="Arial" w:eastAsia="Arial"/>
        </w:rPr>
      </w:pPr>
      <w:r>
        <w:rPr>
          <w:rFonts w:ascii="Arial" w:hAnsi="Arial"/>
          <w:rtl w:val="0"/>
          <w:lang w:val="en-US"/>
        </w:rPr>
        <w:t xml:space="preserve">Dawes, W., Howard, P. and Lloyd, C. (2017) Understanding the educational background of young offenders: Summary report. </w:t>
      </w:r>
      <w:r>
        <w:rPr>
          <w:rStyle w:val="None"/>
          <w:rFonts w:ascii="Arial" w:hAnsi="Arial"/>
          <w:i w:val="1"/>
          <w:iCs w:val="1"/>
          <w:rtl w:val="0"/>
          <w:lang w:val="en-US"/>
        </w:rPr>
        <w:t>Home Office Research Report</w:t>
      </w:r>
      <w:r>
        <w:rPr>
          <w:rFonts w:ascii="Arial" w:hAnsi="Arial"/>
          <w:rtl w:val="0"/>
          <w:lang w:val="en-US"/>
        </w:rPr>
        <w:t xml:space="preserve"> 77. London: Home Office.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"https://assets.publishing.service.gov.uk/media/5a74c511e5274a3f93b48abb/horr77.pdf"</w:instrText>
      </w:r>
      <w:r>
        <w:rPr>
          <w:rStyle w:val="Hyperlink.0"/>
          <w:rFonts w:ascii="Arial" w:cs="Arial" w:hAnsi="Arial" w:eastAsia="Arial"/>
        </w:rPr>
        <w:fldChar w:fldCharType="separate" w:fldLock="0"/>
      </w:r>
      <w:r>
        <w:rPr>
          <w:rStyle w:val="Hyperlink.0"/>
          <w:rFonts w:ascii="Arial" w:hAnsi="Arial"/>
          <w:rtl w:val="0"/>
        </w:rPr>
        <w:t>https://assets.publishing.service.gov.uk/media/5a74c511e5274a3f93b48abb/horr77.pdf</w:t>
      </w:r>
      <w:r>
        <w:rPr>
          <w:rFonts w:ascii="Arial" w:cs="Arial" w:hAnsi="Arial" w:eastAsia="Arial"/>
        </w:rPr>
        <w:fldChar w:fldCharType="end" w:fldLock="0"/>
      </w:r>
      <w:r>
        <w:rPr>
          <w:rFonts w:ascii="Arial" w:hAnsi="Arial"/>
          <w:rtl w:val="0"/>
          <w:lang w:val="en-US"/>
        </w:rPr>
        <w:t xml:space="preserve"> (Accessed: 26 May 2025).</w:t>
      </w:r>
    </w:p>
    <w:p>
      <w:pPr>
        <w:pStyle w:val="Default"/>
        <w:suppressAutoHyphens w:val="1"/>
        <w:spacing w:before="0" w:after="240" w:line="240" w:lineRule="auto"/>
        <w:jc w:val="left"/>
        <w:rPr>
          <w:rFonts w:ascii="Arial" w:cs="Arial" w:hAnsi="Arial" w:eastAsia="Arial"/>
        </w:rPr>
      </w:pPr>
      <w:r>
        <w:rPr>
          <w:rFonts w:ascii="Arial" w:hAnsi="Arial"/>
          <w:rtl w:val="0"/>
          <w:lang w:val="en-US"/>
        </w:rPr>
        <w:t xml:space="preserve">Farrington, D.P. et al. (2010) Effects of early prevention programs on adult criminal offending: a meta-analysis. </w:t>
      </w:r>
      <w:r>
        <w:rPr>
          <w:rStyle w:val="None"/>
          <w:rFonts w:ascii="Arial" w:hAnsi="Arial"/>
          <w:i w:val="1"/>
          <w:iCs w:val="1"/>
          <w:rtl w:val="0"/>
          <w:lang w:val="en-US"/>
        </w:rPr>
        <w:t>Journal unknown</w:t>
      </w:r>
      <w:r>
        <w:rPr>
          <w:rFonts w:ascii="Arial" w:hAnsi="Arial"/>
          <w:rtl w:val="0"/>
        </w:rPr>
        <w:t>, OR 1.26, pp. xx</w:t>
      </w:r>
      <w:r>
        <w:rPr>
          <w:rFonts w:ascii="Arial" w:hAnsi="Arial" w:hint="default"/>
          <w:rtl w:val="0"/>
        </w:rPr>
        <w:t>–</w:t>
      </w:r>
      <w:r>
        <w:rPr>
          <w:rFonts w:ascii="Arial" w:hAnsi="Arial"/>
          <w:rtl w:val="0"/>
          <w:lang w:val="en-US"/>
        </w:rPr>
        <w:t>xx. Available at: PubMed (Accessed: 25 June 2025).</w:t>
      </w:r>
    </w:p>
    <w:p>
      <w:pPr>
        <w:pStyle w:val="Default"/>
        <w:suppressAutoHyphens w:val="1"/>
        <w:spacing w:before="0" w:after="240" w:line="240" w:lineRule="auto"/>
        <w:jc w:val="left"/>
        <w:rPr>
          <w:rFonts w:ascii="Arial" w:cs="Arial" w:hAnsi="Arial" w:eastAsia="Arial"/>
        </w:rPr>
      </w:pPr>
      <w:r>
        <w:rPr>
          <w:rFonts w:ascii="Arial" w:hAnsi="Arial"/>
          <w:rtl w:val="0"/>
          <w:lang w:val="en-US"/>
        </w:rPr>
        <w:t xml:space="preserve">Fielding, N. (2024) Understanding minority recruitment to the police: beyond systematic review. </w:t>
      </w:r>
      <w:r>
        <w:rPr>
          <w:rStyle w:val="None"/>
          <w:rFonts w:ascii="Arial" w:hAnsi="Arial"/>
          <w:i w:val="1"/>
          <w:iCs w:val="1"/>
          <w:rtl w:val="0"/>
          <w:lang w:val="en-US"/>
        </w:rPr>
        <w:t>HESA Law Journal</w:t>
      </w:r>
      <w:r>
        <w:rPr>
          <w:rFonts w:ascii="Arial" w:hAnsi="Arial"/>
          <w:rtl w:val="0"/>
          <w:lang w:val="en-US"/>
        </w:rPr>
        <w:t xml:space="preserv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"https://hesalawjournal.com/2024/05/06/understanding-minority-recruitment-to-the-police-beyond-systematic-review"</w:instrText>
      </w:r>
      <w:r>
        <w:rPr>
          <w:rStyle w:val="Hyperlink.0"/>
          <w:rFonts w:ascii="Arial" w:cs="Arial" w:hAnsi="Arial" w:eastAsia="Arial"/>
        </w:rPr>
        <w:fldChar w:fldCharType="separate" w:fldLock="0"/>
      </w:r>
      <w:r>
        <w:rPr>
          <w:rStyle w:val="Hyperlink.0"/>
          <w:rFonts w:ascii="Arial" w:hAnsi="Arial"/>
          <w:rtl w:val="0"/>
          <w:lang w:val="en-US"/>
        </w:rPr>
        <w:t>https://hesalawjournal.com/2024/05/06/understanding-minority-recruitment-to-the-police-beyond-systematic-review</w:t>
      </w:r>
      <w:r>
        <w:rPr>
          <w:rFonts w:ascii="Arial" w:cs="Arial" w:hAnsi="Arial" w:eastAsia="Arial"/>
        </w:rPr>
        <w:fldChar w:fldCharType="end" w:fldLock="0"/>
      </w:r>
      <w:r>
        <w:rPr>
          <w:rFonts w:ascii="Arial" w:hAnsi="Arial"/>
          <w:rtl w:val="0"/>
          <w:lang w:val="en-US"/>
        </w:rPr>
        <w:t xml:space="preserve"> (Accessed: 26 May 2025).</w:t>
      </w:r>
    </w:p>
    <w:p>
      <w:pPr>
        <w:pStyle w:val="Default"/>
        <w:suppressAutoHyphens w:val="1"/>
        <w:spacing w:before="0" w:after="240" w:line="240" w:lineRule="auto"/>
        <w:jc w:val="left"/>
        <w:rPr>
          <w:rFonts w:ascii="Arial" w:cs="Arial" w:hAnsi="Arial" w:eastAsia="Arial"/>
        </w:rPr>
      </w:pPr>
      <w:r>
        <w:rPr>
          <w:rFonts w:ascii="Arial" w:hAnsi="Arial"/>
          <w:rtl w:val="0"/>
        </w:rPr>
        <w:t>G</w:t>
      </w:r>
      <w:r>
        <w:rPr>
          <w:rFonts w:ascii="Arial" w:hAnsi="Arial" w:hint="default"/>
          <w:rtl w:val="0"/>
          <w:lang w:val="da-DK"/>
        </w:rPr>
        <w:t>ø</w:t>
      </w:r>
      <w:r>
        <w:rPr>
          <w:rFonts w:ascii="Arial" w:hAnsi="Arial"/>
          <w:rtl w:val="0"/>
          <w:lang w:val="en-US"/>
        </w:rPr>
        <w:t xml:space="preserve">tzsche-Astrup, O., Overgaard, B. and Lindekilde, L. (2022) Vulnerable and dominant: Bright and dark side personality traits and values of individuals in organized crime in Denmark. </w:t>
      </w:r>
      <w:r>
        <w:rPr>
          <w:rStyle w:val="None"/>
          <w:rFonts w:ascii="Arial" w:hAnsi="Arial"/>
          <w:i w:val="1"/>
          <w:iCs w:val="1"/>
          <w:rtl w:val="0"/>
          <w:lang w:val="en-US"/>
        </w:rPr>
        <w:t>Scandinavian Journal of Psychology</w:t>
      </w:r>
      <w:r>
        <w:rPr>
          <w:rFonts w:ascii="Arial" w:hAnsi="Arial"/>
          <w:rtl w:val="0"/>
        </w:rPr>
        <w:t>, 63(5), pp. 536</w:t>
      </w:r>
      <w:r>
        <w:rPr>
          <w:rFonts w:ascii="Arial" w:hAnsi="Arial" w:hint="default"/>
          <w:rtl w:val="0"/>
        </w:rPr>
        <w:t>–</w:t>
      </w:r>
      <w:r>
        <w:rPr>
          <w:rFonts w:ascii="Arial" w:hAnsi="Arial"/>
          <w:rtl w:val="0"/>
        </w:rPr>
        <w:t>544. doi: 10.1111/sjop.12831.</w:t>
      </w:r>
    </w:p>
    <w:p>
      <w:pPr>
        <w:pStyle w:val="Default"/>
        <w:suppressAutoHyphens w:val="1"/>
        <w:spacing w:before="0" w:after="240" w:line="240" w:lineRule="auto"/>
        <w:jc w:val="left"/>
        <w:rPr>
          <w:rFonts w:ascii="Arial" w:cs="Arial" w:hAnsi="Arial" w:eastAsia="Arial"/>
        </w:rPr>
      </w:pPr>
      <w:r>
        <w:rPr>
          <w:rFonts w:ascii="Arial" w:hAnsi="Arial"/>
          <w:rtl w:val="0"/>
          <w:lang w:val="en-US"/>
        </w:rPr>
        <w:t xml:space="preserve">Havard, T.E., Densley, J.A., Whittaker, A. and Wills, J. (2023) Street gangs and coercive control: The gendered exploitation of young women and girls in county lines. </w:t>
      </w:r>
      <w:r>
        <w:rPr>
          <w:rStyle w:val="None"/>
          <w:rFonts w:ascii="Arial" w:hAnsi="Arial"/>
          <w:i w:val="1"/>
          <w:iCs w:val="1"/>
          <w:rtl w:val="0"/>
          <w:lang w:val="en-US"/>
        </w:rPr>
        <w:t>Criminology &amp; Criminal Justice</w:t>
      </w:r>
      <w:r>
        <w:rPr>
          <w:rFonts w:ascii="Arial" w:hAnsi="Arial"/>
          <w:rtl w:val="0"/>
          <w:lang w:val="en-US"/>
        </w:rPr>
        <w:t xml:space="preserv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"https://journals.sagepub.com/doi/full/10.1177/17488958211051513"</w:instrText>
      </w:r>
      <w:r>
        <w:rPr>
          <w:rStyle w:val="Hyperlink.0"/>
          <w:rFonts w:ascii="Arial" w:cs="Arial" w:hAnsi="Arial" w:eastAsia="Arial"/>
        </w:rPr>
        <w:fldChar w:fldCharType="separate" w:fldLock="0"/>
      </w:r>
      <w:r>
        <w:rPr>
          <w:rStyle w:val="Hyperlink.0"/>
          <w:rFonts w:ascii="Arial" w:hAnsi="Arial"/>
          <w:rtl w:val="0"/>
          <w:lang w:val="en-US"/>
        </w:rPr>
        <w:t>https://journals.sagepub.com/doi/full/10.1177/17488958211051513</w:t>
      </w:r>
      <w:r>
        <w:rPr>
          <w:rFonts w:ascii="Arial" w:cs="Arial" w:hAnsi="Arial" w:eastAsia="Arial"/>
        </w:rPr>
        <w:fldChar w:fldCharType="end" w:fldLock="0"/>
      </w:r>
      <w:r>
        <w:rPr>
          <w:rFonts w:ascii="Arial" w:hAnsi="Arial"/>
          <w:rtl w:val="0"/>
          <w:lang w:val="en-US"/>
        </w:rPr>
        <w:t xml:space="preserve"> (Accessed: 26 May 2025).</w:t>
      </w:r>
    </w:p>
    <w:p>
      <w:pPr>
        <w:pStyle w:val="Default"/>
        <w:suppressAutoHyphens w:val="1"/>
        <w:spacing w:before="0" w:after="240" w:line="240" w:lineRule="auto"/>
        <w:jc w:val="left"/>
        <w:rPr>
          <w:rFonts w:ascii="Arial" w:cs="Arial" w:hAnsi="Arial" w:eastAsia="Arial"/>
        </w:rPr>
      </w:pPr>
      <w:r>
        <w:rPr>
          <w:rFonts w:ascii="Arial" w:hAnsi="Arial"/>
          <w:rtl w:val="0"/>
          <w:lang w:val="en-US"/>
        </w:rPr>
        <w:t xml:space="preserve">Health Psychology Research (2023) Mental health in law enforcement: a review of psychological impacts and interventions. </w:t>
      </w:r>
      <w:r>
        <w:rPr>
          <w:rStyle w:val="None"/>
          <w:rFonts w:ascii="Arial" w:hAnsi="Arial"/>
          <w:i w:val="1"/>
          <w:iCs w:val="1"/>
          <w:rtl w:val="0"/>
          <w:lang w:val="en-US"/>
        </w:rPr>
        <w:t>Health Psychology Research</w:t>
      </w:r>
      <w:r>
        <w:rPr>
          <w:rFonts w:ascii="Arial" w:hAnsi="Arial"/>
          <w:rtl w:val="0"/>
          <w:lang w:val="en-US"/>
        </w:rPr>
        <w:t xml:space="preserv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"https://healthpsychologyresearch.openmedicalpublishing.org/article/93904-mental-"</w:instrText>
      </w:r>
      <w:r>
        <w:rPr>
          <w:rStyle w:val="Hyperlink.0"/>
          <w:rFonts w:ascii="Arial" w:cs="Arial" w:hAnsi="Arial" w:eastAsia="Arial"/>
        </w:rPr>
        <w:fldChar w:fldCharType="separate" w:fldLock="0"/>
      </w:r>
      <w:r>
        <w:rPr>
          <w:rStyle w:val="Hyperlink.0"/>
          <w:rFonts w:ascii="Arial" w:hAnsi="Arial"/>
          <w:rtl w:val="0"/>
          <w:lang w:val="en-US"/>
        </w:rPr>
        <w:t>https://healthpsychologyresearch.openmedicalpublishing.org/article/93904-mental-</w:t>
      </w:r>
      <w:r>
        <w:rPr>
          <w:rFonts w:ascii="Arial" w:cs="Arial" w:hAnsi="Arial" w:eastAsia="Arial"/>
        </w:rPr>
        <w:fldChar w:fldCharType="end" w:fldLock="0"/>
      </w:r>
      <w:r>
        <w:rPr>
          <w:rFonts w:ascii="Arial" w:hAnsi="Arial"/>
          <w:rtl w:val="0"/>
          <w:lang w:val="en-US"/>
        </w:rPr>
        <w:t xml:space="preserve"> (Accessed: 26 May 2025).</w:t>
      </w:r>
    </w:p>
    <w:p>
      <w:pPr>
        <w:pStyle w:val="Default"/>
        <w:suppressAutoHyphens w:val="1"/>
        <w:spacing w:before="0" w:after="240" w:line="240" w:lineRule="auto"/>
        <w:jc w:val="left"/>
        <w:rPr>
          <w:rFonts w:ascii="Arial" w:cs="Arial" w:hAnsi="Arial" w:eastAsia="Arial"/>
        </w:rPr>
      </w:pPr>
      <w:r>
        <w:rPr>
          <w:rFonts w:ascii="Arial" w:hAnsi="Arial"/>
          <w:rtl w:val="0"/>
          <w:lang w:val="en-US"/>
        </w:rPr>
        <w:t xml:space="preserve">Hesketh, I. and Stubbs, G. (2024) Positive action paradox in UK police recruitment: A critical perspective. </w:t>
      </w:r>
      <w:r>
        <w:rPr>
          <w:rStyle w:val="None"/>
          <w:rFonts w:ascii="Arial" w:hAnsi="Arial"/>
          <w:i w:val="1"/>
          <w:iCs w:val="1"/>
          <w:rtl w:val="0"/>
          <w:lang w:val="en-US"/>
        </w:rPr>
        <w:t>The Police Journal: Theory, Practice and Principles</w:t>
      </w:r>
      <w:r>
        <w:rPr>
          <w:rFonts w:ascii="Arial" w:hAnsi="Arial"/>
          <w:rtl w:val="0"/>
          <w:lang w:val="en-US"/>
        </w:rPr>
        <w:t xml:space="preserv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"https://journals.sagepub.com/doi/10.1177/0032258X231172030"</w:instrText>
      </w:r>
      <w:r>
        <w:rPr>
          <w:rStyle w:val="Hyperlink.0"/>
          <w:rFonts w:ascii="Arial" w:cs="Arial" w:hAnsi="Arial" w:eastAsia="Arial"/>
        </w:rPr>
        <w:fldChar w:fldCharType="separate" w:fldLock="0"/>
      </w:r>
      <w:r>
        <w:rPr>
          <w:rStyle w:val="Hyperlink.0"/>
          <w:rFonts w:ascii="Arial" w:hAnsi="Arial"/>
          <w:rtl w:val="0"/>
          <w:lang w:val="de-DE"/>
        </w:rPr>
        <w:t>https://journals.sagepub.com/doi/10.1177/0032258X231172030</w:t>
      </w:r>
      <w:r>
        <w:rPr>
          <w:rFonts w:ascii="Arial" w:cs="Arial" w:hAnsi="Arial" w:eastAsia="Arial"/>
        </w:rPr>
        <w:fldChar w:fldCharType="end" w:fldLock="0"/>
      </w:r>
      <w:r>
        <w:rPr>
          <w:rFonts w:ascii="Arial" w:hAnsi="Arial"/>
          <w:rtl w:val="0"/>
          <w:lang w:val="en-US"/>
        </w:rPr>
        <w:t>(Accessed: 26 May 2025).</w:t>
      </w:r>
    </w:p>
    <w:p>
      <w:pPr>
        <w:pStyle w:val="Default"/>
        <w:suppressAutoHyphens w:val="1"/>
        <w:spacing w:before="0" w:after="240" w:line="240" w:lineRule="auto"/>
        <w:jc w:val="left"/>
        <w:rPr>
          <w:rFonts w:ascii="Arial" w:cs="Arial" w:hAnsi="Arial" w:eastAsia="Arial"/>
        </w:rPr>
      </w:pPr>
      <w:r>
        <w:rPr>
          <w:rFonts w:ascii="Arial" w:hAnsi="Arial"/>
          <w:rtl w:val="0"/>
          <w:lang w:val="en-US"/>
        </w:rPr>
        <w:t>Henry, L., Miller, P. and Linton-Williams, K. (2024) A review of the impact of inclusion training in Merseyside Police. Institute for Educational and Social Equity, University of Greenwich. Available at: GALA repository (Accessed: 30 June 2025).</w:t>
      </w:r>
    </w:p>
    <w:p>
      <w:pPr>
        <w:pStyle w:val="Default"/>
        <w:suppressAutoHyphens w:val="1"/>
        <w:spacing w:before="0" w:after="240" w:line="240" w:lineRule="auto"/>
        <w:jc w:val="left"/>
        <w:rPr>
          <w:rFonts w:ascii="Arial" w:cs="Arial" w:hAnsi="Arial" w:eastAsia="Arial"/>
        </w:rPr>
      </w:pPr>
      <w:r>
        <w:rPr>
          <w:rFonts w:ascii="Arial" w:hAnsi="Arial"/>
          <w:rtl w:val="0"/>
          <w:lang w:val="en-US"/>
        </w:rPr>
        <w:t xml:space="preserve">HM Government (2013) Serious and organised crime strategy. London: Home Office.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"https://www.gov.uk/government/publications/serious-organised-crime-strategy"</w:instrText>
      </w:r>
      <w:r>
        <w:rPr>
          <w:rStyle w:val="Hyperlink.0"/>
          <w:rFonts w:ascii="Arial" w:cs="Arial" w:hAnsi="Arial" w:eastAsia="Arial"/>
        </w:rPr>
        <w:fldChar w:fldCharType="separate" w:fldLock="0"/>
      </w:r>
      <w:r>
        <w:rPr>
          <w:rStyle w:val="Hyperlink.0"/>
          <w:rFonts w:ascii="Arial" w:hAnsi="Arial"/>
          <w:rtl w:val="0"/>
          <w:lang w:val="en-US"/>
        </w:rPr>
        <w:t>https://www.gov.uk/government/publications/serious-organised-crime-strategy</w:t>
      </w:r>
      <w:r>
        <w:rPr>
          <w:rFonts w:ascii="Arial" w:cs="Arial" w:hAnsi="Arial" w:eastAsia="Arial"/>
        </w:rPr>
        <w:fldChar w:fldCharType="end" w:fldLock="0"/>
      </w:r>
      <w:r>
        <w:rPr>
          <w:rFonts w:ascii="Arial" w:hAnsi="Arial"/>
          <w:rtl w:val="0"/>
          <w:lang w:val="en-US"/>
        </w:rPr>
        <w:t xml:space="preserve"> (Accessed: 26 May 2025).</w:t>
      </w:r>
    </w:p>
    <w:p>
      <w:pPr>
        <w:pStyle w:val="Default"/>
        <w:suppressAutoHyphens w:val="1"/>
        <w:spacing w:before="0" w:after="240" w:line="240" w:lineRule="auto"/>
        <w:jc w:val="left"/>
        <w:rPr>
          <w:rStyle w:val="None"/>
          <w:rFonts w:ascii="Arial" w:cs="Arial" w:hAnsi="Arial" w:eastAsia="Arial"/>
          <w:outline w:val="0"/>
          <w:color w:val="000000"/>
          <w:u w:val="none"/>
          <w14:textFill>
            <w14:solidFill>
              <w14:srgbClr w14:val="000000"/>
            </w14:solidFill>
          </w14:textFill>
        </w:rPr>
      </w:pPr>
      <w:r>
        <w:rPr>
          <w:rStyle w:val="None"/>
          <w:rFonts w:ascii="Arial" w:hAnsi="Arial"/>
          <w:outline w:val="0"/>
          <w:color w:val="000000"/>
          <w:u w:val="none"/>
          <w:rtl w:val="0"/>
          <w:lang w:val="en-US"/>
          <w14:textFill>
            <w14:solidFill>
              <w14:srgbClr w14:val="000000"/>
            </w14:solidFill>
          </w14:textFill>
        </w:rPr>
        <w:t xml:space="preserve">HM Government (2023) Preventing serious violence: a multi-agency approach </w:t>
      </w:r>
      <w:r>
        <w:rPr>
          <w:rStyle w:val="None"/>
          <w:rFonts w:ascii="Arial" w:hAnsi="Arial" w:hint="default"/>
          <w:outline w:val="0"/>
          <w:color w:val="000000"/>
          <w:u w:val="none"/>
          <w:rtl w:val="0"/>
          <w14:textFill>
            <w14:solidFill>
              <w14:srgbClr w14:val="000000"/>
            </w14:solidFill>
          </w14:textFill>
        </w:rPr>
        <w:t xml:space="preserve">– </w:t>
      </w:r>
      <w:r>
        <w:rPr>
          <w:rStyle w:val="None"/>
          <w:rFonts w:ascii="Arial" w:hAnsi="Arial"/>
          <w:outline w:val="0"/>
          <w:color w:val="000000"/>
          <w:u w:val="none"/>
          <w:rtl w:val="0"/>
          <w:lang w:val="en-US"/>
          <w14:textFill>
            <w14:solidFill>
              <w14:srgbClr w14:val="000000"/>
            </w14:solidFill>
          </w14:textFill>
        </w:rPr>
        <w:t xml:space="preserve">Summary. Available at: </w:t>
      </w:r>
      <w:r>
        <w:rPr>
          <w:rStyle w:val="Hyperlink.1"/>
          <w:rFonts w:ascii="Arial" w:cs="Arial" w:hAnsi="Arial" w:eastAsia="Arial"/>
          <w:outline w:val="0"/>
          <w:color w:val="0000ff"/>
          <w:u w:val="single" w:color="0000ff"/>
          <w14:textFill>
            <w14:solidFill>
              <w14:srgbClr w14:val="0000FF"/>
            </w14:solidFill>
          </w14:textFill>
        </w:rPr>
        <w:fldChar w:fldCharType="begin" w:fldLock="0"/>
      </w:r>
      <w:r>
        <w:rPr>
          <w:rStyle w:val="Hyperlink.1"/>
          <w:rFonts w:ascii="Arial" w:cs="Arial" w:hAnsi="Arial" w:eastAsia="Arial"/>
          <w:outline w:val="0"/>
          <w:color w:val="0000ff"/>
          <w:u w:val="single" w:color="0000ff"/>
          <w14:textFill>
            <w14:solidFill>
              <w14:srgbClr w14:val="0000FF"/>
            </w14:solidFill>
          </w14:textFill>
        </w:rPr>
        <w:instrText xml:space="preserve"> HYPERLINK "https://www.gov.uk/government/publications/preventing-serious-violence-a-multi-agency-approach/preventing-serious-violence-summary"</w:instrText>
      </w:r>
      <w:r>
        <w:rPr>
          <w:rStyle w:val="Hyperlink.1"/>
          <w:rFonts w:ascii="Arial" w:cs="Arial" w:hAnsi="Arial" w:eastAsia="Arial"/>
          <w:outline w:val="0"/>
          <w:color w:val="0000ff"/>
          <w:u w:val="single" w:color="0000ff"/>
          <w14:textFill>
            <w14:solidFill>
              <w14:srgbClr w14:val="0000FF"/>
            </w14:solidFill>
          </w14:textFill>
        </w:rPr>
        <w:fldChar w:fldCharType="separate" w:fldLock="0"/>
      </w:r>
      <w:r>
        <w:rPr>
          <w:rStyle w:val="Hyperlink.1"/>
          <w:rFonts w:ascii="Arial" w:hAnsi="Arial"/>
          <w:outline w:val="0"/>
          <w:color w:val="0000ff"/>
          <w:u w:val="single" w:color="0000ff"/>
          <w:rtl w:val="0"/>
          <w:lang w:val="en-US"/>
          <w14:textFill>
            <w14:solidFill>
              <w14:srgbClr w14:val="0000FF"/>
            </w14:solidFill>
          </w14:textFill>
        </w:rPr>
        <w:t>https://www.gov.uk/government/publications/preventing-serious-violence-a-multi-agency-approach/preventing-serious-violence-summary</w:t>
      </w:r>
      <w:r>
        <w:rPr>
          <w:rFonts w:ascii="Arial" w:cs="Arial" w:hAnsi="Arial" w:eastAsia="Arial"/>
          <w:outline w:val="0"/>
          <w:color w:val="0000ee"/>
          <w:u w:val="single"/>
          <w14:textFill>
            <w14:solidFill>
              <w14:srgbClr w14:val="0000EE"/>
            </w14:solidFill>
          </w14:textFill>
        </w:rPr>
        <w:fldChar w:fldCharType="end" w:fldLock="0"/>
      </w:r>
      <w:r>
        <w:rPr>
          <w:rStyle w:val="None"/>
          <w:rFonts w:ascii="Arial" w:hAnsi="Arial"/>
          <w:outline w:val="0"/>
          <w:color w:val="000000"/>
          <w:u w:val="none"/>
          <w:rtl w:val="0"/>
          <w:lang w:val="en-US"/>
          <w14:textFill>
            <w14:solidFill>
              <w14:srgbClr w14:val="000000"/>
            </w14:solidFill>
          </w14:textFill>
        </w:rPr>
        <w:t xml:space="preserve"> (Accessed: 26 May 2025).</w:t>
      </w:r>
    </w:p>
    <w:p>
      <w:pPr>
        <w:pStyle w:val="Default"/>
        <w:suppressAutoHyphens w:val="1"/>
        <w:spacing w:before="0" w:after="240" w:line="240" w:lineRule="auto"/>
        <w:jc w:val="left"/>
        <w:rPr>
          <w:rFonts w:ascii="Arial" w:cs="Arial" w:hAnsi="Arial" w:eastAsia="Arial"/>
        </w:rPr>
      </w:pPr>
      <w:r>
        <w:rPr>
          <w:rFonts w:ascii="Arial" w:hAnsi="Arial"/>
          <w:rtl w:val="0"/>
          <w:lang w:val="en-US"/>
        </w:rPr>
        <w:t xml:space="preserve">Holdaway, S. (1991) Race relations and police recruitment. </w:t>
      </w:r>
      <w:r>
        <w:rPr>
          <w:rStyle w:val="None"/>
          <w:rFonts w:ascii="Arial" w:hAnsi="Arial"/>
          <w:i w:val="1"/>
          <w:iCs w:val="1"/>
          <w:rtl w:val="0"/>
          <w:lang w:val="en-US"/>
        </w:rPr>
        <w:t>The British Journal of Criminology</w:t>
      </w:r>
      <w:r>
        <w:rPr>
          <w:rFonts w:ascii="Arial" w:hAnsi="Arial"/>
          <w:rtl w:val="0"/>
        </w:rPr>
        <w:t>, 31(4), pp. 365</w:t>
      </w:r>
      <w:r>
        <w:rPr>
          <w:rFonts w:ascii="Arial" w:hAnsi="Arial" w:hint="default"/>
          <w:rtl w:val="0"/>
        </w:rPr>
        <w:t>–</w:t>
      </w:r>
      <w:r>
        <w:rPr>
          <w:rFonts w:ascii="Arial" w:hAnsi="Arial"/>
          <w:rtl w:val="0"/>
        </w:rPr>
        <w:t>381.</w:t>
      </w:r>
    </w:p>
    <w:p>
      <w:pPr>
        <w:pStyle w:val="Default"/>
        <w:suppressAutoHyphens w:val="1"/>
        <w:spacing w:before="0" w:after="240" w:line="240" w:lineRule="auto"/>
        <w:jc w:val="left"/>
        <w:rPr>
          <w:rFonts w:ascii="Arial" w:cs="Arial" w:hAnsi="Arial" w:eastAsia="Arial"/>
        </w:rPr>
      </w:pPr>
      <w:r>
        <w:rPr>
          <w:rFonts w:ascii="Arial" w:hAnsi="Arial"/>
          <w:rtl w:val="0"/>
          <w:lang w:val="en-US"/>
        </w:rPr>
        <w:t>Holdaway, S. and O</w:t>
      </w:r>
      <w:r>
        <w:rPr>
          <w:rFonts w:ascii="Arial" w:hAnsi="Arial" w:hint="default"/>
          <w:rtl w:val="1"/>
        </w:rPr>
        <w:t>’</w:t>
      </w:r>
      <w:r>
        <w:rPr>
          <w:rFonts w:ascii="Arial" w:hAnsi="Arial"/>
          <w:rtl w:val="0"/>
          <w:lang w:val="en-US"/>
        </w:rPr>
        <w:t xml:space="preserve">Neill, M. (2006) Ethnicity and culture: thinking about </w:t>
      </w:r>
      <w:r>
        <w:rPr>
          <w:rFonts w:ascii="Arial" w:hAnsi="Arial" w:hint="default"/>
          <w:rtl w:val="1"/>
        </w:rPr>
        <w:t>‘</w:t>
      </w:r>
      <w:r>
        <w:rPr>
          <w:rFonts w:ascii="Arial" w:hAnsi="Arial"/>
          <w:rtl w:val="0"/>
          <w:lang w:val="fr-FR"/>
        </w:rPr>
        <w:t>police ethnicity</w:t>
      </w:r>
      <w:r>
        <w:rPr>
          <w:rFonts w:ascii="Arial" w:hAnsi="Arial" w:hint="default"/>
          <w:rtl w:val="1"/>
        </w:rPr>
        <w:t>’</w:t>
      </w:r>
      <w:r>
        <w:rPr>
          <w:rFonts w:ascii="Arial" w:hAnsi="Arial"/>
          <w:rtl w:val="0"/>
        </w:rPr>
        <w:t xml:space="preserve">. </w:t>
      </w:r>
      <w:r>
        <w:rPr>
          <w:rStyle w:val="None"/>
          <w:rFonts w:ascii="Arial" w:hAnsi="Arial"/>
          <w:i w:val="1"/>
          <w:iCs w:val="1"/>
          <w:rtl w:val="0"/>
          <w:lang w:val="en-US"/>
        </w:rPr>
        <w:t>Policing and Society</w:t>
      </w:r>
      <w:r>
        <w:rPr>
          <w:rFonts w:ascii="Arial" w:hAnsi="Arial"/>
          <w:rtl w:val="0"/>
        </w:rPr>
        <w:t>, 16(4), pp. 401</w:t>
      </w:r>
      <w:r>
        <w:rPr>
          <w:rFonts w:ascii="Arial" w:hAnsi="Arial" w:hint="default"/>
          <w:rtl w:val="0"/>
        </w:rPr>
        <w:t>–</w:t>
      </w:r>
      <w:r>
        <w:rPr>
          <w:rFonts w:ascii="Arial" w:hAnsi="Arial"/>
          <w:rtl w:val="0"/>
        </w:rPr>
        <w:t>418.</w:t>
      </w:r>
    </w:p>
    <w:p>
      <w:pPr>
        <w:pStyle w:val="Default"/>
        <w:suppressAutoHyphens w:val="1"/>
        <w:spacing w:before="0" w:after="240" w:line="240" w:lineRule="auto"/>
        <w:jc w:val="left"/>
        <w:rPr>
          <w:rFonts w:ascii="Arial" w:cs="Arial" w:hAnsi="Arial" w:eastAsia="Arial"/>
        </w:rPr>
      </w:pPr>
      <w:r>
        <w:rPr>
          <w:rFonts w:ascii="Arial" w:hAnsi="Arial"/>
          <w:rtl w:val="0"/>
          <w:lang w:val="en-US"/>
        </w:rPr>
        <w:t>Holdaway, S. and O</w:t>
      </w:r>
      <w:r>
        <w:rPr>
          <w:rFonts w:ascii="Arial" w:hAnsi="Arial" w:hint="default"/>
          <w:rtl w:val="1"/>
        </w:rPr>
        <w:t>’</w:t>
      </w:r>
      <w:r>
        <w:rPr>
          <w:rFonts w:ascii="Arial" w:hAnsi="Arial"/>
          <w:rtl w:val="0"/>
          <w:lang w:val="en-US"/>
        </w:rPr>
        <w:t xml:space="preserve">Neill, M. (2013) Black police associations and the Lawrence report: reinforcing or changing the status quo? </w:t>
      </w:r>
      <w:r>
        <w:rPr>
          <w:rStyle w:val="None"/>
          <w:rFonts w:ascii="Arial" w:hAnsi="Arial"/>
          <w:i w:val="1"/>
          <w:iCs w:val="1"/>
          <w:rtl w:val="0"/>
          <w:lang w:val="en-US"/>
        </w:rPr>
        <w:t>The Police Journal</w:t>
      </w:r>
      <w:r>
        <w:rPr>
          <w:rFonts w:ascii="Arial" w:hAnsi="Arial"/>
          <w:rtl w:val="0"/>
        </w:rPr>
        <w:t>, 86(3), pp. 195</w:t>
      </w:r>
      <w:r>
        <w:rPr>
          <w:rFonts w:ascii="Arial" w:hAnsi="Arial" w:hint="default"/>
          <w:rtl w:val="0"/>
        </w:rPr>
        <w:t>–</w:t>
      </w:r>
      <w:r>
        <w:rPr>
          <w:rFonts w:ascii="Arial" w:hAnsi="Arial"/>
          <w:rtl w:val="0"/>
        </w:rPr>
        <w:t>208.</w:t>
      </w:r>
    </w:p>
    <w:p>
      <w:pPr>
        <w:pStyle w:val="Default"/>
        <w:suppressAutoHyphens w:val="1"/>
        <w:spacing w:before="0" w:after="240" w:line="240" w:lineRule="auto"/>
        <w:jc w:val="left"/>
        <w:rPr>
          <w:rStyle w:val="None"/>
          <w:rFonts w:ascii="Arial" w:cs="Arial" w:hAnsi="Arial" w:eastAsia="Arial"/>
          <w:outline w:val="0"/>
          <w:color w:val="000000"/>
          <w:u w:val="none"/>
          <w14:textFill>
            <w14:solidFill>
              <w14:srgbClr w14:val="000000"/>
            </w14:solidFill>
          </w14:textFill>
        </w:rPr>
      </w:pPr>
      <w:r>
        <w:rPr>
          <w:rStyle w:val="None"/>
          <w:rFonts w:ascii="Arial" w:hAnsi="Arial"/>
          <w:outline w:val="0"/>
          <w:color w:val="000000"/>
          <w:u w:val="none"/>
          <w:rtl w:val="0"/>
          <w:lang w:val="en-US"/>
          <w14:textFill>
            <w14:solidFill>
              <w14:srgbClr w14:val="000000"/>
            </w14:solidFill>
          </w14:textFill>
        </w:rPr>
        <w:t xml:space="preserve">Home Office (2024) Police Uplift Programme. </w:t>
      </w:r>
      <w:r>
        <w:rPr>
          <w:rStyle w:val="None"/>
          <w:rFonts w:ascii="Arial" w:hAnsi="Arial"/>
          <w:i w:val="1"/>
          <w:iCs w:val="1"/>
          <w:outline w:val="0"/>
          <w:color w:val="000000"/>
          <w:u w:val="none"/>
          <w:rtl w:val="0"/>
          <w:lang w:val="en-US"/>
          <w14:textFill>
            <w14:solidFill>
              <w14:srgbClr w14:val="000000"/>
            </w14:solidFill>
          </w14:textFill>
        </w:rPr>
        <w:t>Evidence to the Police Remuneration Review Body, 2024 to 2025</w:t>
      </w:r>
      <w:r>
        <w:rPr>
          <w:rStyle w:val="None"/>
          <w:rFonts w:ascii="Arial" w:hAnsi="Arial"/>
          <w:outline w:val="0"/>
          <w:color w:val="000000"/>
          <w:u w:val="none"/>
          <w:rtl w:val="0"/>
          <w:lang w:val="en-US"/>
          <w14:textFill>
            <w14:solidFill>
              <w14:srgbClr w14:val="000000"/>
            </w14:solidFill>
          </w14:textFill>
        </w:rPr>
        <w:t xml:space="preserve">. Available at: </w:t>
      </w:r>
      <w:r>
        <w:rPr>
          <w:rStyle w:val="Hyperlink.1"/>
          <w:rFonts w:ascii="Arial" w:cs="Arial" w:hAnsi="Arial" w:eastAsia="Arial"/>
          <w:outline w:val="0"/>
          <w:color w:val="0000ff"/>
          <w:u w:val="single" w:color="0000ff"/>
          <w14:textFill>
            <w14:solidFill>
              <w14:srgbClr w14:val="0000FF"/>
            </w14:solidFill>
          </w14:textFill>
        </w:rPr>
        <w:fldChar w:fldCharType="begin" w:fldLock="0"/>
      </w:r>
      <w:r>
        <w:rPr>
          <w:rStyle w:val="Hyperlink.1"/>
          <w:rFonts w:ascii="Arial" w:cs="Arial" w:hAnsi="Arial" w:eastAsia="Arial"/>
          <w:outline w:val="0"/>
          <w:color w:val="0000ff"/>
          <w:u w:val="single" w:color="0000ff"/>
          <w14:textFill>
            <w14:solidFill>
              <w14:srgbClr w14:val="0000FF"/>
            </w14:solidFill>
          </w14:textFill>
        </w:rPr>
        <w:instrText xml:space="preserve"> HYPERLINK "https://www.gov.uk/government/publications/home-office-evidence-to-the-police-remuneration-review-body-2024-to-2025/home-office-evidence-to-the-police-remuneration-review-body-2024-to-2025-accessible"</w:instrText>
      </w:r>
      <w:r>
        <w:rPr>
          <w:rStyle w:val="Hyperlink.1"/>
          <w:rFonts w:ascii="Arial" w:cs="Arial" w:hAnsi="Arial" w:eastAsia="Arial"/>
          <w:outline w:val="0"/>
          <w:color w:val="0000ff"/>
          <w:u w:val="single" w:color="0000ff"/>
          <w14:textFill>
            <w14:solidFill>
              <w14:srgbClr w14:val="0000FF"/>
            </w14:solidFill>
          </w14:textFill>
        </w:rPr>
        <w:fldChar w:fldCharType="separate" w:fldLock="0"/>
      </w:r>
      <w:r>
        <w:rPr>
          <w:rStyle w:val="Hyperlink.1"/>
          <w:rFonts w:ascii="Arial" w:hAnsi="Arial"/>
          <w:outline w:val="0"/>
          <w:color w:val="0000ff"/>
          <w:u w:val="single" w:color="0000ff"/>
          <w:rtl w:val="0"/>
          <w:lang w:val="en-US"/>
          <w14:textFill>
            <w14:solidFill>
              <w14:srgbClr w14:val="0000FF"/>
            </w14:solidFill>
          </w14:textFill>
        </w:rPr>
        <w:t>https://www.gov.uk/government/publications/home-office-evidence-to-the-police-remuneration-review-body-2024-to-2025/home-office-evidence-to-the-police-remuneration-review-body-2024-to-2025-accessible</w:t>
      </w:r>
      <w:r>
        <w:rPr>
          <w:rFonts w:ascii="Arial" w:cs="Arial" w:hAnsi="Arial" w:eastAsia="Arial"/>
          <w:outline w:val="0"/>
          <w:color w:val="0000ee"/>
          <w:u w:val="single"/>
          <w14:textFill>
            <w14:solidFill>
              <w14:srgbClr w14:val="0000EE"/>
            </w14:solidFill>
          </w14:textFill>
        </w:rPr>
        <w:fldChar w:fldCharType="end" w:fldLock="0"/>
      </w:r>
      <w:r>
        <w:rPr>
          <w:rStyle w:val="None"/>
          <w:rFonts w:ascii="Arial" w:hAnsi="Arial"/>
          <w:outline w:val="0"/>
          <w:color w:val="000000"/>
          <w:u w:val="none"/>
          <w:rtl w:val="0"/>
          <w:lang w:val="en-US"/>
          <w14:textFill>
            <w14:solidFill>
              <w14:srgbClr w14:val="000000"/>
            </w14:solidFill>
          </w14:textFill>
        </w:rPr>
        <w:t xml:space="preserve"> (Accessed: 25 June 2025).</w:t>
      </w:r>
    </w:p>
    <w:p>
      <w:pPr>
        <w:pStyle w:val="Default"/>
        <w:suppressAutoHyphens w:val="1"/>
        <w:spacing w:before="0" w:after="240" w:line="240" w:lineRule="auto"/>
        <w:jc w:val="left"/>
        <w:rPr>
          <w:rFonts w:ascii="Arial" w:cs="Arial" w:hAnsi="Arial" w:eastAsia="Arial"/>
        </w:rPr>
      </w:pPr>
      <w:r>
        <w:rPr>
          <w:rFonts w:ascii="Arial" w:hAnsi="Arial"/>
          <w:rtl w:val="0"/>
          <w:lang w:val="en-US"/>
        </w:rPr>
        <w:t xml:space="preserve">Local Government Association (2022) Supporting the youngest children in the youth justice system: what works to reduce offending and improve outcomes?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"https://www.local.gov.uk/publications/supporting-youngest-children-youth-justice-system-what-works-reduce-offending-and"</w:instrText>
      </w:r>
      <w:r>
        <w:rPr>
          <w:rStyle w:val="Hyperlink.0"/>
          <w:rFonts w:ascii="Arial" w:cs="Arial" w:hAnsi="Arial" w:eastAsia="Arial"/>
        </w:rPr>
        <w:fldChar w:fldCharType="separate" w:fldLock="0"/>
      </w:r>
      <w:r>
        <w:rPr>
          <w:rStyle w:val="Hyperlink.0"/>
          <w:rFonts w:ascii="Arial" w:hAnsi="Arial"/>
          <w:rtl w:val="0"/>
          <w:lang w:val="en-US"/>
        </w:rPr>
        <w:t>https://www.local.gov.uk/publications/supporting-youngest-children-youth-justice-system-what-works-reduce-offending-and</w:t>
      </w:r>
      <w:r>
        <w:rPr>
          <w:rFonts w:ascii="Arial" w:cs="Arial" w:hAnsi="Arial" w:eastAsia="Arial"/>
        </w:rPr>
        <w:fldChar w:fldCharType="end" w:fldLock="0"/>
      </w:r>
      <w:r>
        <w:rPr>
          <w:rFonts w:ascii="Arial" w:hAnsi="Arial"/>
          <w:rtl w:val="0"/>
          <w:lang w:val="en-US"/>
        </w:rPr>
        <w:t xml:space="preserve"> (Accessed: 26 May 2025).</w:t>
      </w:r>
    </w:p>
    <w:p>
      <w:pPr>
        <w:pStyle w:val="Default"/>
        <w:suppressAutoHyphens w:val="1"/>
        <w:spacing w:before="0" w:after="240" w:line="240" w:lineRule="auto"/>
        <w:jc w:val="left"/>
        <w:rPr>
          <w:rFonts w:ascii="Arial" w:cs="Arial" w:hAnsi="Arial" w:eastAsia="Arial"/>
        </w:rPr>
      </w:pPr>
      <w:r>
        <w:rPr>
          <w:rFonts w:ascii="Arial" w:hAnsi="Arial"/>
          <w:rtl w:val="0"/>
          <w:lang w:val="en-US"/>
        </w:rPr>
        <w:t xml:space="preserve">Moffitt, T.E. (1993) Adolescence-limited and life-course-persistent antisocial behavior: A developmental taxonomy. </w:t>
      </w:r>
      <w:r>
        <w:rPr>
          <w:rStyle w:val="None"/>
          <w:rFonts w:ascii="Arial" w:hAnsi="Arial"/>
          <w:i w:val="1"/>
          <w:iCs w:val="1"/>
          <w:rtl w:val="0"/>
          <w:lang w:val="en-US"/>
        </w:rPr>
        <w:t>Psychological Review</w:t>
      </w:r>
      <w:r>
        <w:rPr>
          <w:rFonts w:ascii="Arial" w:hAnsi="Arial"/>
          <w:rtl w:val="0"/>
          <w:lang w:val="it-IT"/>
        </w:rPr>
        <w:t>, 100(4), pp. 674</w:t>
      </w:r>
      <w:r>
        <w:rPr>
          <w:rFonts w:ascii="Arial" w:hAnsi="Arial" w:hint="default"/>
          <w:rtl w:val="0"/>
        </w:rPr>
        <w:t>–</w:t>
      </w:r>
      <w:r>
        <w:rPr>
          <w:rFonts w:ascii="Arial" w:hAnsi="Arial"/>
          <w:rtl w:val="0"/>
        </w:rPr>
        <w:t>701.</w:t>
      </w:r>
    </w:p>
    <w:p>
      <w:pPr>
        <w:pStyle w:val="Default"/>
        <w:suppressAutoHyphens w:val="1"/>
        <w:spacing w:before="0" w:after="240" w:line="240" w:lineRule="auto"/>
        <w:jc w:val="left"/>
        <w:rPr>
          <w:rStyle w:val="None"/>
          <w:rFonts w:ascii="Arial" w:cs="Arial" w:hAnsi="Arial" w:eastAsia="Arial"/>
          <w:outline w:val="0"/>
          <w:color w:val="000000"/>
          <w:u w:val="none"/>
          <w14:textFill>
            <w14:solidFill>
              <w14:srgbClr w14:val="000000"/>
            </w14:solidFill>
          </w14:textFill>
        </w:rPr>
      </w:pPr>
      <w:r>
        <w:rPr>
          <w:rStyle w:val="None"/>
          <w:rFonts w:ascii="Arial" w:hAnsi="Arial"/>
          <w:outline w:val="0"/>
          <w:color w:val="000000"/>
          <w:u w:val="none"/>
          <w:rtl w:val="0"/>
          <w:lang w:val="en-US"/>
          <w14:textFill>
            <w14:solidFill>
              <w14:srgbClr w14:val="000000"/>
            </w14:solidFill>
          </w14:textFill>
        </w:rPr>
        <w:t xml:space="preserve">Office for National Statistics (ONS) (2022) Ethnic group, England and Wales: Census 2021. Available at: </w:t>
      </w:r>
      <w:r>
        <w:rPr>
          <w:rStyle w:val="Hyperlink.1"/>
          <w:rFonts w:ascii="Arial" w:cs="Arial" w:hAnsi="Arial" w:eastAsia="Arial"/>
          <w:outline w:val="0"/>
          <w:color w:val="0000ff"/>
          <w:u w:val="single" w:color="0000ff"/>
          <w14:textFill>
            <w14:solidFill>
              <w14:srgbClr w14:val="0000FF"/>
            </w14:solidFill>
          </w14:textFill>
        </w:rPr>
        <w:fldChar w:fldCharType="begin" w:fldLock="0"/>
      </w:r>
      <w:r>
        <w:rPr>
          <w:rStyle w:val="Hyperlink.1"/>
          <w:rFonts w:ascii="Arial" w:cs="Arial" w:hAnsi="Arial" w:eastAsia="Arial"/>
          <w:outline w:val="0"/>
          <w:color w:val="0000ff"/>
          <w:u w:val="single" w:color="0000ff"/>
          <w14:textFill>
            <w14:solidFill>
              <w14:srgbClr w14:val="0000FF"/>
            </w14:solidFill>
          </w14:textFill>
        </w:rPr>
        <w:instrText xml:space="preserve"> HYPERLINK "https://www.ons.gov.uk/peoplepopulationandcommunity/culturalidentity/ethnicity/bulletins/ethnicgroupenglandandwales/census2021"</w:instrText>
      </w:r>
      <w:r>
        <w:rPr>
          <w:rStyle w:val="Hyperlink.1"/>
          <w:rFonts w:ascii="Arial" w:cs="Arial" w:hAnsi="Arial" w:eastAsia="Arial"/>
          <w:outline w:val="0"/>
          <w:color w:val="0000ff"/>
          <w:u w:val="single" w:color="0000ff"/>
          <w14:textFill>
            <w14:solidFill>
              <w14:srgbClr w14:val="0000FF"/>
            </w14:solidFill>
          </w14:textFill>
        </w:rPr>
        <w:fldChar w:fldCharType="separate" w:fldLock="0"/>
      </w:r>
      <w:r>
        <w:rPr>
          <w:rStyle w:val="Hyperlink.1"/>
          <w:rFonts w:ascii="Arial" w:hAnsi="Arial"/>
          <w:outline w:val="0"/>
          <w:color w:val="0000ff"/>
          <w:u w:val="single" w:color="0000ff"/>
          <w:rtl w:val="0"/>
          <w:lang w:val="en-US"/>
          <w14:textFill>
            <w14:solidFill>
              <w14:srgbClr w14:val="0000FF"/>
            </w14:solidFill>
          </w14:textFill>
        </w:rPr>
        <w:t>https://www.ons.gov.uk/peoplepopulationandcommunity/culturalidentity/ethnicity/bulletins/ethnicgroupenglandandwales/census2021</w:t>
      </w:r>
      <w:r>
        <w:rPr>
          <w:rFonts w:ascii="Arial" w:cs="Arial" w:hAnsi="Arial" w:eastAsia="Arial"/>
          <w:outline w:val="0"/>
          <w:color w:val="0000ee"/>
          <w:u w:val="single"/>
          <w14:textFill>
            <w14:solidFill>
              <w14:srgbClr w14:val="0000EE"/>
            </w14:solidFill>
          </w14:textFill>
        </w:rPr>
        <w:fldChar w:fldCharType="end" w:fldLock="0"/>
      </w:r>
      <w:r>
        <w:rPr>
          <w:rStyle w:val="None"/>
          <w:rFonts w:ascii="Arial" w:hAnsi="Arial"/>
          <w:outline w:val="0"/>
          <w:color w:val="000000"/>
          <w:u w:val="none"/>
          <w:rtl w:val="0"/>
          <w:lang w:val="en-US"/>
          <w14:textFill>
            <w14:solidFill>
              <w14:srgbClr w14:val="000000"/>
            </w14:solidFill>
          </w14:textFill>
        </w:rPr>
        <w:t>(Accessed: 25 June 2025).</w:t>
      </w:r>
    </w:p>
    <w:p>
      <w:pPr>
        <w:pStyle w:val="Default"/>
        <w:suppressAutoHyphens w:val="1"/>
        <w:spacing w:before="0" w:after="240" w:line="240" w:lineRule="auto"/>
        <w:jc w:val="left"/>
        <w:rPr>
          <w:rFonts w:ascii="Arial" w:cs="Arial" w:hAnsi="Arial" w:eastAsia="Arial"/>
        </w:rPr>
      </w:pPr>
      <w:r>
        <w:rPr>
          <w:rFonts w:ascii="Arial" w:hAnsi="Arial"/>
          <w:rtl w:val="0"/>
          <w:lang w:val="en-US"/>
        </w:rPr>
        <w:t xml:space="preserve">Personnel Today (2024) Three-quarters of police admit to wellbeing difficulties.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"https://www.personneltoday.com/hr/three-quarters-of-police-admit-to-wellbeing-difficulties/"</w:instrText>
      </w:r>
      <w:r>
        <w:rPr>
          <w:rStyle w:val="Hyperlink.0"/>
          <w:rFonts w:ascii="Arial" w:cs="Arial" w:hAnsi="Arial" w:eastAsia="Arial"/>
        </w:rPr>
        <w:fldChar w:fldCharType="separate" w:fldLock="0"/>
      </w:r>
      <w:r>
        <w:rPr>
          <w:rStyle w:val="Hyperlink.0"/>
          <w:rFonts w:ascii="Arial" w:hAnsi="Arial"/>
          <w:rtl w:val="0"/>
          <w:lang w:val="en-US"/>
        </w:rPr>
        <w:t>https://www.personneltoday.com/hr/three-quarters-of-police-admit-to-wellbeing-difficulties/</w:t>
      </w:r>
      <w:r>
        <w:rPr>
          <w:rFonts w:ascii="Arial" w:cs="Arial" w:hAnsi="Arial" w:eastAsia="Arial"/>
        </w:rPr>
        <w:fldChar w:fldCharType="end" w:fldLock="0"/>
      </w:r>
      <w:r>
        <w:rPr>
          <w:rFonts w:ascii="Arial" w:hAnsi="Arial"/>
          <w:rtl w:val="0"/>
          <w:lang w:val="en-US"/>
        </w:rPr>
        <w:t xml:space="preserve"> (Accessed: 26 May 2025).</w:t>
      </w:r>
    </w:p>
    <w:p>
      <w:pPr>
        <w:pStyle w:val="Default"/>
        <w:suppressAutoHyphens w:val="1"/>
        <w:spacing w:before="0" w:after="240" w:line="240" w:lineRule="auto"/>
        <w:jc w:val="left"/>
      </w:pPr>
      <w:r>
        <w:rPr>
          <w:rFonts w:ascii="Arial" w:hAnsi="Arial"/>
          <w:rtl w:val="0"/>
          <w:lang w:val="en-US"/>
        </w:rPr>
        <w:t>Police Federation (2024) Record 14,508 officers signed off with poor mental health in past year. Available at: https://www.polfed.org/news/latest</w:t>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character" w:styleId="None">
    <w:name w:val="None"/>
  </w:style>
  <w:style w:type="character" w:styleId="Hyperlink.0">
    <w:name w:val="Hyperlink.0"/>
    <w:basedOn w:val="None"/>
    <w:next w:val="Hyperlink.0"/>
    <w:rPr>
      <w:outline w:val="0"/>
      <w:color w:val="0000ee"/>
      <w:u w:val="single"/>
      <w14:textFill>
        <w14:solidFill>
          <w14:srgbClr w14:val="0000EE"/>
        </w14:solidFill>
      </w14:textFill>
    </w:rPr>
  </w:style>
  <w:style w:type="character" w:styleId="Hyperlink.1">
    <w:name w:val="Hyperlink.1"/>
    <w:basedOn w:val="Hyperlink"/>
    <w:next w:val="Hyperlink.1"/>
    <w:rPr>
      <w:outline w:val="0"/>
      <w:color w:val="0000ff"/>
      <w:u w:val="single" w:color="0000ff"/>
      <w14:textFill>
        <w14:solidFill>
          <w14:srgbClr w14:val="0000FF"/>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