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8D605" w14:textId="77777777" w:rsidR="00BD1CFD" w:rsidRDefault="00BD1CFD" w:rsidP="00BD1CFD">
      <w:pPr>
        <w:pStyle w:val="BodyText"/>
        <w:spacing w:before="174"/>
        <w:rPr>
          <w:rFonts w:ascii="Arial"/>
          <w:b/>
          <w:sz w:val="36"/>
        </w:rPr>
      </w:pPr>
    </w:p>
    <w:p w14:paraId="40C6E465" w14:textId="6C86A82D" w:rsidR="00BD1CFD" w:rsidRDefault="00BD1CFD" w:rsidP="00BD1CFD">
      <w:pPr>
        <w:spacing w:before="1"/>
        <w:ind w:right="357"/>
        <w:jc w:val="center"/>
        <w:rPr>
          <w:rFonts w:ascii="Arial"/>
          <w:b/>
          <w:sz w:val="36"/>
        </w:rPr>
      </w:pPr>
      <w:bookmarkStart w:id="0" w:name="BMGM5005"/>
      <w:bookmarkEnd w:id="0"/>
      <w:r>
        <w:rPr>
          <w:rFonts w:ascii="Arial"/>
          <w:b/>
          <w:sz w:val="36"/>
        </w:rPr>
        <w:t>Professional</w:t>
      </w:r>
      <w:r>
        <w:rPr>
          <w:rFonts w:ascii="Arial"/>
          <w:b/>
          <w:spacing w:val="-9"/>
          <w:sz w:val="36"/>
        </w:rPr>
        <w:t xml:space="preserve"> </w:t>
      </w:r>
      <w:r>
        <w:rPr>
          <w:rFonts w:ascii="Arial"/>
          <w:b/>
          <w:spacing w:val="-2"/>
          <w:sz w:val="36"/>
        </w:rPr>
        <w:t>Service</w:t>
      </w:r>
      <w:r w:rsidRPr="00BD1CFD">
        <w:rPr>
          <w:rFonts w:ascii="Arial"/>
          <w:b/>
          <w:spacing w:val="-2"/>
          <w:sz w:val="36"/>
        </w:rPr>
        <w:t xml:space="preserve"> </w:t>
      </w:r>
      <w:r>
        <w:rPr>
          <w:rFonts w:ascii="Arial"/>
          <w:b/>
          <w:spacing w:val="-2"/>
          <w:sz w:val="36"/>
        </w:rPr>
        <w:t>BMGM5005</w:t>
      </w:r>
    </w:p>
    <w:p w14:paraId="7EFE5498" w14:textId="77777777" w:rsidR="00BD1CFD" w:rsidRDefault="00BD1CFD" w:rsidP="00BD1CFD">
      <w:pPr>
        <w:spacing w:before="217"/>
        <w:ind w:right="347"/>
        <w:jc w:val="center"/>
        <w:rPr>
          <w:rFonts w:ascii="Arial"/>
          <w:b/>
          <w:sz w:val="36"/>
        </w:rPr>
      </w:pPr>
    </w:p>
    <w:p w14:paraId="280FF5D6" w14:textId="77777777" w:rsidR="00BD1CFD" w:rsidRDefault="00BD1CFD" w:rsidP="00BD1CFD">
      <w:pPr>
        <w:spacing w:before="217"/>
        <w:ind w:right="347"/>
        <w:jc w:val="center"/>
        <w:rPr>
          <w:rFonts w:ascii="Arial"/>
          <w:b/>
          <w:sz w:val="36"/>
        </w:rPr>
      </w:pPr>
    </w:p>
    <w:p w14:paraId="4A240CDA" w14:textId="68EB5B06" w:rsidR="00BD1CFD" w:rsidRPr="00BD1CFD" w:rsidRDefault="00BD1CFD" w:rsidP="00BD1CFD">
      <w:pPr>
        <w:spacing w:before="217"/>
        <w:ind w:right="347"/>
        <w:jc w:val="center"/>
        <w:rPr>
          <w:rFonts w:ascii="Arial"/>
          <w:b/>
          <w:sz w:val="36"/>
        </w:rPr>
      </w:pPr>
      <w:r w:rsidRPr="00BD1CFD">
        <w:rPr>
          <w:rFonts w:ascii="Arial"/>
          <w:b/>
          <w:sz w:val="36"/>
        </w:rPr>
        <w:t xml:space="preserve">Essay </w:t>
      </w:r>
      <w:r w:rsidRPr="00BD1CFD">
        <w:rPr>
          <w:rFonts w:ascii="Arial"/>
          <w:b/>
          <w:sz w:val="36"/>
        </w:rPr>
        <w:t>–</w:t>
      </w:r>
      <w:r w:rsidRPr="00BD1CFD">
        <w:rPr>
          <w:rFonts w:ascii="Arial"/>
          <w:b/>
          <w:sz w:val="36"/>
        </w:rPr>
        <w:t xml:space="preserve"> Case Study</w:t>
      </w:r>
    </w:p>
    <w:p w14:paraId="71CCD53C" w14:textId="640DE23B" w:rsidR="00BD1CFD" w:rsidRDefault="00BD1CFD" w:rsidP="00BD1CFD">
      <w:pPr>
        <w:spacing w:before="217"/>
        <w:ind w:right="347"/>
        <w:jc w:val="center"/>
        <w:rPr>
          <w:rFonts w:ascii="Arial"/>
          <w:b/>
          <w:sz w:val="36"/>
        </w:rPr>
      </w:pPr>
      <w:r w:rsidRPr="00BD1CFD">
        <w:rPr>
          <w:rFonts w:ascii="Arial"/>
          <w:b/>
          <w:sz w:val="36"/>
        </w:rPr>
        <w:t>Evaluation</w:t>
      </w:r>
    </w:p>
    <w:p w14:paraId="492C4B5C" w14:textId="77777777" w:rsidR="00BD1CFD" w:rsidRDefault="00BD1CFD" w:rsidP="00BD1CFD">
      <w:pPr>
        <w:ind w:left="628"/>
        <w:rPr>
          <w:b/>
          <w:sz w:val="24"/>
        </w:rPr>
      </w:pPr>
    </w:p>
    <w:p w14:paraId="29BC8476" w14:textId="77777777" w:rsidR="00BD1CFD" w:rsidRDefault="00BD1CFD" w:rsidP="00BD1CFD">
      <w:pPr>
        <w:ind w:left="628"/>
        <w:rPr>
          <w:b/>
          <w:sz w:val="28"/>
          <w:szCs w:val="28"/>
        </w:rPr>
      </w:pPr>
    </w:p>
    <w:p w14:paraId="6215F493" w14:textId="0756D881" w:rsidR="00BD1CFD" w:rsidRPr="00BD1CFD" w:rsidRDefault="00BD1CFD" w:rsidP="00BD1CFD">
      <w:pPr>
        <w:ind w:left="628"/>
        <w:rPr>
          <w:b/>
          <w:sz w:val="28"/>
          <w:szCs w:val="28"/>
        </w:rPr>
      </w:pPr>
      <w:r w:rsidRPr="00BD1CFD">
        <w:rPr>
          <w:b/>
          <w:sz w:val="28"/>
          <w:szCs w:val="28"/>
        </w:rPr>
        <w:t>How</w:t>
      </w:r>
      <w:r w:rsidRPr="00BD1CFD">
        <w:rPr>
          <w:b/>
          <w:spacing w:val="-3"/>
          <w:sz w:val="28"/>
          <w:szCs w:val="28"/>
        </w:rPr>
        <w:t xml:space="preserve"> </w:t>
      </w:r>
      <w:r w:rsidRPr="00BD1CFD">
        <w:rPr>
          <w:b/>
          <w:sz w:val="28"/>
          <w:szCs w:val="28"/>
        </w:rPr>
        <w:t>to</w:t>
      </w:r>
      <w:r w:rsidRPr="00BD1CFD">
        <w:rPr>
          <w:b/>
          <w:spacing w:val="-1"/>
          <w:sz w:val="28"/>
          <w:szCs w:val="28"/>
        </w:rPr>
        <w:t xml:space="preserve"> </w:t>
      </w:r>
      <w:r w:rsidRPr="00BD1CFD">
        <w:rPr>
          <w:b/>
          <w:sz w:val="28"/>
          <w:szCs w:val="28"/>
        </w:rPr>
        <w:t>engage</w:t>
      </w:r>
      <w:r w:rsidRPr="00BD1CFD">
        <w:rPr>
          <w:b/>
          <w:spacing w:val="-2"/>
          <w:sz w:val="28"/>
          <w:szCs w:val="28"/>
        </w:rPr>
        <w:t xml:space="preserve"> </w:t>
      </w:r>
      <w:r w:rsidRPr="00BD1CFD">
        <w:rPr>
          <w:b/>
          <w:sz w:val="28"/>
          <w:szCs w:val="28"/>
        </w:rPr>
        <w:t>employees</w:t>
      </w:r>
      <w:r w:rsidRPr="00BD1CFD">
        <w:rPr>
          <w:b/>
          <w:spacing w:val="-1"/>
          <w:sz w:val="28"/>
          <w:szCs w:val="28"/>
        </w:rPr>
        <w:t xml:space="preserve"> </w:t>
      </w:r>
      <w:r w:rsidRPr="00BD1CFD">
        <w:rPr>
          <w:b/>
          <w:sz w:val="28"/>
          <w:szCs w:val="28"/>
        </w:rPr>
        <w:t>(Generation</w:t>
      </w:r>
      <w:r w:rsidRPr="00BD1CFD">
        <w:rPr>
          <w:b/>
          <w:spacing w:val="-4"/>
          <w:sz w:val="28"/>
          <w:szCs w:val="28"/>
        </w:rPr>
        <w:t xml:space="preserve"> </w:t>
      </w:r>
      <w:r w:rsidRPr="00BD1CFD">
        <w:rPr>
          <w:b/>
          <w:sz w:val="28"/>
          <w:szCs w:val="28"/>
        </w:rPr>
        <w:t>Z)</w:t>
      </w:r>
      <w:r w:rsidRPr="00BD1CFD">
        <w:rPr>
          <w:b/>
          <w:spacing w:val="-2"/>
          <w:sz w:val="28"/>
          <w:szCs w:val="28"/>
        </w:rPr>
        <w:t xml:space="preserve"> </w:t>
      </w:r>
      <w:r w:rsidRPr="00BD1CFD">
        <w:rPr>
          <w:b/>
          <w:sz w:val="28"/>
          <w:szCs w:val="28"/>
        </w:rPr>
        <w:t>throughout</w:t>
      </w:r>
      <w:r w:rsidRPr="00BD1CFD">
        <w:rPr>
          <w:b/>
          <w:spacing w:val="-3"/>
          <w:sz w:val="28"/>
          <w:szCs w:val="28"/>
        </w:rPr>
        <w:t xml:space="preserve"> </w:t>
      </w:r>
      <w:r w:rsidRPr="00BD1CFD">
        <w:rPr>
          <w:b/>
          <w:sz w:val="28"/>
          <w:szCs w:val="28"/>
        </w:rPr>
        <w:t>the</w:t>
      </w:r>
      <w:r w:rsidRPr="00BD1CFD">
        <w:rPr>
          <w:b/>
          <w:spacing w:val="-2"/>
          <w:sz w:val="28"/>
          <w:szCs w:val="28"/>
        </w:rPr>
        <w:t xml:space="preserve"> </w:t>
      </w:r>
      <w:r w:rsidRPr="00BD1CFD">
        <w:rPr>
          <w:b/>
          <w:sz w:val="28"/>
          <w:szCs w:val="28"/>
        </w:rPr>
        <w:t>employee</w:t>
      </w:r>
      <w:r w:rsidRPr="00BD1CFD">
        <w:rPr>
          <w:b/>
          <w:spacing w:val="-2"/>
          <w:sz w:val="28"/>
          <w:szCs w:val="28"/>
        </w:rPr>
        <w:t xml:space="preserve"> </w:t>
      </w:r>
      <w:r w:rsidRPr="00BD1CFD">
        <w:rPr>
          <w:b/>
          <w:sz w:val="28"/>
          <w:szCs w:val="28"/>
        </w:rPr>
        <w:t>life</w:t>
      </w:r>
      <w:r w:rsidRPr="00BD1CFD">
        <w:rPr>
          <w:b/>
          <w:spacing w:val="-2"/>
          <w:sz w:val="28"/>
          <w:szCs w:val="28"/>
        </w:rPr>
        <w:t xml:space="preserve"> cycle?</w:t>
      </w:r>
    </w:p>
    <w:p w14:paraId="7F549A38" w14:textId="21DC0D59" w:rsidR="00BD1CFD" w:rsidRPr="00BD1CFD" w:rsidRDefault="00BD1CFD" w:rsidP="00BD1CFD">
      <w:pPr>
        <w:pStyle w:val="BodyText"/>
        <w:spacing w:before="93"/>
        <w:jc w:val="center"/>
        <w:rPr>
          <w:b/>
          <w:sz w:val="28"/>
          <w:szCs w:val="28"/>
        </w:rPr>
      </w:pPr>
      <w:r w:rsidRPr="00BD1CFD">
        <w:rPr>
          <w:b/>
          <w:sz w:val="28"/>
          <w:szCs w:val="28"/>
        </w:rPr>
        <w:t xml:space="preserve">By </w:t>
      </w:r>
    </w:p>
    <w:p w14:paraId="11AC35F9" w14:textId="25D98CFF" w:rsidR="00BD1CFD" w:rsidRPr="00BD1CFD" w:rsidRDefault="00BD1CFD" w:rsidP="00BD1CFD">
      <w:pPr>
        <w:pStyle w:val="BodyText"/>
        <w:spacing w:before="93"/>
        <w:jc w:val="center"/>
        <w:rPr>
          <w:b/>
          <w:sz w:val="28"/>
          <w:szCs w:val="28"/>
        </w:rPr>
      </w:pPr>
      <w:r w:rsidRPr="00BD1CFD">
        <w:rPr>
          <w:b/>
          <w:sz w:val="28"/>
          <w:szCs w:val="28"/>
        </w:rPr>
        <w:t>Amdadur Rashid Masum</w:t>
      </w:r>
    </w:p>
    <w:p w14:paraId="4CE11BF3" w14:textId="29090224" w:rsidR="00BD1CFD" w:rsidRPr="00BD1CFD" w:rsidRDefault="00BD1CFD" w:rsidP="00BD1CFD">
      <w:pPr>
        <w:pStyle w:val="BodyText"/>
        <w:spacing w:before="93"/>
        <w:jc w:val="center"/>
        <w:rPr>
          <w:b/>
        </w:rPr>
      </w:pPr>
      <w:r w:rsidRPr="00BD1CFD">
        <w:rPr>
          <w:b/>
          <w:sz w:val="28"/>
          <w:szCs w:val="28"/>
        </w:rPr>
        <w:t>Student ID: 212887</w:t>
      </w:r>
      <w:r>
        <w:rPr>
          <w:b/>
          <w:sz w:val="28"/>
          <w:szCs w:val="28"/>
        </w:rPr>
        <w:t>0</w:t>
      </w:r>
    </w:p>
    <w:p w14:paraId="5A1D53D5" w14:textId="036FD3EE" w:rsidR="00BD1CFD" w:rsidRDefault="00BD1CFD" w:rsidP="00BD1CFD">
      <w:pPr>
        <w:pStyle w:val="BodyText"/>
        <w:jc w:val="center"/>
        <w:rPr>
          <w:rFonts w:ascii="Arial"/>
          <w:b/>
          <w:sz w:val="36"/>
        </w:rPr>
      </w:pPr>
      <w:r>
        <w:rPr>
          <w:rFonts w:ascii="Arial"/>
          <w:b/>
          <w:sz w:val="36"/>
        </w:rPr>
        <w:t xml:space="preserve">         </w:t>
      </w:r>
    </w:p>
    <w:p w14:paraId="317256B7" w14:textId="77777777" w:rsidR="00BD1CFD" w:rsidRDefault="00BD1CFD" w:rsidP="00BD1CFD">
      <w:pPr>
        <w:pStyle w:val="BodyText"/>
        <w:rPr>
          <w:rFonts w:ascii="Arial"/>
          <w:b/>
          <w:sz w:val="36"/>
        </w:rPr>
      </w:pPr>
    </w:p>
    <w:p w14:paraId="5A48051D" w14:textId="77777777" w:rsidR="00BD1CFD" w:rsidRDefault="00BD1CFD" w:rsidP="00BD1CFD">
      <w:pPr>
        <w:pStyle w:val="BodyText"/>
        <w:jc w:val="center"/>
        <w:rPr>
          <w:rFonts w:ascii="Arial"/>
          <w:b/>
          <w:sz w:val="36"/>
        </w:rPr>
      </w:pPr>
    </w:p>
    <w:p w14:paraId="6A9F4C2B" w14:textId="77777777" w:rsidR="00BD1CFD" w:rsidRDefault="00BD1CFD" w:rsidP="00BD1CFD">
      <w:pPr>
        <w:spacing w:line="364" w:lineRule="auto"/>
        <w:ind w:right="339"/>
        <w:jc w:val="center"/>
        <w:rPr>
          <w:rFonts w:ascii="Arial"/>
          <w:b/>
          <w:spacing w:val="-8"/>
          <w:sz w:val="32"/>
          <w:szCs w:val="32"/>
        </w:rPr>
      </w:pPr>
      <w:bookmarkStart w:id="1" w:name="Module_Lead:_Chris_Wilkin"/>
      <w:bookmarkEnd w:id="1"/>
    </w:p>
    <w:p w14:paraId="5A005DD6" w14:textId="77777777" w:rsidR="00E525EF" w:rsidRDefault="00BD1CFD" w:rsidP="00BD1CFD">
      <w:pPr>
        <w:spacing w:line="364" w:lineRule="auto"/>
        <w:ind w:right="339"/>
        <w:jc w:val="center"/>
        <w:rPr>
          <w:rFonts w:ascii="Arial"/>
          <w:b/>
          <w:spacing w:val="-8"/>
          <w:sz w:val="32"/>
          <w:szCs w:val="32"/>
        </w:rPr>
      </w:pPr>
      <w:r w:rsidRPr="00BD1CFD">
        <w:rPr>
          <w:rFonts w:ascii="Arial"/>
          <w:b/>
          <w:spacing w:val="-8"/>
          <w:sz w:val="32"/>
          <w:szCs w:val="32"/>
        </w:rPr>
        <w:t>Module</w:t>
      </w:r>
      <w:r w:rsidRPr="00BD1CFD">
        <w:rPr>
          <w:rFonts w:ascii="Arial"/>
          <w:b/>
          <w:spacing w:val="-24"/>
          <w:sz w:val="32"/>
          <w:szCs w:val="32"/>
        </w:rPr>
        <w:t xml:space="preserve"> </w:t>
      </w:r>
      <w:r w:rsidRPr="00BD1CFD">
        <w:rPr>
          <w:rFonts w:ascii="Arial"/>
          <w:b/>
          <w:spacing w:val="-8"/>
          <w:sz w:val="32"/>
          <w:szCs w:val="32"/>
        </w:rPr>
        <w:t>Lead:</w:t>
      </w:r>
      <w:r w:rsidRPr="00BD1CFD">
        <w:rPr>
          <w:rFonts w:ascii="Arial"/>
          <w:b/>
          <w:spacing w:val="-24"/>
          <w:sz w:val="32"/>
          <w:szCs w:val="32"/>
        </w:rPr>
        <w:t>Jemma Smith MA, PgCE</w:t>
      </w:r>
      <w:r w:rsidRPr="00BD1CFD">
        <w:rPr>
          <w:rFonts w:ascii="Arial"/>
          <w:b/>
          <w:spacing w:val="-8"/>
          <w:sz w:val="32"/>
          <w:szCs w:val="32"/>
        </w:rPr>
        <w:t xml:space="preserve"> </w:t>
      </w:r>
      <w:bookmarkStart w:id="2" w:name="C.Wilkin@uwtsd.ac.uk"/>
      <w:bookmarkEnd w:id="2"/>
    </w:p>
    <w:p w14:paraId="491A3C2B" w14:textId="21F19BB3" w:rsidR="00BD1CFD" w:rsidRPr="00BD1CFD" w:rsidRDefault="00E525EF" w:rsidP="00BD1CFD">
      <w:pPr>
        <w:spacing w:line="364" w:lineRule="auto"/>
        <w:ind w:right="339"/>
        <w:jc w:val="center"/>
        <w:rPr>
          <w:rFonts w:ascii="Arial"/>
          <w:b/>
          <w:spacing w:val="-8"/>
          <w:sz w:val="32"/>
          <w:szCs w:val="32"/>
        </w:rPr>
      </w:pPr>
      <w:hyperlink r:id="rId5" w:history="1">
        <w:r w:rsidRPr="003615AB">
          <w:rPr>
            <w:rStyle w:val="Hyperlink"/>
            <w:rFonts w:ascii="Arial"/>
            <w:b/>
            <w:spacing w:val="-11"/>
            <w:sz w:val="32"/>
            <w:szCs w:val="32"/>
          </w:rPr>
          <w:t>j.smith@uwtsd.ac.uk</w:t>
        </w:r>
      </w:hyperlink>
    </w:p>
    <w:p w14:paraId="76B1063D" w14:textId="47E18B05" w:rsidR="00152C3A" w:rsidRDefault="00152C3A" w:rsidP="00BD1CFD">
      <w:pPr>
        <w:jc w:val="center"/>
      </w:pPr>
    </w:p>
    <w:p w14:paraId="1E000581" w14:textId="77777777" w:rsidR="00BD1CFD" w:rsidRDefault="00BD1CFD" w:rsidP="00BD1CFD">
      <w:pPr>
        <w:jc w:val="center"/>
      </w:pPr>
    </w:p>
    <w:p w14:paraId="07A9A1DA" w14:textId="77777777" w:rsidR="00BD1CFD" w:rsidRDefault="00BD1CFD" w:rsidP="00BD1CFD">
      <w:pPr>
        <w:jc w:val="center"/>
      </w:pPr>
    </w:p>
    <w:p w14:paraId="18120217" w14:textId="4128B6C9" w:rsidR="00BD1CFD" w:rsidRPr="00E525EF" w:rsidRDefault="00E525EF" w:rsidP="00BD1CFD">
      <w:pPr>
        <w:jc w:val="center"/>
        <w:rPr>
          <w:rFonts w:ascii="Arial" w:hAnsi="Arial"/>
          <w:b/>
          <w:sz w:val="24"/>
        </w:rPr>
      </w:pPr>
      <w:r w:rsidRPr="00E525EF">
        <w:rPr>
          <w:rFonts w:ascii="Arial" w:hAnsi="Arial"/>
          <w:b/>
          <w:sz w:val="24"/>
        </w:rPr>
        <w:t>Word Count: 2040</w:t>
      </w:r>
    </w:p>
    <w:p w14:paraId="05666D25" w14:textId="77777777" w:rsidR="00BD1CFD" w:rsidRDefault="00BD1CFD" w:rsidP="00BD1CFD">
      <w:pPr>
        <w:jc w:val="center"/>
      </w:pPr>
    </w:p>
    <w:p w14:paraId="55520F52" w14:textId="77777777" w:rsidR="00BD1CFD" w:rsidRDefault="00BD1CFD" w:rsidP="00BD1CFD">
      <w:pPr>
        <w:jc w:val="center"/>
      </w:pPr>
    </w:p>
    <w:p w14:paraId="753DEA86" w14:textId="77777777" w:rsidR="00BD1CFD" w:rsidRDefault="00BD1CFD" w:rsidP="00BD1CFD">
      <w:pPr>
        <w:jc w:val="center"/>
      </w:pPr>
    </w:p>
    <w:p w14:paraId="36FA1FC0" w14:textId="77777777" w:rsidR="00BD1CFD" w:rsidRDefault="00BD1CFD" w:rsidP="00BD1CFD">
      <w:pPr>
        <w:jc w:val="center"/>
      </w:pPr>
    </w:p>
    <w:p w14:paraId="1AABB1D5" w14:textId="77777777" w:rsidR="00BD1CFD" w:rsidRDefault="00BD1CFD" w:rsidP="00BD1CFD">
      <w:pPr>
        <w:jc w:val="center"/>
      </w:pPr>
    </w:p>
    <w:p w14:paraId="5D93C83C" w14:textId="77777777" w:rsidR="00BD1CFD" w:rsidRDefault="00BD1CFD" w:rsidP="00BD1CFD">
      <w:pPr>
        <w:jc w:val="center"/>
      </w:pPr>
    </w:p>
    <w:p w14:paraId="7DF5E7A1" w14:textId="77777777" w:rsidR="00BD1CFD" w:rsidRDefault="00BD1CFD" w:rsidP="00BD1CFD">
      <w:pPr>
        <w:jc w:val="center"/>
      </w:pPr>
    </w:p>
    <w:p w14:paraId="460CAAF2" w14:textId="77777777" w:rsidR="00BD1CFD" w:rsidRDefault="00BD1CFD" w:rsidP="00BD1CFD">
      <w:pPr>
        <w:jc w:val="center"/>
      </w:pPr>
    </w:p>
    <w:p w14:paraId="75BFE0E9" w14:textId="77777777" w:rsidR="00BD1CFD" w:rsidRDefault="00BD1CFD" w:rsidP="00BD1CFD">
      <w:pPr>
        <w:jc w:val="center"/>
      </w:pPr>
    </w:p>
    <w:p w14:paraId="54E7F21D" w14:textId="77777777" w:rsidR="00BD1CFD" w:rsidRDefault="00BD1CFD" w:rsidP="00BD1CFD">
      <w:pPr>
        <w:jc w:val="center"/>
      </w:pPr>
    </w:p>
    <w:p w14:paraId="72654DDD" w14:textId="77777777" w:rsidR="00BD1CFD" w:rsidRDefault="00BD1CFD" w:rsidP="00BD1CFD">
      <w:pPr>
        <w:jc w:val="center"/>
      </w:pPr>
    </w:p>
    <w:p w14:paraId="620484BD" w14:textId="77777777" w:rsidR="00BD1CFD" w:rsidRDefault="00BD1CFD" w:rsidP="00BD1CFD">
      <w:pPr>
        <w:spacing w:line="360" w:lineRule="auto"/>
        <w:jc w:val="center"/>
        <w:rPr>
          <w:rFonts w:ascii="Arial" w:hAnsi="Arial" w:cs="Arial"/>
          <w:sz w:val="24"/>
          <w:szCs w:val="24"/>
        </w:rPr>
      </w:pPr>
    </w:p>
    <w:p w14:paraId="2CBC6290" w14:textId="77777777" w:rsidR="00BD1CFD" w:rsidRDefault="00BD1CFD" w:rsidP="00BD1CFD">
      <w:pPr>
        <w:spacing w:line="360" w:lineRule="auto"/>
        <w:jc w:val="center"/>
        <w:rPr>
          <w:rFonts w:ascii="Arial" w:hAnsi="Arial" w:cs="Arial"/>
          <w:sz w:val="24"/>
          <w:szCs w:val="24"/>
        </w:rPr>
      </w:pPr>
    </w:p>
    <w:p w14:paraId="5894AD7F" w14:textId="77777777" w:rsidR="00E525EF" w:rsidRDefault="00E525EF" w:rsidP="005062B5">
      <w:pPr>
        <w:spacing w:line="360" w:lineRule="auto"/>
        <w:rPr>
          <w:rFonts w:ascii="Arial" w:hAnsi="Arial" w:cs="Arial"/>
          <w:sz w:val="24"/>
          <w:szCs w:val="24"/>
          <w:lang w:val="en-GB"/>
        </w:rPr>
      </w:pPr>
    </w:p>
    <w:p w14:paraId="10E089B2" w14:textId="77777777" w:rsidR="00D41E61" w:rsidRDefault="00D41E61" w:rsidP="00D41E61">
      <w:pPr>
        <w:spacing w:before="41"/>
        <w:rPr>
          <w:b/>
          <w:spacing w:val="-2"/>
          <w:sz w:val="24"/>
        </w:rPr>
      </w:pPr>
      <w:r>
        <w:rPr>
          <w:b/>
          <w:sz w:val="24"/>
        </w:rPr>
        <w:t>Use</w:t>
      </w:r>
      <w:r>
        <w:rPr>
          <w:b/>
          <w:spacing w:val="-3"/>
          <w:sz w:val="24"/>
        </w:rPr>
        <w:t xml:space="preserve"> </w:t>
      </w:r>
      <w:r>
        <w:rPr>
          <w:b/>
          <w:sz w:val="24"/>
        </w:rPr>
        <w:t>of</w:t>
      </w:r>
      <w:r>
        <w:rPr>
          <w:b/>
          <w:spacing w:val="-1"/>
          <w:sz w:val="24"/>
        </w:rPr>
        <w:t xml:space="preserve"> </w:t>
      </w:r>
      <w:r>
        <w:rPr>
          <w:b/>
          <w:sz w:val="24"/>
        </w:rPr>
        <w:t>Generative</w:t>
      </w:r>
      <w:r>
        <w:rPr>
          <w:b/>
          <w:spacing w:val="-3"/>
          <w:sz w:val="24"/>
        </w:rPr>
        <w:t xml:space="preserve"> </w:t>
      </w:r>
      <w:r>
        <w:rPr>
          <w:b/>
          <w:sz w:val="24"/>
        </w:rPr>
        <w:t>AI</w:t>
      </w:r>
      <w:r>
        <w:rPr>
          <w:b/>
          <w:spacing w:val="-3"/>
          <w:sz w:val="24"/>
        </w:rPr>
        <w:t xml:space="preserve"> </w:t>
      </w:r>
      <w:r>
        <w:rPr>
          <w:b/>
          <w:sz w:val="24"/>
        </w:rPr>
        <w:t>in</w:t>
      </w:r>
      <w:r>
        <w:rPr>
          <w:b/>
          <w:spacing w:val="-5"/>
          <w:sz w:val="24"/>
        </w:rPr>
        <w:t xml:space="preserve"> </w:t>
      </w:r>
      <w:r>
        <w:rPr>
          <w:b/>
          <w:spacing w:val="-2"/>
          <w:sz w:val="24"/>
        </w:rPr>
        <w:t>Assessment</w:t>
      </w:r>
    </w:p>
    <w:p w14:paraId="058C7D62" w14:textId="77777777" w:rsidR="00431C6B" w:rsidRDefault="00431C6B" w:rsidP="00D41E61">
      <w:pPr>
        <w:spacing w:before="41"/>
        <w:rPr>
          <w:b/>
          <w:spacing w:val="-2"/>
          <w:sz w:val="24"/>
        </w:rPr>
      </w:pPr>
    </w:p>
    <w:p w14:paraId="5BA7E8CC" w14:textId="77777777" w:rsidR="00431C6B" w:rsidRDefault="00431C6B" w:rsidP="00D41E61">
      <w:pPr>
        <w:spacing w:before="41"/>
        <w:rPr>
          <w:b/>
          <w:spacing w:val="-2"/>
          <w:sz w:val="24"/>
        </w:rPr>
      </w:pPr>
    </w:p>
    <w:p w14:paraId="74269E38" w14:textId="77777777" w:rsidR="00431C6B" w:rsidRDefault="00431C6B" w:rsidP="00D41E61">
      <w:pPr>
        <w:spacing w:before="41"/>
        <w:rPr>
          <w:b/>
          <w:spacing w:val="-2"/>
          <w:sz w:val="24"/>
        </w:rPr>
      </w:pPr>
    </w:p>
    <w:p w14:paraId="32BA9102" w14:textId="37C5B078" w:rsidR="00431C6B" w:rsidRPr="00694B28" w:rsidRDefault="00431C6B" w:rsidP="00694B28">
      <w:pPr>
        <w:spacing w:before="2" w:line="259" w:lineRule="auto"/>
        <w:ind w:left="105"/>
        <w:rPr>
          <w:rFonts w:ascii="Arial" w:eastAsia="Arial MT" w:hAnsi="Arial" w:cs="Arial"/>
          <w:sz w:val="24"/>
          <w:szCs w:val="24"/>
        </w:rPr>
      </w:pPr>
      <w:r w:rsidRPr="00694B28">
        <w:rPr>
          <w:rFonts w:ascii="Arial" w:eastAsia="Arial MT" w:hAnsi="Arial" w:cs="Arial"/>
          <w:sz w:val="24"/>
          <w:szCs w:val="24"/>
        </w:rPr>
        <w:t>For</w:t>
      </w:r>
      <w:r w:rsidRPr="00694B28">
        <w:rPr>
          <w:rFonts w:ascii="Arial" w:eastAsia="Arial MT" w:hAnsi="Arial" w:cs="Arial"/>
          <w:spacing w:val="-5"/>
          <w:sz w:val="24"/>
          <w:szCs w:val="24"/>
        </w:rPr>
        <w:t xml:space="preserve"> </w:t>
      </w:r>
      <w:r w:rsidRPr="00694B28">
        <w:rPr>
          <w:rFonts w:ascii="Arial" w:eastAsia="Arial MT" w:hAnsi="Arial" w:cs="Arial"/>
          <w:sz w:val="24"/>
          <w:szCs w:val="24"/>
        </w:rPr>
        <w:t>this</w:t>
      </w:r>
      <w:r w:rsidRPr="00694B28">
        <w:rPr>
          <w:rFonts w:ascii="Arial" w:eastAsia="Arial MT" w:hAnsi="Arial" w:cs="Arial"/>
          <w:spacing w:val="-3"/>
          <w:sz w:val="24"/>
          <w:szCs w:val="24"/>
        </w:rPr>
        <w:t xml:space="preserve"> </w:t>
      </w:r>
      <w:r w:rsidRPr="00694B28">
        <w:rPr>
          <w:rFonts w:ascii="Arial" w:eastAsia="Arial MT" w:hAnsi="Arial" w:cs="Arial"/>
          <w:sz w:val="24"/>
          <w:szCs w:val="24"/>
        </w:rPr>
        <w:t>assessment,</w:t>
      </w:r>
      <w:r w:rsidRPr="00694B28">
        <w:rPr>
          <w:rFonts w:ascii="Arial" w:eastAsia="Arial MT" w:hAnsi="Arial" w:cs="Arial"/>
          <w:spacing w:val="-5"/>
          <w:sz w:val="24"/>
          <w:szCs w:val="24"/>
        </w:rPr>
        <w:t xml:space="preserve"> </w:t>
      </w:r>
      <w:r w:rsidRPr="00694B28">
        <w:rPr>
          <w:rFonts w:ascii="Arial" w:eastAsia="Arial MT" w:hAnsi="Arial" w:cs="Arial"/>
          <w:sz w:val="24"/>
          <w:szCs w:val="24"/>
        </w:rPr>
        <w:t>you</w:t>
      </w:r>
      <w:r w:rsidRPr="00694B28">
        <w:rPr>
          <w:rFonts w:ascii="Arial" w:eastAsia="Arial MT" w:hAnsi="Arial" w:cs="Arial"/>
          <w:spacing w:val="-6"/>
          <w:sz w:val="24"/>
          <w:szCs w:val="24"/>
        </w:rPr>
        <w:t xml:space="preserve"> </w:t>
      </w:r>
      <w:r w:rsidRPr="00694B28">
        <w:rPr>
          <w:rFonts w:ascii="Arial" w:eastAsia="Arial MT" w:hAnsi="Arial" w:cs="Arial"/>
          <w:sz w:val="24"/>
          <w:szCs w:val="24"/>
        </w:rPr>
        <w:t>I have used</w:t>
      </w:r>
      <w:r w:rsidR="00694B28" w:rsidRPr="00694B28">
        <w:rPr>
          <w:rFonts w:ascii="Arial" w:eastAsia="Arial MT" w:hAnsi="Arial" w:cs="Arial"/>
          <w:sz w:val="24"/>
          <w:szCs w:val="24"/>
        </w:rPr>
        <w:t xml:space="preserve"> ChatGPT to</w:t>
      </w:r>
      <w:r w:rsidRPr="00694B28">
        <w:rPr>
          <w:rFonts w:ascii="Arial" w:eastAsia="Arial MT" w:hAnsi="Arial" w:cs="Arial"/>
          <w:sz w:val="24"/>
          <w:szCs w:val="24"/>
        </w:rPr>
        <w:t xml:space="preserve"> </w:t>
      </w:r>
      <w:r w:rsidRPr="00694B28">
        <w:rPr>
          <w:rFonts w:ascii="Arial" w:eastAsia="Arial MT" w:hAnsi="Arial" w:cs="Arial"/>
          <w:sz w:val="24"/>
          <w:szCs w:val="24"/>
        </w:rPr>
        <w:t xml:space="preserve">support </w:t>
      </w:r>
      <w:r w:rsidRPr="00694B28">
        <w:rPr>
          <w:rFonts w:ascii="Arial" w:eastAsia="Arial MT" w:hAnsi="Arial" w:cs="Arial"/>
          <w:sz w:val="24"/>
          <w:szCs w:val="24"/>
        </w:rPr>
        <w:t>my</w:t>
      </w:r>
      <w:r w:rsidRPr="00694B28">
        <w:rPr>
          <w:rFonts w:ascii="Arial" w:eastAsia="Arial MT" w:hAnsi="Arial" w:cs="Arial"/>
          <w:sz w:val="24"/>
          <w:szCs w:val="24"/>
        </w:rPr>
        <w:t xml:space="preserve"> research, including searching for bibliography, using tools to summarise, compare</w:t>
      </w:r>
      <w:r w:rsidRPr="00694B28">
        <w:rPr>
          <w:rFonts w:ascii="Arial" w:eastAsia="Arial MT" w:hAnsi="Arial" w:cs="Arial"/>
          <w:sz w:val="24"/>
          <w:szCs w:val="24"/>
        </w:rPr>
        <w:t xml:space="preserve"> </w:t>
      </w:r>
      <w:r w:rsidRPr="00694B28">
        <w:rPr>
          <w:rFonts w:ascii="Arial" w:eastAsia="Arial MT" w:hAnsi="Arial" w:cs="Arial"/>
          <w:sz w:val="24"/>
          <w:szCs w:val="24"/>
        </w:rPr>
        <w:t>and</w:t>
      </w:r>
      <w:r w:rsidRPr="00694B28">
        <w:rPr>
          <w:rFonts w:ascii="Arial" w:eastAsia="Arial MT" w:hAnsi="Arial" w:cs="Arial"/>
          <w:spacing w:val="-6"/>
          <w:sz w:val="24"/>
          <w:szCs w:val="24"/>
        </w:rPr>
        <w:t xml:space="preserve"> </w:t>
      </w:r>
      <w:r w:rsidRPr="00694B28">
        <w:rPr>
          <w:rFonts w:ascii="Arial" w:eastAsia="Arial MT" w:hAnsi="Arial" w:cs="Arial"/>
          <w:sz w:val="24"/>
          <w:szCs w:val="24"/>
        </w:rPr>
        <w:t>interrogate</w:t>
      </w:r>
      <w:r w:rsidRPr="00694B28">
        <w:rPr>
          <w:rFonts w:ascii="Arial" w:eastAsia="Arial MT" w:hAnsi="Arial" w:cs="Arial"/>
          <w:spacing w:val="-6"/>
          <w:sz w:val="24"/>
          <w:szCs w:val="24"/>
        </w:rPr>
        <w:t xml:space="preserve"> </w:t>
      </w:r>
      <w:r w:rsidRPr="00694B28">
        <w:rPr>
          <w:rFonts w:ascii="Arial" w:eastAsia="Arial MT" w:hAnsi="Arial" w:cs="Arial"/>
          <w:spacing w:val="-2"/>
          <w:sz w:val="24"/>
          <w:szCs w:val="24"/>
        </w:rPr>
        <w:t>materials.</w:t>
      </w:r>
      <w:r w:rsidRPr="00694B28">
        <w:rPr>
          <w:rFonts w:ascii="Arial" w:eastAsia="Arial MT" w:hAnsi="Arial" w:cs="Arial"/>
          <w:spacing w:val="-2"/>
          <w:sz w:val="24"/>
          <w:szCs w:val="24"/>
        </w:rPr>
        <w:t xml:space="preserve"> </w:t>
      </w:r>
      <w:r w:rsidRPr="00694B28">
        <w:rPr>
          <w:rFonts w:ascii="Arial" w:eastAsia="Arial MT" w:hAnsi="Arial" w:cs="Arial"/>
          <w:sz w:val="24"/>
          <w:szCs w:val="24"/>
        </w:rPr>
        <w:t>Check text</w:t>
      </w:r>
      <w:r w:rsidRPr="00694B28">
        <w:rPr>
          <w:rFonts w:ascii="Arial" w:eastAsia="Arial MT" w:hAnsi="Arial" w:cs="Arial"/>
          <w:sz w:val="24"/>
          <w:szCs w:val="24"/>
        </w:rPr>
        <w:t xml:space="preserve">/creation for grammatical and syntactical mistakes, including rephrasing of </w:t>
      </w:r>
      <w:r w:rsidRPr="00694B28">
        <w:rPr>
          <w:rFonts w:ascii="Arial" w:eastAsia="Arial MT" w:hAnsi="Arial" w:cs="Arial"/>
          <w:sz w:val="24"/>
          <w:szCs w:val="24"/>
        </w:rPr>
        <w:t>my</w:t>
      </w:r>
      <w:r w:rsidR="00694B28">
        <w:rPr>
          <w:rFonts w:ascii="Arial" w:eastAsia="Arial MT" w:hAnsi="Arial" w:cs="Arial"/>
          <w:sz w:val="24"/>
          <w:szCs w:val="24"/>
        </w:rPr>
        <w:t xml:space="preserve"> </w:t>
      </w:r>
      <w:r w:rsidRPr="00694B28">
        <w:rPr>
          <w:rFonts w:ascii="Arial" w:eastAsia="Arial MT" w:hAnsi="Arial" w:cs="Arial"/>
          <w:sz w:val="24"/>
          <w:szCs w:val="24"/>
        </w:rPr>
        <w:t>own</w:t>
      </w:r>
      <w:r w:rsidRPr="00694B28">
        <w:rPr>
          <w:rFonts w:ascii="Arial" w:eastAsia="Arial MT" w:hAnsi="Arial" w:cs="Arial"/>
          <w:spacing w:val="-6"/>
          <w:sz w:val="24"/>
          <w:szCs w:val="24"/>
        </w:rPr>
        <w:t xml:space="preserve"> </w:t>
      </w:r>
      <w:r w:rsidRPr="00694B28">
        <w:rPr>
          <w:rFonts w:ascii="Arial" w:eastAsia="Arial MT" w:hAnsi="Arial" w:cs="Arial"/>
          <w:sz w:val="24"/>
          <w:szCs w:val="24"/>
        </w:rPr>
        <w:t>work</w:t>
      </w:r>
      <w:r w:rsidRPr="00694B28">
        <w:rPr>
          <w:rFonts w:ascii="Arial" w:eastAsia="Arial MT" w:hAnsi="Arial" w:cs="Arial"/>
          <w:spacing w:val="-4"/>
          <w:sz w:val="24"/>
          <w:szCs w:val="24"/>
        </w:rPr>
        <w:t xml:space="preserve"> </w:t>
      </w:r>
      <w:r w:rsidRPr="00694B28">
        <w:rPr>
          <w:rFonts w:ascii="Arial" w:eastAsia="Arial MT" w:hAnsi="Arial" w:cs="Arial"/>
          <w:sz w:val="24"/>
          <w:szCs w:val="24"/>
        </w:rPr>
        <w:t>within</w:t>
      </w:r>
      <w:r w:rsidRPr="00694B28">
        <w:rPr>
          <w:rFonts w:ascii="Arial" w:eastAsia="Arial MT" w:hAnsi="Arial" w:cs="Arial"/>
          <w:spacing w:val="-7"/>
          <w:sz w:val="24"/>
          <w:szCs w:val="24"/>
        </w:rPr>
        <w:t xml:space="preserve"> </w:t>
      </w:r>
      <w:r w:rsidRPr="00694B28">
        <w:rPr>
          <w:rFonts w:ascii="Arial" w:eastAsia="Arial MT" w:hAnsi="Arial" w:cs="Arial"/>
          <w:sz w:val="24"/>
          <w:szCs w:val="24"/>
        </w:rPr>
        <w:t>specific</w:t>
      </w:r>
      <w:r w:rsidRPr="00694B28">
        <w:rPr>
          <w:rFonts w:ascii="Arial" w:eastAsia="Arial MT" w:hAnsi="Arial" w:cs="Arial"/>
          <w:spacing w:val="-6"/>
          <w:sz w:val="24"/>
          <w:szCs w:val="24"/>
        </w:rPr>
        <w:t xml:space="preserve"> </w:t>
      </w:r>
      <w:r w:rsidRPr="00694B28">
        <w:rPr>
          <w:rFonts w:ascii="Arial" w:eastAsia="Arial MT" w:hAnsi="Arial" w:cs="Arial"/>
          <w:spacing w:val="-2"/>
          <w:sz w:val="24"/>
          <w:szCs w:val="24"/>
        </w:rPr>
        <w:t>standards.</w:t>
      </w:r>
    </w:p>
    <w:p w14:paraId="110F2B23" w14:textId="77777777" w:rsidR="00D41E61" w:rsidRDefault="00D41E61" w:rsidP="00D41E61">
      <w:pPr>
        <w:rPr>
          <w:sz w:val="24"/>
        </w:rPr>
      </w:pPr>
    </w:p>
    <w:p w14:paraId="1878EE44" w14:textId="77777777" w:rsidR="00E525EF" w:rsidRDefault="00E525EF" w:rsidP="005062B5">
      <w:pPr>
        <w:spacing w:line="360" w:lineRule="auto"/>
        <w:rPr>
          <w:rFonts w:ascii="Arial" w:hAnsi="Arial" w:cs="Arial"/>
          <w:sz w:val="24"/>
          <w:szCs w:val="24"/>
          <w:lang w:val="en-GB"/>
        </w:rPr>
      </w:pPr>
    </w:p>
    <w:p w14:paraId="6A5557D4" w14:textId="77777777" w:rsidR="00E525EF" w:rsidRDefault="00E525EF" w:rsidP="005062B5">
      <w:pPr>
        <w:spacing w:line="360" w:lineRule="auto"/>
        <w:rPr>
          <w:rFonts w:ascii="Arial" w:hAnsi="Arial" w:cs="Arial"/>
          <w:sz w:val="24"/>
          <w:szCs w:val="24"/>
          <w:lang w:val="en-GB"/>
        </w:rPr>
      </w:pPr>
    </w:p>
    <w:p w14:paraId="0277C833" w14:textId="77777777" w:rsidR="00E525EF" w:rsidRDefault="00E525EF" w:rsidP="005062B5">
      <w:pPr>
        <w:spacing w:line="360" w:lineRule="auto"/>
        <w:rPr>
          <w:rFonts w:ascii="Arial" w:hAnsi="Arial" w:cs="Arial"/>
          <w:sz w:val="24"/>
          <w:szCs w:val="24"/>
          <w:lang w:val="en-GB"/>
        </w:rPr>
      </w:pPr>
    </w:p>
    <w:p w14:paraId="0B4C4E07" w14:textId="77777777" w:rsidR="00E525EF" w:rsidRDefault="00E525EF" w:rsidP="005062B5">
      <w:pPr>
        <w:spacing w:line="360" w:lineRule="auto"/>
        <w:rPr>
          <w:rFonts w:ascii="Arial" w:hAnsi="Arial" w:cs="Arial"/>
          <w:sz w:val="24"/>
          <w:szCs w:val="24"/>
          <w:lang w:val="en-GB"/>
        </w:rPr>
      </w:pPr>
    </w:p>
    <w:p w14:paraId="5F2E3972" w14:textId="77777777" w:rsidR="00E525EF" w:rsidRDefault="00E525EF" w:rsidP="005062B5">
      <w:pPr>
        <w:spacing w:line="360" w:lineRule="auto"/>
        <w:rPr>
          <w:rFonts w:ascii="Arial" w:hAnsi="Arial" w:cs="Arial"/>
          <w:sz w:val="24"/>
          <w:szCs w:val="24"/>
          <w:lang w:val="en-GB"/>
        </w:rPr>
      </w:pPr>
    </w:p>
    <w:p w14:paraId="4A4E7216" w14:textId="77777777" w:rsidR="00E525EF" w:rsidRDefault="00E525EF" w:rsidP="005062B5">
      <w:pPr>
        <w:spacing w:line="360" w:lineRule="auto"/>
        <w:rPr>
          <w:rFonts w:ascii="Arial" w:hAnsi="Arial" w:cs="Arial"/>
          <w:sz w:val="24"/>
          <w:szCs w:val="24"/>
          <w:lang w:val="en-GB"/>
        </w:rPr>
      </w:pPr>
    </w:p>
    <w:p w14:paraId="2391E3D7" w14:textId="77777777" w:rsidR="00E525EF" w:rsidRDefault="00E525EF" w:rsidP="005062B5">
      <w:pPr>
        <w:spacing w:line="360" w:lineRule="auto"/>
        <w:rPr>
          <w:rFonts w:ascii="Arial" w:hAnsi="Arial" w:cs="Arial"/>
          <w:sz w:val="24"/>
          <w:szCs w:val="24"/>
          <w:lang w:val="en-GB"/>
        </w:rPr>
      </w:pPr>
    </w:p>
    <w:p w14:paraId="26E883BD" w14:textId="77777777" w:rsidR="00E525EF" w:rsidRDefault="00E525EF" w:rsidP="005062B5">
      <w:pPr>
        <w:spacing w:line="360" w:lineRule="auto"/>
        <w:rPr>
          <w:rFonts w:ascii="Arial" w:hAnsi="Arial" w:cs="Arial"/>
          <w:sz w:val="24"/>
          <w:szCs w:val="24"/>
          <w:lang w:val="en-GB"/>
        </w:rPr>
      </w:pPr>
    </w:p>
    <w:p w14:paraId="06088C84" w14:textId="77777777" w:rsidR="00E525EF" w:rsidRDefault="00E525EF" w:rsidP="005062B5">
      <w:pPr>
        <w:spacing w:line="360" w:lineRule="auto"/>
        <w:rPr>
          <w:rFonts w:ascii="Arial" w:hAnsi="Arial" w:cs="Arial"/>
          <w:sz w:val="24"/>
          <w:szCs w:val="24"/>
          <w:lang w:val="en-GB"/>
        </w:rPr>
      </w:pPr>
    </w:p>
    <w:p w14:paraId="46975BA5" w14:textId="77777777" w:rsidR="00E525EF" w:rsidRDefault="00E525EF" w:rsidP="005062B5">
      <w:pPr>
        <w:spacing w:line="360" w:lineRule="auto"/>
        <w:rPr>
          <w:rFonts w:ascii="Arial" w:hAnsi="Arial" w:cs="Arial"/>
          <w:sz w:val="24"/>
          <w:szCs w:val="24"/>
          <w:lang w:val="en-GB"/>
        </w:rPr>
      </w:pPr>
    </w:p>
    <w:p w14:paraId="1A63D2F2" w14:textId="77777777" w:rsidR="00E525EF" w:rsidRDefault="00E525EF" w:rsidP="005062B5">
      <w:pPr>
        <w:spacing w:line="360" w:lineRule="auto"/>
        <w:rPr>
          <w:rFonts w:ascii="Arial" w:hAnsi="Arial" w:cs="Arial"/>
          <w:sz w:val="24"/>
          <w:szCs w:val="24"/>
          <w:lang w:val="en-GB"/>
        </w:rPr>
      </w:pPr>
    </w:p>
    <w:p w14:paraId="59B44298" w14:textId="77777777" w:rsidR="00E525EF" w:rsidRDefault="00E525EF" w:rsidP="005062B5">
      <w:pPr>
        <w:spacing w:line="360" w:lineRule="auto"/>
        <w:rPr>
          <w:rFonts w:ascii="Arial" w:hAnsi="Arial" w:cs="Arial"/>
          <w:sz w:val="24"/>
          <w:szCs w:val="24"/>
          <w:lang w:val="en-GB"/>
        </w:rPr>
      </w:pPr>
    </w:p>
    <w:p w14:paraId="023116BD" w14:textId="77777777" w:rsidR="00E525EF" w:rsidRDefault="00E525EF" w:rsidP="005062B5">
      <w:pPr>
        <w:spacing w:line="360" w:lineRule="auto"/>
        <w:rPr>
          <w:rFonts w:ascii="Arial" w:hAnsi="Arial" w:cs="Arial"/>
          <w:sz w:val="24"/>
          <w:szCs w:val="24"/>
          <w:lang w:val="en-GB"/>
        </w:rPr>
      </w:pPr>
    </w:p>
    <w:p w14:paraId="13D280DE" w14:textId="77777777" w:rsidR="00E525EF" w:rsidRDefault="00E525EF" w:rsidP="005062B5">
      <w:pPr>
        <w:spacing w:line="360" w:lineRule="auto"/>
        <w:rPr>
          <w:rFonts w:ascii="Arial" w:hAnsi="Arial" w:cs="Arial"/>
          <w:sz w:val="24"/>
          <w:szCs w:val="24"/>
          <w:lang w:val="en-GB"/>
        </w:rPr>
      </w:pPr>
    </w:p>
    <w:p w14:paraId="49D92D14" w14:textId="77777777" w:rsidR="00E525EF" w:rsidRDefault="00E525EF" w:rsidP="005062B5">
      <w:pPr>
        <w:spacing w:line="360" w:lineRule="auto"/>
        <w:rPr>
          <w:rFonts w:ascii="Arial" w:hAnsi="Arial" w:cs="Arial"/>
          <w:sz w:val="24"/>
          <w:szCs w:val="24"/>
          <w:lang w:val="en-GB"/>
        </w:rPr>
      </w:pPr>
    </w:p>
    <w:p w14:paraId="37B4FB1E" w14:textId="77777777" w:rsidR="00E525EF" w:rsidRDefault="00E525EF" w:rsidP="005062B5">
      <w:pPr>
        <w:spacing w:line="360" w:lineRule="auto"/>
        <w:rPr>
          <w:rFonts w:ascii="Arial" w:hAnsi="Arial" w:cs="Arial"/>
          <w:sz w:val="24"/>
          <w:szCs w:val="24"/>
          <w:lang w:val="en-GB"/>
        </w:rPr>
      </w:pPr>
    </w:p>
    <w:p w14:paraId="2E33C188" w14:textId="77777777" w:rsidR="00431C6B" w:rsidRDefault="00431C6B" w:rsidP="005062B5">
      <w:pPr>
        <w:spacing w:line="360" w:lineRule="auto"/>
        <w:rPr>
          <w:rFonts w:ascii="Arial" w:hAnsi="Arial" w:cs="Arial"/>
          <w:sz w:val="24"/>
          <w:szCs w:val="24"/>
          <w:lang w:val="en-GB"/>
        </w:rPr>
      </w:pPr>
    </w:p>
    <w:p w14:paraId="5F2444E7" w14:textId="77777777" w:rsidR="00431C6B" w:rsidRDefault="00431C6B" w:rsidP="005062B5">
      <w:pPr>
        <w:spacing w:line="360" w:lineRule="auto"/>
        <w:rPr>
          <w:rFonts w:ascii="Arial" w:hAnsi="Arial" w:cs="Arial"/>
          <w:sz w:val="24"/>
          <w:szCs w:val="24"/>
          <w:lang w:val="en-GB"/>
        </w:rPr>
      </w:pPr>
    </w:p>
    <w:p w14:paraId="40181C9C" w14:textId="77777777" w:rsidR="00431C6B" w:rsidRDefault="00431C6B" w:rsidP="005062B5">
      <w:pPr>
        <w:spacing w:line="360" w:lineRule="auto"/>
        <w:rPr>
          <w:rFonts w:ascii="Arial" w:hAnsi="Arial" w:cs="Arial"/>
          <w:sz w:val="24"/>
          <w:szCs w:val="24"/>
          <w:lang w:val="en-GB"/>
        </w:rPr>
      </w:pPr>
    </w:p>
    <w:p w14:paraId="5B5D02D0" w14:textId="77777777" w:rsidR="00431C6B" w:rsidRDefault="00431C6B" w:rsidP="005062B5">
      <w:pPr>
        <w:spacing w:line="360" w:lineRule="auto"/>
        <w:rPr>
          <w:rFonts w:ascii="Arial" w:hAnsi="Arial" w:cs="Arial"/>
          <w:sz w:val="24"/>
          <w:szCs w:val="24"/>
          <w:lang w:val="en-GB"/>
        </w:rPr>
      </w:pPr>
    </w:p>
    <w:p w14:paraId="68F69177" w14:textId="77777777" w:rsidR="00431C6B" w:rsidRDefault="00431C6B" w:rsidP="005062B5">
      <w:pPr>
        <w:spacing w:line="360" w:lineRule="auto"/>
        <w:rPr>
          <w:rFonts w:ascii="Arial" w:hAnsi="Arial" w:cs="Arial"/>
          <w:sz w:val="24"/>
          <w:szCs w:val="24"/>
          <w:lang w:val="en-GB"/>
        </w:rPr>
      </w:pPr>
    </w:p>
    <w:p w14:paraId="27D08DD0" w14:textId="77777777" w:rsidR="00431C6B" w:rsidRDefault="00431C6B" w:rsidP="005062B5">
      <w:pPr>
        <w:spacing w:line="360" w:lineRule="auto"/>
        <w:rPr>
          <w:rFonts w:ascii="Arial" w:hAnsi="Arial" w:cs="Arial"/>
          <w:sz w:val="24"/>
          <w:szCs w:val="24"/>
          <w:lang w:val="en-GB"/>
        </w:rPr>
      </w:pPr>
    </w:p>
    <w:p w14:paraId="6D516DE3" w14:textId="77777777" w:rsidR="00431C6B" w:rsidRDefault="00431C6B" w:rsidP="005062B5">
      <w:pPr>
        <w:spacing w:line="360" w:lineRule="auto"/>
        <w:rPr>
          <w:rFonts w:ascii="Arial" w:hAnsi="Arial" w:cs="Arial"/>
          <w:sz w:val="24"/>
          <w:szCs w:val="24"/>
          <w:lang w:val="en-GB"/>
        </w:rPr>
      </w:pPr>
    </w:p>
    <w:p w14:paraId="36B6EEDC" w14:textId="77777777" w:rsidR="00431C6B" w:rsidRDefault="00431C6B" w:rsidP="005062B5">
      <w:pPr>
        <w:spacing w:line="360" w:lineRule="auto"/>
        <w:rPr>
          <w:rFonts w:ascii="Arial" w:hAnsi="Arial" w:cs="Arial"/>
          <w:sz w:val="24"/>
          <w:szCs w:val="24"/>
          <w:lang w:val="en-GB"/>
        </w:rPr>
      </w:pPr>
    </w:p>
    <w:p w14:paraId="59746051" w14:textId="77777777" w:rsidR="00431C6B" w:rsidRDefault="00431C6B" w:rsidP="005062B5">
      <w:pPr>
        <w:spacing w:line="360" w:lineRule="auto"/>
        <w:rPr>
          <w:rFonts w:ascii="Arial" w:hAnsi="Arial" w:cs="Arial"/>
          <w:sz w:val="24"/>
          <w:szCs w:val="24"/>
          <w:lang w:val="en-GB"/>
        </w:rPr>
      </w:pPr>
    </w:p>
    <w:p w14:paraId="731A474A" w14:textId="77777777" w:rsidR="00431C6B" w:rsidRDefault="00431C6B" w:rsidP="005062B5">
      <w:pPr>
        <w:spacing w:line="360" w:lineRule="auto"/>
        <w:rPr>
          <w:rFonts w:ascii="Arial" w:hAnsi="Arial" w:cs="Arial"/>
          <w:sz w:val="24"/>
          <w:szCs w:val="24"/>
          <w:lang w:val="en-GB"/>
        </w:rPr>
      </w:pPr>
    </w:p>
    <w:p w14:paraId="4F56696E" w14:textId="31843368" w:rsidR="00FA7641" w:rsidRDefault="00FA7641" w:rsidP="005062B5">
      <w:pPr>
        <w:spacing w:line="360" w:lineRule="auto"/>
        <w:rPr>
          <w:rFonts w:ascii="Arial" w:hAnsi="Arial" w:cs="Arial"/>
          <w:sz w:val="24"/>
          <w:szCs w:val="24"/>
          <w:lang w:val="en-GB"/>
        </w:rPr>
      </w:pPr>
      <w:r w:rsidRPr="00FA7641">
        <w:rPr>
          <w:rFonts w:ascii="Arial" w:hAnsi="Arial" w:cs="Arial"/>
          <w:sz w:val="24"/>
          <w:szCs w:val="24"/>
          <w:lang w:val="en-GB"/>
        </w:rPr>
        <w:lastRenderedPageBreak/>
        <w:t>The hospitality industry is undergoing a significant transformation as Generation Z (Gen Z), the cohort born between 1997 and 2012, enters the workforce. Unlike previous generations, Gen Z brings unique characteristics, preferences, and expectations to the workplace, forcing organisations to rethink their employee engagement strategies. Engaging Gen Z employees throughout the employee life cycle is critical for the success of restaurants, which often face high turnover rates and labour shortages. This essay explores the role of human resources (HR) in engaging Gen Z employees, examines their defining characteristics, and suggests strategies for engagement at each stage of the employee life cycle. By incorporating an employee engagement model and real-life examples, this essay highlights the importance of tailored approaches to attract, retain, and develop Gen Z talent in the hospitality sector.</w:t>
      </w:r>
    </w:p>
    <w:p w14:paraId="6A68657D" w14:textId="0E9C9D71"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This generation, characterised by its digital nativity, desire for purpose, and preference for work-life balance, challenges traditional human resource (HR) practices. </w:t>
      </w:r>
      <w:r w:rsidR="00B60D89" w:rsidRPr="00B60D89">
        <w:rPr>
          <w:rFonts w:ascii="Arial" w:hAnsi="Arial" w:cs="Arial"/>
          <w:sz w:val="24"/>
          <w:szCs w:val="24"/>
          <w:lang w:val="en-GB"/>
        </w:rPr>
        <w:t>HR practices play a crucial role in shaping employee experiences and organisational culture. Marchington and Wilkinson (2016) argue that employee engagement is closely linked to the quality of HR practices, such as fair treatment, opportunities for development, and open communication.</w:t>
      </w:r>
      <w:r w:rsidR="00B60D89">
        <w:rPr>
          <w:rFonts w:ascii="Arial" w:hAnsi="Arial" w:cs="Arial"/>
          <w:sz w:val="24"/>
          <w:szCs w:val="24"/>
          <w:lang w:val="en-GB"/>
        </w:rPr>
        <w:t xml:space="preserve"> </w:t>
      </w:r>
      <w:r w:rsidRPr="005062B5">
        <w:rPr>
          <w:rFonts w:ascii="Arial" w:hAnsi="Arial" w:cs="Arial"/>
          <w:sz w:val="24"/>
          <w:szCs w:val="24"/>
          <w:lang w:val="en-GB"/>
        </w:rPr>
        <w:t xml:space="preserve">Engaging Generation Z employees throughout the employee lifecycle is critical for restaurants to attract, retain, and develop talent in a competitive market. Human resource management (HRM) plays a pivotal role in fostering employee engagement, particularly in the hospitality industry, where high turnover rates and labour shortages are prevalent. According to Armstrong and Taylor (2020), HRM is responsible for aligning organisational goals with employee needs, ensuring that employees feel valued and motivated. For example, companies like Starbucks have successfully aligned their organisational goals with employee needs by offering flexible work schedules and mental health support, which have been instrumental in retaining young employees (Ford and Sturman, 2020). In the context of Generation Z, HR must adapt its strategies to address this generation’s unique expectations, such as meaningful work, career development opportunities, and a supportive workplace culture. Engagement begins with understanding what motivates employees. The Utrecht University definition of engagement emphasises three key components: vigour (energy and resilience), dedication (enthusiasm and pride), and absorption (concentration and immersion in work) (CIPD, 2021). For Generation Z, these </w:t>
      </w:r>
      <w:r w:rsidRPr="005062B5">
        <w:rPr>
          <w:rFonts w:ascii="Arial" w:hAnsi="Arial" w:cs="Arial"/>
          <w:sz w:val="24"/>
          <w:szCs w:val="24"/>
          <w:lang w:val="en-GB"/>
        </w:rPr>
        <w:lastRenderedPageBreak/>
        <w:t>elements are closely tied to their desire for purpose and personal growth. HR must, therefore, create an environment that fosters these qualities through tailored engagement strategies.</w:t>
      </w:r>
    </w:p>
    <w:p w14:paraId="420A5E14" w14:textId="4EDAACD6"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Generation Z is the first generation to grow up entirely in the digital age, making them highly tech-savvy and reliant on technology for communication and learning (Ford and Sturman, 2020). They value transparency, diversity, and inclusion, and are more likely to seek employers who align with their personal values. Unlike previous generations, Generation Z prioritises work-life balance and mental well-being, often favouring flexible work arrangements over traditional 9-to-5 schedules (Torrington et al., 2020). In the restaurant industry, these characteristics present both challenges and opportunities. </w:t>
      </w:r>
      <w:r w:rsidR="003C6C0F" w:rsidRPr="003C6C0F">
        <w:rPr>
          <w:rFonts w:ascii="Arial" w:hAnsi="Arial" w:cs="Arial"/>
          <w:sz w:val="24"/>
          <w:szCs w:val="24"/>
          <w:lang w:val="en-GB"/>
        </w:rPr>
        <w:t>The role of HR in fostering employee engagement is critical, particularly in industries like hospitality, where turnover rates are high. According to Murton, Inman, and O’Sullivan (2010), effective HR practices involve creating a supportive work environment that aligns with employee needs and organisational goals. For example, restaurants like Pret A Manger have implemented HR strategies that focus on employee well-being and career development, which have been instrumental in reducing turnover and improving engagement (Murton, Inman, and O’Sullivan, 2010). By prioritising employee satisfaction and growth, HR can create a motivated and productive workforce.</w:t>
      </w:r>
      <w:r w:rsidRPr="005062B5">
        <w:rPr>
          <w:rFonts w:ascii="Arial" w:hAnsi="Arial" w:cs="Arial"/>
          <w:sz w:val="24"/>
          <w:szCs w:val="24"/>
          <w:lang w:val="en-GB"/>
        </w:rPr>
        <w:t xml:space="preserve"> These initiatives have not only improved employee satisfaction but also reduced turnover rates.</w:t>
      </w:r>
    </w:p>
    <w:p w14:paraId="22C7EDCC" w14:textId="21F23D7F"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Engaging Generation Z employees offers numerous advantages, including increased productivity, reduced turnover, and enhanced workplace morale. To achieve this, HR must adopt strategies that resonate with this generation’s values and preferences. For example, offering opportunities for skill development and career progression can boost motivation and loyalty. Additionally, fostering a culture of recognition and appreciation can enhance job satisfaction. According to Gallup (2020), engaged teams are 21% more productive and 59% less likely to leave their jobs. These statistics highlight the importance of investing in employee engagement initiatives. </w:t>
      </w:r>
      <w:r w:rsidR="00B60D89" w:rsidRPr="00B60D89">
        <w:rPr>
          <w:rFonts w:ascii="Arial" w:hAnsi="Arial" w:cs="Arial"/>
          <w:sz w:val="24"/>
          <w:szCs w:val="24"/>
        </w:rPr>
        <w:t>The hospitality industry relies heavily on efficient service operations to meet customer expectations and maintain competitiveness. According to Johnston, Clark, and Shulver (2012), effective service operations management involves aligning employee roles with organisational goals to ensure seamless service delivery.</w:t>
      </w:r>
    </w:p>
    <w:p w14:paraId="17A133FD" w14:textId="77777777" w:rsidR="00B60D89" w:rsidRDefault="00B60D89" w:rsidP="005062B5">
      <w:pPr>
        <w:spacing w:line="360" w:lineRule="auto"/>
        <w:rPr>
          <w:rFonts w:ascii="Arial" w:hAnsi="Arial" w:cs="Arial"/>
          <w:sz w:val="24"/>
          <w:szCs w:val="24"/>
          <w:lang w:val="en-GB"/>
        </w:rPr>
      </w:pPr>
    </w:p>
    <w:p w14:paraId="6AFA7E5A" w14:textId="2C5D7012" w:rsidR="005062B5" w:rsidRPr="005062B5" w:rsidRDefault="005E5EA7" w:rsidP="005062B5">
      <w:pPr>
        <w:spacing w:line="360" w:lineRule="auto"/>
        <w:rPr>
          <w:rFonts w:ascii="Arial" w:hAnsi="Arial" w:cs="Arial"/>
          <w:sz w:val="24"/>
          <w:szCs w:val="24"/>
          <w:lang w:val="en-GB"/>
        </w:rPr>
      </w:pPr>
      <w:r w:rsidRPr="005E5EA7">
        <w:rPr>
          <w:rFonts w:ascii="Arial" w:hAnsi="Arial" w:cs="Arial"/>
          <w:sz w:val="24"/>
          <w:szCs w:val="24"/>
          <w:lang w:val="en-GB"/>
        </w:rPr>
        <w:t xml:space="preserve">The employee life cycle encompasses six stages: attraction, recruitment, </w:t>
      </w:r>
      <w:r w:rsidRPr="005E5EA7">
        <w:rPr>
          <w:rFonts w:ascii="Arial" w:hAnsi="Arial" w:cs="Arial"/>
          <w:sz w:val="24"/>
          <w:szCs w:val="24"/>
          <w:lang w:val="en-GB"/>
        </w:rPr>
        <w:lastRenderedPageBreak/>
        <w:t>onboarding, development, retention, and separation. Each stage presents unique opportunities to engage Gen Z employees. To attract Gen Z talent, restaurants must leverage digital platforms such as social media, job boards, and company websites. Gen Z is more likely to engage with employers who have a strong online presence and showcase their workplace culture through videos, testimonials, and interactive content.</w:t>
      </w:r>
      <w:r>
        <w:rPr>
          <w:rFonts w:ascii="Arial" w:hAnsi="Arial" w:cs="Arial"/>
          <w:sz w:val="24"/>
          <w:szCs w:val="24"/>
          <w:lang w:val="en-GB"/>
        </w:rPr>
        <w:t xml:space="preserve"> </w:t>
      </w:r>
      <w:r w:rsidR="005062B5" w:rsidRPr="005062B5">
        <w:rPr>
          <w:rFonts w:ascii="Arial" w:hAnsi="Arial" w:cs="Arial"/>
          <w:sz w:val="24"/>
          <w:szCs w:val="24"/>
          <w:lang w:val="en-GB"/>
        </w:rPr>
        <w:t xml:space="preserve">The employee lifecycle begins with attraction, where HR must market the organisation as an employer of choice. For Generation Z, this involves showcasing the company’s values, culture, and commitment to diversity and inclusion. Social media platforms like LinkedIn, Instagram, and TikTok are effective tools for reaching this demographic. For example, restaurants like Nando’s have successfully used social media to highlight their vibrant workplace culture and employee benefits, attracting young talent (Brown, 2019). Additionally, employer branding initiatives, such as showcasing employee testimonials and behind-the-scenes content, can create a compelling narrative that resonates with Generation Z. </w:t>
      </w:r>
    </w:p>
    <w:p w14:paraId="26CE3B55" w14:textId="77777777"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Recruitment is a critical stage where HR must ensure that the selection process aligns with Generation Z’s expectations. This generation values transparency and feedback, so providing clear job descriptions and timely communication during the recruitment process is essential. Incorporating technology, such as video interviews and AI-driven applicant tracking systems, can streamline the process and appeal to tech-savvy candidates (Torrington et al., 2020). For instance, companies like McDonald’s have adopted gamified recruitment processes, where candidates complete interactive challenges to demonstrate their skills (Solomon, 2018). This approach not only engages candidates but also provides valuable insights into their abilities. Additionally, providing timely feedback to candidates, even if they are not selected, can enhance their perception of the company and encourage them to apply for future opportunities.</w:t>
      </w:r>
    </w:p>
    <w:p w14:paraId="50C6F070" w14:textId="3E3FB53B"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Effective onboarding sets the tone for an employee’s experience. For Generation Z, this involves a combination of digital and interpersonal elements. E-learning modules can provide essential training, while mentorship programmes and team-building activities help new hires integrate into the workplace culture. For example, </w:t>
      </w:r>
      <w:r w:rsidR="000B459F" w:rsidRPr="000B459F">
        <w:rPr>
          <w:rFonts w:ascii="Arial" w:hAnsi="Arial" w:cs="Arial"/>
          <w:sz w:val="24"/>
          <w:szCs w:val="24"/>
          <w:lang w:val="en-GB"/>
        </w:rPr>
        <w:t xml:space="preserve">for instance, McDonald’s has implemented a global employee advocacy programme called “McFamily,” where employees share their positive experiences working at the company on social media platforms like Instagram and LinkedIn. This initiative not only enhances the company’s employer brand but also attracts young talent by </w:t>
      </w:r>
      <w:r w:rsidR="000B459F" w:rsidRPr="000B459F">
        <w:rPr>
          <w:rFonts w:ascii="Arial" w:hAnsi="Arial" w:cs="Arial"/>
          <w:sz w:val="24"/>
          <w:szCs w:val="24"/>
          <w:lang w:val="en-GB"/>
        </w:rPr>
        <w:lastRenderedPageBreak/>
        <w:t xml:space="preserve">showcasing an authentic and inclusive workplace culture </w:t>
      </w:r>
      <w:bookmarkStart w:id="3" w:name="_Hlk192219974"/>
      <w:r w:rsidR="000B459F" w:rsidRPr="000B459F">
        <w:rPr>
          <w:rFonts w:ascii="Arial" w:hAnsi="Arial" w:cs="Arial"/>
          <w:sz w:val="24"/>
          <w:szCs w:val="24"/>
          <w:lang w:val="en-GB"/>
        </w:rPr>
        <w:t>(McDonald’s Corporation, 20</w:t>
      </w:r>
      <w:r w:rsidR="000B459F">
        <w:rPr>
          <w:rFonts w:ascii="Arial" w:hAnsi="Arial" w:cs="Arial"/>
          <w:sz w:val="24"/>
          <w:szCs w:val="24"/>
          <w:lang w:val="en-GB"/>
        </w:rPr>
        <w:t>19</w:t>
      </w:r>
      <w:r w:rsidR="000B459F" w:rsidRPr="000B459F">
        <w:rPr>
          <w:rFonts w:ascii="Arial" w:hAnsi="Arial" w:cs="Arial"/>
          <w:sz w:val="24"/>
          <w:szCs w:val="24"/>
          <w:lang w:val="en-GB"/>
        </w:rPr>
        <w:t>)</w:t>
      </w:r>
      <w:bookmarkEnd w:id="3"/>
      <w:r w:rsidR="000B459F" w:rsidRPr="000B459F">
        <w:rPr>
          <w:rFonts w:ascii="Arial" w:hAnsi="Arial" w:cs="Arial"/>
          <w:sz w:val="24"/>
          <w:szCs w:val="24"/>
          <w:lang w:val="en-GB"/>
        </w:rPr>
        <w:t>. By encouraging employees to become brand ambassadors, McDonald’s has successfully engaged Generation Z and strengthened its reputation as an employer of choice</w:t>
      </w:r>
      <w:r w:rsidRPr="005062B5">
        <w:rPr>
          <w:rFonts w:ascii="Arial" w:hAnsi="Arial" w:cs="Arial"/>
          <w:sz w:val="24"/>
          <w:szCs w:val="24"/>
          <w:lang w:val="en-GB"/>
        </w:rPr>
        <w:t xml:space="preserve">. Additionally, providing a structured onboarding plan that outlines expectations, goals, and support resources can help new hires feel confident and prepared. </w:t>
      </w:r>
      <w:r w:rsidR="00AD7394" w:rsidRPr="00AD7394">
        <w:rPr>
          <w:rFonts w:ascii="Arial" w:hAnsi="Arial" w:cs="Arial"/>
          <w:sz w:val="24"/>
          <w:szCs w:val="24"/>
          <w:lang w:val="en-GB"/>
        </w:rPr>
        <w:t>Effective onboarding is crucial for integrating new hires into the workplace, especially for Generation Z, who value clear communication and opportunities for growth. According to Jeske and Olson (2021), onboarding should be viewed as a mutual learning opportunity, where both the organisation and the new employee benefit from shared knowledge and experiences. For example, companies like Pret A Manger have adopted a buddy system, where new hires are paired with experienced employees to facilitate knowledge exchange and build relationships (Jeske and Olson, 2021). This approach not only accelerates the onboarding process but also fosters a sense of belonging and engagement among new employees.</w:t>
      </w:r>
      <w:r w:rsidRPr="005062B5">
        <w:rPr>
          <w:rFonts w:ascii="Arial" w:hAnsi="Arial" w:cs="Arial"/>
          <w:sz w:val="24"/>
          <w:szCs w:val="24"/>
          <w:lang w:val="en-GB"/>
        </w:rPr>
        <w:t xml:space="preserve"> This approach has been highly effective in helping new employees adapt to their roles and feel valued from the start.</w:t>
      </w:r>
    </w:p>
    <w:p w14:paraId="480C996C" w14:textId="77777777" w:rsidR="00602CA8" w:rsidRDefault="00602CA8" w:rsidP="005062B5">
      <w:pPr>
        <w:spacing w:line="360" w:lineRule="auto"/>
        <w:rPr>
          <w:rFonts w:ascii="Arial" w:hAnsi="Arial" w:cs="Arial"/>
          <w:sz w:val="24"/>
          <w:szCs w:val="24"/>
          <w:lang w:val="en-GB"/>
        </w:rPr>
      </w:pPr>
    </w:p>
    <w:p w14:paraId="7B02DA3E" w14:textId="4858538C"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Development is another crucial stage, as Generation Z values continuous learning and career growth. HR must provide opportunities for skill development, such as training programmes, workshops, and certifications. Implementing a 360-degree feedback system can help employees identify areas for improvement and track their progress (Armstrong and Taylor, 2020). </w:t>
      </w:r>
      <w:r w:rsidR="00602CA8" w:rsidRPr="00602CA8">
        <w:rPr>
          <w:rFonts w:ascii="Arial" w:hAnsi="Arial" w:cs="Arial"/>
          <w:sz w:val="24"/>
          <w:szCs w:val="24"/>
          <w:lang w:val="en-GB"/>
        </w:rPr>
        <w:t xml:space="preserve">Engaging Generation Z employees requires innovative approaches that resonate with their digital-first mindset. According to a video by YouTube (2023), companies can leverage digital platforms to create engaging content that showcases their workplace culture and values. </w:t>
      </w:r>
      <w:r w:rsidRPr="005062B5">
        <w:rPr>
          <w:rFonts w:ascii="Arial" w:hAnsi="Arial" w:cs="Arial"/>
          <w:sz w:val="24"/>
          <w:szCs w:val="24"/>
          <w:lang w:val="en-GB"/>
        </w:rPr>
        <w:t xml:space="preserve"> Additionally, offering access to online learning platforms, such as LinkedIn Learning, can empower employees to take control of their professional development. </w:t>
      </w:r>
    </w:p>
    <w:p w14:paraId="4A944785" w14:textId="77777777" w:rsidR="00602CA8" w:rsidRDefault="00602CA8" w:rsidP="005062B5">
      <w:pPr>
        <w:spacing w:line="360" w:lineRule="auto"/>
        <w:rPr>
          <w:rFonts w:ascii="Arial" w:hAnsi="Arial" w:cs="Arial"/>
          <w:sz w:val="24"/>
          <w:szCs w:val="24"/>
          <w:lang w:val="en-GB"/>
        </w:rPr>
      </w:pPr>
    </w:p>
    <w:p w14:paraId="377B6965" w14:textId="2666A352"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Retention strategies must address Generation Z’s desire for purpose and work-life balance.</w:t>
      </w:r>
      <w:r w:rsidR="00D6111D">
        <w:rPr>
          <w:rFonts w:ascii="Arial" w:hAnsi="Arial" w:cs="Arial"/>
          <w:sz w:val="24"/>
          <w:szCs w:val="24"/>
          <w:lang w:val="en-GB"/>
        </w:rPr>
        <w:t xml:space="preserve"> </w:t>
      </w:r>
      <w:r w:rsidR="00D6111D" w:rsidRPr="00D6111D">
        <w:rPr>
          <w:rFonts w:ascii="Arial" w:hAnsi="Arial" w:cs="Arial"/>
          <w:sz w:val="24"/>
          <w:szCs w:val="24"/>
          <w:lang w:val="en-GB"/>
        </w:rPr>
        <w:t xml:space="preserve">Starbucks has set a benchmark in employee development by offering its employees access to higher education through the Starbucks College Achievement Plan. This initiative, in partnership with Arizona State University, allows employees to earn a degree online with full tuition coverage (Starbucks, 2023). Such programmes not only enhance employee skills but also demonstrate the company’s commitment </w:t>
      </w:r>
      <w:r w:rsidR="00D6111D" w:rsidRPr="00D6111D">
        <w:rPr>
          <w:rFonts w:ascii="Arial" w:hAnsi="Arial" w:cs="Arial"/>
          <w:sz w:val="24"/>
          <w:szCs w:val="24"/>
          <w:lang w:val="en-GB"/>
        </w:rPr>
        <w:lastRenderedPageBreak/>
        <w:t>to supporting the personal and professional growth of its workforce. This is particularly appealing to Generation Z, who value opportunities for continuous learning and career advancement.</w:t>
      </w:r>
      <w:r w:rsidRPr="005062B5">
        <w:rPr>
          <w:rFonts w:ascii="Arial" w:hAnsi="Arial" w:cs="Arial"/>
          <w:sz w:val="24"/>
          <w:szCs w:val="24"/>
          <w:lang w:val="en-GB"/>
        </w:rPr>
        <w:t xml:space="preserve"> Regular performance reviews, recognition programmes, and flexible work arrangements can enhance job satisfaction and reduce turnover. For instance, Starbucks offers flexible scheduling and mental health support, which have been instrumental in retaining young employees (Ford and Sturman, 2020). Additionally, creating a culture of open communication, where employees feel comfortable sharing their concerns and ideas, can foster a sense of belonging and loyalty. For example, The Ivy Collection has implemented a “Voice of the Employee” programme, where employees can share their feedback and suggestions directly with senior management (Solomon, 2018). This initiative has not only improved employee engagement but also led to several operational improvements.</w:t>
      </w:r>
      <w:r w:rsidR="0069496D">
        <w:rPr>
          <w:rFonts w:ascii="Arial" w:hAnsi="Arial" w:cs="Arial"/>
          <w:sz w:val="24"/>
          <w:szCs w:val="24"/>
          <w:lang w:val="en-GB"/>
        </w:rPr>
        <w:t xml:space="preserve"> </w:t>
      </w:r>
      <w:r w:rsidR="0069496D" w:rsidRPr="0069496D">
        <w:rPr>
          <w:rFonts w:ascii="Arial" w:hAnsi="Arial" w:cs="Arial"/>
          <w:sz w:val="24"/>
          <w:szCs w:val="24"/>
          <w:lang w:val="en-GB"/>
        </w:rPr>
        <w:t>The COVID-19 pandemic has further highlighted the importance of addressing employee stress, with studies showing that hospitality workers experienced heightened levels of anxiety and burnout during this period (Wong et al., 2021). Therefore, HR must prioritise mental health initiatives to support employees in overcoming these challenges.</w:t>
      </w:r>
    </w:p>
    <w:p w14:paraId="5634182A" w14:textId="77777777" w:rsidR="00602CA8" w:rsidRDefault="00602CA8" w:rsidP="005062B5">
      <w:pPr>
        <w:spacing w:line="360" w:lineRule="auto"/>
        <w:rPr>
          <w:rFonts w:ascii="Arial" w:hAnsi="Arial" w:cs="Arial"/>
          <w:sz w:val="24"/>
          <w:szCs w:val="24"/>
          <w:lang w:val="en-GB"/>
        </w:rPr>
      </w:pPr>
    </w:p>
    <w:p w14:paraId="14871EB0" w14:textId="3588A524"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Even when employees leave, HR can maintain a positive relationship by conducting exit interviews and offering support for their future endeavours. This not only provides valuable feedback for improving engagement strategies but also turns former employees into brand advocates. For example, companies like Google offer alumni networks, where former employees can stay connected and access career resources (Gallup, 2020). This approach ensures that the relationship with the organisation continues beyond employment. Additionally, providing constructive feedback and career guidance during exit interviews can help departing employees feel valued and respected.</w:t>
      </w:r>
    </w:p>
    <w:p w14:paraId="56528C0B" w14:textId="77777777" w:rsidR="00602CA8" w:rsidRDefault="00602CA8" w:rsidP="005062B5">
      <w:pPr>
        <w:spacing w:line="360" w:lineRule="auto"/>
        <w:rPr>
          <w:rFonts w:ascii="Arial" w:hAnsi="Arial" w:cs="Arial"/>
          <w:sz w:val="24"/>
          <w:szCs w:val="24"/>
          <w:lang w:val="en-GB"/>
        </w:rPr>
      </w:pPr>
    </w:p>
    <w:p w14:paraId="321DFDC2" w14:textId="278FE50B" w:rsidR="00B60D89" w:rsidRDefault="005062B5" w:rsidP="005062B5">
      <w:pPr>
        <w:spacing w:line="360" w:lineRule="auto"/>
        <w:rPr>
          <w:rFonts w:ascii="Arial" w:hAnsi="Arial" w:cs="Arial"/>
          <w:sz w:val="24"/>
          <w:szCs w:val="24"/>
        </w:rPr>
      </w:pPr>
      <w:r w:rsidRPr="005062B5">
        <w:rPr>
          <w:rFonts w:ascii="Arial" w:hAnsi="Arial" w:cs="Arial"/>
          <w:sz w:val="24"/>
          <w:szCs w:val="24"/>
          <w:lang w:val="en-GB"/>
        </w:rPr>
        <w:t xml:space="preserve">The Zinger Model of Employee Engagement provides a framework for fostering engagement through well-being, relationships, and performance (CIPD, 2021). In the restaurant industry, this model can be applied by prioritising employee well-being through mental health initiatives, building strong team relationships, and setting clear performance goals. For example, implementing wellness programmes, such as yoga classes or mindfulness workshops, can enhance employee well-being. Additionally, </w:t>
      </w:r>
      <w:r w:rsidRPr="005062B5">
        <w:rPr>
          <w:rFonts w:ascii="Arial" w:hAnsi="Arial" w:cs="Arial"/>
          <w:sz w:val="24"/>
          <w:szCs w:val="24"/>
          <w:lang w:val="en-GB"/>
        </w:rPr>
        <w:lastRenderedPageBreak/>
        <w:t>fostering a culture of recognition, where employees are regularly acknowledged for their contributions, can boost morale and motivation</w:t>
      </w:r>
      <w:r w:rsidR="0069496D">
        <w:rPr>
          <w:rFonts w:ascii="Arial" w:hAnsi="Arial" w:cs="Arial"/>
          <w:sz w:val="24"/>
          <w:szCs w:val="24"/>
          <w:lang w:val="en-GB"/>
        </w:rPr>
        <w:t xml:space="preserve"> </w:t>
      </w:r>
      <w:r w:rsidR="0069496D" w:rsidRPr="005062B5">
        <w:rPr>
          <w:rFonts w:ascii="Arial" w:hAnsi="Arial" w:cs="Arial"/>
          <w:sz w:val="24"/>
          <w:szCs w:val="24"/>
          <w:lang w:val="en-GB"/>
        </w:rPr>
        <w:t>(Brown, 2019)</w:t>
      </w:r>
      <w:r w:rsidRPr="005062B5">
        <w:rPr>
          <w:rFonts w:ascii="Arial" w:hAnsi="Arial" w:cs="Arial"/>
          <w:sz w:val="24"/>
          <w:szCs w:val="24"/>
          <w:lang w:val="en-GB"/>
        </w:rPr>
        <w:t xml:space="preserve">. </w:t>
      </w:r>
      <w:r w:rsidR="00B60D89" w:rsidRPr="00B60D89">
        <w:rPr>
          <w:rFonts w:ascii="Arial" w:hAnsi="Arial" w:cs="Arial"/>
          <w:sz w:val="24"/>
          <w:szCs w:val="24"/>
          <w:lang w:val="en-GB"/>
        </w:rPr>
        <w:t>Effective people resourcing is essential for attracting and retaining talent, particularly in the competitive hospitality industry. According to Taylor (2014), HR must adopt a strategic approach to resourcing, ensuring that the right people are in the right roles at the right time.</w:t>
      </w:r>
      <w:r w:rsidRPr="005062B5">
        <w:rPr>
          <w:rFonts w:ascii="Arial" w:hAnsi="Arial" w:cs="Arial"/>
          <w:sz w:val="24"/>
          <w:szCs w:val="24"/>
          <w:lang w:val="en-GB"/>
        </w:rPr>
        <w:t xml:space="preserve"> </w:t>
      </w:r>
      <w:r w:rsidR="00B60D89" w:rsidRPr="00B60D89">
        <w:rPr>
          <w:rFonts w:ascii="Arial" w:hAnsi="Arial" w:cs="Arial"/>
          <w:sz w:val="24"/>
          <w:szCs w:val="24"/>
        </w:rPr>
        <w:t>By aligning resourcing strategies with the needs and preferences of the workforce, organisations can build a motivated and high-performing team.</w:t>
      </w:r>
      <w:r w:rsidR="00B60D89">
        <w:rPr>
          <w:rFonts w:ascii="Arial" w:hAnsi="Arial" w:cs="Arial"/>
          <w:sz w:val="24"/>
          <w:szCs w:val="24"/>
        </w:rPr>
        <w:t xml:space="preserve"> </w:t>
      </w:r>
    </w:p>
    <w:p w14:paraId="45EC4A95" w14:textId="77777777" w:rsidR="00602CA8" w:rsidRDefault="00602CA8" w:rsidP="005062B5">
      <w:pPr>
        <w:spacing w:line="360" w:lineRule="auto"/>
        <w:rPr>
          <w:rFonts w:ascii="Arial" w:hAnsi="Arial" w:cs="Arial"/>
          <w:sz w:val="24"/>
          <w:szCs w:val="24"/>
          <w:lang w:val="en-GB"/>
        </w:rPr>
      </w:pPr>
    </w:p>
    <w:p w14:paraId="54C73B8D" w14:textId="57B883B1"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While the strategies discussed above are effective, it is important to critically evaluate their limitations. For example, flexible work arrangements may not be feasible in all restaurant settings due to operational constraints. Similarly, digital onboarding processes may alienate employees who prefer face-to-face interactions. Therefore, HR must strike a balance between innovation and practicality, ensuring that engagement strategies are tailored to the specific needs of the organisation and its employees</w:t>
      </w:r>
      <w:r w:rsidR="00602CA8">
        <w:rPr>
          <w:rFonts w:ascii="Arial" w:hAnsi="Arial" w:cs="Arial"/>
          <w:sz w:val="24"/>
          <w:szCs w:val="24"/>
          <w:lang w:val="en-GB"/>
        </w:rPr>
        <w:t xml:space="preserve"> </w:t>
      </w:r>
      <w:r w:rsidR="00602CA8" w:rsidRPr="00602CA8">
        <w:rPr>
          <w:rFonts w:ascii="Arial" w:hAnsi="Arial" w:cs="Arial"/>
          <w:sz w:val="24"/>
          <w:szCs w:val="24"/>
          <w:lang w:val="en-GB"/>
        </w:rPr>
        <w:t>(Solomon, 2018)</w:t>
      </w:r>
      <w:r w:rsidRPr="005062B5">
        <w:rPr>
          <w:rFonts w:ascii="Arial" w:hAnsi="Arial" w:cs="Arial"/>
          <w:sz w:val="24"/>
          <w:szCs w:val="24"/>
          <w:lang w:val="en-GB"/>
        </w:rPr>
        <w:t xml:space="preserve">. For instance, while McDonald’s has successfully implemented gamified recruitment processes, smaller restaurants may lack the resources to adopt such technologies </w:t>
      </w:r>
      <w:r w:rsidR="00602CA8" w:rsidRPr="00602CA8">
        <w:rPr>
          <w:rFonts w:ascii="Arial" w:hAnsi="Arial" w:cs="Arial"/>
          <w:sz w:val="24"/>
          <w:szCs w:val="24"/>
          <w:lang w:val="en-GB"/>
        </w:rPr>
        <w:t>(McDonald’s Corporation, 2019)</w:t>
      </w:r>
      <w:r w:rsidRPr="005062B5">
        <w:rPr>
          <w:rFonts w:ascii="Arial" w:hAnsi="Arial" w:cs="Arial"/>
          <w:sz w:val="24"/>
          <w:szCs w:val="24"/>
          <w:lang w:val="en-GB"/>
        </w:rPr>
        <w:t>. In such cases, HR can focus on low-cost initiatives, such as employee recognition programmes and mentorship schemes, to engage Generation Z employees.</w:t>
      </w:r>
    </w:p>
    <w:p w14:paraId="7638D4B1" w14:textId="77777777" w:rsidR="00602CA8" w:rsidRDefault="00602CA8" w:rsidP="005062B5">
      <w:pPr>
        <w:spacing w:line="360" w:lineRule="auto"/>
        <w:rPr>
          <w:rFonts w:ascii="Arial" w:hAnsi="Arial" w:cs="Arial"/>
          <w:sz w:val="24"/>
          <w:szCs w:val="24"/>
          <w:lang w:val="en-GB"/>
        </w:rPr>
      </w:pPr>
    </w:p>
    <w:p w14:paraId="7A446EB4" w14:textId="51B05EFC" w:rsid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Engaging Generation Z employees throughout the employee lifecycle is essential for restaurants to thrive in a competitive market. By understanding this generation’s unique characteristics and implementing tailored HR strategies, organisations can attract, retain, and develop a motivated workforce. From leveraging technology in recruitment to prioritising well-being in retention, HR plays a critical role in fostering engagement. Real-life examples and engagement models highlight the importance of a holistic approach to employee engagement, ensuring that Generation Z employees feel valued and supported at every stage of their journey.</w:t>
      </w:r>
    </w:p>
    <w:p w14:paraId="797B7654" w14:textId="77777777" w:rsidR="00E525EF" w:rsidRDefault="00E525EF" w:rsidP="005062B5">
      <w:pPr>
        <w:spacing w:line="360" w:lineRule="auto"/>
        <w:rPr>
          <w:rFonts w:ascii="Arial" w:hAnsi="Arial" w:cs="Arial"/>
          <w:sz w:val="24"/>
          <w:szCs w:val="24"/>
          <w:lang w:val="en-GB"/>
        </w:rPr>
      </w:pPr>
    </w:p>
    <w:p w14:paraId="4EFB4A5C" w14:textId="77777777" w:rsidR="00E525EF" w:rsidRDefault="00E525EF" w:rsidP="005062B5">
      <w:pPr>
        <w:spacing w:line="360" w:lineRule="auto"/>
        <w:rPr>
          <w:rFonts w:ascii="Arial" w:hAnsi="Arial" w:cs="Arial"/>
          <w:sz w:val="24"/>
          <w:szCs w:val="24"/>
          <w:lang w:val="en-GB"/>
        </w:rPr>
      </w:pPr>
    </w:p>
    <w:p w14:paraId="27132AF2" w14:textId="77777777" w:rsidR="00E525EF" w:rsidRDefault="00E525EF" w:rsidP="005062B5">
      <w:pPr>
        <w:spacing w:line="360" w:lineRule="auto"/>
        <w:rPr>
          <w:rFonts w:ascii="Arial" w:hAnsi="Arial" w:cs="Arial"/>
          <w:sz w:val="24"/>
          <w:szCs w:val="24"/>
          <w:lang w:val="en-GB"/>
        </w:rPr>
      </w:pPr>
    </w:p>
    <w:p w14:paraId="5A82B69C" w14:textId="77777777" w:rsidR="00E525EF" w:rsidRDefault="00E525EF" w:rsidP="005062B5">
      <w:pPr>
        <w:spacing w:line="360" w:lineRule="auto"/>
        <w:rPr>
          <w:rFonts w:ascii="Arial" w:hAnsi="Arial" w:cs="Arial"/>
          <w:sz w:val="24"/>
          <w:szCs w:val="24"/>
          <w:lang w:val="en-GB"/>
        </w:rPr>
      </w:pPr>
    </w:p>
    <w:p w14:paraId="1C8006C9" w14:textId="77777777" w:rsidR="00E525EF" w:rsidRDefault="00E525EF" w:rsidP="00E525EF">
      <w:pPr>
        <w:spacing w:line="360" w:lineRule="auto"/>
        <w:rPr>
          <w:rFonts w:ascii="Arial" w:hAnsi="Arial" w:cs="Arial"/>
          <w:sz w:val="24"/>
          <w:szCs w:val="24"/>
          <w:lang w:val="en-GB"/>
        </w:rPr>
      </w:pPr>
    </w:p>
    <w:p w14:paraId="45611680" w14:textId="77777777" w:rsidR="00431C6B" w:rsidRDefault="00E525EF" w:rsidP="00E525EF">
      <w:pPr>
        <w:spacing w:line="360" w:lineRule="auto"/>
        <w:rPr>
          <w:rFonts w:ascii="Arial" w:hAnsi="Arial" w:cs="Arial"/>
          <w:b/>
          <w:bCs/>
          <w:sz w:val="24"/>
          <w:szCs w:val="24"/>
          <w:lang w:val="en-GB"/>
        </w:rPr>
      </w:pPr>
      <w:r w:rsidRPr="00E525EF">
        <w:rPr>
          <w:rFonts w:ascii="Arial" w:hAnsi="Arial" w:cs="Arial"/>
          <w:b/>
          <w:bCs/>
          <w:sz w:val="24"/>
          <w:szCs w:val="24"/>
          <w:lang w:val="en-GB"/>
        </w:rPr>
        <w:t xml:space="preserve"> </w:t>
      </w:r>
    </w:p>
    <w:p w14:paraId="562F02D4" w14:textId="522DE2C2" w:rsidR="00E525EF" w:rsidRPr="00E525EF" w:rsidRDefault="00E525EF" w:rsidP="00E525EF">
      <w:pPr>
        <w:spacing w:line="360" w:lineRule="auto"/>
        <w:rPr>
          <w:rFonts w:ascii="Arial" w:hAnsi="Arial" w:cs="Arial"/>
          <w:b/>
          <w:bCs/>
          <w:sz w:val="24"/>
          <w:szCs w:val="24"/>
          <w:lang w:val="en-GB"/>
        </w:rPr>
      </w:pPr>
      <w:r w:rsidRPr="00E525EF">
        <w:rPr>
          <w:rFonts w:ascii="Arial" w:hAnsi="Arial" w:cs="Arial"/>
          <w:b/>
          <w:bCs/>
          <w:sz w:val="24"/>
          <w:szCs w:val="24"/>
          <w:lang w:val="en-GB"/>
        </w:rPr>
        <w:lastRenderedPageBreak/>
        <w:t>Reference List:</w:t>
      </w:r>
    </w:p>
    <w:p w14:paraId="648C57F4"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Armstrong, M. and Taylor, S. (2020) </w:t>
      </w:r>
      <w:r w:rsidRPr="00E525EF">
        <w:rPr>
          <w:rFonts w:ascii="Arial" w:hAnsi="Arial" w:cs="Arial"/>
          <w:i/>
          <w:iCs/>
          <w:sz w:val="24"/>
          <w:szCs w:val="24"/>
          <w:lang w:val="en-GB"/>
        </w:rPr>
        <w:t>Armstrong’s handbook of human resource management practice</w:t>
      </w:r>
      <w:r w:rsidRPr="00E525EF">
        <w:rPr>
          <w:rFonts w:ascii="Arial" w:hAnsi="Arial" w:cs="Arial"/>
          <w:sz w:val="24"/>
          <w:szCs w:val="24"/>
          <w:lang w:val="en-GB"/>
        </w:rPr>
        <w:t>. 15th edn. London: KoganPage.</w:t>
      </w:r>
    </w:p>
    <w:p w14:paraId="77171CC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Brown, D.R. (2019) </w:t>
      </w:r>
      <w:r w:rsidRPr="00E525EF">
        <w:rPr>
          <w:rFonts w:ascii="Arial" w:hAnsi="Arial" w:cs="Arial"/>
          <w:i/>
          <w:iCs/>
          <w:sz w:val="24"/>
          <w:szCs w:val="24"/>
          <w:lang w:val="en-GB"/>
        </w:rPr>
        <w:t>The Restaurant Manager’s Handbook</w:t>
      </w:r>
      <w:r w:rsidRPr="00E525EF">
        <w:rPr>
          <w:rFonts w:ascii="Arial" w:hAnsi="Arial" w:cs="Arial"/>
          <w:sz w:val="24"/>
          <w:szCs w:val="24"/>
          <w:lang w:val="en-GB"/>
        </w:rPr>
        <w:t>. 5th edn. Florida: Atlantic Publishing Group Inc.</w:t>
      </w:r>
    </w:p>
    <w:p w14:paraId="4CB80922"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CIPD (2021) </w:t>
      </w:r>
      <w:r w:rsidRPr="00E525EF">
        <w:rPr>
          <w:rFonts w:ascii="Arial" w:hAnsi="Arial" w:cs="Arial"/>
          <w:i/>
          <w:iCs/>
          <w:sz w:val="24"/>
          <w:szCs w:val="24"/>
          <w:lang w:val="en-GB"/>
        </w:rPr>
        <w:t>Employee engagement and motivation</w:t>
      </w:r>
      <w:r w:rsidRPr="00E525EF">
        <w:rPr>
          <w:rFonts w:ascii="Arial" w:hAnsi="Arial" w:cs="Arial"/>
          <w:sz w:val="24"/>
          <w:szCs w:val="24"/>
          <w:lang w:val="en-GB"/>
        </w:rPr>
        <w:t>. Available at: </w:t>
      </w:r>
      <w:hyperlink r:id="rId6" w:tgtFrame="_blank" w:history="1">
        <w:r w:rsidRPr="00E525EF">
          <w:rPr>
            <w:rStyle w:val="Hyperlink"/>
            <w:rFonts w:ascii="Arial" w:hAnsi="Arial" w:cs="Arial"/>
            <w:sz w:val="24"/>
            <w:szCs w:val="24"/>
            <w:lang w:val="en-GB"/>
          </w:rPr>
          <w:t>https://www.cipd.co.uk/knowledge/fundamentals/relations/engagement/factsheet</w:t>
        </w:r>
      </w:hyperlink>
      <w:r w:rsidRPr="00E525EF">
        <w:rPr>
          <w:rFonts w:ascii="Arial" w:hAnsi="Arial" w:cs="Arial"/>
          <w:sz w:val="24"/>
          <w:szCs w:val="24"/>
          <w:lang w:val="en-GB"/>
        </w:rPr>
        <w:t> (Accessed: 05/03/2025).</w:t>
      </w:r>
    </w:p>
    <w:p w14:paraId="4B434D85"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Ford, R.C. and Sturman, M.C. (2020) </w:t>
      </w:r>
      <w:r w:rsidRPr="00E525EF">
        <w:rPr>
          <w:rFonts w:ascii="Arial" w:hAnsi="Arial" w:cs="Arial"/>
          <w:i/>
          <w:iCs/>
          <w:sz w:val="24"/>
          <w:szCs w:val="24"/>
          <w:lang w:val="en-GB"/>
        </w:rPr>
        <w:t>Managing Hospitality Organizations</w:t>
      </w:r>
      <w:r w:rsidRPr="00E525EF">
        <w:rPr>
          <w:rFonts w:ascii="Arial" w:hAnsi="Arial" w:cs="Arial"/>
          <w:sz w:val="24"/>
          <w:szCs w:val="24"/>
          <w:lang w:val="en-GB"/>
        </w:rPr>
        <w:t>. 2nd edn. London: Sage.</w:t>
      </w:r>
    </w:p>
    <w:p w14:paraId="7001BDEE"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Gallup (2020) </w:t>
      </w:r>
      <w:r w:rsidRPr="00E525EF">
        <w:rPr>
          <w:rFonts w:ascii="Arial" w:hAnsi="Arial" w:cs="Arial"/>
          <w:i/>
          <w:iCs/>
          <w:sz w:val="24"/>
          <w:szCs w:val="24"/>
          <w:lang w:val="en-GB"/>
        </w:rPr>
        <w:t>Employee Engagement</w:t>
      </w:r>
      <w:r w:rsidRPr="00E525EF">
        <w:rPr>
          <w:rFonts w:ascii="Arial" w:hAnsi="Arial" w:cs="Arial"/>
          <w:sz w:val="24"/>
          <w:szCs w:val="24"/>
          <w:lang w:val="en-GB"/>
        </w:rPr>
        <w:t>. Available at: </w:t>
      </w:r>
      <w:hyperlink r:id="rId7" w:tgtFrame="_blank" w:history="1">
        <w:r w:rsidRPr="00E525EF">
          <w:rPr>
            <w:rStyle w:val="Hyperlink"/>
            <w:rFonts w:ascii="Arial" w:hAnsi="Arial" w:cs="Arial"/>
            <w:sz w:val="24"/>
            <w:szCs w:val="24"/>
            <w:lang w:val="en-GB"/>
          </w:rPr>
          <w:t>https://www.gallup.com/workplace/285674/employee-engagement.aspx</w:t>
        </w:r>
      </w:hyperlink>
      <w:r w:rsidRPr="00E525EF">
        <w:rPr>
          <w:rFonts w:ascii="Arial" w:hAnsi="Arial" w:cs="Arial"/>
          <w:sz w:val="24"/>
          <w:szCs w:val="24"/>
          <w:lang w:val="en-GB"/>
        </w:rPr>
        <w:t> (Accessed: 06/03/2025).</w:t>
      </w:r>
    </w:p>
    <w:p w14:paraId="6B46A88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Jeske, D. and Olson, D. (2021) ‘Onboarding new hires: Recognising mutual learning opportunities’, </w:t>
      </w:r>
      <w:r w:rsidRPr="00E525EF">
        <w:rPr>
          <w:rFonts w:ascii="Arial" w:hAnsi="Arial" w:cs="Arial"/>
          <w:i/>
          <w:iCs/>
          <w:sz w:val="24"/>
          <w:szCs w:val="24"/>
          <w:lang w:val="en-GB"/>
        </w:rPr>
        <w:t>Journal of Work-Applied Management</w:t>
      </w:r>
      <w:r w:rsidRPr="00E525EF">
        <w:rPr>
          <w:rFonts w:ascii="Arial" w:hAnsi="Arial" w:cs="Arial"/>
          <w:sz w:val="24"/>
          <w:szCs w:val="24"/>
          <w:lang w:val="en-GB"/>
        </w:rPr>
        <w:t>, 14(1), pp. 63–76. doi:10.1108/JWAM-04-2021-0036.</w:t>
      </w:r>
    </w:p>
    <w:p w14:paraId="10BC558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Johnston, R., Clark, G. and Shulver, M. (2012) </w:t>
      </w:r>
      <w:r w:rsidRPr="00E525EF">
        <w:rPr>
          <w:rFonts w:ascii="Arial" w:hAnsi="Arial" w:cs="Arial"/>
          <w:i/>
          <w:iCs/>
          <w:sz w:val="24"/>
          <w:szCs w:val="24"/>
          <w:lang w:val="en-GB"/>
        </w:rPr>
        <w:t>Service Operations Management</w:t>
      </w:r>
      <w:r w:rsidRPr="00E525EF">
        <w:rPr>
          <w:rFonts w:ascii="Arial" w:hAnsi="Arial" w:cs="Arial"/>
          <w:sz w:val="24"/>
          <w:szCs w:val="24"/>
          <w:lang w:val="en-GB"/>
        </w:rPr>
        <w:t>. London: Pearson.</w:t>
      </w:r>
    </w:p>
    <w:p w14:paraId="2429FA14"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Marchington, M. and Wilkinson, A. (2016) </w:t>
      </w:r>
      <w:r w:rsidRPr="00E525EF">
        <w:rPr>
          <w:rFonts w:ascii="Arial" w:hAnsi="Arial" w:cs="Arial"/>
          <w:i/>
          <w:iCs/>
          <w:sz w:val="24"/>
          <w:szCs w:val="24"/>
          <w:lang w:val="en-GB"/>
        </w:rPr>
        <w:t>Human resource management at work</w:t>
      </w:r>
      <w:r w:rsidRPr="00E525EF">
        <w:rPr>
          <w:rFonts w:ascii="Arial" w:hAnsi="Arial" w:cs="Arial"/>
          <w:sz w:val="24"/>
          <w:szCs w:val="24"/>
          <w:lang w:val="en-GB"/>
        </w:rPr>
        <w:t>. 6th edn. London: CIPD.</w:t>
      </w:r>
    </w:p>
    <w:p w14:paraId="796BA987" w14:textId="2AD1449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McDonald’s Corporation (2019) </w:t>
      </w:r>
      <w:r w:rsidRPr="00E525EF">
        <w:rPr>
          <w:rFonts w:ascii="Arial" w:hAnsi="Arial" w:cs="Arial"/>
          <w:i/>
          <w:iCs/>
          <w:sz w:val="24"/>
          <w:szCs w:val="24"/>
          <w:lang w:val="en-GB"/>
        </w:rPr>
        <w:t>Fight for our food</w:t>
      </w:r>
      <w:r w:rsidRPr="00E525EF">
        <w:rPr>
          <w:rFonts w:ascii="Arial" w:hAnsi="Arial" w:cs="Arial"/>
          <w:sz w:val="24"/>
          <w:szCs w:val="24"/>
          <w:lang w:val="en-GB"/>
        </w:rPr>
        <w:t>. Available at: </w:t>
      </w:r>
      <w:hyperlink r:id="rId8" w:tgtFrame="_blank" w:history="1">
        <w:r w:rsidRPr="00E525EF">
          <w:rPr>
            <w:rStyle w:val="Hyperlink"/>
            <w:rFonts w:ascii="Arial" w:hAnsi="Arial" w:cs="Arial"/>
            <w:sz w:val="24"/>
            <w:szCs w:val="24"/>
            <w:lang w:val="en-GB"/>
          </w:rPr>
          <w:t>https://corporate.mcdonalds.com/corpmcd/our-stories/article/fight_for_our_food.html</w:t>
        </w:r>
      </w:hyperlink>
      <w:r w:rsidRPr="00E525EF">
        <w:rPr>
          <w:rFonts w:ascii="Arial" w:hAnsi="Arial" w:cs="Arial"/>
          <w:sz w:val="24"/>
          <w:szCs w:val="24"/>
          <w:lang w:val="en-GB"/>
        </w:rPr>
        <w:t xml:space="preserve"> (Accessed: </w:t>
      </w:r>
      <w:r>
        <w:rPr>
          <w:rFonts w:ascii="Arial" w:hAnsi="Arial" w:cs="Arial"/>
          <w:sz w:val="24"/>
          <w:szCs w:val="24"/>
          <w:lang w:val="en-GB"/>
        </w:rPr>
        <w:t>06</w:t>
      </w:r>
      <w:r w:rsidRPr="00E525EF">
        <w:rPr>
          <w:rFonts w:ascii="Arial" w:hAnsi="Arial" w:cs="Arial"/>
          <w:sz w:val="24"/>
          <w:szCs w:val="24"/>
          <w:lang w:val="en-GB"/>
        </w:rPr>
        <w:t>/03/2025).</w:t>
      </w:r>
    </w:p>
    <w:p w14:paraId="32539F33"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Murton, A., Inman, M. and O’Sullivan, N. (2010) </w:t>
      </w:r>
      <w:r w:rsidRPr="00E525EF">
        <w:rPr>
          <w:rFonts w:ascii="Arial" w:hAnsi="Arial" w:cs="Arial"/>
          <w:i/>
          <w:iCs/>
          <w:sz w:val="24"/>
          <w:szCs w:val="24"/>
          <w:lang w:val="en-GB"/>
        </w:rPr>
        <w:t>Unlocking Human Resource Management</w:t>
      </w:r>
      <w:r w:rsidRPr="00E525EF">
        <w:rPr>
          <w:rFonts w:ascii="Arial" w:hAnsi="Arial" w:cs="Arial"/>
          <w:sz w:val="24"/>
          <w:szCs w:val="24"/>
          <w:lang w:val="en-GB"/>
        </w:rPr>
        <w:t>. London: Hodder Education.</w:t>
      </w:r>
    </w:p>
    <w:p w14:paraId="4D0F2472" w14:textId="5AFCE24A"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People Management (2023) </w:t>
      </w:r>
      <w:r w:rsidRPr="00E525EF">
        <w:rPr>
          <w:rFonts w:ascii="Arial" w:hAnsi="Arial" w:cs="Arial"/>
          <w:i/>
          <w:iCs/>
          <w:sz w:val="24"/>
          <w:szCs w:val="24"/>
          <w:lang w:val="en-GB"/>
        </w:rPr>
        <w:t>Engaging Generation Z in the workplace</w:t>
      </w:r>
      <w:r w:rsidRPr="00E525EF">
        <w:rPr>
          <w:rFonts w:ascii="Arial" w:hAnsi="Arial" w:cs="Arial"/>
          <w:sz w:val="24"/>
          <w:szCs w:val="24"/>
          <w:lang w:val="en-GB"/>
        </w:rPr>
        <w:t>. Available at: </w:t>
      </w:r>
      <w:hyperlink r:id="rId9" w:tgtFrame="_blank" w:history="1">
        <w:r w:rsidRPr="00E525EF">
          <w:rPr>
            <w:rStyle w:val="Hyperlink"/>
            <w:rFonts w:ascii="Arial" w:hAnsi="Arial" w:cs="Arial"/>
            <w:sz w:val="24"/>
            <w:szCs w:val="24"/>
            <w:lang w:val="en-GB"/>
          </w:rPr>
          <w:t>https://www.peoplemanagement.co.uk/article/1745665/engaging-generation-z-workplace</w:t>
        </w:r>
      </w:hyperlink>
      <w:r w:rsidRPr="00E525EF">
        <w:rPr>
          <w:rFonts w:ascii="Arial" w:hAnsi="Arial" w:cs="Arial"/>
          <w:sz w:val="24"/>
          <w:szCs w:val="24"/>
          <w:lang w:val="en-GB"/>
        </w:rPr>
        <w:t xml:space="preserve"> (Accessed: </w:t>
      </w:r>
      <w:r>
        <w:rPr>
          <w:rFonts w:ascii="Arial" w:hAnsi="Arial" w:cs="Arial"/>
          <w:sz w:val="24"/>
          <w:szCs w:val="24"/>
          <w:lang w:val="en-GB"/>
        </w:rPr>
        <w:t>04</w:t>
      </w:r>
      <w:r w:rsidRPr="00E525EF">
        <w:rPr>
          <w:rFonts w:ascii="Arial" w:hAnsi="Arial" w:cs="Arial"/>
          <w:sz w:val="24"/>
          <w:szCs w:val="24"/>
          <w:lang w:val="en-GB"/>
        </w:rPr>
        <w:t>/03/2025).</w:t>
      </w:r>
    </w:p>
    <w:p w14:paraId="6F079BE1"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Solomon, M. (2018) </w:t>
      </w:r>
      <w:r w:rsidRPr="00E525EF">
        <w:rPr>
          <w:rFonts w:ascii="Arial" w:hAnsi="Arial" w:cs="Arial"/>
          <w:i/>
          <w:iCs/>
          <w:sz w:val="24"/>
          <w:szCs w:val="24"/>
          <w:lang w:val="en-GB"/>
        </w:rPr>
        <w:t>The Heart of Hospitality</w:t>
      </w:r>
      <w:r w:rsidRPr="00E525EF">
        <w:rPr>
          <w:rFonts w:ascii="Arial" w:hAnsi="Arial" w:cs="Arial"/>
          <w:sz w:val="24"/>
          <w:szCs w:val="24"/>
          <w:lang w:val="en-GB"/>
        </w:rPr>
        <w:t>. New York: SelectBooks.</w:t>
      </w:r>
    </w:p>
    <w:p w14:paraId="11F4042C" w14:textId="035E19A6"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Starbucks (2023) </w:t>
      </w:r>
      <w:r w:rsidRPr="00E525EF">
        <w:rPr>
          <w:rFonts w:ascii="Arial" w:hAnsi="Arial" w:cs="Arial"/>
          <w:i/>
          <w:iCs/>
          <w:sz w:val="24"/>
          <w:szCs w:val="24"/>
          <w:lang w:val="en-GB"/>
        </w:rPr>
        <w:t>Education benefits</w:t>
      </w:r>
      <w:r w:rsidRPr="00E525EF">
        <w:rPr>
          <w:rFonts w:ascii="Arial" w:hAnsi="Arial" w:cs="Arial"/>
          <w:sz w:val="24"/>
          <w:szCs w:val="24"/>
          <w:lang w:val="en-GB"/>
        </w:rPr>
        <w:t>. Available at: </w:t>
      </w:r>
      <w:hyperlink r:id="rId10" w:tgtFrame="_blank" w:history="1">
        <w:r w:rsidRPr="00E525EF">
          <w:rPr>
            <w:rStyle w:val="Hyperlink"/>
            <w:rFonts w:ascii="Arial" w:hAnsi="Arial" w:cs="Arial"/>
            <w:sz w:val="24"/>
            <w:szCs w:val="24"/>
            <w:lang w:val="en-GB"/>
          </w:rPr>
          <w:t>https://careers.starbucks.com/benefits/education/</w:t>
        </w:r>
      </w:hyperlink>
      <w:r w:rsidRPr="00E525EF">
        <w:rPr>
          <w:rFonts w:ascii="Arial" w:hAnsi="Arial" w:cs="Arial"/>
          <w:sz w:val="24"/>
          <w:szCs w:val="24"/>
          <w:lang w:val="en-GB"/>
        </w:rPr>
        <w:t> (Accessed: 0</w:t>
      </w:r>
      <w:r>
        <w:rPr>
          <w:rFonts w:ascii="Arial" w:hAnsi="Arial" w:cs="Arial"/>
          <w:sz w:val="24"/>
          <w:szCs w:val="24"/>
          <w:lang w:val="en-GB"/>
        </w:rPr>
        <w:t>2</w:t>
      </w:r>
      <w:r w:rsidRPr="00E525EF">
        <w:rPr>
          <w:rFonts w:ascii="Arial" w:hAnsi="Arial" w:cs="Arial"/>
          <w:sz w:val="24"/>
          <w:szCs w:val="24"/>
          <w:lang w:val="en-GB"/>
        </w:rPr>
        <w:t>/03/2025).</w:t>
      </w:r>
    </w:p>
    <w:p w14:paraId="5950C22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Taylor, S. (2014) </w:t>
      </w:r>
      <w:r w:rsidRPr="00E525EF">
        <w:rPr>
          <w:rFonts w:ascii="Arial" w:hAnsi="Arial" w:cs="Arial"/>
          <w:i/>
          <w:iCs/>
          <w:sz w:val="24"/>
          <w:szCs w:val="24"/>
          <w:lang w:val="en-GB"/>
        </w:rPr>
        <w:t>People Resourcing</w:t>
      </w:r>
      <w:r w:rsidRPr="00E525EF">
        <w:rPr>
          <w:rFonts w:ascii="Arial" w:hAnsi="Arial" w:cs="Arial"/>
          <w:sz w:val="24"/>
          <w:szCs w:val="24"/>
          <w:lang w:val="en-GB"/>
        </w:rPr>
        <w:t>. London: CIPD.</w:t>
      </w:r>
    </w:p>
    <w:p w14:paraId="0A355EE3"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Torrington, D., Hall, L., Atkinson, C. and Taylor, S. (2020) </w:t>
      </w:r>
      <w:r w:rsidRPr="00E525EF">
        <w:rPr>
          <w:rFonts w:ascii="Arial" w:hAnsi="Arial" w:cs="Arial"/>
          <w:i/>
          <w:iCs/>
          <w:sz w:val="24"/>
          <w:szCs w:val="24"/>
          <w:lang w:val="en-GB"/>
        </w:rPr>
        <w:t>Human Resource Management</w:t>
      </w:r>
      <w:r w:rsidRPr="00E525EF">
        <w:rPr>
          <w:rFonts w:ascii="Arial" w:hAnsi="Arial" w:cs="Arial"/>
          <w:sz w:val="24"/>
          <w:szCs w:val="24"/>
          <w:lang w:val="en-GB"/>
        </w:rPr>
        <w:t>. Harlow: Pearson.</w:t>
      </w:r>
    </w:p>
    <w:p w14:paraId="77527034"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lastRenderedPageBreak/>
        <w:t>Wong, C. et al. (2021) </w:t>
      </w:r>
      <w:r w:rsidRPr="00E525EF">
        <w:rPr>
          <w:rFonts w:ascii="Arial" w:hAnsi="Arial" w:cs="Arial"/>
          <w:i/>
          <w:iCs/>
          <w:sz w:val="24"/>
          <w:szCs w:val="24"/>
          <w:lang w:val="en-GB"/>
        </w:rPr>
        <w:t>How the COVID-19 pandemic affected hotel employee stress</w:t>
      </w:r>
      <w:r w:rsidRPr="00E525EF">
        <w:rPr>
          <w:rFonts w:ascii="Arial" w:hAnsi="Arial" w:cs="Arial"/>
          <w:sz w:val="24"/>
          <w:szCs w:val="24"/>
          <w:lang w:val="en-GB"/>
        </w:rPr>
        <w:t>. International Journal of Hospitality Management, 93, 102798.</w:t>
      </w:r>
    </w:p>
    <w:p w14:paraId="30A76152" w14:textId="211F6428"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YouTube (2023) </w:t>
      </w:r>
      <w:r w:rsidRPr="00E525EF">
        <w:rPr>
          <w:rFonts w:ascii="Arial" w:hAnsi="Arial" w:cs="Arial"/>
          <w:i/>
          <w:iCs/>
          <w:sz w:val="24"/>
          <w:szCs w:val="24"/>
          <w:lang w:val="en-GB"/>
        </w:rPr>
        <w:t>How to Engage Generation Z in the Workplace</w:t>
      </w:r>
      <w:r w:rsidRPr="00E525EF">
        <w:rPr>
          <w:rFonts w:ascii="Arial" w:hAnsi="Arial" w:cs="Arial"/>
          <w:sz w:val="24"/>
          <w:szCs w:val="24"/>
          <w:lang w:val="en-GB"/>
        </w:rPr>
        <w:t>. Available at: </w:t>
      </w:r>
      <w:hyperlink r:id="rId11" w:tgtFrame="_blank" w:history="1">
        <w:r w:rsidRPr="00E525EF">
          <w:rPr>
            <w:rStyle w:val="Hyperlink"/>
            <w:rFonts w:ascii="Arial" w:hAnsi="Arial" w:cs="Arial"/>
            <w:sz w:val="24"/>
            <w:szCs w:val="24"/>
            <w:lang w:val="en-GB"/>
          </w:rPr>
          <w:t>https://www.youtube.com/watch?v=2t2BBU0gdO0</w:t>
        </w:r>
      </w:hyperlink>
      <w:r w:rsidRPr="00E525EF">
        <w:rPr>
          <w:rFonts w:ascii="Arial" w:hAnsi="Arial" w:cs="Arial"/>
          <w:sz w:val="24"/>
          <w:szCs w:val="24"/>
          <w:lang w:val="en-GB"/>
        </w:rPr>
        <w:t> (Accessed: 0</w:t>
      </w:r>
      <w:r>
        <w:rPr>
          <w:rFonts w:ascii="Arial" w:hAnsi="Arial" w:cs="Arial"/>
          <w:sz w:val="24"/>
          <w:szCs w:val="24"/>
          <w:lang w:val="en-GB"/>
        </w:rPr>
        <w:t>1</w:t>
      </w:r>
      <w:r w:rsidRPr="00E525EF">
        <w:rPr>
          <w:rFonts w:ascii="Arial" w:hAnsi="Arial" w:cs="Arial"/>
          <w:sz w:val="24"/>
          <w:szCs w:val="24"/>
          <w:lang w:val="en-GB"/>
        </w:rPr>
        <w:t>/03/2025).</w:t>
      </w:r>
    </w:p>
    <w:p w14:paraId="77D38662" w14:textId="77777777" w:rsidR="00E525EF" w:rsidRPr="005062B5" w:rsidRDefault="00E525EF" w:rsidP="005062B5">
      <w:pPr>
        <w:spacing w:line="360" w:lineRule="auto"/>
        <w:rPr>
          <w:rFonts w:ascii="Arial" w:hAnsi="Arial" w:cs="Arial"/>
          <w:sz w:val="24"/>
          <w:szCs w:val="24"/>
          <w:lang w:val="en-GB"/>
        </w:rPr>
      </w:pPr>
    </w:p>
    <w:p w14:paraId="4018BA43" w14:textId="77777777" w:rsidR="00BD1CFD" w:rsidRPr="00BD1CFD" w:rsidRDefault="00BD1CFD" w:rsidP="00DD0342">
      <w:pPr>
        <w:spacing w:line="360" w:lineRule="auto"/>
        <w:rPr>
          <w:rFonts w:ascii="Arial" w:hAnsi="Arial" w:cs="Arial"/>
          <w:sz w:val="24"/>
          <w:szCs w:val="24"/>
        </w:rPr>
      </w:pPr>
    </w:p>
    <w:sectPr w:rsidR="00BD1CFD" w:rsidRPr="00BD1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CFD"/>
    <w:rsid w:val="00092014"/>
    <w:rsid w:val="000B459F"/>
    <w:rsid w:val="00152C3A"/>
    <w:rsid w:val="002C2896"/>
    <w:rsid w:val="003C6C0F"/>
    <w:rsid w:val="00431C6B"/>
    <w:rsid w:val="005062B5"/>
    <w:rsid w:val="0051398E"/>
    <w:rsid w:val="005B6DB4"/>
    <w:rsid w:val="005E5EA7"/>
    <w:rsid w:val="00602CA8"/>
    <w:rsid w:val="0069496D"/>
    <w:rsid w:val="00694B28"/>
    <w:rsid w:val="007641AE"/>
    <w:rsid w:val="0079240C"/>
    <w:rsid w:val="00873E6A"/>
    <w:rsid w:val="00A82501"/>
    <w:rsid w:val="00AD7394"/>
    <w:rsid w:val="00B60D89"/>
    <w:rsid w:val="00BD1CFD"/>
    <w:rsid w:val="00C16F98"/>
    <w:rsid w:val="00D41E61"/>
    <w:rsid w:val="00D6111D"/>
    <w:rsid w:val="00DD0342"/>
    <w:rsid w:val="00E525EF"/>
    <w:rsid w:val="00FA7641"/>
    <w:rsid w:val="00FC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63A6"/>
  <w15:chartTrackingRefBased/>
  <w15:docId w15:val="{027A4F2F-7088-483B-9D01-A3F816C1B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CFD"/>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BD1C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C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C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C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C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C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C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C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C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C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C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C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C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C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CFD"/>
    <w:rPr>
      <w:rFonts w:eastAsiaTheme="majorEastAsia" w:cstheme="majorBidi"/>
      <w:color w:val="272727" w:themeColor="text1" w:themeTint="D8"/>
    </w:rPr>
  </w:style>
  <w:style w:type="paragraph" w:styleId="Title">
    <w:name w:val="Title"/>
    <w:basedOn w:val="Normal"/>
    <w:next w:val="Normal"/>
    <w:link w:val="TitleChar"/>
    <w:uiPriority w:val="10"/>
    <w:qFormat/>
    <w:rsid w:val="00BD1C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CFD"/>
    <w:pPr>
      <w:spacing w:before="160"/>
      <w:jc w:val="center"/>
    </w:pPr>
    <w:rPr>
      <w:i/>
      <w:iCs/>
      <w:color w:val="404040" w:themeColor="text1" w:themeTint="BF"/>
    </w:rPr>
  </w:style>
  <w:style w:type="character" w:customStyle="1" w:styleId="QuoteChar">
    <w:name w:val="Quote Char"/>
    <w:basedOn w:val="DefaultParagraphFont"/>
    <w:link w:val="Quote"/>
    <w:uiPriority w:val="29"/>
    <w:rsid w:val="00BD1CFD"/>
    <w:rPr>
      <w:i/>
      <w:iCs/>
      <w:color w:val="404040" w:themeColor="text1" w:themeTint="BF"/>
    </w:rPr>
  </w:style>
  <w:style w:type="paragraph" w:styleId="ListParagraph">
    <w:name w:val="List Paragraph"/>
    <w:basedOn w:val="Normal"/>
    <w:uiPriority w:val="34"/>
    <w:qFormat/>
    <w:rsid w:val="00BD1CFD"/>
    <w:pPr>
      <w:ind w:left="720"/>
      <w:contextualSpacing/>
    </w:pPr>
  </w:style>
  <w:style w:type="character" w:styleId="IntenseEmphasis">
    <w:name w:val="Intense Emphasis"/>
    <w:basedOn w:val="DefaultParagraphFont"/>
    <w:uiPriority w:val="21"/>
    <w:qFormat/>
    <w:rsid w:val="00BD1CFD"/>
    <w:rPr>
      <w:i/>
      <w:iCs/>
      <w:color w:val="2F5496" w:themeColor="accent1" w:themeShade="BF"/>
    </w:rPr>
  </w:style>
  <w:style w:type="paragraph" w:styleId="IntenseQuote">
    <w:name w:val="Intense Quote"/>
    <w:basedOn w:val="Normal"/>
    <w:next w:val="Normal"/>
    <w:link w:val="IntenseQuoteChar"/>
    <w:uiPriority w:val="30"/>
    <w:qFormat/>
    <w:rsid w:val="00BD1C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CFD"/>
    <w:rPr>
      <w:i/>
      <w:iCs/>
      <w:color w:val="2F5496" w:themeColor="accent1" w:themeShade="BF"/>
    </w:rPr>
  </w:style>
  <w:style w:type="character" w:styleId="IntenseReference">
    <w:name w:val="Intense Reference"/>
    <w:basedOn w:val="DefaultParagraphFont"/>
    <w:uiPriority w:val="32"/>
    <w:qFormat/>
    <w:rsid w:val="00BD1CFD"/>
    <w:rPr>
      <w:b/>
      <w:bCs/>
      <w:smallCaps/>
      <w:color w:val="2F5496" w:themeColor="accent1" w:themeShade="BF"/>
      <w:spacing w:val="5"/>
    </w:rPr>
  </w:style>
  <w:style w:type="paragraph" w:styleId="BodyText">
    <w:name w:val="Body Text"/>
    <w:basedOn w:val="Normal"/>
    <w:link w:val="BodyTextChar"/>
    <w:uiPriority w:val="1"/>
    <w:qFormat/>
    <w:rsid w:val="00BD1CFD"/>
    <w:rPr>
      <w:sz w:val="24"/>
      <w:szCs w:val="24"/>
    </w:rPr>
  </w:style>
  <w:style w:type="character" w:customStyle="1" w:styleId="BodyTextChar">
    <w:name w:val="Body Text Char"/>
    <w:basedOn w:val="DefaultParagraphFont"/>
    <w:link w:val="BodyText"/>
    <w:uiPriority w:val="1"/>
    <w:rsid w:val="00BD1CFD"/>
    <w:rPr>
      <w:rFonts w:ascii="Calibri" w:eastAsia="Calibri" w:hAnsi="Calibri" w:cs="Calibri"/>
      <w:kern w:val="0"/>
      <w:sz w:val="24"/>
      <w:szCs w:val="24"/>
      <w:lang w:val="en-US"/>
      <w14:ligatures w14:val="none"/>
    </w:rPr>
  </w:style>
  <w:style w:type="character" w:styleId="Hyperlink">
    <w:name w:val="Hyperlink"/>
    <w:basedOn w:val="DefaultParagraphFont"/>
    <w:uiPriority w:val="99"/>
    <w:unhideWhenUsed/>
    <w:rsid w:val="00BD1CFD"/>
    <w:rPr>
      <w:color w:val="0563C1" w:themeColor="hyperlink"/>
      <w:u w:val="single"/>
    </w:rPr>
  </w:style>
  <w:style w:type="character" w:styleId="UnresolvedMention">
    <w:name w:val="Unresolved Mention"/>
    <w:basedOn w:val="DefaultParagraphFont"/>
    <w:uiPriority w:val="99"/>
    <w:semiHidden/>
    <w:unhideWhenUsed/>
    <w:rsid w:val="00873E6A"/>
    <w:rPr>
      <w:color w:val="605E5C"/>
      <w:shd w:val="clear" w:color="auto" w:fill="E1DFDD"/>
    </w:rPr>
  </w:style>
  <w:style w:type="character" w:styleId="FollowedHyperlink">
    <w:name w:val="FollowedHyperlink"/>
    <w:basedOn w:val="DefaultParagraphFont"/>
    <w:uiPriority w:val="99"/>
    <w:semiHidden/>
    <w:unhideWhenUsed/>
    <w:rsid w:val="00E525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9074">
      <w:bodyDiv w:val="1"/>
      <w:marLeft w:val="0"/>
      <w:marRight w:val="0"/>
      <w:marTop w:val="0"/>
      <w:marBottom w:val="0"/>
      <w:divBdr>
        <w:top w:val="none" w:sz="0" w:space="0" w:color="auto"/>
        <w:left w:val="none" w:sz="0" w:space="0" w:color="auto"/>
        <w:bottom w:val="none" w:sz="0" w:space="0" w:color="auto"/>
        <w:right w:val="none" w:sz="0" w:space="0" w:color="auto"/>
      </w:divBdr>
    </w:div>
    <w:div w:id="64843699">
      <w:bodyDiv w:val="1"/>
      <w:marLeft w:val="0"/>
      <w:marRight w:val="0"/>
      <w:marTop w:val="0"/>
      <w:marBottom w:val="0"/>
      <w:divBdr>
        <w:top w:val="none" w:sz="0" w:space="0" w:color="auto"/>
        <w:left w:val="none" w:sz="0" w:space="0" w:color="auto"/>
        <w:bottom w:val="none" w:sz="0" w:space="0" w:color="auto"/>
        <w:right w:val="none" w:sz="0" w:space="0" w:color="auto"/>
      </w:divBdr>
    </w:div>
    <w:div w:id="84542314">
      <w:bodyDiv w:val="1"/>
      <w:marLeft w:val="0"/>
      <w:marRight w:val="0"/>
      <w:marTop w:val="0"/>
      <w:marBottom w:val="0"/>
      <w:divBdr>
        <w:top w:val="none" w:sz="0" w:space="0" w:color="auto"/>
        <w:left w:val="none" w:sz="0" w:space="0" w:color="auto"/>
        <w:bottom w:val="none" w:sz="0" w:space="0" w:color="auto"/>
        <w:right w:val="none" w:sz="0" w:space="0" w:color="auto"/>
      </w:divBdr>
    </w:div>
    <w:div w:id="248738948">
      <w:bodyDiv w:val="1"/>
      <w:marLeft w:val="0"/>
      <w:marRight w:val="0"/>
      <w:marTop w:val="0"/>
      <w:marBottom w:val="0"/>
      <w:divBdr>
        <w:top w:val="none" w:sz="0" w:space="0" w:color="auto"/>
        <w:left w:val="none" w:sz="0" w:space="0" w:color="auto"/>
        <w:bottom w:val="none" w:sz="0" w:space="0" w:color="auto"/>
        <w:right w:val="none" w:sz="0" w:space="0" w:color="auto"/>
      </w:divBdr>
    </w:div>
    <w:div w:id="290092823">
      <w:bodyDiv w:val="1"/>
      <w:marLeft w:val="0"/>
      <w:marRight w:val="0"/>
      <w:marTop w:val="0"/>
      <w:marBottom w:val="0"/>
      <w:divBdr>
        <w:top w:val="none" w:sz="0" w:space="0" w:color="auto"/>
        <w:left w:val="none" w:sz="0" w:space="0" w:color="auto"/>
        <w:bottom w:val="none" w:sz="0" w:space="0" w:color="auto"/>
        <w:right w:val="none" w:sz="0" w:space="0" w:color="auto"/>
      </w:divBdr>
    </w:div>
    <w:div w:id="424611595">
      <w:bodyDiv w:val="1"/>
      <w:marLeft w:val="0"/>
      <w:marRight w:val="0"/>
      <w:marTop w:val="0"/>
      <w:marBottom w:val="0"/>
      <w:divBdr>
        <w:top w:val="none" w:sz="0" w:space="0" w:color="auto"/>
        <w:left w:val="none" w:sz="0" w:space="0" w:color="auto"/>
        <w:bottom w:val="none" w:sz="0" w:space="0" w:color="auto"/>
        <w:right w:val="none" w:sz="0" w:space="0" w:color="auto"/>
      </w:divBdr>
    </w:div>
    <w:div w:id="615020769">
      <w:bodyDiv w:val="1"/>
      <w:marLeft w:val="0"/>
      <w:marRight w:val="0"/>
      <w:marTop w:val="0"/>
      <w:marBottom w:val="0"/>
      <w:divBdr>
        <w:top w:val="none" w:sz="0" w:space="0" w:color="auto"/>
        <w:left w:val="none" w:sz="0" w:space="0" w:color="auto"/>
        <w:bottom w:val="none" w:sz="0" w:space="0" w:color="auto"/>
        <w:right w:val="none" w:sz="0" w:space="0" w:color="auto"/>
      </w:divBdr>
    </w:div>
    <w:div w:id="648051519">
      <w:bodyDiv w:val="1"/>
      <w:marLeft w:val="0"/>
      <w:marRight w:val="0"/>
      <w:marTop w:val="0"/>
      <w:marBottom w:val="0"/>
      <w:divBdr>
        <w:top w:val="none" w:sz="0" w:space="0" w:color="auto"/>
        <w:left w:val="none" w:sz="0" w:space="0" w:color="auto"/>
        <w:bottom w:val="none" w:sz="0" w:space="0" w:color="auto"/>
        <w:right w:val="none" w:sz="0" w:space="0" w:color="auto"/>
      </w:divBdr>
    </w:div>
    <w:div w:id="725030773">
      <w:bodyDiv w:val="1"/>
      <w:marLeft w:val="0"/>
      <w:marRight w:val="0"/>
      <w:marTop w:val="0"/>
      <w:marBottom w:val="0"/>
      <w:divBdr>
        <w:top w:val="none" w:sz="0" w:space="0" w:color="auto"/>
        <w:left w:val="none" w:sz="0" w:space="0" w:color="auto"/>
        <w:bottom w:val="none" w:sz="0" w:space="0" w:color="auto"/>
        <w:right w:val="none" w:sz="0" w:space="0" w:color="auto"/>
      </w:divBdr>
    </w:div>
    <w:div w:id="801311057">
      <w:bodyDiv w:val="1"/>
      <w:marLeft w:val="0"/>
      <w:marRight w:val="0"/>
      <w:marTop w:val="0"/>
      <w:marBottom w:val="0"/>
      <w:divBdr>
        <w:top w:val="none" w:sz="0" w:space="0" w:color="auto"/>
        <w:left w:val="none" w:sz="0" w:space="0" w:color="auto"/>
        <w:bottom w:val="none" w:sz="0" w:space="0" w:color="auto"/>
        <w:right w:val="none" w:sz="0" w:space="0" w:color="auto"/>
      </w:divBdr>
    </w:div>
    <w:div w:id="881215218">
      <w:bodyDiv w:val="1"/>
      <w:marLeft w:val="0"/>
      <w:marRight w:val="0"/>
      <w:marTop w:val="0"/>
      <w:marBottom w:val="0"/>
      <w:divBdr>
        <w:top w:val="none" w:sz="0" w:space="0" w:color="auto"/>
        <w:left w:val="none" w:sz="0" w:space="0" w:color="auto"/>
        <w:bottom w:val="none" w:sz="0" w:space="0" w:color="auto"/>
        <w:right w:val="none" w:sz="0" w:space="0" w:color="auto"/>
      </w:divBdr>
    </w:div>
    <w:div w:id="911475022">
      <w:bodyDiv w:val="1"/>
      <w:marLeft w:val="0"/>
      <w:marRight w:val="0"/>
      <w:marTop w:val="0"/>
      <w:marBottom w:val="0"/>
      <w:divBdr>
        <w:top w:val="none" w:sz="0" w:space="0" w:color="auto"/>
        <w:left w:val="none" w:sz="0" w:space="0" w:color="auto"/>
        <w:bottom w:val="none" w:sz="0" w:space="0" w:color="auto"/>
        <w:right w:val="none" w:sz="0" w:space="0" w:color="auto"/>
      </w:divBdr>
    </w:div>
    <w:div w:id="1135832086">
      <w:bodyDiv w:val="1"/>
      <w:marLeft w:val="0"/>
      <w:marRight w:val="0"/>
      <w:marTop w:val="0"/>
      <w:marBottom w:val="0"/>
      <w:divBdr>
        <w:top w:val="none" w:sz="0" w:space="0" w:color="auto"/>
        <w:left w:val="none" w:sz="0" w:space="0" w:color="auto"/>
        <w:bottom w:val="none" w:sz="0" w:space="0" w:color="auto"/>
        <w:right w:val="none" w:sz="0" w:space="0" w:color="auto"/>
      </w:divBdr>
    </w:div>
    <w:div w:id="1328243601">
      <w:bodyDiv w:val="1"/>
      <w:marLeft w:val="0"/>
      <w:marRight w:val="0"/>
      <w:marTop w:val="0"/>
      <w:marBottom w:val="0"/>
      <w:divBdr>
        <w:top w:val="none" w:sz="0" w:space="0" w:color="auto"/>
        <w:left w:val="none" w:sz="0" w:space="0" w:color="auto"/>
        <w:bottom w:val="none" w:sz="0" w:space="0" w:color="auto"/>
        <w:right w:val="none" w:sz="0" w:space="0" w:color="auto"/>
      </w:divBdr>
    </w:div>
    <w:div w:id="1365134144">
      <w:bodyDiv w:val="1"/>
      <w:marLeft w:val="0"/>
      <w:marRight w:val="0"/>
      <w:marTop w:val="0"/>
      <w:marBottom w:val="0"/>
      <w:divBdr>
        <w:top w:val="none" w:sz="0" w:space="0" w:color="auto"/>
        <w:left w:val="none" w:sz="0" w:space="0" w:color="auto"/>
        <w:bottom w:val="none" w:sz="0" w:space="0" w:color="auto"/>
        <w:right w:val="none" w:sz="0" w:space="0" w:color="auto"/>
      </w:divBdr>
    </w:div>
    <w:div w:id="1401710306">
      <w:bodyDiv w:val="1"/>
      <w:marLeft w:val="0"/>
      <w:marRight w:val="0"/>
      <w:marTop w:val="0"/>
      <w:marBottom w:val="0"/>
      <w:divBdr>
        <w:top w:val="none" w:sz="0" w:space="0" w:color="auto"/>
        <w:left w:val="none" w:sz="0" w:space="0" w:color="auto"/>
        <w:bottom w:val="none" w:sz="0" w:space="0" w:color="auto"/>
        <w:right w:val="none" w:sz="0" w:space="0" w:color="auto"/>
      </w:divBdr>
    </w:div>
    <w:div w:id="1530491012">
      <w:bodyDiv w:val="1"/>
      <w:marLeft w:val="0"/>
      <w:marRight w:val="0"/>
      <w:marTop w:val="0"/>
      <w:marBottom w:val="0"/>
      <w:divBdr>
        <w:top w:val="none" w:sz="0" w:space="0" w:color="auto"/>
        <w:left w:val="none" w:sz="0" w:space="0" w:color="auto"/>
        <w:bottom w:val="none" w:sz="0" w:space="0" w:color="auto"/>
        <w:right w:val="none" w:sz="0" w:space="0" w:color="auto"/>
      </w:divBdr>
    </w:div>
    <w:div w:id="1540170298">
      <w:bodyDiv w:val="1"/>
      <w:marLeft w:val="0"/>
      <w:marRight w:val="0"/>
      <w:marTop w:val="0"/>
      <w:marBottom w:val="0"/>
      <w:divBdr>
        <w:top w:val="none" w:sz="0" w:space="0" w:color="auto"/>
        <w:left w:val="none" w:sz="0" w:space="0" w:color="auto"/>
        <w:bottom w:val="none" w:sz="0" w:space="0" w:color="auto"/>
        <w:right w:val="none" w:sz="0" w:space="0" w:color="auto"/>
      </w:divBdr>
    </w:div>
    <w:div w:id="1578828875">
      <w:bodyDiv w:val="1"/>
      <w:marLeft w:val="0"/>
      <w:marRight w:val="0"/>
      <w:marTop w:val="0"/>
      <w:marBottom w:val="0"/>
      <w:divBdr>
        <w:top w:val="none" w:sz="0" w:space="0" w:color="auto"/>
        <w:left w:val="none" w:sz="0" w:space="0" w:color="auto"/>
        <w:bottom w:val="none" w:sz="0" w:space="0" w:color="auto"/>
        <w:right w:val="none" w:sz="0" w:space="0" w:color="auto"/>
      </w:divBdr>
    </w:div>
    <w:div w:id="1635137789">
      <w:bodyDiv w:val="1"/>
      <w:marLeft w:val="0"/>
      <w:marRight w:val="0"/>
      <w:marTop w:val="0"/>
      <w:marBottom w:val="0"/>
      <w:divBdr>
        <w:top w:val="none" w:sz="0" w:space="0" w:color="auto"/>
        <w:left w:val="none" w:sz="0" w:space="0" w:color="auto"/>
        <w:bottom w:val="none" w:sz="0" w:space="0" w:color="auto"/>
        <w:right w:val="none" w:sz="0" w:space="0" w:color="auto"/>
      </w:divBdr>
    </w:div>
    <w:div w:id="1676687332">
      <w:bodyDiv w:val="1"/>
      <w:marLeft w:val="0"/>
      <w:marRight w:val="0"/>
      <w:marTop w:val="0"/>
      <w:marBottom w:val="0"/>
      <w:divBdr>
        <w:top w:val="none" w:sz="0" w:space="0" w:color="auto"/>
        <w:left w:val="none" w:sz="0" w:space="0" w:color="auto"/>
        <w:bottom w:val="none" w:sz="0" w:space="0" w:color="auto"/>
        <w:right w:val="none" w:sz="0" w:space="0" w:color="auto"/>
      </w:divBdr>
    </w:div>
    <w:div w:id="1722900839">
      <w:bodyDiv w:val="1"/>
      <w:marLeft w:val="0"/>
      <w:marRight w:val="0"/>
      <w:marTop w:val="0"/>
      <w:marBottom w:val="0"/>
      <w:divBdr>
        <w:top w:val="none" w:sz="0" w:space="0" w:color="auto"/>
        <w:left w:val="none" w:sz="0" w:space="0" w:color="auto"/>
        <w:bottom w:val="none" w:sz="0" w:space="0" w:color="auto"/>
        <w:right w:val="none" w:sz="0" w:space="0" w:color="auto"/>
      </w:divBdr>
    </w:div>
    <w:div w:id="1776755154">
      <w:bodyDiv w:val="1"/>
      <w:marLeft w:val="0"/>
      <w:marRight w:val="0"/>
      <w:marTop w:val="0"/>
      <w:marBottom w:val="0"/>
      <w:divBdr>
        <w:top w:val="none" w:sz="0" w:space="0" w:color="auto"/>
        <w:left w:val="none" w:sz="0" w:space="0" w:color="auto"/>
        <w:bottom w:val="none" w:sz="0" w:space="0" w:color="auto"/>
        <w:right w:val="none" w:sz="0" w:space="0" w:color="auto"/>
      </w:divBdr>
    </w:div>
    <w:div w:id="1787507602">
      <w:bodyDiv w:val="1"/>
      <w:marLeft w:val="0"/>
      <w:marRight w:val="0"/>
      <w:marTop w:val="0"/>
      <w:marBottom w:val="0"/>
      <w:divBdr>
        <w:top w:val="none" w:sz="0" w:space="0" w:color="auto"/>
        <w:left w:val="none" w:sz="0" w:space="0" w:color="auto"/>
        <w:bottom w:val="none" w:sz="0" w:space="0" w:color="auto"/>
        <w:right w:val="none" w:sz="0" w:space="0" w:color="auto"/>
      </w:divBdr>
    </w:div>
    <w:div w:id="1884823762">
      <w:bodyDiv w:val="1"/>
      <w:marLeft w:val="0"/>
      <w:marRight w:val="0"/>
      <w:marTop w:val="0"/>
      <w:marBottom w:val="0"/>
      <w:divBdr>
        <w:top w:val="none" w:sz="0" w:space="0" w:color="auto"/>
        <w:left w:val="none" w:sz="0" w:space="0" w:color="auto"/>
        <w:bottom w:val="none" w:sz="0" w:space="0" w:color="auto"/>
        <w:right w:val="none" w:sz="0" w:space="0" w:color="auto"/>
      </w:divBdr>
    </w:div>
    <w:div w:id="1898468033">
      <w:bodyDiv w:val="1"/>
      <w:marLeft w:val="0"/>
      <w:marRight w:val="0"/>
      <w:marTop w:val="0"/>
      <w:marBottom w:val="0"/>
      <w:divBdr>
        <w:top w:val="none" w:sz="0" w:space="0" w:color="auto"/>
        <w:left w:val="none" w:sz="0" w:space="0" w:color="auto"/>
        <w:bottom w:val="none" w:sz="0" w:space="0" w:color="auto"/>
        <w:right w:val="none" w:sz="0" w:space="0" w:color="auto"/>
      </w:divBdr>
    </w:div>
    <w:div w:id="1902521984">
      <w:bodyDiv w:val="1"/>
      <w:marLeft w:val="0"/>
      <w:marRight w:val="0"/>
      <w:marTop w:val="0"/>
      <w:marBottom w:val="0"/>
      <w:divBdr>
        <w:top w:val="none" w:sz="0" w:space="0" w:color="auto"/>
        <w:left w:val="none" w:sz="0" w:space="0" w:color="auto"/>
        <w:bottom w:val="none" w:sz="0" w:space="0" w:color="auto"/>
        <w:right w:val="none" w:sz="0" w:space="0" w:color="auto"/>
      </w:divBdr>
    </w:div>
    <w:div w:id="2066022858">
      <w:bodyDiv w:val="1"/>
      <w:marLeft w:val="0"/>
      <w:marRight w:val="0"/>
      <w:marTop w:val="0"/>
      <w:marBottom w:val="0"/>
      <w:divBdr>
        <w:top w:val="none" w:sz="0" w:space="0" w:color="auto"/>
        <w:left w:val="none" w:sz="0" w:space="0" w:color="auto"/>
        <w:bottom w:val="none" w:sz="0" w:space="0" w:color="auto"/>
        <w:right w:val="none" w:sz="0" w:space="0" w:color="auto"/>
      </w:divBdr>
    </w:div>
    <w:div w:id="212553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cdonalds.com/corpmcd/our-stories/article/fight_for_our_food.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allup.com/workplace/285674/employee-engagement.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ipd.co.uk/knowledge/fundamentals/relations/engagement/factsheet" TargetMode="External"/><Relationship Id="rId11" Type="http://schemas.openxmlformats.org/officeDocument/2006/relationships/hyperlink" Target="https://www.youtube.com/watch?v=2t2BBU0gdO0" TargetMode="External"/><Relationship Id="rId5" Type="http://schemas.openxmlformats.org/officeDocument/2006/relationships/hyperlink" Target="mailto:j.smith@uwtsd.ac.uk" TargetMode="External"/><Relationship Id="rId10" Type="http://schemas.openxmlformats.org/officeDocument/2006/relationships/hyperlink" Target="https://careers.starbucks.com/benefits/education/" TargetMode="External"/><Relationship Id="rId4" Type="http://schemas.openxmlformats.org/officeDocument/2006/relationships/webSettings" Target="webSettings.xml"/><Relationship Id="rId9" Type="http://schemas.openxmlformats.org/officeDocument/2006/relationships/hyperlink" Target="https://www.peoplemanagement.co.uk/article/1745665/engaging-generation-z-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B17C6-EAE8-4E03-AC52-660A877FB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10</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6</cp:revision>
  <dcterms:created xsi:type="dcterms:W3CDTF">2025-03-05T23:53:00Z</dcterms:created>
  <dcterms:modified xsi:type="dcterms:W3CDTF">2025-03-07T14:20:00Z</dcterms:modified>
</cp:coreProperties>
</file>