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5DCE4" w:themeColor="text2" w:themeTint="33"/>
  <w:body>
    <w:p w:rsidR="008F15C4" w:rsidRDefault="008F15C4" w:rsidP="008F15C4">
      <w:pPr>
        <w:spacing w:line="480" w:lineRule="auto"/>
        <w:jc w:val="center"/>
        <w:rPr>
          <w:rFonts w:cs="Arial"/>
          <w:szCs w:val="24"/>
        </w:rPr>
      </w:pPr>
      <w:r w:rsidRPr="00851CE4">
        <w:rPr>
          <w:rFonts w:cs="Arial"/>
          <w:szCs w:val="24"/>
        </w:rPr>
        <w:t xml:space="preserve">Critically analyse how </w:t>
      </w:r>
      <w:r w:rsidRPr="00213C98">
        <w:rPr>
          <w:rFonts w:cs="Arial"/>
          <w:szCs w:val="24"/>
        </w:rPr>
        <w:t xml:space="preserve">psychological theory and evidence </w:t>
      </w:r>
      <w:r w:rsidRPr="00851CE4">
        <w:rPr>
          <w:rFonts w:cs="Arial"/>
          <w:szCs w:val="24"/>
        </w:rPr>
        <w:t>can inform our understanding of the mental health issues seen within the migrant population in the UK.</w:t>
      </w:r>
    </w:p>
    <w:p w:rsidR="008F15C4" w:rsidRDefault="008F15C4" w:rsidP="008F15C4">
      <w:pPr>
        <w:spacing w:line="480" w:lineRule="auto"/>
        <w:ind w:firstLine="720"/>
        <w:rPr>
          <w:rFonts w:cs="Arial"/>
          <w:szCs w:val="24"/>
        </w:rPr>
      </w:pPr>
      <w:bookmarkStart w:id="0" w:name="_Hlk2419495"/>
      <w:r>
        <w:rPr>
          <w:rFonts w:cs="Arial"/>
          <w:szCs w:val="24"/>
        </w:rPr>
        <w:t xml:space="preserve">This essay will analyse how theory and evidence of psychology can inform our understanding of mental health issues, which are experienced by the migrant population in the UK. To do this an understanding is needed of mental health, migration and the issues faced by the chosen </w:t>
      </w:r>
      <w:r w:rsidR="00082F9B" w:rsidRPr="009F4A3D">
        <w:rPr>
          <w:rFonts w:cs="Arial"/>
          <w:szCs w:val="24"/>
        </w:rPr>
        <w:t>im</w:t>
      </w:r>
      <w:r w:rsidRPr="009F4A3D">
        <w:rPr>
          <w:rFonts w:cs="Arial"/>
          <w:szCs w:val="24"/>
        </w:rPr>
        <w:t>migrant</w:t>
      </w:r>
      <w:r>
        <w:rPr>
          <w:rFonts w:cs="Arial"/>
          <w:szCs w:val="24"/>
        </w:rPr>
        <w:t xml:space="preserve"> population. The </w:t>
      </w:r>
      <w:r w:rsidRPr="009F4A3D">
        <w:rPr>
          <w:rFonts w:cs="Arial"/>
          <w:szCs w:val="24"/>
        </w:rPr>
        <w:t xml:space="preserve">chosen population for this study will be the </w:t>
      </w:r>
      <w:r w:rsidR="00082F9B" w:rsidRPr="009F4A3D">
        <w:rPr>
          <w:rFonts w:cs="Arial"/>
          <w:szCs w:val="24"/>
        </w:rPr>
        <w:t>immigrant Muslim community and this essay will specifically examine</w:t>
      </w:r>
      <w:r w:rsidRPr="009F4A3D">
        <w:rPr>
          <w:rFonts w:cs="Arial"/>
          <w:szCs w:val="24"/>
        </w:rPr>
        <w:t xml:space="preserve"> the impact that the fear of threat from Muslims</w:t>
      </w:r>
      <w:r>
        <w:rPr>
          <w:rFonts w:cs="Arial"/>
          <w:szCs w:val="24"/>
        </w:rPr>
        <w:t xml:space="preserve"> and towards Muslims has on their mental health.   </w:t>
      </w:r>
      <w:bookmarkStart w:id="1" w:name="_Hlk2350441"/>
    </w:p>
    <w:bookmarkEnd w:id="0"/>
    <w:p w:rsidR="003E7DEF" w:rsidRDefault="00DD1871" w:rsidP="008F15C4">
      <w:pPr>
        <w:spacing w:line="480" w:lineRule="auto"/>
        <w:ind w:firstLine="720"/>
        <w:rPr>
          <w:rFonts w:cs="Arial"/>
          <w:szCs w:val="24"/>
        </w:rPr>
      </w:pPr>
      <w:r w:rsidRPr="009F4A3D">
        <w:rPr>
          <w:rFonts w:cs="Arial"/>
          <w:szCs w:val="24"/>
        </w:rPr>
        <w:t>T</w:t>
      </w:r>
      <w:r w:rsidR="008F15C4" w:rsidRPr="009F4A3D">
        <w:rPr>
          <w:rFonts w:cs="Arial"/>
          <w:szCs w:val="24"/>
        </w:rPr>
        <w:t>h</w:t>
      </w:r>
      <w:r w:rsidR="008F15C4">
        <w:rPr>
          <w:rFonts w:cs="Arial"/>
          <w:szCs w:val="24"/>
        </w:rPr>
        <w:t xml:space="preserve">e </w:t>
      </w:r>
      <w:bookmarkStart w:id="2" w:name="_Hlk2419764"/>
      <w:r w:rsidR="008F15C4">
        <w:rPr>
          <w:rFonts w:cs="Arial"/>
          <w:szCs w:val="24"/>
        </w:rPr>
        <w:t xml:space="preserve">ICD-11(2018), </w:t>
      </w:r>
      <w:bookmarkEnd w:id="2"/>
      <w:r w:rsidR="008F15C4">
        <w:rPr>
          <w:rFonts w:cs="Arial"/>
          <w:szCs w:val="24"/>
        </w:rPr>
        <w:t>explains that mental health, behaviour and neurodevelopment disorders are syndromes, and these syndromes are associated with disturbances in a person’s psychological, biological or developmental functioning. The</w:t>
      </w:r>
      <w:r w:rsidRPr="009F4A3D">
        <w:rPr>
          <w:rFonts w:cs="Arial"/>
          <w:szCs w:val="24"/>
        </w:rPr>
        <w:t>se</w:t>
      </w:r>
      <w:r w:rsidR="008F15C4">
        <w:rPr>
          <w:rFonts w:cs="Arial"/>
          <w:szCs w:val="24"/>
        </w:rPr>
        <w:t xml:space="preserve"> disturbances can manifest and effect the functioning of the </w:t>
      </w:r>
      <w:r>
        <w:rPr>
          <w:rFonts w:cs="Arial"/>
          <w:szCs w:val="24"/>
        </w:rPr>
        <w:t xml:space="preserve">individual </w:t>
      </w:r>
      <w:r w:rsidRPr="009F4A3D">
        <w:rPr>
          <w:rFonts w:cs="Arial"/>
          <w:szCs w:val="24"/>
        </w:rPr>
        <w:t>and</w:t>
      </w:r>
      <w:r w:rsidR="008F15C4">
        <w:rPr>
          <w:rFonts w:cs="Arial"/>
          <w:szCs w:val="24"/>
        </w:rPr>
        <w:t xml:space="preserve"> these disturbances are attributable to abnormalities </w:t>
      </w:r>
      <w:r w:rsidR="008F15C4" w:rsidRPr="009F4A3D">
        <w:rPr>
          <w:rFonts w:cs="Arial"/>
          <w:szCs w:val="24"/>
        </w:rPr>
        <w:t>in</w:t>
      </w:r>
      <w:r w:rsidRPr="009F4A3D">
        <w:rPr>
          <w:rFonts w:cs="Arial"/>
          <w:szCs w:val="24"/>
        </w:rPr>
        <w:t xml:space="preserve"> an</w:t>
      </w:r>
      <w:r w:rsidR="008F15C4">
        <w:rPr>
          <w:rFonts w:cs="Arial"/>
          <w:szCs w:val="24"/>
        </w:rPr>
        <w:t xml:space="preserve"> individual’s cognition, emotional regulation, or behaviour processes. These abnormalities can be triggered </w:t>
      </w:r>
      <w:r w:rsidR="008F15C4" w:rsidRPr="009F4A3D">
        <w:rPr>
          <w:rFonts w:cs="Arial"/>
          <w:szCs w:val="24"/>
        </w:rPr>
        <w:t xml:space="preserve">by </w:t>
      </w:r>
      <w:r w:rsidR="00D33CA2" w:rsidRPr="009F4A3D">
        <w:rPr>
          <w:rFonts w:cs="Arial"/>
          <w:szCs w:val="24"/>
        </w:rPr>
        <w:t>the</w:t>
      </w:r>
      <w:r w:rsidR="00D33CA2">
        <w:rPr>
          <w:rFonts w:cs="Arial"/>
          <w:szCs w:val="24"/>
        </w:rPr>
        <w:t xml:space="preserve"> disintegration</w:t>
      </w:r>
      <w:r w:rsidR="008F15C4">
        <w:rPr>
          <w:rFonts w:cs="Arial"/>
          <w:szCs w:val="24"/>
        </w:rPr>
        <w:t xml:space="preserve"> of</w:t>
      </w:r>
      <w:r w:rsidR="00D33CA2">
        <w:rPr>
          <w:rFonts w:cs="Arial"/>
          <w:szCs w:val="24"/>
        </w:rPr>
        <w:t xml:space="preserve"> personal and family </w:t>
      </w:r>
      <w:r w:rsidR="00D33CA2" w:rsidRPr="009F4A3D">
        <w:rPr>
          <w:rFonts w:cs="Arial"/>
          <w:szCs w:val="24"/>
        </w:rPr>
        <w:t>situations and</w:t>
      </w:r>
      <w:r w:rsidR="008F15C4" w:rsidRPr="009F4A3D">
        <w:rPr>
          <w:rFonts w:cs="Arial"/>
          <w:szCs w:val="24"/>
        </w:rPr>
        <w:t xml:space="preserve"> </w:t>
      </w:r>
      <w:r w:rsidR="00D33CA2" w:rsidRPr="009F4A3D">
        <w:rPr>
          <w:rFonts w:cs="Arial"/>
          <w:szCs w:val="24"/>
        </w:rPr>
        <w:t>sudden</w:t>
      </w:r>
      <w:r w:rsidR="00D33CA2">
        <w:rPr>
          <w:rFonts w:cs="Arial"/>
          <w:szCs w:val="24"/>
        </w:rPr>
        <w:t xml:space="preserve"> </w:t>
      </w:r>
      <w:r w:rsidR="008F15C4">
        <w:rPr>
          <w:rFonts w:cs="Arial"/>
          <w:szCs w:val="24"/>
        </w:rPr>
        <w:t>changes in socio</w:t>
      </w:r>
      <w:r w:rsidR="00D33CA2">
        <w:rPr>
          <w:rFonts w:cs="Arial"/>
          <w:szCs w:val="24"/>
        </w:rPr>
        <w:t>-</w:t>
      </w:r>
      <w:r w:rsidR="008F15C4">
        <w:rPr>
          <w:rFonts w:cs="Arial"/>
          <w:szCs w:val="24"/>
        </w:rPr>
        <w:t xml:space="preserve">demographic status, as well as other stressful life events. This highlights the high level risk factors of mental health issues in general, and many of these risk factors are seen in high levels in relation to migration, due to the changes faced not only by first generation </w:t>
      </w:r>
      <w:r w:rsidR="008F15C4">
        <w:rPr>
          <w:rFonts w:cs="Arial"/>
          <w:szCs w:val="24"/>
        </w:rPr>
        <w:lastRenderedPageBreak/>
        <w:t>migrant</w:t>
      </w:r>
      <w:r w:rsidR="00D33CA2">
        <w:rPr>
          <w:rFonts w:cs="Arial"/>
          <w:szCs w:val="24"/>
        </w:rPr>
        <w:t>s</w:t>
      </w:r>
      <w:r w:rsidR="008F15C4">
        <w:rPr>
          <w:rFonts w:cs="Arial"/>
          <w:szCs w:val="24"/>
        </w:rPr>
        <w:t xml:space="preserve"> but also subsequent generations</w:t>
      </w:r>
      <w:r w:rsidR="003E7DEF">
        <w:rPr>
          <w:rFonts w:cs="Arial"/>
          <w:szCs w:val="24"/>
        </w:rPr>
        <w:t xml:space="preserve"> as highlighted by </w:t>
      </w:r>
      <w:r w:rsidR="003E7DEF" w:rsidRPr="003E7DEF">
        <w:rPr>
          <w:rFonts w:cs="Arial"/>
          <w:szCs w:val="24"/>
        </w:rPr>
        <w:t>Giuliani, Tagliabue, and Regalia (2018)</w:t>
      </w:r>
      <w:r w:rsidR="008F15C4">
        <w:rPr>
          <w:rFonts w:cs="Arial"/>
          <w:szCs w:val="24"/>
        </w:rPr>
        <w:t>.</w:t>
      </w:r>
      <w:bookmarkStart w:id="3" w:name="_Hlk1318787"/>
      <w:bookmarkEnd w:id="1"/>
    </w:p>
    <w:p w:rsidR="008F15C4" w:rsidRDefault="008F15C4" w:rsidP="008F15C4">
      <w:pPr>
        <w:spacing w:line="480" w:lineRule="auto"/>
        <w:ind w:firstLine="720"/>
        <w:rPr>
          <w:rFonts w:cs="Arial"/>
          <w:szCs w:val="24"/>
        </w:rPr>
      </w:pPr>
      <w:r>
        <w:rPr>
          <w:rFonts w:cs="Arial"/>
          <w:szCs w:val="24"/>
        </w:rPr>
        <w:t>Migration</w:t>
      </w:r>
      <w:r w:rsidR="003E7DEF">
        <w:rPr>
          <w:rFonts w:cs="Arial"/>
          <w:szCs w:val="24"/>
        </w:rPr>
        <w:t xml:space="preserve"> </w:t>
      </w:r>
      <w:r>
        <w:rPr>
          <w:rFonts w:cs="Arial"/>
          <w:szCs w:val="24"/>
        </w:rPr>
        <w:t>is broad in terms of who comes under t</w:t>
      </w:r>
      <w:r w:rsidR="003B0B61">
        <w:rPr>
          <w:rFonts w:cs="Arial"/>
          <w:szCs w:val="24"/>
        </w:rPr>
        <w:t>he umbrella of the term migrant.</w:t>
      </w:r>
      <w:r>
        <w:rPr>
          <w:rFonts w:cs="Arial"/>
          <w:szCs w:val="24"/>
        </w:rPr>
        <w:t xml:space="preserve"> </w:t>
      </w:r>
      <w:r w:rsidR="003B0B61" w:rsidRPr="003E7DEF">
        <w:rPr>
          <w:rFonts w:cs="Arial"/>
          <w:szCs w:val="24"/>
        </w:rPr>
        <w:t>T</w:t>
      </w:r>
      <w:r w:rsidRPr="003E7DEF">
        <w:rPr>
          <w:rFonts w:cs="Arial"/>
          <w:szCs w:val="24"/>
        </w:rPr>
        <w:t>here</w:t>
      </w:r>
      <w:r>
        <w:rPr>
          <w:rFonts w:cs="Arial"/>
          <w:szCs w:val="24"/>
        </w:rPr>
        <w:t xml:space="preserve"> are more defined differences between migrants who do come under immigration controls and those who do not.</w:t>
      </w:r>
      <w:bookmarkStart w:id="4" w:name="_Hlk2355219"/>
      <w:r>
        <w:rPr>
          <w:rFonts w:cs="Arial"/>
          <w:szCs w:val="24"/>
        </w:rPr>
        <w:t xml:space="preserve"> However </w:t>
      </w:r>
      <w:r w:rsidRPr="00C539E6">
        <w:rPr>
          <w:rFonts w:cs="Arial"/>
          <w:szCs w:val="24"/>
        </w:rPr>
        <w:t>Anderson and Blinder (2017)</w:t>
      </w:r>
      <w:r>
        <w:rPr>
          <w:rFonts w:cs="Arial"/>
          <w:szCs w:val="24"/>
        </w:rPr>
        <w:t xml:space="preserve">, </w:t>
      </w:r>
      <w:bookmarkEnd w:id="3"/>
      <w:bookmarkEnd w:id="4"/>
      <w:r>
        <w:rPr>
          <w:rFonts w:cs="Arial"/>
          <w:szCs w:val="24"/>
        </w:rPr>
        <w:t>state that the term migration can be interpreted in different ways depending on the way data is collected; however, they also state that migrants are defined as those of foreign birth or citizenship, or as those moving from one country to another which is not the country of their birth or their residence.</w:t>
      </w:r>
      <w:r w:rsidRPr="007C470F">
        <w:rPr>
          <w:rFonts w:cs="Arial"/>
          <w:szCs w:val="24"/>
        </w:rPr>
        <w:t xml:space="preserve"> Anderson and Blinder (2017), </w:t>
      </w:r>
      <w:r>
        <w:rPr>
          <w:rFonts w:cs="Arial"/>
          <w:szCs w:val="24"/>
        </w:rPr>
        <w:t xml:space="preserve">also state that in some cases migration could be on a temporary basis and could also apply to those who move internally within national borders. The term migrant can also include UK born children to migrant parents, UK nationals of foreign parentage, </w:t>
      </w:r>
      <w:r w:rsidRPr="00FB7F79">
        <w:rPr>
          <w:rFonts w:cs="Arial"/>
          <w:szCs w:val="24"/>
        </w:rPr>
        <w:t>European Nationals in the UK</w:t>
      </w:r>
      <w:r>
        <w:rPr>
          <w:rFonts w:cs="Arial"/>
          <w:szCs w:val="24"/>
        </w:rPr>
        <w:t>, and in addition to this there are also long term international migrants.</w:t>
      </w:r>
    </w:p>
    <w:p w:rsidR="008F15C4" w:rsidRPr="008202B8" w:rsidRDefault="003B0B61" w:rsidP="008F15C4">
      <w:pPr>
        <w:spacing w:line="480" w:lineRule="auto"/>
        <w:ind w:firstLine="720"/>
        <w:rPr>
          <w:rFonts w:cs="Arial"/>
          <w:szCs w:val="24"/>
        </w:rPr>
      </w:pPr>
      <w:r w:rsidRPr="003E7DEF">
        <w:rPr>
          <w:rFonts w:cs="Arial"/>
          <w:szCs w:val="24"/>
        </w:rPr>
        <w:t>T</w:t>
      </w:r>
      <w:r w:rsidR="008F15C4" w:rsidRPr="003E7DEF">
        <w:rPr>
          <w:rFonts w:cs="Arial"/>
          <w:szCs w:val="24"/>
        </w:rPr>
        <w:t>h</w:t>
      </w:r>
      <w:r w:rsidR="008F15C4">
        <w:rPr>
          <w:rFonts w:cs="Arial"/>
          <w:szCs w:val="24"/>
        </w:rPr>
        <w:t xml:space="preserve">e </w:t>
      </w:r>
      <w:r w:rsidR="008F15C4" w:rsidRPr="00AB32A9">
        <w:rPr>
          <w:rFonts w:cs="Arial"/>
          <w:szCs w:val="24"/>
        </w:rPr>
        <w:t>B</w:t>
      </w:r>
      <w:r w:rsidR="008F15C4">
        <w:rPr>
          <w:rFonts w:cs="Arial"/>
          <w:szCs w:val="24"/>
        </w:rPr>
        <w:t xml:space="preserve">ritish </w:t>
      </w:r>
      <w:r w:rsidR="008F15C4" w:rsidRPr="00AB32A9">
        <w:rPr>
          <w:rFonts w:cs="Arial"/>
          <w:szCs w:val="24"/>
        </w:rPr>
        <w:t>P</w:t>
      </w:r>
      <w:r w:rsidR="008F15C4">
        <w:rPr>
          <w:rFonts w:cs="Arial"/>
          <w:szCs w:val="24"/>
        </w:rPr>
        <w:t xml:space="preserve">sychological </w:t>
      </w:r>
      <w:r w:rsidR="008F15C4" w:rsidRPr="00AB32A9">
        <w:rPr>
          <w:rFonts w:cs="Arial"/>
          <w:szCs w:val="24"/>
        </w:rPr>
        <w:t>S</w:t>
      </w:r>
      <w:r w:rsidR="008F15C4">
        <w:rPr>
          <w:rFonts w:cs="Arial"/>
          <w:szCs w:val="24"/>
        </w:rPr>
        <w:t>ociety</w:t>
      </w:r>
      <w:r w:rsidR="008F15C4" w:rsidRPr="00AB32A9">
        <w:rPr>
          <w:rFonts w:cs="Arial"/>
          <w:szCs w:val="24"/>
        </w:rPr>
        <w:t xml:space="preserve"> (2018)</w:t>
      </w:r>
      <w:r w:rsidR="008F15C4">
        <w:rPr>
          <w:rFonts w:cs="Arial"/>
          <w:szCs w:val="24"/>
        </w:rPr>
        <w:t xml:space="preserve"> describes migrants as individuals</w:t>
      </w:r>
      <w:r>
        <w:rPr>
          <w:rFonts w:cs="Arial"/>
          <w:szCs w:val="24"/>
        </w:rPr>
        <w:t>,</w:t>
      </w:r>
      <w:r w:rsidR="008F15C4">
        <w:rPr>
          <w:rFonts w:cs="Arial"/>
          <w:szCs w:val="24"/>
        </w:rPr>
        <w:t xml:space="preserve"> who under their own volition without undue duress, move to improve quality of life, education or employment or to re-join family. Also</w:t>
      </w:r>
      <w:r>
        <w:rPr>
          <w:rFonts w:cs="Arial"/>
          <w:szCs w:val="24"/>
        </w:rPr>
        <w:t>,</w:t>
      </w:r>
      <w:r w:rsidR="008F15C4">
        <w:rPr>
          <w:rFonts w:cs="Arial"/>
          <w:szCs w:val="24"/>
        </w:rPr>
        <w:t xml:space="preserve"> these individuals do not face persecution or threat upon returning to their own country and are protected by their own government. However they are still highly susceptible to mental ill health due to factors of possible</w:t>
      </w:r>
      <w:r w:rsidR="008F15C4" w:rsidRPr="00AC177C">
        <w:t xml:space="preserve"> </w:t>
      </w:r>
      <w:r w:rsidR="008F15C4">
        <w:rPr>
          <w:rFonts w:cs="Arial"/>
          <w:szCs w:val="24"/>
        </w:rPr>
        <w:t xml:space="preserve">transition and adjustment issues, work environment, </w:t>
      </w:r>
      <w:r w:rsidR="008F15C4">
        <w:rPr>
          <w:rFonts w:cs="Arial"/>
          <w:szCs w:val="24"/>
        </w:rPr>
        <w:lastRenderedPageBreak/>
        <w:t xml:space="preserve">separation anxiety as well as possible discrimination by the host country. </w:t>
      </w:r>
    </w:p>
    <w:p w:rsidR="008F15C4" w:rsidRDefault="008F15C4" w:rsidP="008F15C4">
      <w:pPr>
        <w:spacing w:line="480" w:lineRule="auto"/>
        <w:ind w:firstLine="720"/>
        <w:rPr>
          <w:rFonts w:cs="Arial"/>
          <w:szCs w:val="24"/>
        </w:rPr>
      </w:pPr>
      <w:bookmarkStart w:id="5" w:name="_Hlk1895949"/>
      <w:r>
        <w:rPr>
          <w:rFonts w:cs="Arial"/>
          <w:szCs w:val="24"/>
        </w:rPr>
        <w:t xml:space="preserve">There are high levels of </w:t>
      </w:r>
      <w:r w:rsidR="00CA338C" w:rsidRPr="003E7DEF">
        <w:rPr>
          <w:rFonts w:cs="Arial"/>
          <w:szCs w:val="24"/>
        </w:rPr>
        <w:t>im</w:t>
      </w:r>
      <w:r w:rsidRPr="003E7DEF">
        <w:rPr>
          <w:rFonts w:cs="Arial"/>
          <w:szCs w:val="24"/>
        </w:rPr>
        <w:t>migration</w:t>
      </w:r>
      <w:r>
        <w:rPr>
          <w:rFonts w:cs="Arial"/>
          <w:szCs w:val="24"/>
        </w:rPr>
        <w:t xml:space="preserve"> </w:t>
      </w:r>
      <w:r w:rsidR="00CA338C" w:rsidRPr="003E7DEF">
        <w:rPr>
          <w:rFonts w:cs="Arial"/>
          <w:szCs w:val="24"/>
        </w:rPr>
        <w:t xml:space="preserve">to </w:t>
      </w:r>
      <w:r w:rsidRPr="003E7DEF">
        <w:rPr>
          <w:rFonts w:cs="Arial"/>
          <w:szCs w:val="24"/>
        </w:rPr>
        <w:t>the</w:t>
      </w:r>
      <w:r>
        <w:rPr>
          <w:rFonts w:cs="Arial"/>
          <w:szCs w:val="24"/>
        </w:rPr>
        <w:t xml:space="preserve"> UK as highlighted by </w:t>
      </w:r>
      <w:r w:rsidRPr="00B13C25">
        <w:rPr>
          <w:rFonts w:cs="Arial"/>
          <w:szCs w:val="24"/>
        </w:rPr>
        <w:t>Rienzo,</w:t>
      </w:r>
      <w:r>
        <w:rPr>
          <w:rFonts w:cs="Arial"/>
          <w:szCs w:val="24"/>
        </w:rPr>
        <w:t xml:space="preserve"> and</w:t>
      </w:r>
      <w:r w:rsidRPr="00B13C25">
        <w:rPr>
          <w:rFonts w:cs="Arial"/>
          <w:szCs w:val="24"/>
        </w:rPr>
        <w:t xml:space="preserve"> Vargas-Silva, (2018)</w:t>
      </w:r>
      <w:r>
        <w:rPr>
          <w:rFonts w:cs="Arial"/>
          <w:szCs w:val="24"/>
        </w:rPr>
        <w:t xml:space="preserve"> </w:t>
      </w:r>
      <w:bookmarkEnd w:id="5"/>
      <w:r>
        <w:rPr>
          <w:rFonts w:cs="Arial"/>
          <w:szCs w:val="24"/>
        </w:rPr>
        <w:t xml:space="preserve">who inform us that during the period 2004 – 2017 the population of foreign nationals in the UK increased to 9.4 million. </w:t>
      </w:r>
      <w:r w:rsidR="00CA338C" w:rsidRPr="003E7DEF">
        <w:rPr>
          <w:rFonts w:cs="Arial"/>
          <w:szCs w:val="24"/>
        </w:rPr>
        <w:t>They state that</w:t>
      </w:r>
      <w:r w:rsidR="00CA338C">
        <w:rPr>
          <w:rFonts w:cs="Arial"/>
          <w:szCs w:val="24"/>
        </w:rPr>
        <w:t xml:space="preserve"> </w:t>
      </w:r>
      <w:r>
        <w:rPr>
          <w:rFonts w:cs="Arial"/>
          <w:szCs w:val="24"/>
        </w:rPr>
        <w:t xml:space="preserve">39% of this population are from the European Union (EU), and that in 2017 London </w:t>
      </w:r>
      <w:r w:rsidR="00CA338C">
        <w:rPr>
          <w:rFonts w:cs="Arial"/>
          <w:szCs w:val="24"/>
        </w:rPr>
        <w:t xml:space="preserve">was the UK city with </w:t>
      </w:r>
      <w:r>
        <w:rPr>
          <w:rFonts w:cs="Arial"/>
          <w:szCs w:val="24"/>
        </w:rPr>
        <w:t xml:space="preserve">the largest number of migrants at 3.4 million. In addition to this, Rienzo and Vargas-Silva (2018) highlighted that within the UK, the most commonly found </w:t>
      </w:r>
      <w:r w:rsidR="00CF1A1E" w:rsidRPr="003E7DEF">
        <w:rPr>
          <w:rFonts w:cs="Arial"/>
          <w:szCs w:val="24"/>
        </w:rPr>
        <w:t>im</w:t>
      </w:r>
      <w:r w:rsidRPr="003E7DEF">
        <w:rPr>
          <w:rFonts w:cs="Arial"/>
          <w:szCs w:val="24"/>
        </w:rPr>
        <w:t>migrants</w:t>
      </w:r>
      <w:r>
        <w:rPr>
          <w:rFonts w:cs="Arial"/>
          <w:szCs w:val="24"/>
        </w:rPr>
        <w:t xml:space="preserve"> are from Poland. </w:t>
      </w:r>
      <w:r w:rsidRPr="005D2C8A">
        <w:rPr>
          <w:rFonts w:cs="Arial"/>
          <w:szCs w:val="24"/>
        </w:rPr>
        <w:t>Rienzo and Vargas-Silva (2018)</w:t>
      </w:r>
      <w:r>
        <w:rPr>
          <w:rFonts w:cs="Arial"/>
          <w:szCs w:val="24"/>
        </w:rPr>
        <w:t xml:space="preserve">, also state that in 2017 people from Poland, India and Pakistan were the three largest </w:t>
      </w:r>
      <w:r w:rsidR="00710833" w:rsidRPr="009008E1">
        <w:rPr>
          <w:rFonts w:cs="Arial"/>
          <w:szCs w:val="24"/>
        </w:rPr>
        <w:t>im</w:t>
      </w:r>
      <w:r>
        <w:rPr>
          <w:rFonts w:cs="Arial"/>
          <w:szCs w:val="24"/>
        </w:rPr>
        <w:t xml:space="preserve">migrant populations in the UK, with London being home to the largest number of </w:t>
      </w:r>
      <w:r w:rsidR="00710833" w:rsidRPr="009008E1">
        <w:rPr>
          <w:rFonts w:cs="Arial"/>
          <w:szCs w:val="24"/>
        </w:rPr>
        <w:t>im</w:t>
      </w:r>
      <w:r w:rsidRPr="009008E1">
        <w:rPr>
          <w:rFonts w:cs="Arial"/>
          <w:szCs w:val="24"/>
        </w:rPr>
        <w:t>migrants</w:t>
      </w:r>
      <w:r>
        <w:rPr>
          <w:rFonts w:cs="Arial"/>
          <w:szCs w:val="24"/>
        </w:rPr>
        <w:t xml:space="preserve"> from different backgrounds. This increases the need for further understanding and knowledge of </w:t>
      </w:r>
      <w:r w:rsidR="00710833" w:rsidRPr="009008E1">
        <w:rPr>
          <w:rFonts w:cs="Arial"/>
          <w:szCs w:val="24"/>
        </w:rPr>
        <w:t>the</w:t>
      </w:r>
      <w:r w:rsidR="00710833">
        <w:rPr>
          <w:rFonts w:cs="Arial"/>
          <w:szCs w:val="24"/>
        </w:rPr>
        <w:t xml:space="preserve"> </w:t>
      </w:r>
      <w:r>
        <w:rPr>
          <w:rFonts w:cs="Arial"/>
          <w:szCs w:val="24"/>
        </w:rPr>
        <w:t>mental health issues faced by migran</w:t>
      </w:r>
      <w:r w:rsidR="00710833">
        <w:rPr>
          <w:rFonts w:cs="Arial"/>
          <w:szCs w:val="24"/>
        </w:rPr>
        <w:t xml:space="preserve">ts. </w:t>
      </w:r>
      <w:r w:rsidR="00710833" w:rsidRPr="009008E1">
        <w:rPr>
          <w:rFonts w:cs="Arial"/>
          <w:szCs w:val="24"/>
        </w:rPr>
        <w:t>I</w:t>
      </w:r>
      <w:r w:rsidRPr="009008E1">
        <w:rPr>
          <w:rFonts w:cs="Arial"/>
          <w:szCs w:val="24"/>
        </w:rPr>
        <w:t>m</w:t>
      </w:r>
      <w:r>
        <w:rPr>
          <w:rFonts w:cs="Arial"/>
          <w:szCs w:val="24"/>
        </w:rPr>
        <w:t>migration has also increased the diversity of religion within the UK and according to</w:t>
      </w:r>
      <w:r w:rsidRPr="000C41BD">
        <w:rPr>
          <w:rFonts w:cs="Arial"/>
          <w:szCs w:val="24"/>
        </w:rPr>
        <w:t xml:space="preserve"> Apostolova </w:t>
      </w:r>
      <w:r>
        <w:rPr>
          <w:rFonts w:cs="Arial"/>
          <w:szCs w:val="24"/>
        </w:rPr>
        <w:t>and</w:t>
      </w:r>
      <w:r w:rsidRPr="000C41BD">
        <w:rPr>
          <w:rFonts w:cs="Arial"/>
          <w:szCs w:val="24"/>
        </w:rPr>
        <w:t xml:space="preserve"> Hawkins (2017)</w:t>
      </w:r>
      <w:r>
        <w:rPr>
          <w:rFonts w:cs="Arial"/>
          <w:szCs w:val="24"/>
        </w:rPr>
        <w:t>, in the foreign born population of the UK</w:t>
      </w:r>
      <w:r w:rsidR="00710833">
        <w:rPr>
          <w:rFonts w:cs="Arial"/>
          <w:szCs w:val="24"/>
        </w:rPr>
        <w:t>,</w:t>
      </w:r>
      <w:r>
        <w:rPr>
          <w:rFonts w:cs="Arial"/>
          <w:szCs w:val="24"/>
        </w:rPr>
        <w:t xml:space="preserve"> </w:t>
      </w:r>
      <w:r w:rsidRPr="009008E1">
        <w:rPr>
          <w:rFonts w:cs="Arial"/>
          <w:szCs w:val="24"/>
        </w:rPr>
        <w:t>Muslim</w:t>
      </w:r>
      <w:r w:rsidR="00710833" w:rsidRPr="009008E1">
        <w:rPr>
          <w:rFonts w:cs="Arial"/>
          <w:szCs w:val="24"/>
        </w:rPr>
        <w:t>s</w:t>
      </w:r>
      <w:r w:rsidRPr="009008E1">
        <w:rPr>
          <w:rFonts w:cs="Arial"/>
          <w:szCs w:val="24"/>
        </w:rPr>
        <w:t xml:space="preserve"> </w:t>
      </w:r>
      <w:r w:rsidR="00710833" w:rsidRPr="009008E1">
        <w:rPr>
          <w:rFonts w:cs="Arial"/>
          <w:szCs w:val="24"/>
        </w:rPr>
        <w:t>are</w:t>
      </w:r>
      <w:r>
        <w:rPr>
          <w:rFonts w:cs="Arial"/>
          <w:szCs w:val="24"/>
        </w:rPr>
        <w:t xml:space="preserve"> one of the largest religious group</w:t>
      </w:r>
      <w:r w:rsidR="00710833">
        <w:rPr>
          <w:rFonts w:cs="Arial"/>
          <w:szCs w:val="24"/>
        </w:rPr>
        <w:t>s,</w:t>
      </w:r>
      <w:r>
        <w:rPr>
          <w:rFonts w:cs="Arial"/>
          <w:szCs w:val="24"/>
        </w:rPr>
        <w:t xml:space="preserve"> second only to Christianity. </w:t>
      </w:r>
      <w:r w:rsidRPr="006F6370">
        <w:rPr>
          <w:rFonts w:cs="Arial"/>
          <w:szCs w:val="24"/>
        </w:rPr>
        <w:t xml:space="preserve">  </w:t>
      </w:r>
    </w:p>
    <w:p w:rsidR="008F15C4" w:rsidRPr="008A2068" w:rsidRDefault="008F15C4" w:rsidP="008F15C4">
      <w:pPr>
        <w:tabs>
          <w:tab w:val="num" w:pos="720"/>
        </w:tabs>
        <w:spacing w:line="480" w:lineRule="auto"/>
        <w:ind w:firstLine="720"/>
        <w:rPr>
          <w:rFonts w:cs="Arial"/>
          <w:szCs w:val="24"/>
        </w:rPr>
      </w:pPr>
      <w:bookmarkStart w:id="6" w:name="_Hlk2112294"/>
      <w:r>
        <w:rPr>
          <w:rFonts w:cs="Arial"/>
          <w:szCs w:val="24"/>
        </w:rPr>
        <w:t xml:space="preserve">The UK as a host country to a large population of </w:t>
      </w:r>
      <w:r w:rsidR="00710833" w:rsidRPr="009008E1">
        <w:rPr>
          <w:rFonts w:cs="Arial"/>
          <w:szCs w:val="24"/>
        </w:rPr>
        <w:t>im</w:t>
      </w:r>
      <w:r w:rsidRPr="009008E1">
        <w:rPr>
          <w:rFonts w:cs="Arial"/>
          <w:szCs w:val="24"/>
        </w:rPr>
        <w:t>migrants</w:t>
      </w:r>
      <w:r>
        <w:rPr>
          <w:rFonts w:cs="Arial"/>
          <w:szCs w:val="24"/>
        </w:rPr>
        <w:t xml:space="preserve">, encourages and aims to improve cultural sensitivity and awareness in relation to migrant mental health issues as stated by </w:t>
      </w:r>
      <w:r w:rsidRPr="008A2068">
        <w:rPr>
          <w:rFonts w:cs="Arial"/>
          <w:szCs w:val="24"/>
        </w:rPr>
        <w:t>Karasz</w:t>
      </w:r>
      <w:r>
        <w:rPr>
          <w:rFonts w:cs="Arial"/>
          <w:szCs w:val="24"/>
        </w:rPr>
        <w:t xml:space="preserve"> et al.</w:t>
      </w:r>
      <w:r w:rsidRPr="008A2068">
        <w:rPr>
          <w:rFonts w:cs="Arial"/>
          <w:szCs w:val="24"/>
        </w:rPr>
        <w:t xml:space="preserve"> (2016)</w:t>
      </w:r>
      <w:r>
        <w:rPr>
          <w:rFonts w:cs="Arial"/>
          <w:szCs w:val="24"/>
        </w:rPr>
        <w:t xml:space="preserve"> </w:t>
      </w:r>
      <w:bookmarkEnd w:id="6"/>
      <w:r>
        <w:rPr>
          <w:rFonts w:cs="Arial"/>
          <w:szCs w:val="24"/>
        </w:rPr>
        <w:t xml:space="preserve">who also highlight that an in-depth understanding and </w:t>
      </w:r>
      <w:r>
        <w:rPr>
          <w:rFonts w:cs="Arial"/>
          <w:szCs w:val="24"/>
        </w:rPr>
        <w:lastRenderedPageBreak/>
        <w:t xml:space="preserve">awareness of different cultural beliefs is needed in relation to mental health issues and possible barriers to medical support. Their study also highlights that South Asian migrants in the US experienced substantial rates of undiagnosed mental health issues such as anxiety, depression, self-harm and eating disorders, leading to a high suicide rate in South Asian women. This is attributable to psychological distress, acculturate pressure, social factors, isolation, segregation, unemployment, family suppression and discrimination. This can also have a negative effect on subsequent generations. </w:t>
      </w:r>
      <w:r w:rsidRPr="00D13040">
        <w:rPr>
          <w:rFonts w:cs="Arial"/>
          <w:szCs w:val="24"/>
        </w:rPr>
        <w:t xml:space="preserve">Karasz </w:t>
      </w:r>
      <w:r>
        <w:rPr>
          <w:rFonts w:cs="Arial"/>
          <w:szCs w:val="24"/>
        </w:rPr>
        <w:t xml:space="preserve">et al. </w:t>
      </w:r>
      <w:r w:rsidRPr="00D13040">
        <w:rPr>
          <w:rFonts w:cs="Arial"/>
          <w:szCs w:val="24"/>
        </w:rPr>
        <w:t xml:space="preserve">(2016) </w:t>
      </w:r>
      <w:r>
        <w:rPr>
          <w:rFonts w:cs="Arial"/>
          <w:szCs w:val="24"/>
        </w:rPr>
        <w:t xml:space="preserve">also found that Muslims were less likely to seek professional help regarding mental health issues, which is suggested to be due </w:t>
      </w:r>
      <w:r w:rsidRPr="009008E1">
        <w:rPr>
          <w:rFonts w:cs="Arial"/>
          <w:szCs w:val="24"/>
        </w:rPr>
        <w:t>to</w:t>
      </w:r>
      <w:r w:rsidR="00710833" w:rsidRPr="009008E1">
        <w:rPr>
          <w:rFonts w:cs="Arial"/>
          <w:szCs w:val="24"/>
        </w:rPr>
        <w:t xml:space="preserve"> cultural differences and a </w:t>
      </w:r>
      <w:r w:rsidRPr="009008E1">
        <w:rPr>
          <w:rFonts w:cs="Arial"/>
          <w:szCs w:val="24"/>
        </w:rPr>
        <w:t>lack of understanding of the available mental health services</w:t>
      </w:r>
      <w:r>
        <w:rPr>
          <w:rFonts w:cs="Arial"/>
          <w:szCs w:val="24"/>
        </w:rPr>
        <w:t xml:space="preserve"> and support.      </w:t>
      </w:r>
    </w:p>
    <w:p w:rsidR="008F15C4" w:rsidRDefault="008F15C4" w:rsidP="008F15C4">
      <w:pPr>
        <w:spacing w:line="480" w:lineRule="auto"/>
        <w:ind w:firstLine="720"/>
        <w:rPr>
          <w:rFonts w:cs="Arial"/>
          <w:szCs w:val="24"/>
        </w:rPr>
      </w:pPr>
      <w:r w:rsidRPr="0043348B">
        <w:rPr>
          <w:rFonts w:cs="Arial"/>
          <w:szCs w:val="24"/>
        </w:rPr>
        <w:t xml:space="preserve">Muslims are not only </w:t>
      </w:r>
      <w:r>
        <w:rPr>
          <w:rFonts w:cs="Arial"/>
          <w:szCs w:val="24"/>
        </w:rPr>
        <w:t>exposed to high level</w:t>
      </w:r>
      <w:r w:rsidRPr="0043348B">
        <w:rPr>
          <w:rFonts w:cs="Arial"/>
          <w:szCs w:val="24"/>
        </w:rPr>
        <w:t>s of risk factors</w:t>
      </w:r>
      <w:r>
        <w:rPr>
          <w:rFonts w:cs="Arial"/>
          <w:szCs w:val="24"/>
        </w:rPr>
        <w:t xml:space="preserve"> due to migration in</w:t>
      </w:r>
      <w:r w:rsidRPr="0043348B">
        <w:rPr>
          <w:rFonts w:cs="Arial"/>
          <w:szCs w:val="24"/>
        </w:rPr>
        <w:t xml:space="preserve"> </w:t>
      </w:r>
      <w:r>
        <w:rPr>
          <w:rFonts w:cs="Arial"/>
          <w:szCs w:val="24"/>
        </w:rPr>
        <w:t>relation to</w:t>
      </w:r>
      <w:r w:rsidRPr="0043348B">
        <w:rPr>
          <w:rFonts w:cs="Arial"/>
          <w:szCs w:val="24"/>
        </w:rPr>
        <w:t xml:space="preserve"> develop</w:t>
      </w:r>
      <w:r>
        <w:rPr>
          <w:rFonts w:cs="Arial"/>
          <w:szCs w:val="24"/>
        </w:rPr>
        <w:t>ing</w:t>
      </w:r>
      <w:r w:rsidRPr="0043348B">
        <w:rPr>
          <w:rFonts w:cs="Arial"/>
          <w:szCs w:val="24"/>
        </w:rPr>
        <w:t xml:space="preserve"> mental health issues</w:t>
      </w:r>
      <w:r>
        <w:rPr>
          <w:rFonts w:cs="Arial"/>
          <w:szCs w:val="24"/>
        </w:rPr>
        <w:t xml:space="preserve">, they also have additional issues due to the perceived possibility of a threat of terrorism, radicalisation and extremism by the host country. The theory and evidence of the mental health issues faced by Muslim migrants, as discussed by </w:t>
      </w:r>
      <w:r w:rsidRPr="00B93B6E">
        <w:rPr>
          <w:rFonts w:cs="Arial"/>
          <w:szCs w:val="24"/>
        </w:rPr>
        <w:t>Daneshpour</w:t>
      </w:r>
      <w:r>
        <w:rPr>
          <w:rFonts w:cs="Arial"/>
          <w:szCs w:val="24"/>
        </w:rPr>
        <w:t xml:space="preserve"> and</w:t>
      </w:r>
      <w:r w:rsidRPr="00B93B6E">
        <w:rPr>
          <w:rFonts w:cs="Arial"/>
          <w:szCs w:val="24"/>
        </w:rPr>
        <w:t xml:space="preserve"> Dadras (2018)</w:t>
      </w:r>
      <w:r>
        <w:rPr>
          <w:rFonts w:cs="Arial"/>
          <w:szCs w:val="24"/>
        </w:rPr>
        <w:t xml:space="preserve"> indicates that the rise of radicalisation and demonization of Muslims on all media platforms, increases stigmatisation and Islamophobia in the west, which in turn has increased psychological distress, due to the increase of hate crime and attacks on the Muslim community.</w:t>
      </w:r>
      <w:r w:rsidRPr="003A6A53">
        <w:t xml:space="preserve"> </w:t>
      </w:r>
      <w:bookmarkStart w:id="7" w:name="_Hlk1930812"/>
      <w:r w:rsidRPr="003A6A53">
        <w:rPr>
          <w:rFonts w:cs="Arial"/>
          <w:szCs w:val="24"/>
        </w:rPr>
        <w:t>Giuliani,</w:t>
      </w:r>
      <w:r>
        <w:rPr>
          <w:rFonts w:cs="Arial"/>
          <w:szCs w:val="24"/>
        </w:rPr>
        <w:t xml:space="preserve"> </w:t>
      </w:r>
      <w:r w:rsidRPr="003A6A53">
        <w:rPr>
          <w:rFonts w:cs="Arial"/>
          <w:szCs w:val="24"/>
        </w:rPr>
        <w:t>Tagliabue,</w:t>
      </w:r>
      <w:r>
        <w:rPr>
          <w:rFonts w:cs="Arial"/>
          <w:szCs w:val="24"/>
        </w:rPr>
        <w:t xml:space="preserve"> and</w:t>
      </w:r>
      <w:r w:rsidRPr="003A6A53">
        <w:rPr>
          <w:rFonts w:cs="Arial"/>
          <w:szCs w:val="24"/>
        </w:rPr>
        <w:t xml:space="preserve"> Regalia</w:t>
      </w:r>
      <w:r>
        <w:rPr>
          <w:rFonts w:cs="Arial"/>
          <w:szCs w:val="24"/>
        </w:rPr>
        <w:t xml:space="preserve"> </w:t>
      </w:r>
      <w:r w:rsidRPr="003A6A53">
        <w:rPr>
          <w:rFonts w:cs="Arial"/>
          <w:szCs w:val="24"/>
        </w:rPr>
        <w:t>(2018)</w:t>
      </w:r>
      <w:r>
        <w:rPr>
          <w:rFonts w:cs="Arial"/>
          <w:szCs w:val="24"/>
        </w:rPr>
        <w:t xml:space="preserve"> </w:t>
      </w:r>
      <w:bookmarkEnd w:id="7"/>
      <w:r>
        <w:rPr>
          <w:rFonts w:cs="Arial"/>
          <w:szCs w:val="24"/>
        </w:rPr>
        <w:t xml:space="preserve">also highlight in their study, the growing discrimination against young Muslims and whether this results in negative psychological </w:t>
      </w:r>
      <w:r>
        <w:rPr>
          <w:rFonts w:cs="Arial"/>
          <w:szCs w:val="24"/>
        </w:rPr>
        <w:lastRenderedPageBreak/>
        <w:t>wellness and wellbeing, leading to mental health issues in first and second generati</w:t>
      </w:r>
      <w:r w:rsidRPr="009008E1">
        <w:rPr>
          <w:rFonts w:cs="Arial"/>
          <w:szCs w:val="24"/>
        </w:rPr>
        <w:t>on</w:t>
      </w:r>
      <w:r w:rsidR="00710833" w:rsidRPr="009008E1">
        <w:rPr>
          <w:rFonts w:cs="Arial"/>
          <w:szCs w:val="24"/>
        </w:rPr>
        <w:t>s</w:t>
      </w:r>
      <w:r>
        <w:rPr>
          <w:rFonts w:cs="Arial"/>
          <w:szCs w:val="24"/>
        </w:rPr>
        <w:t xml:space="preserve"> of youth and adult immigrants. Their findings indicate that first generation immigrants were less affected psychologically than the second generation Muslims. The second generation experienced higher levels of depression, lower satisfaction in migration, and a difficulty acculturating due to being faced with prejudice, discrimination and suspicion towards the Muslim community which has risen in recent years.  </w:t>
      </w:r>
      <w:r w:rsidRPr="00D869FE">
        <w:rPr>
          <w:rFonts w:cs="Arial"/>
          <w:szCs w:val="24"/>
        </w:rPr>
        <w:t xml:space="preserve">Giuliani, Tagliabue, and Regalia (2018) </w:t>
      </w:r>
      <w:r>
        <w:rPr>
          <w:rFonts w:cs="Arial"/>
          <w:szCs w:val="24"/>
        </w:rPr>
        <w:t>also stated that the second generation must assimilate their own beliefs and religion as well as conform to the host country’s cultural environment, having to negotiate multifaceted complexities relating to identity processes amidst growing religious discrimination and terrorism.</w:t>
      </w:r>
    </w:p>
    <w:p w:rsidR="008F15C4" w:rsidRDefault="008F15C4" w:rsidP="008F15C4">
      <w:pPr>
        <w:spacing w:line="480" w:lineRule="auto"/>
        <w:ind w:firstLine="720"/>
        <w:rPr>
          <w:rFonts w:cs="Arial"/>
          <w:szCs w:val="24"/>
        </w:rPr>
      </w:pPr>
      <w:bookmarkStart w:id="8" w:name="_Hlk2104890"/>
      <w:r>
        <w:rPr>
          <w:rFonts w:cs="Arial"/>
          <w:szCs w:val="24"/>
        </w:rPr>
        <w:t xml:space="preserve">A major impact on migrant psychological status, is the perceived fear of threat which is experienced by the host country as found by </w:t>
      </w:r>
      <w:r w:rsidRPr="00331AF9">
        <w:rPr>
          <w:rFonts w:cs="Arial"/>
          <w:szCs w:val="24"/>
        </w:rPr>
        <w:t>Abrams, Van de Vyver,</w:t>
      </w:r>
      <w:r>
        <w:rPr>
          <w:rFonts w:cs="Arial"/>
          <w:szCs w:val="24"/>
        </w:rPr>
        <w:t xml:space="preserve"> </w:t>
      </w:r>
      <w:r w:rsidRPr="00331AF9">
        <w:rPr>
          <w:rFonts w:cs="Arial"/>
          <w:szCs w:val="24"/>
        </w:rPr>
        <w:t xml:space="preserve">Houston, </w:t>
      </w:r>
      <w:r>
        <w:rPr>
          <w:rFonts w:cs="Arial"/>
          <w:szCs w:val="24"/>
        </w:rPr>
        <w:t>and</w:t>
      </w:r>
      <w:r w:rsidRPr="00331AF9">
        <w:rPr>
          <w:rFonts w:cs="Arial"/>
          <w:szCs w:val="24"/>
        </w:rPr>
        <w:t xml:space="preserve"> Vasiljevic (2017)</w:t>
      </w:r>
      <w:bookmarkEnd w:id="8"/>
      <w:r>
        <w:rPr>
          <w:rFonts w:cs="Arial"/>
          <w:szCs w:val="24"/>
        </w:rPr>
        <w:t>. This fear of threat has increased and as such there has been an increase in the psychological issues faced by Muslims. Although terrorism or intergroup aggression has been a fear factor for many years, use of modern technology now allows the ability to access and influence large audiences in an instant, which has also transformed the way in which members of the public assimilate and react to such information. This has led to a higher level of threat towards the safety of Muslim as stated by Abrams</w:t>
      </w:r>
      <w:r w:rsidRPr="00087F2A">
        <w:rPr>
          <w:rFonts w:cs="Arial"/>
          <w:szCs w:val="24"/>
        </w:rPr>
        <w:t xml:space="preserve"> </w:t>
      </w:r>
      <w:r>
        <w:rPr>
          <w:rFonts w:cs="Arial"/>
          <w:szCs w:val="24"/>
        </w:rPr>
        <w:t xml:space="preserve">et el. </w:t>
      </w:r>
      <w:r w:rsidRPr="00087F2A">
        <w:rPr>
          <w:rFonts w:cs="Arial"/>
          <w:szCs w:val="24"/>
        </w:rPr>
        <w:t>(2017)</w:t>
      </w:r>
      <w:r>
        <w:rPr>
          <w:rFonts w:cs="Arial"/>
          <w:szCs w:val="24"/>
        </w:rPr>
        <w:t xml:space="preserve">. This is also discussed by </w:t>
      </w:r>
      <w:bookmarkStart w:id="9" w:name="_Hlk2107565"/>
      <w:r w:rsidRPr="001673D6">
        <w:rPr>
          <w:rFonts w:cs="Arial"/>
          <w:szCs w:val="24"/>
        </w:rPr>
        <w:t>Coppock</w:t>
      </w:r>
      <w:r>
        <w:rPr>
          <w:rFonts w:cs="Arial"/>
          <w:szCs w:val="24"/>
        </w:rPr>
        <w:t xml:space="preserve"> and </w:t>
      </w:r>
      <w:r w:rsidRPr="001673D6">
        <w:rPr>
          <w:rFonts w:cs="Arial"/>
          <w:szCs w:val="24"/>
        </w:rPr>
        <w:lastRenderedPageBreak/>
        <w:t>McGovern (2014)</w:t>
      </w:r>
      <w:r>
        <w:rPr>
          <w:rFonts w:cs="Arial"/>
          <w:szCs w:val="24"/>
        </w:rPr>
        <w:t xml:space="preserve"> </w:t>
      </w:r>
      <w:bookmarkEnd w:id="9"/>
      <w:r>
        <w:rPr>
          <w:rFonts w:cs="Arial"/>
          <w:szCs w:val="24"/>
        </w:rPr>
        <w:t>who highlight that this perceived threat towards both Muslim and non-Muslim citizens is linked to an increase in psychological vulnerabilities within these communities. These vulnerabilities can increase the possibility of radicalisation of Muslim youth, indicating that all migrant Muslim children are susceptible to radicalisation due to issues such as self-identifying, cultural and religious beliefs as well as self-prophecy. This in turn results in anticipatory, officious and scrutinising behaviours towards young Muslims, thus resulting in challenging mental health and wellbeing concerns by the host country</w:t>
      </w:r>
      <w:r w:rsidR="009008E1">
        <w:rPr>
          <w:rFonts w:cs="Arial"/>
          <w:szCs w:val="24"/>
        </w:rPr>
        <w:t xml:space="preserve"> </w:t>
      </w:r>
      <w:r>
        <w:rPr>
          <w:rFonts w:cs="Arial"/>
          <w:szCs w:val="24"/>
        </w:rPr>
        <w:t xml:space="preserve">in </w:t>
      </w:r>
      <w:r w:rsidR="002D4382" w:rsidRPr="009008E1">
        <w:rPr>
          <w:rFonts w:cs="Arial"/>
          <w:szCs w:val="24"/>
        </w:rPr>
        <w:t>its</w:t>
      </w:r>
      <w:r w:rsidR="002D4382">
        <w:rPr>
          <w:rFonts w:cs="Arial"/>
          <w:szCs w:val="24"/>
        </w:rPr>
        <w:t xml:space="preserve"> </w:t>
      </w:r>
      <w:r>
        <w:rPr>
          <w:rFonts w:cs="Arial"/>
          <w:szCs w:val="24"/>
        </w:rPr>
        <w:t xml:space="preserve">attempt </w:t>
      </w:r>
      <w:r w:rsidRPr="009008E1">
        <w:rPr>
          <w:rFonts w:cs="Arial"/>
          <w:szCs w:val="24"/>
        </w:rPr>
        <w:t xml:space="preserve">to </w:t>
      </w:r>
      <w:r w:rsidR="002D4382" w:rsidRPr="009008E1">
        <w:rPr>
          <w:rFonts w:cs="Arial"/>
          <w:szCs w:val="24"/>
        </w:rPr>
        <w:t>avoid</w:t>
      </w:r>
      <w:r w:rsidR="002D4382">
        <w:rPr>
          <w:rFonts w:cs="Arial"/>
          <w:szCs w:val="24"/>
        </w:rPr>
        <w:t xml:space="preserve"> </w:t>
      </w:r>
      <w:r>
        <w:rPr>
          <w:rFonts w:cs="Arial"/>
          <w:szCs w:val="24"/>
        </w:rPr>
        <w:t xml:space="preserve">radicalisation as stated by </w:t>
      </w:r>
      <w:r w:rsidRPr="00164584">
        <w:rPr>
          <w:rFonts w:cs="Arial"/>
          <w:szCs w:val="24"/>
        </w:rPr>
        <w:t>Coppock and McGovern (2014)</w:t>
      </w:r>
      <w:r>
        <w:rPr>
          <w:rFonts w:cs="Arial"/>
          <w:szCs w:val="24"/>
        </w:rPr>
        <w:t xml:space="preserve">. This results in young Muslims being left bereft of meaningful social and political intervention. </w:t>
      </w:r>
    </w:p>
    <w:p w:rsidR="008F15C4" w:rsidRDefault="008F15C4" w:rsidP="008F15C4">
      <w:pPr>
        <w:spacing w:line="480" w:lineRule="auto"/>
        <w:ind w:firstLine="720"/>
        <w:rPr>
          <w:rFonts w:cs="Arial"/>
          <w:szCs w:val="24"/>
        </w:rPr>
      </w:pPr>
      <w:r>
        <w:rPr>
          <w:rFonts w:cs="Arial"/>
          <w:szCs w:val="24"/>
        </w:rPr>
        <w:t xml:space="preserve">Due to the increase in threat of terrorism, the UK has increased intervention and surveillance, which has increased the powers of stop, search, arrest and detention along with creating new crimes such as distribution of extremist and glorifying of terrorist material online due to government acts in place such as the </w:t>
      </w:r>
      <w:bookmarkStart w:id="10" w:name="_Hlk2109133"/>
      <w:r>
        <w:rPr>
          <w:rFonts w:cs="Arial"/>
          <w:szCs w:val="24"/>
        </w:rPr>
        <w:t xml:space="preserve">Terrorism Act 2000 </w:t>
      </w:r>
      <w:bookmarkEnd w:id="10"/>
      <w:r>
        <w:rPr>
          <w:rFonts w:cs="Arial"/>
          <w:szCs w:val="24"/>
        </w:rPr>
        <w:t>and the Counter Terrorism Act 2008. This adds to the vicious cycle of self-prophesy for both the host country and the Muslim community</w:t>
      </w:r>
      <w:r w:rsidR="009008E1">
        <w:rPr>
          <w:rFonts w:cs="Arial"/>
          <w:szCs w:val="24"/>
        </w:rPr>
        <w:t xml:space="preserve"> </w:t>
      </w:r>
      <w:r w:rsidR="008205EC">
        <w:rPr>
          <w:rFonts w:cs="Arial"/>
          <w:szCs w:val="24"/>
        </w:rPr>
        <w:t>a</w:t>
      </w:r>
      <w:r w:rsidR="009008E1">
        <w:rPr>
          <w:rFonts w:cs="Arial"/>
          <w:szCs w:val="24"/>
        </w:rPr>
        <w:t xml:space="preserve">s indicated by </w:t>
      </w:r>
      <w:r w:rsidR="009008E1" w:rsidRPr="009008E1">
        <w:rPr>
          <w:rFonts w:cs="Arial"/>
          <w:szCs w:val="24"/>
        </w:rPr>
        <w:t>Abbas and Awan (2015)</w:t>
      </w:r>
      <w:r>
        <w:rPr>
          <w:rFonts w:cs="Arial"/>
          <w:szCs w:val="24"/>
        </w:rPr>
        <w:t>.</w:t>
      </w:r>
    </w:p>
    <w:p w:rsidR="002D4382" w:rsidRDefault="008F15C4" w:rsidP="008F15C4">
      <w:pPr>
        <w:spacing w:line="480" w:lineRule="auto"/>
        <w:ind w:firstLine="720"/>
        <w:rPr>
          <w:rFonts w:cs="Arial"/>
          <w:szCs w:val="24"/>
        </w:rPr>
      </w:pPr>
      <w:r w:rsidRPr="00C65DB6">
        <w:rPr>
          <w:rFonts w:cs="Arial"/>
          <w:szCs w:val="24"/>
        </w:rPr>
        <w:t>Abbas</w:t>
      </w:r>
      <w:r>
        <w:rPr>
          <w:rFonts w:cs="Arial"/>
          <w:szCs w:val="24"/>
        </w:rPr>
        <w:t xml:space="preserve"> and </w:t>
      </w:r>
      <w:r w:rsidRPr="00C65DB6">
        <w:rPr>
          <w:rFonts w:cs="Arial"/>
          <w:szCs w:val="24"/>
        </w:rPr>
        <w:t>Awan (2015)</w:t>
      </w:r>
      <w:r>
        <w:rPr>
          <w:rFonts w:cs="Arial"/>
          <w:szCs w:val="24"/>
        </w:rPr>
        <w:t xml:space="preserve">, highlight the implications resulting from the formation of the UK Counter Terrorism and Security Act 2015, the aim of which was to reduce the threat of terrorism and extremism. This </w:t>
      </w:r>
      <w:r>
        <w:rPr>
          <w:rFonts w:cs="Arial"/>
          <w:szCs w:val="24"/>
        </w:rPr>
        <w:lastRenderedPageBreak/>
        <w:t xml:space="preserve">act and previous interventions, however, according to </w:t>
      </w:r>
      <w:bookmarkStart w:id="11" w:name="_Hlk2879209"/>
      <w:r w:rsidRPr="003774C7">
        <w:rPr>
          <w:rFonts w:cs="Arial"/>
          <w:szCs w:val="24"/>
        </w:rPr>
        <w:t xml:space="preserve">Abbas and Awan (2015), </w:t>
      </w:r>
      <w:bookmarkEnd w:id="11"/>
      <w:r>
        <w:rPr>
          <w:rFonts w:cs="Arial"/>
          <w:szCs w:val="24"/>
        </w:rPr>
        <w:t>has formed suspect communities and bred fear to an extent that many young Muslims are estranged from community engagement and socialisation. This encourages young Muslims to withdraw from UK society and effectively increases Islamophobia and Far Right Extremism, leading to higher levels of mental health issues as well as increasing vulnerability of radicalisations</w:t>
      </w:r>
      <w:r w:rsidR="00C25A8B">
        <w:rPr>
          <w:rFonts w:cs="Arial"/>
          <w:szCs w:val="24"/>
        </w:rPr>
        <w:t xml:space="preserve"> as suggested by </w:t>
      </w:r>
      <w:r w:rsidR="00C25A8B" w:rsidRPr="00C25A8B">
        <w:rPr>
          <w:rFonts w:cs="Arial"/>
          <w:szCs w:val="24"/>
        </w:rPr>
        <w:t>Abbas and Awan (2015)</w:t>
      </w:r>
      <w:r>
        <w:rPr>
          <w:rFonts w:cs="Arial"/>
          <w:szCs w:val="24"/>
        </w:rPr>
        <w:t>.</w:t>
      </w:r>
    </w:p>
    <w:p w:rsidR="008F15C4" w:rsidRDefault="002D4382" w:rsidP="008F15C4">
      <w:pPr>
        <w:spacing w:line="480" w:lineRule="auto"/>
        <w:ind w:firstLine="720"/>
        <w:rPr>
          <w:rFonts w:cs="Arial"/>
          <w:color w:val="C00000"/>
          <w:szCs w:val="24"/>
        </w:rPr>
      </w:pPr>
      <w:r w:rsidRPr="00C25A8B">
        <w:rPr>
          <w:rFonts w:cs="Arial"/>
          <w:szCs w:val="24"/>
        </w:rPr>
        <w:t>Those whose role it is to implement</w:t>
      </w:r>
      <w:r>
        <w:rPr>
          <w:rFonts w:cs="Arial"/>
          <w:szCs w:val="24"/>
        </w:rPr>
        <w:t xml:space="preserve"> </w:t>
      </w:r>
      <w:r w:rsidR="008F15C4">
        <w:rPr>
          <w:rFonts w:cs="Arial"/>
          <w:szCs w:val="24"/>
        </w:rPr>
        <w:t>the above acts</w:t>
      </w:r>
      <w:r>
        <w:rPr>
          <w:rFonts w:cs="Arial"/>
          <w:szCs w:val="24"/>
        </w:rPr>
        <w:t>,</w:t>
      </w:r>
      <w:r w:rsidR="008F15C4">
        <w:rPr>
          <w:rFonts w:cs="Arial"/>
          <w:szCs w:val="24"/>
        </w:rPr>
        <w:t xml:space="preserve"> such as social workers, police, youth workers and faith workers</w:t>
      </w:r>
      <w:r>
        <w:rPr>
          <w:rFonts w:cs="Arial"/>
          <w:szCs w:val="24"/>
        </w:rPr>
        <w:t>,</w:t>
      </w:r>
      <w:r w:rsidR="008F15C4">
        <w:rPr>
          <w:rFonts w:cs="Arial"/>
          <w:szCs w:val="24"/>
        </w:rPr>
        <w:t xml:space="preserve"> are at the forefront of community engagement providing and offering social structure and support</w:t>
      </w:r>
      <w:r w:rsidR="008F15C4" w:rsidRPr="00C25A8B">
        <w:rPr>
          <w:rFonts w:cs="Arial"/>
          <w:szCs w:val="24"/>
        </w:rPr>
        <w:t xml:space="preserve">, </w:t>
      </w:r>
      <w:r w:rsidRPr="00C25A8B">
        <w:rPr>
          <w:rFonts w:cs="Arial"/>
          <w:szCs w:val="24"/>
        </w:rPr>
        <w:t xml:space="preserve">however, </w:t>
      </w:r>
      <w:r w:rsidR="008F15C4" w:rsidRPr="00C25A8B">
        <w:rPr>
          <w:rFonts w:cs="Arial"/>
          <w:szCs w:val="24"/>
        </w:rPr>
        <w:t>they are face</w:t>
      </w:r>
      <w:r w:rsidRPr="00C25A8B">
        <w:rPr>
          <w:rFonts w:cs="Arial"/>
          <w:szCs w:val="24"/>
        </w:rPr>
        <w:t>d</w:t>
      </w:r>
      <w:r w:rsidR="008F15C4" w:rsidRPr="00C25A8B">
        <w:rPr>
          <w:rFonts w:cs="Arial"/>
          <w:szCs w:val="24"/>
        </w:rPr>
        <w:t xml:space="preserve"> with</w:t>
      </w:r>
      <w:r w:rsidR="008F15C4">
        <w:rPr>
          <w:rFonts w:cs="Arial"/>
          <w:szCs w:val="24"/>
        </w:rPr>
        <w:t xml:space="preserve"> heightened fear of threat due somewhat to the Counter Terrorism Security Act (2015) which according to</w:t>
      </w:r>
      <w:r w:rsidR="008F15C4" w:rsidRPr="003774C7">
        <w:t xml:space="preserve"> </w:t>
      </w:r>
      <w:r w:rsidR="008F15C4" w:rsidRPr="003774C7">
        <w:rPr>
          <w:rFonts w:cs="Arial"/>
          <w:szCs w:val="24"/>
        </w:rPr>
        <w:t>Abbas and Awan (2015</w:t>
      </w:r>
      <w:r w:rsidR="008F15C4">
        <w:rPr>
          <w:rFonts w:cs="Arial"/>
          <w:szCs w:val="24"/>
        </w:rPr>
        <w:t>) focuses heavily on religion and culture rather than social structure and agency support</w:t>
      </w:r>
      <w:r w:rsidR="008F15C4">
        <w:rPr>
          <w:rFonts w:cs="Arial"/>
          <w:color w:val="000000" w:themeColor="text1"/>
          <w:szCs w:val="24"/>
        </w:rPr>
        <w:t>.</w:t>
      </w:r>
      <w:r w:rsidR="008F15C4" w:rsidRPr="00451EE3">
        <w:rPr>
          <w:rFonts w:cs="Arial"/>
          <w:color w:val="C00000"/>
          <w:szCs w:val="24"/>
        </w:rPr>
        <w:t xml:space="preserve"> </w:t>
      </w:r>
    </w:p>
    <w:p w:rsidR="008F15C4" w:rsidRDefault="008F15C4" w:rsidP="008F15C4">
      <w:pPr>
        <w:spacing w:line="480" w:lineRule="auto"/>
        <w:ind w:firstLine="720"/>
        <w:rPr>
          <w:rFonts w:cs="Arial"/>
          <w:color w:val="000000" w:themeColor="text1"/>
          <w:szCs w:val="24"/>
        </w:rPr>
      </w:pPr>
      <w:r>
        <w:rPr>
          <w:rFonts w:cs="Arial"/>
          <w:color w:val="000000" w:themeColor="text1"/>
          <w:szCs w:val="24"/>
        </w:rPr>
        <w:t xml:space="preserve"> This is also mirrored </w:t>
      </w:r>
      <w:r w:rsidR="002D4382" w:rsidRPr="00C25A8B">
        <w:rPr>
          <w:rFonts w:cs="Arial"/>
          <w:color w:val="000000" w:themeColor="text1"/>
          <w:szCs w:val="24"/>
        </w:rPr>
        <w:t>by</w:t>
      </w:r>
      <w:r w:rsidR="002D4382">
        <w:rPr>
          <w:rFonts w:cs="Arial"/>
          <w:color w:val="000000" w:themeColor="text1"/>
          <w:szCs w:val="24"/>
        </w:rPr>
        <w:t xml:space="preserve"> </w:t>
      </w:r>
      <w:r w:rsidRPr="005668F4">
        <w:rPr>
          <w:rFonts w:cs="Arial"/>
          <w:color w:val="000000" w:themeColor="text1"/>
          <w:szCs w:val="24"/>
        </w:rPr>
        <w:t>Coppock</w:t>
      </w:r>
      <w:r>
        <w:rPr>
          <w:rFonts w:cs="Arial"/>
          <w:color w:val="000000" w:themeColor="text1"/>
          <w:szCs w:val="24"/>
        </w:rPr>
        <w:t xml:space="preserve"> and</w:t>
      </w:r>
      <w:r w:rsidRPr="005668F4">
        <w:rPr>
          <w:rFonts w:cs="Arial"/>
          <w:color w:val="000000" w:themeColor="text1"/>
          <w:szCs w:val="24"/>
        </w:rPr>
        <w:t xml:space="preserve"> McGovern</w:t>
      </w:r>
      <w:r>
        <w:rPr>
          <w:rFonts w:cs="Arial"/>
          <w:color w:val="000000" w:themeColor="text1"/>
          <w:szCs w:val="24"/>
        </w:rPr>
        <w:t xml:space="preserve"> </w:t>
      </w:r>
      <w:r w:rsidRPr="005668F4">
        <w:rPr>
          <w:rFonts w:cs="Arial"/>
          <w:color w:val="000000" w:themeColor="text1"/>
          <w:szCs w:val="24"/>
        </w:rPr>
        <w:t>(2014)</w:t>
      </w:r>
      <w:r>
        <w:rPr>
          <w:rFonts w:cs="Arial"/>
          <w:color w:val="000000" w:themeColor="text1"/>
          <w:szCs w:val="24"/>
        </w:rPr>
        <w:t xml:space="preserve">, and their explanation on radicalisation and extremism, highlighting that </w:t>
      </w:r>
      <w:r w:rsidR="002D4382" w:rsidRPr="00C25A8B">
        <w:rPr>
          <w:rFonts w:cs="Arial"/>
          <w:color w:val="000000" w:themeColor="text1"/>
          <w:szCs w:val="24"/>
        </w:rPr>
        <w:t>im</w:t>
      </w:r>
      <w:r w:rsidRPr="00C25A8B">
        <w:rPr>
          <w:rFonts w:cs="Arial"/>
          <w:color w:val="000000" w:themeColor="text1"/>
          <w:szCs w:val="24"/>
        </w:rPr>
        <w:t>mi</w:t>
      </w:r>
      <w:r>
        <w:rPr>
          <w:rFonts w:cs="Arial"/>
          <w:color w:val="000000" w:themeColor="text1"/>
          <w:szCs w:val="24"/>
        </w:rPr>
        <w:t>grant Muslims are at high risk of youth vulnerability, which can leave them separated from their own beliefs and lifestyles and that of the host country, leaving them susceptible to being ta</w:t>
      </w:r>
      <w:r w:rsidR="002D4382">
        <w:rPr>
          <w:rFonts w:cs="Arial"/>
          <w:color w:val="000000" w:themeColor="text1"/>
          <w:szCs w:val="24"/>
        </w:rPr>
        <w:t xml:space="preserve">rgeted psychologically to </w:t>
      </w:r>
      <w:r w:rsidR="002D4382" w:rsidRPr="00C25A8B">
        <w:rPr>
          <w:rFonts w:cs="Arial"/>
          <w:color w:val="000000" w:themeColor="text1"/>
          <w:szCs w:val="24"/>
        </w:rPr>
        <w:t>becoming</w:t>
      </w:r>
      <w:r w:rsidRPr="00C25A8B">
        <w:rPr>
          <w:rFonts w:cs="Arial"/>
          <w:color w:val="000000" w:themeColor="text1"/>
          <w:szCs w:val="24"/>
        </w:rPr>
        <w:t xml:space="preserve"> extremist. Silke (2008)</w:t>
      </w:r>
      <w:r w:rsidR="002D4382" w:rsidRPr="00C25A8B">
        <w:rPr>
          <w:rFonts w:cs="Arial"/>
          <w:color w:val="000000" w:themeColor="text1"/>
          <w:szCs w:val="24"/>
        </w:rPr>
        <w:t>, also agrees</w:t>
      </w:r>
      <w:r>
        <w:rPr>
          <w:rFonts w:cs="Arial"/>
          <w:color w:val="000000" w:themeColor="text1"/>
          <w:szCs w:val="24"/>
        </w:rPr>
        <w:t xml:space="preserve"> that social identity plays a leading role in the development of radicalisation</w:t>
      </w:r>
      <w:r w:rsidR="002D4382">
        <w:rPr>
          <w:rFonts w:cs="Arial"/>
          <w:color w:val="000000" w:themeColor="text1"/>
          <w:szCs w:val="24"/>
        </w:rPr>
        <w:t>,</w:t>
      </w:r>
      <w:r>
        <w:rPr>
          <w:rFonts w:cs="Arial"/>
          <w:color w:val="000000" w:themeColor="text1"/>
          <w:szCs w:val="24"/>
        </w:rPr>
        <w:t xml:space="preserve"> with those targeted experiencing political discontent, social alienation</w:t>
      </w:r>
      <w:r w:rsidR="002D4382">
        <w:rPr>
          <w:rFonts w:cs="Arial"/>
          <w:color w:val="000000" w:themeColor="text1"/>
          <w:szCs w:val="24"/>
        </w:rPr>
        <w:t xml:space="preserve"> </w:t>
      </w:r>
      <w:r w:rsidR="002D4382">
        <w:rPr>
          <w:rFonts w:cs="Arial"/>
          <w:color w:val="000000" w:themeColor="text1"/>
          <w:szCs w:val="24"/>
        </w:rPr>
        <w:lastRenderedPageBreak/>
        <w:t>and to some degree humiliation</w:t>
      </w:r>
      <w:r w:rsidR="002D4382" w:rsidRPr="00C25A8B">
        <w:rPr>
          <w:rFonts w:cs="Arial"/>
          <w:color w:val="000000" w:themeColor="text1"/>
          <w:szCs w:val="24"/>
        </w:rPr>
        <w:t>. T</w:t>
      </w:r>
      <w:r w:rsidRPr="00C25A8B">
        <w:rPr>
          <w:rFonts w:cs="Arial"/>
          <w:color w:val="000000" w:themeColor="text1"/>
          <w:szCs w:val="24"/>
        </w:rPr>
        <w:t xml:space="preserve">his links back to the ICD-11(2018), explanation on the development of poor mental health being due to abnormalities </w:t>
      </w:r>
      <w:r w:rsidR="002D4382" w:rsidRPr="00C25A8B">
        <w:rPr>
          <w:rFonts w:cs="Arial"/>
          <w:color w:val="000000" w:themeColor="text1"/>
          <w:szCs w:val="24"/>
        </w:rPr>
        <w:t xml:space="preserve">with </w:t>
      </w:r>
      <w:r w:rsidRPr="00C25A8B">
        <w:rPr>
          <w:rFonts w:cs="Arial"/>
          <w:color w:val="000000" w:themeColor="text1"/>
          <w:szCs w:val="24"/>
        </w:rPr>
        <w:t>an individual’s cognition</w:t>
      </w:r>
      <w:r w:rsidRPr="00CF4953">
        <w:rPr>
          <w:rFonts w:cs="Arial"/>
          <w:color w:val="000000" w:themeColor="text1"/>
          <w:szCs w:val="24"/>
        </w:rPr>
        <w:t>, emotional regulation, or behaviour processes</w:t>
      </w:r>
      <w:r>
        <w:rPr>
          <w:rFonts w:cs="Arial"/>
          <w:color w:val="000000" w:themeColor="text1"/>
          <w:szCs w:val="24"/>
        </w:rPr>
        <w:t>.</w:t>
      </w:r>
      <w:r w:rsidRPr="00CF4953">
        <w:rPr>
          <w:rFonts w:cs="Arial"/>
          <w:color w:val="000000" w:themeColor="text1"/>
          <w:szCs w:val="24"/>
        </w:rPr>
        <w:t xml:space="preserve"> </w:t>
      </w:r>
      <w:r>
        <w:rPr>
          <w:rFonts w:cs="Arial"/>
          <w:color w:val="000000" w:themeColor="text1"/>
          <w:szCs w:val="24"/>
        </w:rPr>
        <w:t xml:space="preserve">This is reinforced by </w:t>
      </w:r>
      <w:r w:rsidRPr="004A4D7B">
        <w:rPr>
          <w:rFonts w:cs="Arial"/>
          <w:color w:val="000000" w:themeColor="text1"/>
          <w:szCs w:val="24"/>
        </w:rPr>
        <w:t>Weenink</w:t>
      </w:r>
      <w:r>
        <w:rPr>
          <w:rFonts w:cs="Arial"/>
          <w:color w:val="000000" w:themeColor="text1"/>
          <w:szCs w:val="24"/>
        </w:rPr>
        <w:t xml:space="preserve"> </w:t>
      </w:r>
      <w:r w:rsidRPr="004A4D7B">
        <w:rPr>
          <w:rFonts w:cs="Arial"/>
          <w:color w:val="000000" w:themeColor="text1"/>
          <w:szCs w:val="24"/>
        </w:rPr>
        <w:t>(2015)</w:t>
      </w:r>
      <w:r>
        <w:rPr>
          <w:rFonts w:cs="Arial"/>
          <w:color w:val="000000" w:themeColor="text1"/>
          <w:szCs w:val="24"/>
        </w:rPr>
        <w:t xml:space="preserve">, who’s study found a positive correlation between behavioural and mental health issues in radicalised individuals, where individuals who face isolation, marginalisation and alienation in their communities have a higher susceptibility </w:t>
      </w:r>
      <w:r w:rsidR="002D4382" w:rsidRPr="00C25A8B">
        <w:rPr>
          <w:rFonts w:cs="Arial"/>
          <w:color w:val="000000" w:themeColor="text1"/>
          <w:szCs w:val="24"/>
        </w:rPr>
        <w:t>to</w:t>
      </w:r>
      <w:r w:rsidR="002D4382">
        <w:rPr>
          <w:rFonts w:cs="Arial"/>
          <w:color w:val="000000" w:themeColor="text1"/>
          <w:szCs w:val="24"/>
        </w:rPr>
        <w:t xml:space="preserve"> </w:t>
      </w:r>
      <w:r>
        <w:rPr>
          <w:rFonts w:cs="Arial"/>
          <w:color w:val="000000" w:themeColor="text1"/>
          <w:szCs w:val="24"/>
        </w:rPr>
        <w:t xml:space="preserve">being targeted, for purposes of radicalisation, which in turn deepens the risk of mental health </w:t>
      </w:r>
      <w:r w:rsidRPr="00C25A8B">
        <w:rPr>
          <w:rFonts w:cs="Arial"/>
          <w:color w:val="000000" w:themeColor="text1"/>
          <w:szCs w:val="24"/>
        </w:rPr>
        <w:t xml:space="preserve">issues, </w:t>
      </w:r>
      <w:r w:rsidR="007653B9" w:rsidRPr="00C25A8B">
        <w:rPr>
          <w:rFonts w:cs="Arial"/>
          <w:color w:val="000000" w:themeColor="text1"/>
          <w:szCs w:val="24"/>
        </w:rPr>
        <w:t xml:space="preserve">a </w:t>
      </w:r>
      <w:r w:rsidRPr="00C25A8B">
        <w:rPr>
          <w:rFonts w:cs="Arial"/>
          <w:color w:val="000000" w:themeColor="text1"/>
          <w:szCs w:val="24"/>
        </w:rPr>
        <w:t>notion</w:t>
      </w:r>
      <w:r>
        <w:rPr>
          <w:rFonts w:cs="Arial"/>
          <w:color w:val="000000" w:themeColor="text1"/>
          <w:szCs w:val="24"/>
        </w:rPr>
        <w:t xml:space="preserve"> </w:t>
      </w:r>
      <w:r w:rsidR="007653B9" w:rsidRPr="00C25A8B">
        <w:rPr>
          <w:rFonts w:cs="Arial"/>
          <w:color w:val="000000" w:themeColor="text1"/>
          <w:szCs w:val="24"/>
        </w:rPr>
        <w:t>which</w:t>
      </w:r>
      <w:r w:rsidR="007653B9">
        <w:rPr>
          <w:rFonts w:cs="Arial"/>
          <w:color w:val="000000" w:themeColor="text1"/>
          <w:szCs w:val="24"/>
        </w:rPr>
        <w:t xml:space="preserve"> </w:t>
      </w:r>
      <w:r>
        <w:rPr>
          <w:rFonts w:cs="Arial"/>
          <w:color w:val="000000" w:themeColor="text1"/>
          <w:szCs w:val="24"/>
        </w:rPr>
        <w:t xml:space="preserve">has also been highlighted by </w:t>
      </w:r>
      <w:r w:rsidRPr="00F9613B">
        <w:rPr>
          <w:rFonts w:cs="Arial"/>
          <w:color w:val="000000" w:themeColor="text1"/>
          <w:szCs w:val="24"/>
        </w:rPr>
        <w:t>Sestoft, Hansen,</w:t>
      </w:r>
      <w:r>
        <w:rPr>
          <w:rFonts w:cs="Arial"/>
          <w:color w:val="000000" w:themeColor="text1"/>
          <w:szCs w:val="24"/>
        </w:rPr>
        <w:t xml:space="preserve"> and</w:t>
      </w:r>
      <w:r w:rsidRPr="00F9613B">
        <w:rPr>
          <w:rFonts w:cs="Arial"/>
          <w:color w:val="000000" w:themeColor="text1"/>
          <w:szCs w:val="24"/>
        </w:rPr>
        <w:t xml:space="preserve"> Christensen (2017).</w:t>
      </w:r>
    </w:p>
    <w:p w:rsidR="008F15C4" w:rsidRDefault="008F15C4" w:rsidP="008F15C4">
      <w:pPr>
        <w:spacing w:line="480" w:lineRule="auto"/>
        <w:ind w:firstLine="720"/>
        <w:rPr>
          <w:rFonts w:cs="Arial"/>
          <w:szCs w:val="24"/>
        </w:rPr>
      </w:pPr>
      <w:bookmarkStart w:id="12" w:name="_Hlk2259200"/>
      <w:r>
        <w:rPr>
          <w:rFonts w:cs="Arial"/>
          <w:szCs w:val="24"/>
        </w:rPr>
        <w:t xml:space="preserve"> Consideration must be given to the above issues in relation to possible </w:t>
      </w:r>
      <w:r w:rsidR="007653B9" w:rsidRPr="00C25A8B">
        <w:rPr>
          <w:rFonts w:cs="Arial"/>
          <w:szCs w:val="24"/>
        </w:rPr>
        <w:t>im</w:t>
      </w:r>
      <w:r w:rsidRPr="00C25A8B">
        <w:rPr>
          <w:rFonts w:cs="Arial"/>
          <w:szCs w:val="24"/>
        </w:rPr>
        <w:t>migrant</w:t>
      </w:r>
      <w:r>
        <w:rPr>
          <w:rFonts w:cs="Arial"/>
          <w:szCs w:val="24"/>
        </w:rPr>
        <w:t xml:space="preserve"> Muslim mental health issues, as highlighted by </w:t>
      </w:r>
      <w:r w:rsidRPr="00BA30DF">
        <w:rPr>
          <w:rFonts w:cs="Arial"/>
          <w:szCs w:val="24"/>
        </w:rPr>
        <w:t>Rassool (2015)</w:t>
      </w:r>
      <w:r>
        <w:rPr>
          <w:rFonts w:cs="Arial"/>
          <w:szCs w:val="24"/>
        </w:rPr>
        <w:t>.</w:t>
      </w:r>
      <w:bookmarkEnd w:id="12"/>
      <w:r>
        <w:rPr>
          <w:rFonts w:cs="Arial"/>
          <w:szCs w:val="24"/>
        </w:rPr>
        <w:t xml:space="preserve"> As we are experiencing an ever increasing population of Muslims in the UK, there is a growing need to understand </w:t>
      </w:r>
      <w:r w:rsidR="007653B9" w:rsidRPr="00802900">
        <w:rPr>
          <w:rFonts w:cs="Arial"/>
          <w:szCs w:val="24"/>
        </w:rPr>
        <w:t>the</w:t>
      </w:r>
      <w:r w:rsidR="007653B9">
        <w:rPr>
          <w:rFonts w:cs="Arial"/>
          <w:szCs w:val="24"/>
        </w:rPr>
        <w:t xml:space="preserve"> </w:t>
      </w:r>
      <w:r>
        <w:rPr>
          <w:rFonts w:cs="Arial"/>
          <w:szCs w:val="24"/>
        </w:rPr>
        <w:t xml:space="preserve">impacts on their mental health and the mental health needs of </w:t>
      </w:r>
      <w:r w:rsidRPr="00980117">
        <w:rPr>
          <w:rFonts w:cs="Arial"/>
          <w:szCs w:val="24"/>
        </w:rPr>
        <w:t>their communities</w:t>
      </w:r>
      <w:r w:rsidR="007653B9" w:rsidRPr="00802900">
        <w:rPr>
          <w:rFonts w:cs="Arial"/>
          <w:szCs w:val="24"/>
        </w:rPr>
        <w:t>.</w:t>
      </w:r>
      <w:r w:rsidRPr="00802900">
        <w:rPr>
          <w:rFonts w:cs="Arial"/>
          <w:szCs w:val="24"/>
        </w:rPr>
        <w:t xml:space="preserve"> </w:t>
      </w:r>
      <w:r w:rsidR="007653B9" w:rsidRPr="00802900">
        <w:rPr>
          <w:rFonts w:cs="Arial"/>
          <w:color w:val="000000" w:themeColor="text1"/>
          <w:szCs w:val="24"/>
        </w:rPr>
        <w:t>Rasool</w:t>
      </w:r>
      <w:r w:rsidR="00802900">
        <w:rPr>
          <w:rFonts w:cs="Arial"/>
          <w:color w:val="000000" w:themeColor="text1"/>
          <w:szCs w:val="24"/>
        </w:rPr>
        <w:t xml:space="preserve"> </w:t>
      </w:r>
      <w:r w:rsidRPr="00802900">
        <w:rPr>
          <w:rFonts w:cs="Arial"/>
          <w:color w:val="000000" w:themeColor="text1"/>
          <w:szCs w:val="24"/>
        </w:rPr>
        <w:t xml:space="preserve">study </w:t>
      </w:r>
      <w:r w:rsidR="007653B9" w:rsidRPr="00802900">
        <w:rPr>
          <w:rFonts w:cs="Arial"/>
          <w:color w:val="000000" w:themeColor="text1"/>
          <w:szCs w:val="24"/>
        </w:rPr>
        <w:t>(2015)???</w:t>
      </w:r>
      <w:r w:rsidR="007653B9">
        <w:rPr>
          <w:rFonts w:cs="Arial"/>
          <w:szCs w:val="24"/>
        </w:rPr>
        <w:t xml:space="preserve"> </w:t>
      </w:r>
      <w:r>
        <w:rPr>
          <w:rFonts w:cs="Arial"/>
          <w:szCs w:val="24"/>
        </w:rPr>
        <w:t xml:space="preserve">also highlighted the correlation between social exclusion and mental health, which is experienced by many within the Muslim community as shown throughout this study. Additionally </w:t>
      </w:r>
      <w:r w:rsidRPr="00E80BF3">
        <w:rPr>
          <w:rFonts w:cs="Arial"/>
          <w:szCs w:val="24"/>
        </w:rPr>
        <w:t>Rassool (2015)</w:t>
      </w:r>
      <w:r w:rsidR="00802900">
        <w:rPr>
          <w:rFonts w:cs="Arial"/>
          <w:szCs w:val="24"/>
        </w:rPr>
        <w:t xml:space="preserve"> study</w:t>
      </w:r>
      <w:r>
        <w:rPr>
          <w:rFonts w:cs="Arial"/>
          <w:szCs w:val="24"/>
        </w:rPr>
        <w:t xml:space="preserve"> discusses the possible m</w:t>
      </w:r>
      <w:r w:rsidRPr="004726C2">
        <w:rPr>
          <w:rFonts w:cs="Arial"/>
          <w:szCs w:val="24"/>
        </w:rPr>
        <w:t>isinterpretation</w:t>
      </w:r>
      <w:r>
        <w:rPr>
          <w:rFonts w:cs="Arial"/>
          <w:szCs w:val="24"/>
        </w:rPr>
        <w:t xml:space="preserve"> by health professionals in relation to a patient’s background, family and beliefs, leading to </w:t>
      </w:r>
      <w:r w:rsidR="00802900">
        <w:rPr>
          <w:rFonts w:cs="Arial"/>
          <w:color w:val="000000" w:themeColor="text1"/>
          <w:szCs w:val="24"/>
        </w:rPr>
        <w:t>ethnic</w:t>
      </w:r>
      <w:r w:rsidRPr="007653B9">
        <w:rPr>
          <w:rFonts w:cs="Arial"/>
          <w:color w:val="FF0000"/>
          <w:szCs w:val="24"/>
        </w:rPr>
        <w:t xml:space="preserve"> </w:t>
      </w:r>
      <w:r w:rsidRPr="00802900">
        <w:rPr>
          <w:rFonts w:cs="Arial"/>
          <w:color w:val="000000" w:themeColor="text1"/>
          <w:szCs w:val="24"/>
        </w:rPr>
        <w:t>impasses</w:t>
      </w:r>
      <w:r>
        <w:rPr>
          <w:rFonts w:cs="Arial"/>
          <w:szCs w:val="24"/>
        </w:rPr>
        <w:t xml:space="preserve">. As well as this there are </w:t>
      </w:r>
      <w:r w:rsidRPr="00802900">
        <w:rPr>
          <w:rFonts w:cs="Arial"/>
          <w:szCs w:val="24"/>
        </w:rPr>
        <w:t xml:space="preserve">personal </w:t>
      </w:r>
      <w:r w:rsidR="0070768F" w:rsidRPr="00802900">
        <w:rPr>
          <w:rFonts w:cs="Arial"/>
          <w:szCs w:val="24"/>
        </w:rPr>
        <w:t>beliefs</w:t>
      </w:r>
      <w:r w:rsidR="0070768F">
        <w:rPr>
          <w:rFonts w:cs="Arial"/>
          <w:szCs w:val="24"/>
        </w:rPr>
        <w:t xml:space="preserve"> </w:t>
      </w:r>
      <w:r>
        <w:rPr>
          <w:rFonts w:cs="Arial"/>
          <w:szCs w:val="24"/>
        </w:rPr>
        <w:t>held by the individual and their immediate families effecting their ability to access support</w:t>
      </w:r>
      <w:r w:rsidR="0070768F">
        <w:rPr>
          <w:rFonts w:cs="Arial"/>
          <w:szCs w:val="24"/>
        </w:rPr>
        <w:t>. D</w:t>
      </w:r>
      <w:r>
        <w:rPr>
          <w:rFonts w:cs="Arial"/>
          <w:szCs w:val="24"/>
        </w:rPr>
        <w:t>ue to the stigmatism of mental health</w:t>
      </w:r>
      <w:r w:rsidR="0070768F" w:rsidRPr="00802900">
        <w:rPr>
          <w:rFonts w:cs="Arial"/>
          <w:szCs w:val="24"/>
        </w:rPr>
        <w:t>,</w:t>
      </w:r>
      <w:r w:rsidRPr="00802900">
        <w:rPr>
          <w:rFonts w:cs="Arial"/>
          <w:szCs w:val="24"/>
        </w:rPr>
        <w:t xml:space="preserve"> </w:t>
      </w:r>
      <w:r w:rsidR="0070768F" w:rsidRPr="00802900">
        <w:rPr>
          <w:rFonts w:cs="Arial"/>
          <w:szCs w:val="24"/>
        </w:rPr>
        <w:t>individuals</w:t>
      </w:r>
      <w:r w:rsidR="0070768F">
        <w:rPr>
          <w:rFonts w:cs="Arial"/>
          <w:szCs w:val="24"/>
        </w:rPr>
        <w:t xml:space="preserve"> </w:t>
      </w:r>
      <w:r>
        <w:rPr>
          <w:rFonts w:cs="Arial"/>
          <w:szCs w:val="24"/>
        </w:rPr>
        <w:t xml:space="preserve">are highly likely to face </w:t>
      </w:r>
      <w:r>
        <w:rPr>
          <w:rFonts w:cs="Arial"/>
          <w:szCs w:val="24"/>
        </w:rPr>
        <w:lastRenderedPageBreak/>
        <w:t xml:space="preserve">abandonment by their own community, often resulting in the individual who needs support being unidentified or presenting late in the throes of mental ill-health.      </w:t>
      </w:r>
      <w:r w:rsidRPr="00E80BF3">
        <w:rPr>
          <w:rFonts w:cs="Arial"/>
          <w:szCs w:val="24"/>
        </w:rPr>
        <w:t xml:space="preserve"> </w:t>
      </w:r>
      <w:r>
        <w:rPr>
          <w:rFonts w:cs="Arial"/>
          <w:szCs w:val="24"/>
        </w:rPr>
        <w:t xml:space="preserve"> </w:t>
      </w:r>
    </w:p>
    <w:p w:rsidR="008F15C4" w:rsidRDefault="008F15C4" w:rsidP="008F15C4">
      <w:pPr>
        <w:spacing w:line="480" w:lineRule="auto"/>
        <w:ind w:firstLine="720"/>
        <w:rPr>
          <w:rFonts w:cs="Arial"/>
          <w:szCs w:val="24"/>
        </w:rPr>
      </w:pPr>
      <w:r>
        <w:rPr>
          <w:rFonts w:cs="Arial"/>
          <w:szCs w:val="24"/>
        </w:rPr>
        <w:t>Within some Mu</w:t>
      </w:r>
      <w:r w:rsidR="0070768F">
        <w:rPr>
          <w:rFonts w:cs="Arial"/>
          <w:szCs w:val="24"/>
        </w:rPr>
        <w:t xml:space="preserve">slim communities and </w:t>
      </w:r>
      <w:r w:rsidR="00802900">
        <w:rPr>
          <w:rFonts w:cs="Arial"/>
          <w:szCs w:val="24"/>
        </w:rPr>
        <w:t>families</w:t>
      </w:r>
      <w:r w:rsidR="0070768F">
        <w:rPr>
          <w:rFonts w:cs="Arial"/>
          <w:szCs w:val="24"/>
        </w:rPr>
        <w:t>,</w:t>
      </w:r>
      <w:r>
        <w:rPr>
          <w:rFonts w:cs="Arial"/>
          <w:szCs w:val="24"/>
        </w:rPr>
        <w:t xml:space="preserve"> mental health is seen as a cleansing test sent by Allah as stated by </w:t>
      </w:r>
      <w:r w:rsidRPr="00BA30DF">
        <w:rPr>
          <w:rFonts w:cs="Arial"/>
          <w:szCs w:val="24"/>
        </w:rPr>
        <w:t>Hankir</w:t>
      </w:r>
      <w:r>
        <w:rPr>
          <w:rFonts w:cs="Arial"/>
          <w:szCs w:val="24"/>
        </w:rPr>
        <w:t xml:space="preserve"> et al. </w:t>
      </w:r>
      <w:r w:rsidRPr="00BA30DF">
        <w:rPr>
          <w:rFonts w:cs="Arial"/>
          <w:szCs w:val="24"/>
        </w:rPr>
        <w:t>(2017)</w:t>
      </w:r>
      <w:r>
        <w:rPr>
          <w:rFonts w:cs="Arial"/>
          <w:szCs w:val="24"/>
        </w:rPr>
        <w:t xml:space="preserve">, which </w:t>
      </w:r>
      <w:r w:rsidR="0070768F">
        <w:rPr>
          <w:rFonts w:cs="Arial"/>
          <w:szCs w:val="24"/>
        </w:rPr>
        <w:t>is bestowed upon the individual</w:t>
      </w:r>
      <w:r w:rsidR="0070768F" w:rsidRPr="00802900">
        <w:rPr>
          <w:rFonts w:cs="Arial"/>
          <w:szCs w:val="24"/>
        </w:rPr>
        <w:t>. I</w:t>
      </w:r>
      <w:r w:rsidRPr="00802900">
        <w:rPr>
          <w:rFonts w:cs="Arial"/>
          <w:szCs w:val="24"/>
        </w:rPr>
        <w:t>n these</w:t>
      </w:r>
      <w:r>
        <w:rPr>
          <w:rFonts w:cs="Arial"/>
          <w:szCs w:val="24"/>
        </w:rPr>
        <w:t xml:space="preserve"> circumstances seeking support for the issues, would be shameful and could result in tarnishing of the entire family. Often mental health issues are seen solely as a private family concern. </w:t>
      </w:r>
      <w:r w:rsidRPr="002C7A0D">
        <w:rPr>
          <w:rFonts w:cs="Arial"/>
          <w:szCs w:val="24"/>
        </w:rPr>
        <w:t>Hankir et al</w:t>
      </w:r>
      <w:r>
        <w:rPr>
          <w:rFonts w:cs="Arial"/>
          <w:szCs w:val="24"/>
        </w:rPr>
        <w:t>.</w:t>
      </w:r>
      <w:r w:rsidRPr="002C7A0D">
        <w:rPr>
          <w:rFonts w:cs="Arial"/>
          <w:szCs w:val="24"/>
        </w:rPr>
        <w:t xml:space="preserve"> (2017), </w:t>
      </w:r>
      <w:r>
        <w:rPr>
          <w:rFonts w:cs="Arial"/>
          <w:szCs w:val="24"/>
        </w:rPr>
        <w:t xml:space="preserve">also highlight </w:t>
      </w:r>
      <w:r w:rsidR="0070768F" w:rsidRPr="00802900">
        <w:rPr>
          <w:rFonts w:cs="Arial"/>
          <w:szCs w:val="24"/>
        </w:rPr>
        <w:t xml:space="preserve">that </w:t>
      </w:r>
      <w:r w:rsidRPr="00802900">
        <w:rPr>
          <w:rFonts w:cs="Arial"/>
          <w:szCs w:val="24"/>
        </w:rPr>
        <w:t>the</w:t>
      </w:r>
      <w:r>
        <w:rPr>
          <w:rFonts w:cs="Arial"/>
          <w:szCs w:val="24"/>
        </w:rPr>
        <w:t xml:space="preserve"> prevalence of mental health issues in the Muslim community are directly linked to </w:t>
      </w:r>
      <w:r w:rsidRPr="002C7A0D">
        <w:rPr>
          <w:rFonts w:cs="Arial"/>
          <w:szCs w:val="24"/>
        </w:rPr>
        <w:t>acculturation</w:t>
      </w:r>
      <w:r>
        <w:rPr>
          <w:rFonts w:cs="Arial"/>
          <w:szCs w:val="24"/>
        </w:rPr>
        <w:t xml:space="preserve"> and stigma which are exasperated due to communication barriers when seeking support.  </w:t>
      </w:r>
    </w:p>
    <w:p w:rsidR="008F15C4" w:rsidRDefault="0070768F" w:rsidP="008F15C4">
      <w:pPr>
        <w:spacing w:line="480" w:lineRule="auto"/>
        <w:ind w:firstLine="720"/>
        <w:rPr>
          <w:rFonts w:cs="Arial"/>
          <w:szCs w:val="24"/>
        </w:rPr>
      </w:pPr>
      <w:r>
        <w:rPr>
          <w:rFonts w:cs="Arial"/>
          <w:szCs w:val="24"/>
        </w:rPr>
        <w:t xml:space="preserve">In conclusion </w:t>
      </w:r>
      <w:r w:rsidRPr="00802900">
        <w:rPr>
          <w:rFonts w:cs="Arial"/>
          <w:szCs w:val="24"/>
        </w:rPr>
        <w:t>this</w:t>
      </w:r>
      <w:r w:rsidR="008F15C4">
        <w:rPr>
          <w:rFonts w:cs="Arial"/>
          <w:szCs w:val="24"/>
        </w:rPr>
        <w:t xml:space="preserve"> </w:t>
      </w:r>
      <w:r w:rsidR="008F15C4" w:rsidRPr="00802900">
        <w:rPr>
          <w:rFonts w:cs="Arial"/>
          <w:szCs w:val="24"/>
        </w:rPr>
        <w:t xml:space="preserve">study </w:t>
      </w:r>
      <w:r w:rsidRPr="00802900">
        <w:rPr>
          <w:rFonts w:cs="Arial"/>
          <w:szCs w:val="24"/>
        </w:rPr>
        <w:t>has aimed</w:t>
      </w:r>
      <w:r>
        <w:rPr>
          <w:rFonts w:cs="Arial"/>
          <w:szCs w:val="24"/>
        </w:rPr>
        <w:t xml:space="preserve"> </w:t>
      </w:r>
      <w:r w:rsidR="008F15C4">
        <w:rPr>
          <w:rFonts w:cs="Arial"/>
          <w:szCs w:val="24"/>
        </w:rPr>
        <w:t xml:space="preserve">to analysis theory and evidence in relation to the understanding of migrant mental </w:t>
      </w:r>
      <w:r w:rsidR="00802900">
        <w:rPr>
          <w:rFonts w:cs="Arial"/>
          <w:szCs w:val="24"/>
        </w:rPr>
        <w:t>health and</w:t>
      </w:r>
      <w:r w:rsidRPr="0070768F">
        <w:rPr>
          <w:rFonts w:cs="Arial"/>
          <w:szCs w:val="24"/>
          <w:highlight w:val="yellow"/>
        </w:rPr>
        <w:t xml:space="preserve"> </w:t>
      </w:r>
      <w:r w:rsidRPr="00802900">
        <w:rPr>
          <w:rFonts w:cs="Arial"/>
          <w:szCs w:val="24"/>
        </w:rPr>
        <w:t xml:space="preserve">has found that </w:t>
      </w:r>
      <w:r w:rsidR="008F15C4" w:rsidRPr="00802900">
        <w:rPr>
          <w:rFonts w:cs="Arial"/>
          <w:szCs w:val="24"/>
        </w:rPr>
        <w:t>the</w:t>
      </w:r>
      <w:r w:rsidR="008F15C4">
        <w:rPr>
          <w:rFonts w:cs="Arial"/>
          <w:szCs w:val="24"/>
        </w:rPr>
        <w:t xml:space="preserve"> UK is home to a large population of migrants, and the Muslim religion is the seco</w:t>
      </w:r>
      <w:r w:rsidR="008F15C4" w:rsidRPr="00802900">
        <w:rPr>
          <w:rFonts w:cs="Arial"/>
          <w:szCs w:val="24"/>
        </w:rPr>
        <w:t xml:space="preserve">nd </w:t>
      </w:r>
      <w:r w:rsidRPr="00802900">
        <w:rPr>
          <w:rFonts w:cs="Arial"/>
          <w:szCs w:val="24"/>
        </w:rPr>
        <w:t>most popular</w:t>
      </w:r>
      <w:r>
        <w:rPr>
          <w:rFonts w:cs="Arial"/>
          <w:szCs w:val="24"/>
        </w:rPr>
        <w:t xml:space="preserve"> </w:t>
      </w:r>
      <w:r w:rsidR="008F15C4">
        <w:rPr>
          <w:rFonts w:cs="Arial"/>
          <w:szCs w:val="24"/>
        </w:rPr>
        <w:t xml:space="preserve">religion in the UK. </w:t>
      </w:r>
      <w:r w:rsidRPr="00802900">
        <w:rPr>
          <w:rFonts w:cs="Arial"/>
          <w:szCs w:val="24"/>
        </w:rPr>
        <w:t>Reaching an u</w:t>
      </w:r>
      <w:r w:rsidR="008F15C4" w:rsidRPr="00802900">
        <w:rPr>
          <w:rFonts w:cs="Arial"/>
          <w:szCs w:val="24"/>
        </w:rPr>
        <w:t xml:space="preserve">nderstanding of Muslim mental health is difficult, and it is apparent from research that </w:t>
      </w:r>
      <w:r w:rsidRPr="00802900">
        <w:rPr>
          <w:rFonts w:cs="Arial"/>
          <w:szCs w:val="24"/>
        </w:rPr>
        <w:t>im</w:t>
      </w:r>
      <w:r w:rsidR="008F15C4" w:rsidRPr="00802900">
        <w:rPr>
          <w:rFonts w:cs="Arial"/>
          <w:szCs w:val="24"/>
        </w:rPr>
        <w:t>migrant</w:t>
      </w:r>
      <w:r w:rsidR="008F15C4">
        <w:rPr>
          <w:rFonts w:cs="Arial"/>
          <w:szCs w:val="24"/>
        </w:rPr>
        <w:t xml:space="preserve"> Muslims have high levels of risk factors, which are triggers for many common forms of mental health issues as stated by the </w:t>
      </w:r>
      <w:r w:rsidR="008F15C4" w:rsidRPr="003A6909">
        <w:rPr>
          <w:rFonts w:cs="Arial"/>
          <w:szCs w:val="24"/>
        </w:rPr>
        <w:t>ICD-11(2018)</w:t>
      </w:r>
      <w:r>
        <w:rPr>
          <w:rFonts w:cs="Arial"/>
          <w:szCs w:val="24"/>
        </w:rPr>
        <w:t>.</w:t>
      </w:r>
      <w:r w:rsidR="008F15C4">
        <w:rPr>
          <w:rFonts w:cs="Arial"/>
          <w:szCs w:val="24"/>
        </w:rPr>
        <w:t xml:space="preserve"> </w:t>
      </w:r>
      <w:r w:rsidRPr="00802900">
        <w:rPr>
          <w:rFonts w:cs="Arial"/>
          <w:szCs w:val="24"/>
        </w:rPr>
        <w:t>These are</w:t>
      </w:r>
      <w:r w:rsidR="008F15C4" w:rsidRPr="00802900">
        <w:rPr>
          <w:rFonts w:cs="Arial"/>
          <w:szCs w:val="24"/>
        </w:rPr>
        <w:t xml:space="preserve"> attributable to transition, acceptance, life changes and functional disturbances linked directly to migration. Psychological evidence also highlight</w:t>
      </w:r>
      <w:r w:rsidRPr="00802900">
        <w:rPr>
          <w:rFonts w:cs="Arial"/>
          <w:szCs w:val="24"/>
        </w:rPr>
        <w:t>s that Muslims</w:t>
      </w:r>
      <w:r w:rsidR="008F15C4" w:rsidRPr="00802900">
        <w:rPr>
          <w:rFonts w:cs="Arial"/>
          <w:szCs w:val="24"/>
        </w:rPr>
        <w:t xml:space="preserve"> have an added risk factor for developing mental</w:t>
      </w:r>
      <w:r w:rsidR="008F15C4">
        <w:rPr>
          <w:rFonts w:cs="Arial"/>
          <w:szCs w:val="24"/>
        </w:rPr>
        <w:t xml:space="preserve"> health issues</w:t>
      </w:r>
      <w:r>
        <w:rPr>
          <w:rFonts w:cs="Arial"/>
          <w:szCs w:val="24"/>
        </w:rPr>
        <w:t xml:space="preserve">, </w:t>
      </w:r>
      <w:r w:rsidR="008F15C4">
        <w:rPr>
          <w:rFonts w:cs="Arial"/>
          <w:szCs w:val="24"/>
        </w:rPr>
        <w:lastRenderedPageBreak/>
        <w:t xml:space="preserve">due to perceived fear of threat in relation to prejudices by the host country, which is </w:t>
      </w:r>
      <w:r w:rsidR="008F15C4" w:rsidRPr="00802900">
        <w:rPr>
          <w:rFonts w:cs="Arial"/>
          <w:szCs w:val="24"/>
        </w:rPr>
        <w:t xml:space="preserve">mirrored </w:t>
      </w:r>
      <w:r w:rsidRPr="00802900">
        <w:rPr>
          <w:rFonts w:cs="Arial"/>
          <w:szCs w:val="24"/>
        </w:rPr>
        <w:t xml:space="preserve">by </w:t>
      </w:r>
      <w:r w:rsidR="008F15C4" w:rsidRPr="00802900">
        <w:rPr>
          <w:rFonts w:cs="Arial"/>
          <w:szCs w:val="24"/>
        </w:rPr>
        <w:t>the</w:t>
      </w:r>
      <w:r w:rsidR="008F15C4">
        <w:rPr>
          <w:rFonts w:cs="Arial"/>
          <w:szCs w:val="24"/>
        </w:rPr>
        <w:t xml:space="preserve"> fear of threat from Muslims to the</w:t>
      </w:r>
      <w:r>
        <w:rPr>
          <w:rFonts w:cs="Arial"/>
          <w:szCs w:val="24"/>
        </w:rPr>
        <w:t xml:space="preserve"> population of the host country</w:t>
      </w:r>
      <w:r w:rsidRPr="00802900">
        <w:rPr>
          <w:rFonts w:cs="Arial"/>
          <w:szCs w:val="24"/>
        </w:rPr>
        <w:t>. This c</w:t>
      </w:r>
      <w:r w:rsidR="008F15C4" w:rsidRPr="00802900">
        <w:rPr>
          <w:rFonts w:cs="Arial"/>
          <w:szCs w:val="24"/>
        </w:rPr>
        <w:t>aus</w:t>
      </w:r>
      <w:r w:rsidRPr="00802900">
        <w:rPr>
          <w:rFonts w:cs="Arial"/>
          <w:szCs w:val="24"/>
        </w:rPr>
        <w:t>es</w:t>
      </w:r>
      <w:r w:rsidR="008F15C4" w:rsidRPr="00802900">
        <w:rPr>
          <w:rFonts w:cs="Arial"/>
          <w:szCs w:val="24"/>
        </w:rPr>
        <w:t xml:space="preserve"> a vicious cycle mainly due to the perceived heightened threat of terrorism</w:t>
      </w:r>
      <w:r w:rsidR="008F15C4">
        <w:rPr>
          <w:rFonts w:cs="Arial"/>
          <w:szCs w:val="24"/>
        </w:rPr>
        <w:t>, which has contributed to the creation of new laws, increasing surveillance and monitoring of the Muslim community. This increase in fear has resulted in segregation and social exclusion of many within the migrant Muslim community, which has increased the possibility of mental health issues faced by Muslims</w:t>
      </w:r>
      <w:r>
        <w:rPr>
          <w:rFonts w:cs="Arial"/>
          <w:szCs w:val="24"/>
        </w:rPr>
        <w:t>, and</w:t>
      </w:r>
      <w:r w:rsidR="008F15C4">
        <w:rPr>
          <w:rFonts w:cs="Arial"/>
          <w:szCs w:val="24"/>
        </w:rPr>
        <w:t xml:space="preserve"> also increas</w:t>
      </w:r>
      <w:r w:rsidRPr="00802900">
        <w:rPr>
          <w:rFonts w:cs="Arial"/>
          <w:szCs w:val="24"/>
        </w:rPr>
        <w:t>es</w:t>
      </w:r>
      <w:r w:rsidR="008F15C4">
        <w:rPr>
          <w:rFonts w:cs="Arial"/>
          <w:szCs w:val="24"/>
        </w:rPr>
        <w:t xml:space="preserve"> vulnerability to being targeted and radicalised. </w:t>
      </w:r>
      <w:bookmarkStart w:id="13" w:name="_GoBack"/>
      <w:bookmarkEnd w:id="13"/>
      <w:r w:rsidR="008F15C4">
        <w:rPr>
          <w:rFonts w:cs="Arial"/>
          <w:szCs w:val="24"/>
        </w:rPr>
        <w:t>In addition to this Muslim communities have their own personal and community barriers to accessing mental health support from mental health pro</w:t>
      </w:r>
      <w:r>
        <w:rPr>
          <w:rFonts w:cs="Arial"/>
          <w:szCs w:val="24"/>
        </w:rPr>
        <w:t xml:space="preserve">fessionals and support agencies. </w:t>
      </w:r>
      <w:r w:rsidRPr="00802900">
        <w:rPr>
          <w:rFonts w:cs="Arial"/>
          <w:szCs w:val="24"/>
        </w:rPr>
        <w:t>A</w:t>
      </w:r>
      <w:r w:rsidR="008F15C4" w:rsidRPr="00802900">
        <w:rPr>
          <w:rFonts w:cs="Arial"/>
          <w:szCs w:val="24"/>
        </w:rPr>
        <w:t>s such it is evident that more needs to be done to alleviate the fear of threat and to raise awareness for the successful</w:t>
      </w:r>
      <w:r w:rsidR="008F15C4">
        <w:rPr>
          <w:rFonts w:cs="Arial"/>
          <w:szCs w:val="24"/>
        </w:rPr>
        <w:t xml:space="preserve"> integration of the both the </w:t>
      </w:r>
      <w:r w:rsidRPr="00802900">
        <w:rPr>
          <w:rFonts w:cs="Arial"/>
          <w:szCs w:val="24"/>
        </w:rPr>
        <w:t>im</w:t>
      </w:r>
      <w:r w:rsidR="008F15C4" w:rsidRPr="00802900">
        <w:rPr>
          <w:rFonts w:cs="Arial"/>
          <w:szCs w:val="24"/>
        </w:rPr>
        <w:t xml:space="preserve">migrant into the host country and the host country’s acceptance of the </w:t>
      </w:r>
      <w:r w:rsidRPr="00802900">
        <w:rPr>
          <w:rFonts w:cs="Arial"/>
          <w:szCs w:val="24"/>
        </w:rPr>
        <w:t>im</w:t>
      </w:r>
      <w:r w:rsidR="008F15C4" w:rsidRPr="00802900">
        <w:rPr>
          <w:rFonts w:cs="Arial"/>
          <w:szCs w:val="24"/>
        </w:rPr>
        <w:t>migrant</w:t>
      </w:r>
      <w:r w:rsidR="008F15C4">
        <w:rPr>
          <w:rFonts w:cs="Arial"/>
          <w:szCs w:val="24"/>
        </w:rPr>
        <w:t xml:space="preserve">.     </w:t>
      </w: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p>
    <w:p w:rsidR="008F15C4" w:rsidRDefault="008F15C4" w:rsidP="008F15C4">
      <w:pPr>
        <w:spacing w:line="480" w:lineRule="auto"/>
        <w:rPr>
          <w:rFonts w:cs="Arial"/>
          <w:szCs w:val="24"/>
        </w:rPr>
      </w:pPr>
      <w:r>
        <w:rPr>
          <w:rFonts w:cs="Arial"/>
          <w:szCs w:val="24"/>
        </w:rPr>
        <w:lastRenderedPageBreak/>
        <w:t xml:space="preserve">Reference List </w:t>
      </w:r>
    </w:p>
    <w:p w:rsidR="008F15C4" w:rsidRDefault="008F15C4" w:rsidP="008F15C4">
      <w:pPr>
        <w:spacing w:line="480" w:lineRule="auto"/>
        <w:ind w:left="1004" w:hanging="720"/>
        <w:rPr>
          <w:rFonts w:cs="Arial"/>
          <w:szCs w:val="24"/>
        </w:rPr>
      </w:pPr>
      <w:bookmarkStart w:id="14" w:name="_Hlk2244311"/>
      <w:r w:rsidRPr="00C65DB6">
        <w:rPr>
          <w:rFonts w:cs="Arial"/>
          <w:szCs w:val="24"/>
        </w:rPr>
        <w:t xml:space="preserve">Abbas, T., &amp; Awan, I. (2015). </w:t>
      </w:r>
      <w:bookmarkEnd w:id="14"/>
      <w:r w:rsidRPr="00C65DB6">
        <w:rPr>
          <w:rFonts w:cs="Arial"/>
          <w:szCs w:val="24"/>
        </w:rPr>
        <w:t>Limits of UK counterterrorism policy and its implications for Islamophobia and far right extremism. </w:t>
      </w:r>
      <w:r w:rsidRPr="00C65DB6">
        <w:rPr>
          <w:rFonts w:cs="Arial"/>
          <w:i/>
          <w:iCs/>
          <w:szCs w:val="24"/>
        </w:rPr>
        <w:t>International Journal for Crime, Justice and Social Democracy</w:t>
      </w:r>
      <w:r w:rsidRPr="00C65DB6">
        <w:rPr>
          <w:rFonts w:cs="Arial"/>
          <w:szCs w:val="24"/>
        </w:rPr>
        <w:t>, </w:t>
      </w:r>
      <w:r w:rsidRPr="00C65DB6">
        <w:rPr>
          <w:rFonts w:cs="Arial"/>
          <w:i/>
          <w:iCs/>
          <w:szCs w:val="24"/>
        </w:rPr>
        <w:t>4</w:t>
      </w:r>
      <w:r w:rsidRPr="00C65DB6">
        <w:rPr>
          <w:rFonts w:cs="Arial"/>
          <w:szCs w:val="24"/>
        </w:rPr>
        <w:t>(3), 16-29.</w:t>
      </w:r>
    </w:p>
    <w:p w:rsidR="008F15C4" w:rsidRDefault="008F15C4" w:rsidP="008F15C4">
      <w:pPr>
        <w:spacing w:line="480" w:lineRule="auto"/>
        <w:ind w:left="1004" w:hanging="720"/>
        <w:rPr>
          <w:rFonts w:cs="Arial"/>
          <w:szCs w:val="24"/>
        </w:rPr>
      </w:pPr>
      <w:bookmarkStart w:id="15" w:name="_Hlk2103198"/>
      <w:r w:rsidRPr="00331AF9">
        <w:rPr>
          <w:rFonts w:cs="Arial"/>
          <w:szCs w:val="24"/>
        </w:rPr>
        <w:t xml:space="preserve">Abrams, D., Van de Vyver, J., Houston, D. M., &amp; Vasiljevic, M. (2017). </w:t>
      </w:r>
      <w:bookmarkEnd w:id="15"/>
      <w:r w:rsidRPr="00331AF9">
        <w:rPr>
          <w:rFonts w:cs="Arial"/>
          <w:szCs w:val="24"/>
        </w:rPr>
        <w:t>Does terror defeat contact? Intergroup contact and prejudice toward Muslims before and after the London bombings. </w:t>
      </w:r>
      <w:r w:rsidRPr="00331AF9">
        <w:rPr>
          <w:rFonts w:cs="Arial"/>
          <w:i/>
          <w:iCs/>
          <w:szCs w:val="24"/>
        </w:rPr>
        <w:t>Peace and conflict: journal of peace psychology</w:t>
      </w:r>
      <w:r w:rsidRPr="00331AF9">
        <w:rPr>
          <w:rFonts w:cs="Arial"/>
          <w:szCs w:val="24"/>
        </w:rPr>
        <w:t>, </w:t>
      </w:r>
      <w:r w:rsidRPr="00331AF9">
        <w:rPr>
          <w:rFonts w:cs="Arial"/>
          <w:i/>
          <w:iCs/>
          <w:szCs w:val="24"/>
        </w:rPr>
        <w:t>23</w:t>
      </w:r>
      <w:r w:rsidRPr="00331AF9">
        <w:rPr>
          <w:rFonts w:cs="Arial"/>
          <w:szCs w:val="24"/>
        </w:rPr>
        <w:t>(3), 260.</w:t>
      </w:r>
    </w:p>
    <w:p w:rsidR="008F15C4" w:rsidRDefault="008F15C4" w:rsidP="008F15C4">
      <w:pPr>
        <w:spacing w:line="480" w:lineRule="auto"/>
        <w:ind w:left="1004" w:hanging="720"/>
        <w:rPr>
          <w:rFonts w:cs="Arial"/>
          <w:szCs w:val="24"/>
        </w:rPr>
      </w:pPr>
      <w:r w:rsidRPr="00E06D16">
        <w:rPr>
          <w:rFonts w:cs="Arial"/>
          <w:szCs w:val="24"/>
        </w:rPr>
        <w:t>Allen, C. (2017). Fear and loathing: The political discourse in relation to Muslims and Islam in the British contemporary setting. </w:t>
      </w:r>
      <w:r w:rsidRPr="00E06D16">
        <w:rPr>
          <w:rFonts w:cs="Arial"/>
          <w:i/>
          <w:iCs/>
          <w:szCs w:val="24"/>
        </w:rPr>
        <w:t>Politics and Religion Journal</w:t>
      </w:r>
      <w:r w:rsidRPr="00E06D16">
        <w:rPr>
          <w:rFonts w:cs="Arial"/>
          <w:szCs w:val="24"/>
        </w:rPr>
        <w:t>, </w:t>
      </w:r>
      <w:r w:rsidRPr="00E06D16">
        <w:rPr>
          <w:rFonts w:cs="Arial"/>
          <w:i/>
          <w:iCs/>
          <w:szCs w:val="24"/>
        </w:rPr>
        <w:t>4</w:t>
      </w:r>
      <w:r w:rsidRPr="00E06D16">
        <w:rPr>
          <w:rFonts w:cs="Arial"/>
          <w:szCs w:val="24"/>
        </w:rPr>
        <w:t>(2), 221-236.</w:t>
      </w:r>
    </w:p>
    <w:p w:rsidR="008F15C4" w:rsidRDefault="008F15C4" w:rsidP="008F15C4">
      <w:pPr>
        <w:spacing w:line="480" w:lineRule="auto"/>
        <w:ind w:left="1004" w:hanging="720"/>
        <w:rPr>
          <w:rFonts w:cs="Arial"/>
          <w:szCs w:val="24"/>
        </w:rPr>
      </w:pPr>
      <w:r w:rsidRPr="00C539E6">
        <w:rPr>
          <w:rFonts w:cs="Arial"/>
          <w:szCs w:val="24"/>
        </w:rPr>
        <w:t>Anderso</w:t>
      </w:r>
      <w:r>
        <w:rPr>
          <w:rFonts w:cs="Arial"/>
          <w:szCs w:val="24"/>
        </w:rPr>
        <w:t xml:space="preserve">n, B., and Blinder, S (2017). </w:t>
      </w:r>
      <w:r w:rsidRPr="0051118A">
        <w:rPr>
          <w:rFonts w:cs="Arial"/>
          <w:i/>
          <w:szCs w:val="24"/>
        </w:rPr>
        <w:t>Who Counts as a Migrant? Definitions and their Consequences</w:t>
      </w:r>
      <w:r>
        <w:rPr>
          <w:rFonts w:cs="Arial"/>
          <w:i/>
          <w:szCs w:val="24"/>
        </w:rPr>
        <w:t xml:space="preserve"> </w:t>
      </w:r>
      <w:r>
        <w:rPr>
          <w:rFonts w:cs="Arial"/>
          <w:szCs w:val="24"/>
        </w:rPr>
        <w:t xml:space="preserve">[electronic] Available from: </w:t>
      </w:r>
      <w:hyperlink r:id="rId6" w:anchor="kp1" w:history="1">
        <w:r w:rsidRPr="00F24151">
          <w:rPr>
            <w:rStyle w:val="Hyperlink"/>
            <w:rFonts w:cs="Arial"/>
            <w:szCs w:val="24"/>
          </w:rPr>
          <w:t>https://migrationobservatory.ox.ac.uk/resources/briefings/who-counts-as-a-migrant-definitions-and-their-consequences/#kp1</w:t>
        </w:r>
      </w:hyperlink>
      <w:r>
        <w:rPr>
          <w:rFonts w:cs="Arial"/>
          <w:szCs w:val="24"/>
        </w:rPr>
        <w:t xml:space="preserve"> [Accessed 3</w:t>
      </w:r>
      <w:r w:rsidRPr="0051118A">
        <w:rPr>
          <w:rFonts w:cs="Arial"/>
          <w:szCs w:val="24"/>
          <w:vertAlign w:val="superscript"/>
        </w:rPr>
        <w:t>rd</w:t>
      </w:r>
      <w:r>
        <w:rPr>
          <w:rFonts w:cs="Arial"/>
          <w:szCs w:val="24"/>
        </w:rPr>
        <w:t xml:space="preserve"> February 2019].</w:t>
      </w:r>
    </w:p>
    <w:p w:rsidR="008F15C4" w:rsidRDefault="008F15C4" w:rsidP="008F15C4">
      <w:pPr>
        <w:spacing w:line="480" w:lineRule="auto"/>
        <w:ind w:left="720" w:hanging="720"/>
        <w:rPr>
          <w:rFonts w:cs="Arial"/>
          <w:szCs w:val="24"/>
        </w:rPr>
      </w:pPr>
      <w:bookmarkStart w:id="16" w:name="_Hlk1897945"/>
      <w:r>
        <w:rPr>
          <w:rFonts w:cs="Arial"/>
          <w:szCs w:val="24"/>
        </w:rPr>
        <w:t xml:space="preserve">BPS (2018). </w:t>
      </w:r>
      <w:bookmarkEnd w:id="16"/>
      <w:r w:rsidRPr="001B69EC">
        <w:rPr>
          <w:rFonts w:cs="Arial"/>
          <w:i/>
          <w:szCs w:val="24"/>
        </w:rPr>
        <w:t>Guidelines for psychologists working with refugees and asylum seekers in the UK: A summary</w:t>
      </w:r>
      <w:r>
        <w:rPr>
          <w:rFonts w:cs="Arial"/>
          <w:szCs w:val="24"/>
        </w:rPr>
        <w:t xml:space="preserve"> [electronic] Available from: </w:t>
      </w:r>
      <w:hyperlink r:id="rId7" w:history="1">
        <w:r w:rsidRPr="00C9454C">
          <w:rPr>
            <w:rStyle w:val="Hyperlink"/>
            <w:rFonts w:cs="Arial"/>
            <w:szCs w:val="24"/>
          </w:rPr>
          <w:t>https://www.bps.org.uk/sites/bps.org.uk/files/Policy/Policy%20-%20Files/Guidelines%20for%20psychologists%20working%20with%20refugees%20and%20asylum%20seekers%20in%20the%20UK</w:t>
        </w:r>
        <w:r w:rsidRPr="00C9454C">
          <w:rPr>
            <w:rStyle w:val="Hyperlink"/>
            <w:rFonts w:cs="Arial"/>
            <w:szCs w:val="24"/>
          </w:rPr>
          <w:lastRenderedPageBreak/>
          <w:t>%20-%20Summary%20%28Updated%20Nov%202018%29.pdf</w:t>
        </w:r>
      </w:hyperlink>
      <w:r>
        <w:rPr>
          <w:rFonts w:cs="Arial"/>
          <w:szCs w:val="24"/>
        </w:rPr>
        <w:t xml:space="preserve"> [Accessed 2</w:t>
      </w:r>
      <w:r w:rsidRPr="004E0613">
        <w:rPr>
          <w:rFonts w:cs="Arial"/>
          <w:szCs w:val="24"/>
          <w:vertAlign w:val="superscript"/>
        </w:rPr>
        <w:t>nd</w:t>
      </w:r>
      <w:r>
        <w:rPr>
          <w:rFonts w:cs="Arial"/>
          <w:szCs w:val="24"/>
        </w:rPr>
        <w:t xml:space="preserve"> February 2019]. </w:t>
      </w:r>
    </w:p>
    <w:p w:rsidR="008F15C4" w:rsidRDefault="008F15C4" w:rsidP="008F15C4">
      <w:pPr>
        <w:spacing w:line="480" w:lineRule="auto"/>
        <w:ind w:left="1004" w:hanging="720"/>
        <w:rPr>
          <w:rFonts w:cs="Arial"/>
          <w:szCs w:val="24"/>
        </w:rPr>
      </w:pPr>
      <w:bookmarkStart w:id="17" w:name="_Hlk2105596"/>
      <w:r w:rsidRPr="001673D6">
        <w:rPr>
          <w:rFonts w:cs="Arial"/>
          <w:szCs w:val="24"/>
        </w:rPr>
        <w:t xml:space="preserve">Coppock, V., &amp; McGovern, M. (2014). </w:t>
      </w:r>
      <w:bookmarkEnd w:id="17"/>
      <w:r w:rsidRPr="001673D6">
        <w:rPr>
          <w:rFonts w:cs="Arial"/>
          <w:szCs w:val="24"/>
        </w:rPr>
        <w:t>‘Dangerous Minds’? Deconstructing Counter</w:t>
      </w:r>
      <w:r w:rsidRPr="001673D6">
        <w:rPr>
          <w:rFonts w:ascii="Cambria Math" w:hAnsi="Cambria Math" w:cs="Cambria Math"/>
          <w:szCs w:val="24"/>
        </w:rPr>
        <w:t>‐</w:t>
      </w:r>
      <w:r w:rsidRPr="001673D6">
        <w:rPr>
          <w:rFonts w:cs="Arial"/>
          <w:szCs w:val="24"/>
        </w:rPr>
        <w:t>Terrorism Discourse, Radicalisation and the ‘Psychological Vulnerability’of Muslim Children and Young People in Britain. </w:t>
      </w:r>
      <w:r w:rsidRPr="001673D6">
        <w:rPr>
          <w:rFonts w:cs="Arial"/>
          <w:i/>
          <w:iCs/>
          <w:szCs w:val="24"/>
        </w:rPr>
        <w:t>Children &amp; Society</w:t>
      </w:r>
      <w:r w:rsidRPr="001673D6">
        <w:rPr>
          <w:rFonts w:cs="Arial"/>
          <w:szCs w:val="24"/>
        </w:rPr>
        <w:t>, </w:t>
      </w:r>
      <w:r w:rsidRPr="001673D6">
        <w:rPr>
          <w:rFonts w:cs="Arial"/>
          <w:i/>
          <w:iCs/>
          <w:szCs w:val="24"/>
        </w:rPr>
        <w:t>28</w:t>
      </w:r>
      <w:r w:rsidRPr="001673D6">
        <w:rPr>
          <w:rFonts w:cs="Arial"/>
          <w:szCs w:val="24"/>
        </w:rPr>
        <w:t>(3), 242-256.</w:t>
      </w:r>
    </w:p>
    <w:p w:rsidR="008F15C4" w:rsidRDefault="008F15C4" w:rsidP="008F15C4">
      <w:pPr>
        <w:spacing w:line="480" w:lineRule="auto"/>
        <w:ind w:left="1004" w:hanging="720"/>
        <w:rPr>
          <w:rFonts w:cs="Arial"/>
          <w:szCs w:val="24"/>
        </w:rPr>
      </w:pPr>
      <w:bookmarkStart w:id="18" w:name="_Hlk1927275"/>
      <w:r w:rsidRPr="00B93B6E">
        <w:rPr>
          <w:rFonts w:cs="Arial"/>
          <w:szCs w:val="24"/>
        </w:rPr>
        <w:t xml:space="preserve">Daneshpour, M., &amp; Dadras, I. (2018). </w:t>
      </w:r>
      <w:bookmarkEnd w:id="18"/>
      <w:r w:rsidRPr="00B93B6E">
        <w:rPr>
          <w:rFonts w:cs="Arial"/>
          <w:szCs w:val="24"/>
        </w:rPr>
        <w:t>Muslim Families in the West. </w:t>
      </w:r>
      <w:r w:rsidRPr="00B93B6E">
        <w:rPr>
          <w:rFonts w:cs="Arial"/>
          <w:i/>
          <w:iCs/>
          <w:szCs w:val="24"/>
        </w:rPr>
        <w:t>Handbook of Contemporary Islam and Muslim Lives</w:t>
      </w:r>
      <w:r w:rsidRPr="00B93B6E">
        <w:rPr>
          <w:rFonts w:cs="Arial"/>
          <w:szCs w:val="24"/>
        </w:rPr>
        <w:t>, 1-22.</w:t>
      </w:r>
    </w:p>
    <w:p w:rsidR="008F15C4" w:rsidRDefault="008F15C4" w:rsidP="008F15C4">
      <w:pPr>
        <w:spacing w:line="480" w:lineRule="auto"/>
        <w:ind w:left="1004" w:hanging="720"/>
        <w:rPr>
          <w:rFonts w:cs="Arial"/>
          <w:szCs w:val="24"/>
        </w:rPr>
      </w:pPr>
      <w:bookmarkStart w:id="19" w:name="_Hlk1930757"/>
      <w:r w:rsidRPr="003A6A53">
        <w:rPr>
          <w:rFonts w:cs="Arial"/>
          <w:szCs w:val="24"/>
        </w:rPr>
        <w:t xml:space="preserve">Giuliani, C., Tagliabue, S., &amp; Regalia, C. (2018). </w:t>
      </w:r>
      <w:bookmarkEnd w:id="19"/>
      <w:r w:rsidRPr="003A6A53">
        <w:rPr>
          <w:rFonts w:cs="Arial"/>
          <w:szCs w:val="24"/>
        </w:rPr>
        <w:t>Psychological well-being, multiple identities, and discrimination among first and second generation immigrant Muslims. </w:t>
      </w:r>
      <w:r w:rsidRPr="003A6A53">
        <w:rPr>
          <w:rFonts w:cs="Arial"/>
          <w:i/>
          <w:iCs/>
          <w:szCs w:val="24"/>
        </w:rPr>
        <w:t>Europe's journal of psychology</w:t>
      </w:r>
      <w:r w:rsidRPr="003A6A53">
        <w:rPr>
          <w:rFonts w:cs="Arial"/>
          <w:szCs w:val="24"/>
        </w:rPr>
        <w:t>, </w:t>
      </w:r>
      <w:r w:rsidRPr="003A6A53">
        <w:rPr>
          <w:rFonts w:cs="Arial"/>
          <w:i/>
          <w:iCs/>
          <w:szCs w:val="24"/>
        </w:rPr>
        <w:t>14</w:t>
      </w:r>
      <w:r w:rsidRPr="003A6A53">
        <w:rPr>
          <w:rFonts w:cs="Arial"/>
          <w:szCs w:val="24"/>
        </w:rPr>
        <w:t>(1), 66.</w:t>
      </w:r>
    </w:p>
    <w:p w:rsidR="008F15C4" w:rsidRDefault="008F15C4" w:rsidP="008F15C4">
      <w:pPr>
        <w:spacing w:line="480" w:lineRule="auto"/>
        <w:ind w:left="1004" w:hanging="720"/>
        <w:rPr>
          <w:rFonts w:cs="Arial"/>
          <w:szCs w:val="24"/>
        </w:rPr>
      </w:pPr>
      <w:bookmarkStart w:id="20" w:name="_Hlk2258841"/>
      <w:r w:rsidRPr="00BA30DF">
        <w:rPr>
          <w:rFonts w:cs="Arial"/>
          <w:szCs w:val="24"/>
        </w:rPr>
        <w:t xml:space="preserve">Hankir, A., Khalil, S., Wadood, Q., Madarbukus, D., Yunus, H. A., Bibi, S., ... &amp; Zaman, R. (2017). </w:t>
      </w:r>
      <w:bookmarkEnd w:id="20"/>
      <w:r w:rsidRPr="00BA30DF">
        <w:rPr>
          <w:rFonts w:cs="Arial"/>
          <w:szCs w:val="24"/>
        </w:rPr>
        <w:t>The Federation of Student Islamic Societies programme to challenge mental health stigma in Muslim communities in England: the FOSIS Birmingham study. </w:t>
      </w:r>
      <w:r w:rsidRPr="00BA30DF">
        <w:rPr>
          <w:rFonts w:cs="Arial"/>
          <w:i/>
          <w:iCs/>
          <w:szCs w:val="24"/>
        </w:rPr>
        <w:t>Psychiatr Danub</w:t>
      </w:r>
      <w:r w:rsidRPr="00BA30DF">
        <w:rPr>
          <w:rFonts w:cs="Arial"/>
          <w:szCs w:val="24"/>
        </w:rPr>
        <w:t>, </w:t>
      </w:r>
      <w:r w:rsidRPr="00BA30DF">
        <w:rPr>
          <w:rFonts w:cs="Arial"/>
          <w:i/>
          <w:iCs/>
          <w:szCs w:val="24"/>
        </w:rPr>
        <w:t>29</w:t>
      </w:r>
      <w:r w:rsidRPr="00BA30DF">
        <w:rPr>
          <w:rFonts w:cs="Arial"/>
          <w:szCs w:val="24"/>
        </w:rPr>
        <w:t>(Suppl 3), 512-20.</w:t>
      </w:r>
    </w:p>
    <w:p w:rsidR="008F15C4" w:rsidRDefault="008F15C4" w:rsidP="008F15C4">
      <w:pPr>
        <w:spacing w:line="480" w:lineRule="auto"/>
        <w:ind w:left="1004" w:hanging="720"/>
        <w:rPr>
          <w:rFonts w:cs="Arial"/>
          <w:szCs w:val="24"/>
        </w:rPr>
      </w:pPr>
      <w:bookmarkStart w:id="21" w:name="_Hlk2255190"/>
      <w:r w:rsidRPr="0002108C">
        <w:rPr>
          <w:rFonts w:cs="Arial"/>
          <w:szCs w:val="24"/>
        </w:rPr>
        <w:t xml:space="preserve">Hargreaves, J. (2018). </w:t>
      </w:r>
      <w:bookmarkEnd w:id="21"/>
      <w:r w:rsidRPr="0002108C">
        <w:rPr>
          <w:rFonts w:cs="Arial"/>
          <w:szCs w:val="24"/>
        </w:rPr>
        <w:t>Towards a Cure for Prevent? Building Resilience to Religious and Political Forms of Violence within British Muslim Communities. </w:t>
      </w:r>
      <w:r w:rsidRPr="0002108C">
        <w:rPr>
          <w:rFonts w:cs="Arial"/>
          <w:i/>
          <w:iCs/>
          <w:szCs w:val="24"/>
        </w:rPr>
        <w:t>Journal of Muslims in Europe</w:t>
      </w:r>
      <w:r w:rsidRPr="0002108C">
        <w:rPr>
          <w:rFonts w:cs="Arial"/>
          <w:szCs w:val="24"/>
        </w:rPr>
        <w:t>, </w:t>
      </w:r>
      <w:r w:rsidRPr="0002108C">
        <w:rPr>
          <w:rFonts w:cs="Arial"/>
          <w:i/>
          <w:iCs/>
          <w:szCs w:val="24"/>
        </w:rPr>
        <w:t>7</w:t>
      </w:r>
      <w:r w:rsidRPr="0002108C">
        <w:rPr>
          <w:rFonts w:cs="Arial"/>
          <w:szCs w:val="24"/>
        </w:rPr>
        <w:t>(2), 190-210.</w:t>
      </w:r>
    </w:p>
    <w:p w:rsidR="008F15C4" w:rsidRDefault="008F15C4" w:rsidP="008F15C4">
      <w:pPr>
        <w:spacing w:line="480" w:lineRule="auto"/>
        <w:ind w:left="720" w:hanging="720"/>
        <w:rPr>
          <w:rFonts w:cs="Arial"/>
          <w:szCs w:val="24"/>
        </w:rPr>
      </w:pPr>
      <w:r>
        <w:rPr>
          <w:rFonts w:cs="Arial"/>
          <w:szCs w:val="24"/>
        </w:rPr>
        <w:lastRenderedPageBreak/>
        <w:t xml:space="preserve">ICD-11(2018). </w:t>
      </w:r>
      <w:r w:rsidRPr="00C539E6">
        <w:rPr>
          <w:rFonts w:cs="Arial"/>
          <w:i/>
          <w:szCs w:val="24"/>
        </w:rPr>
        <w:t>ICD-11 for Mortality and Morbidity Statistics06 Mental, behavioural or neurodevelopmental disorders</w:t>
      </w:r>
      <w:r>
        <w:rPr>
          <w:rFonts w:cs="Arial"/>
          <w:szCs w:val="24"/>
        </w:rPr>
        <w:t xml:space="preserve"> [electronic] Available from:</w:t>
      </w:r>
      <w:hyperlink r:id="rId8" w:anchor="/http%3a%2f%2fid.who.int%2ficd%2fentity%2f334423054" w:history="1">
        <w:r w:rsidRPr="00527B72">
          <w:rPr>
            <w:rStyle w:val="Hyperlink"/>
            <w:rFonts w:cs="Arial"/>
            <w:szCs w:val="24"/>
          </w:rPr>
          <w:t>https://icd.who.int/browse11/l-m/en#/http%3a%2f%2fid.who.int%2ficd%2fentity%2f334423054</w:t>
        </w:r>
      </w:hyperlink>
      <w:r>
        <w:rPr>
          <w:rFonts w:cs="Arial"/>
          <w:szCs w:val="24"/>
        </w:rPr>
        <w:t xml:space="preserve"> [Accessed 2</w:t>
      </w:r>
      <w:r w:rsidRPr="0051118A">
        <w:rPr>
          <w:rFonts w:cs="Arial"/>
          <w:szCs w:val="24"/>
          <w:vertAlign w:val="superscript"/>
        </w:rPr>
        <w:t>nd</w:t>
      </w:r>
      <w:r>
        <w:rPr>
          <w:rFonts w:cs="Arial"/>
          <w:szCs w:val="24"/>
        </w:rPr>
        <w:t xml:space="preserve"> February 2019].</w:t>
      </w:r>
    </w:p>
    <w:p w:rsidR="008F15C4" w:rsidRDefault="008F15C4" w:rsidP="008F15C4">
      <w:pPr>
        <w:spacing w:line="480" w:lineRule="auto"/>
        <w:ind w:left="1004" w:hanging="720"/>
        <w:rPr>
          <w:rFonts w:cs="Arial"/>
          <w:szCs w:val="24"/>
        </w:rPr>
      </w:pPr>
      <w:r w:rsidRPr="008A2068">
        <w:rPr>
          <w:rFonts w:cs="Arial"/>
          <w:szCs w:val="24"/>
        </w:rPr>
        <w:t>Karasz, A., Gany, F., Escobar, J., Flores, C., Prasad, L., Inman, A., ... &amp; Diwan, S. (2016). Mental health and stress among South Asians. </w:t>
      </w:r>
      <w:r w:rsidRPr="008A2068">
        <w:rPr>
          <w:rFonts w:cs="Arial"/>
          <w:i/>
          <w:iCs/>
          <w:szCs w:val="24"/>
        </w:rPr>
        <w:t>Journal of immigrant and minority health</w:t>
      </w:r>
      <w:r w:rsidRPr="008A2068">
        <w:rPr>
          <w:rFonts w:cs="Arial"/>
          <w:szCs w:val="24"/>
        </w:rPr>
        <w:t>, 1-8.</w:t>
      </w:r>
    </w:p>
    <w:p w:rsidR="008F15C4" w:rsidRDefault="008F15C4" w:rsidP="008F15C4">
      <w:pPr>
        <w:spacing w:line="480" w:lineRule="auto"/>
        <w:ind w:left="1004" w:hanging="720"/>
        <w:rPr>
          <w:rFonts w:cs="Arial"/>
          <w:szCs w:val="24"/>
        </w:rPr>
      </w:pPr>
      <w:r w:rsidRPr="0076373D">
        <w:rPr>
          <w:rFonts w:cs="Arial"/>
          <w:szCs w:val="24"/>
        </w:rPr>
        <w:t>Legislation.gov.uk (2000)</w:t>
      </w:r>
      <w:r>
        <w:rPr>
          <w:rFonts w:cs="Arial"/>
          <w:szCs w:val="24"/>
        </w:rPr>
        <w:t xml:space="preserve">. </w:t>
      </w:r>
      <w:r w:rsidRPr="001B69EC">
        <w:rPr>
          <w:rFonts w:cs="Arial"/>
          <w:i/>
          <w:szCs w:val="24"/>
        </w:rPr>
        <w:t>Counter-Terrorism Act 2008</w:t>
      </w:r>
      <w:r>
        <w:rPr>
          <w:rFonts w:cs="Arial"/>
          <w:szCs w:val="24"/>
        </w:rPr>
        <w:t xml:space="preserve"> [electronic] Available from </w:t>
      </w:r>
      <w:hyperlink r:id="rId9" w:history="1">
        <w:r w:rsidRPr="00527B72">
          <w:rPr>
            <w:rStyle w:val="Hyperlink"/>
            <w:rFonts w:cs="Arial"/>
            <w:szCs w:val="24"/>
          </w:rPr>
          <w:t>https://www.legislation.gov.uk/ukpga/2008/28/pdfs/ukpga_20080028_en.pdf</w:t>
        </w:r>
      </w:hyperlink>
      <w:r w:rsidRPr="00534C62">
        <w:t xml:space="preserve"> </w:t>
      </w:r>
      <w:r>
        <w:t>[A</w:t>
      </w:r>
      <w:r w:rsidRPr="00534C62">
        <w:rPr>
          <w:rFonts w:cs="Arial"/>
          <w:szCs w:val="24"/>
        </w:rPr>
        <w:t>ccessed 20th February 2019</w:t>
      </w:r>
      <w:r>
        <w:rPr>
          <w:rFonts w:cs="Arial"/>
          <w:szCs w:val="24"/>
        </w:rPr>
        <w:t>].</w:t>
      </w:r>
    </w:p>
    <w:p w:rsidR="008F15C4" w:rsidRDefault="008F15C4" w:rsidP="008F15C4">
      <w:pPr>
        <w:spacing w:line="480" w:lineRule="auto"/>
        <w:ind w:left="1004" w:hanging="720"/>
        <w:rPr>
          <w:rFonts w:cs="Arial"/>
          <w:szCs w:val="24"/>
        </w:rPr>
      </w:pPr>
      <w:r w:rsidRPr="00EA2C02">
        <w:rPr>
          <w:rFonts w:cs="Arial"/>
          <w:szCs w:val="24"/>
        </w:rPr>
        <w:t>Legislation.gov.uk (20</w:t>
      </w:r>
      <w:r>
        <w:rPr>
          <w:rFonts w:cs="Arial"/>
          <w:szCs w:val="24"/>
        </w:rPr>
        <w:t>15</w:t>
      </w:r>
      <w:r w:rsidRPr="00EA2C02">
        <w:rPr>
          <w:rFonts w:cs="Arial"/>
          <w:szCs w:val="24"/>
        </w:rPr>
        <w:t xml:space="preserve">) </w:t>
      </w:r>
      <w:r w:rsidRPr="00EA2C02">
        <w:rPr>
          <w:rFonts w:cs="Arial"/>
          <w:i/>
          <w:szCs w:val="24"/>
        </w:rPr>
        <w:t>Counter-Terrorism and Security Act 2015</w:t>
      </w:r>
      <w:r>
        <w:rPr>
          <w:rFonts w:cs="Arial"/>
          <w:szCs w:val="24"/>
        </w:rPr>
        <w:t xml:space="preserve"> [electronic] Available from: </w:t>
      </w:r>
      <w:hyperlink r:id="rId10" w:history="1">
        <w:r w:rsidRPr="00932C37">
          <w:rPr>
            <w:rStyle w:val="Hyperlink"/>
            <w:rFonts w:cs="Arial"/>
            <w:szCs w:val="24"/>
          </w:rPr>
          <w:t>http://www.legislation.gov.uk/ukpga/2015/6/contents/enacted</w:t>
        </w:r>
      </w:hyperlink>
      <w:r>
        <w:rPr>
          <w:rFonts w:cs="Arial"/>
          <w:szCs w:val="24"/>
        </w:rPr>
        <w:t xml:space="preserve"> [Accessed:20th February 2019].</w:t>
      </w:r>
    </w:p>
    <w:p w:rsidR="008F15C4" w:rsidRDefault="008F15C4" w:rsidP="008F15C4">
      <w:pPr>
        <w:spacing w:line="480" w:lineRule="auto"/>
        <w:ind w:left="1004" w:hanging="720"/>
        <w:rPr>
          <w:rFonts w:cs="Arial"/>
          <w:szCs w:val="24"/>
        </w:rPr>
      </w:pPr>
      <w:bookmarkStart w:id="22" w:name="_Hlk2109463"/>
      <w:r>
        <w:rPr>
          <w:rFonts w:cs="Arial"/>
          <w:szCs w:val="24"/>
        </w:rPr>
        <w:t>L</w:t>
      </w:r>
      <w:r w:rsidRPr="0076373D">
        <w:rPr>
          <w:rFonts w:cs="Arial"/>
          <w:szCs w:val="24"/>
        </w:rPr>
        <w:t>egislation.gov.uk</w:t>
      </w:r>
      <w:r>
        <w:rPr>
          <w:rFonts w:cs="Arial"/>
          <w:szCs w:val="24"/>
        </w:rPr>
        <w:t xml:space="preserve">(2000) </w:t>
      </w:r>
      <w:bookmarkEnd w:id="22"/>
      <w:r w:rsidRPr="001B69EC">
        <w:rPr>
          <w:rFonts w:cs="Arial"/>
          <w:i/>
          <w:szCs w:val="24"/>
        </w:rPr>
        <w:t>Terrorism Act 2000</w:t>
      </w:r>
      <w:r w:rsidRPr="0076373D">
        <w:t xml:space="preserve"> </w:t>
      </w:r>
      <w:r>
        <w:t>[electronic] Available from:</w:t>
      </w:r>
      <w:hyperlink r:id="rId11" w:history="1">
        <w:r w:rsidRPr="00527B72">
          <w:rPr>
            <w:rStyle w:val="Hyperlink"/>
            <w:rFonts w:cs="Arial"/>
            <w:szCs w:val="24"/>
          </w:rPr>
          <w:t>http://www.legislation.gov.uk/ukpga/2000/11/pdfs/ukpga_20000011_en.pdf</w:t>
        </w:r>
      </w:hyperlink>
      <w:r>
        <w:rPr>
          <w:rFonts w:cs="Arial"/>
          <w:szCs w:val="24"/>
        </w:rPr>
        <w:t xml:space="preserve"> </w:t>
      </w:r>
      <w:bookmarkStart w:id="23" w:name="_Hlk2109520"/>
      <w:r>
        <w:rPr>
          <w:rFonts w:cs="Arial"/>
          <w:szCs w:val="24"/>
        </w:rPr>
        <w:t>[Accessed: 20th February 2019</w:t>
      </w:r>
      <w:bookmarkEnd w:id="23"/>
      <w:r>
        <w:rPr>
          <w:rFonts w:cs="Arial"/>
          <w:szCs w:val="24"/>
        </w:rPr>
        <w:t>].</w:t>
      </w:r>
    </w:p>
    <w:p w:rsidR="008F15C4" w:rsidRDefault="008F15C4" w:rsidP="008F15C4">
      <w:pPr>
        <w:spacing w:line="480" w:lineRule="auto"/>
        <w:ind w:left="1004" w:hanging="720"/>
        <w:rPr>
          <w:rFonts w:cs="Arial"/>
          <w:szCs w:val="24"/>
        </w:rPr>
      </w:pPr>
      <w:bookmarkStart w:id="24" w:name="_Hlk2344312"/>
      <w:r w:rsidRPr="00E95399">
        <w:rPr>
          <w:rFonts w:cs="Arial"/>
          <w:szCs w:val="24"/>
        </w:rPr>
        <w:t xml:space="preserve">Lyons-Padilla, S., Gelfand, M. J., Mirahmadi, H., Farooq, M., &amp; Van Egmond, M. (2015). </w:t>
      </w:r>
      <w:bookmarkEnd w:id="24"/>
      <w:r w:rsidRPr="00E95399">
        <w:rPr>
          <w:rFonts w:cs="Arial"/>
          <w:szCs w:val="24"/>
        </w:rPr>
        <w:t>Belonging nowhere: Marginalization &amp; radicalization risk among Muslim immigrants. </w:t>
      </w:r>
      <w:r w:rsidRPr="00E95399">
        <w:rPr>
          <w:rFonts w:cs="Arial"/>
          <w:i/>
          <w:iCs/>
          <w:szCs w:val="24"/>
        </w:rPr>
        <w:t>Behavioral Science &amp; Policy</w:t>
      </w:r>
      <w:r w:rsidRPr="00E95399">
        <w:rPr>
          <w:rFonts w:cs="Arial"/>
          <w:szCs w:val="24"/>
        </w:rPr>
        <w:t>, </w:t>
      </w:r>
      <w:r w:rsidRPr="00E95399">
        <w:rPr>
          <w:rFonts w:cs="Arial"/>
          <w:i/>
          <w:iCs/>
          <w:szCs w:val="24"/>
        </w:rPr>
        <w:t>1</w:t>
      </w:r>
      <w:r w:rsidRPr="00E95399">
        <w:rPr>
          <w:rFonts w:cs="Arial"/>
          <w:szCs w:val="24"/>
        </w:rPr>
        <w:t>(2), 1-12.</w:t>
      </w:r>
    </w:p>
    <w:p w:rsidR="008F15C4" w:rsidRDefault="008F15C4" w:rsidP="008F15C4">
      <w:pPr>
        <w:spacing w:line="480" w:lineRule="auto"/>
        <w:ind w:left="1004" w:hanging="720"/>
        <w:rPr>
          <w:rFonts w:cs="Arial"/>
          <w:szCs w:val="24"/>
        </w:rPr>
      </w:pPr>
      <w:bookmarkStart w:id="25" w:name="_Hlk2344553"/>
      <w:r w:rsidRPr="006B0B8B">
        <w:rPr>
          <w:rFonts w:cs="Arial"/>
          <w:szCs w:val="24"/>
        </w:rPr>
        <w:lastRenderedPageBreak/>
        <w:t xml:space="preserve">Pearson, E. (2016). </w:t>
      </w:r>
      <w:bookmarkEnd w:id="25"/>
      <w:r w:rsidRPr="006B0B8B">
        <w:rPr>
          <w:rFonts w:cs="Arial"/>
          <w:szCs w:val="24"/>
        </w:rPr>
        <w:t>The case of roshonara choudhry: Implications for theory on online radicalization, ISIS women, and the gendered jihad. </w:t>
      </w:r>
      <w:r w:rsidRPr="006B0B8B">
        <w:rPr>
          <w:rFonts w:cs="Arial"/>
          <w:i/>
          <w:iCs/>
          <w:szCs w:val="24"/>
        </w:rPr>
        <w:t>Policy &amp; Internet</w:t>
      </w:r>
      <w:r w:rsidRPr="006B0B8B">
        <w:rPr>
          <w:rFonts w:cs="Arial"/>
          <w:szCs w:val="24"/>
        </w:rPr>
        <w:t>, </w:t>
      </w:r>
      <w:r w:rsidRPr="006B0B8B">
        <w:rPr>
          <w:rFonts w:cs="Arial"/>
          <w:i/>
          <w:iCs/>
          <w:szCs w:val="24"/>
        </w:rPr>
        <w:t>8</w:t>
      </w:r>
      <w:r w:rsidRPr="006B0B8B">
        <w:rPr>
          <w:rFonts w:cs="Arial"/>
          <w:szCs w:val="24"/>
        </w:rPr>
        <w:t>(1), 5-33.</w:t>
      </w:r>
    </w:p>
    <w:p w:rsidR="008F15C4" w:rsidRDefault="008F15C4" w:rsidP="008F15C4">
      <w:pPr>
        <w:spacing w:line="480" w:lineRule="auto"/>
        <w:ind w:left="1004" w:hanging="720"/>
        <w:rPr>
          <w:rFonts w:cs="Arial"/>
          <w:szCs w:val="24"/>
        </w:rPr>
      </w:pPr>
      <w:r w:rsidRPr="00BA30DF">
        <w:rPr>
          <w:rFonts w:cs="Arial"/>
          <w:szCs w:val="24"/>
        </w:rPr>
        <w:t>Rassool, G. H. (2015). Cultural competence in counselling the Muslim patient: Implications for mental health. </w:t>
      </w:r>
      <w:r w:rsidRPr="00BA30DF">
        <w:rPr>
          <w:rFonts w:cs="Arial"/>
          <w:i/>
          <w:iCs/>
          <w:szCs w:val="24"/>
        </w:rPr>
        <w:t>Archives of Psychiatric Nursing</w:t>
      </w:r>
      <w:r w:rsidRPr="00BA30DF">
        <w:rPr>
          <w:rFonts w:cs="Arial"/>
          <w:szCs w:val="24"/>
        </w:rPr>
        <w:t>, </w:t>
      </w:r>
      <w:r w:rsidRPr="00BA30DF">
        <w:rPr>
          <w:rFonts w:cs="Arial"/>
          <w:i/>
          <w:iCs/>
          <w:szCs w:val="24"/>
        </w:rPr>
        <w:t>29</w:t>
      </w:r>
      <w:r w:rsidRPr="00BA30DF">
        <w:rPr>
          <w:rFonts w:cs="Arial"/>
          <w:szCs w:val="24"/>
        </w:rPr>
        <w:t>(5), 321-325.</w:t>
      </w:r>
    </w:p>
    <w:p w:rsidR="008F15C4" w:rsidRDefault="008F15C4" w:rsidP="008F15C4">
      <w:pPr>
        <w:spacing w:line="480" w:lineRule="auto"/>
        <w:ind w:left="1004" w:hanging="720"/>
        <w:rPr>
          <w:rFonts w:cs="Arial"/>
          <w:szCs w:val="24"/>
        </w:rPr>
      </w:pPr>
      <w:r w:rsidRPr="004E0613">
        <w:rPr>
          <w:rFonts w:cs="Arial"/>
          <w:szCs w:val="24"/>
        </w:rPr>
        <w:t>Rienzo, C., &amp; Vargas-Silva, C. (2018). Migrants in the UK: An overview. </w:t>
      </w:r>
      <w:r w:rsidRPr="004E0613">
        <w:rPr>
          <w:rFonts w:cs="Arial"/>
          <w:i/>
          <w:iCs/>
          <w:szCs w:val="24"/>
        </w:rPr>
        <w:t>Migration Observatory briefing. Oxford: COMPAS, University of Oxford</w:t>
      </w:r>
      <w:r w:rsidRPr="004E0613">
        <w:rPr>
          <w:rFonts w:cs="Arial"/>
          <w:szCs w:val="24"/>
        </w:rPr>
        <w:t>.</w:t>
      </w:r>
      <w:r>
        <w:rPr>
          <w:rFonts w:cs="Arial"/>
          <w:szCs w:val="24"/>
        </w:rPr>
        <w:t xml:space="preserve"> </w:t>
      </w:r>
    </w:p>
    <w:p w:rsidR="008F15C4" w:rsidRDefault="008F15C4" w:rsidP="008F15C4">
      <w:pPr>
        <w:spacing w:line="480" w:lineRule="auto"/>
        <w:ind w:left="1004" w:hanging="720"/>
        <w:rPr>
          <w:rFonts w:cs="Arial"/>
          <w:szCs w:val="24"/>
        </w:rPr>
      </w:pPr>
      <w:bookmarkStart w:id="26" w:name="_Hlk2351832"/>
      <w:r w:rsidRPr="00F9613B">
        <w:rPr>
          <w:rFonts w:cs="Arial"/>
          <w:szCs w:val="24"/>
        </w:rPr>
        <w:t xml:space="preserve">Sestoft, D., Hansen, S. M., &amp; Christensen, A. B. (2017). </w:t>
      </w:r>
      <w:bookmarkEnd w:id="26"/>
      <w:r w:rsidRPr="00F9613B">
        <w:rPr>
          <w:rFonts w:cs="Arial"/>
          <w:szCs w:val="24"/>
        </w:rPr>
        <w:t>The police, social services, and psychiatry (PSP) cooperation as a platform for dealing with concerns of radicalization. </w:t>
      </w:r>
      <w:r w:rsidRPr="00F9613B">
        <w:rPr>
          <w:rFonts w:cs="Arial"/>
          <w:i/>
          <w:iCs/>
          <w:szCs w:val="24"/>
        </w:rPr>
        <w:t>International review of psychiatry</w:t>
      </w:r>
      <w:r w:rsidRPr="00F9613B">
        <w:rPr>
          <w:rFonts w:cs="Arial"/>
          <w:szCs w:val="24"/>
        </w:rPr>
        <w:t>, </w:t>
      </w:r>
      <w:r w:rsidRPr="00F9613B">
        <w:rPr>
          <w:rFonts w:cs="Arial"/>
          <w:i/>
          <w:iCs/>
          <w:szCs w:val="24"/>
        </w:rPr>
        <w:t>29</w:t>
      </w:r>
      <w:r w:rsidRPr="00F9613B">
        <w:rPr>
          <w:rFonts w:cs="Arial"/>
          <w:szCs w:val="24"/>
        </w:rPr>
        <w:t>(4), 350-354.</w:t>
      </w:r>
    </w:p>
    <w:p w:rsidR="008F15C4" w:rsidRDefault="008F15C4" w:rsidP="008F15C4">
      <w:pPr>
        <w:spacing w:line="480" w:lineRule="auto"/>
        <w:ind w:left="1004" w:hanging="720"/>
        <w:rPr>
          <w:rFonts w:cs="Arial"/>
          <w:szCs w:val="24"/>
        </w:rPr>
      </w:pPr>
      <w:bookmarkStart w:id="27" w:name="_Hlk2349561"/>
      <w:r w:rsidRPr="007951FF">
        <w:rPr>
          <w:rFonts w:cs="Arial"/>
          <w:szCs w:val="24"/>
        </w:rPr>
        <w:t xml:space="preserve">Silke, A. (2008). </w:t>
      </w:r>
      <w:bookmarkEnd w:id="27"/>
      <w:r w:rsidRPr="007951FF">
        <w:rPr>
          <w:rFonts w:cs="Arial"/>
          <w:szCs w:val="24"/>
        </w:rPr>
        <w:t>Holy warriors: Exploring the psychological processes of jihadi radicalization. </w:t>
      </w:r>
      <w:r w:rsidRPr="007951FF">
        <w:rPr>
          <w:rFonts w:cs="Arial"/>
          <w:i/>
          <w:iCs/>
          <w:szCs w:val="24"/>
        </w:rPr>
        <w:t>European journal of criminology</w:t>
      </w:r>
      <w:r w:rsidRPr="007951FF">
        <w:rPr>
          <w:rFonts w:cs="Arial"/>
          <w:szCs w:val="24"/>
        </w:rPr>
        <w:t>, </w:t>
      </w:r>
      <w:r w:rsidRPr="007951FF">
        <w:rPr>
          <w:rFonts w:cs="Arial"/>
          <w:i/>
          <w:iCs/>
          <w:szCs w:val="24"/>
        </w:rPr>
        <w:t>5</w:t>
      </w:r>
      <w:r w:rsidRPr="007951FF">
        <w:rPr>
          <w:rFonts w:cs="Arial"/>
          <w:szCs w:val="24"/>
        </w:rPr>
        <w:t>(1), 99-123.</w:t>
      </w:r>
    </w:p>
    <w:p w:rsidR="008F15C4" w:rsidRDefault="008F15C4" w:rsidP="008F15C4">
      <w:pPr>
        <w:spacing w:line="480" w:lineRule="auto"/>
        <w:ind w:left="1004" w:hanging="720"/>
        <w:rPr>
          <w:rFonts w:cs="Arial"/>
          <w:szCs w:val="24"/>
        </w:rPr>
      </w:pPr>
      <w:bookmarkStart w:id="28" w:name="_Hlk2426537"/>
      <w:r w:rsidRPr="006F6370">
        <w:rPr>
          <w:rFonts w:cs="Arial"/>
          <w:szCs w:val="24"/>
        </w:rPr>
        <w:t>Vyara Apostolova &amp; Oliver Hawkins</w:t>
      </w:r>
      <w:r>
        <w:rPr>
          <w:rFonts w:cs="Arial"/>
          <w:szCs w:val="24"/>
        </w:rPr>
        <w:t xml:space="preserve"> (2017). </w:t>
      </w:r>
      <w:bookmarkEnd w:id="28"/>
      <w:r w:rsidRPr="0011563F">
        <w:rPr>
          <w:rFonts w:cs="Arial"/>
          <w:i/>
          <w:szCs w:val="24"/>
        </w:rPr>
        <w:t>House of Commons Library: Briefing paper: Number CBP8070</w:t>
      </w:r>
      <w:r w:rsidRPr="006F6370">
        <w:rPr>
          <w:rFonts w:cs="Arial"/>
          <w:szCs w:val="24"/>
        </w:rPr>
        <w:t xml:space="preserve">, </w:t>
      </w:r>
      <w:r w:rsidRPr="00D73077">
        <w:rPr>
          <w:rFonts w:cs="Arial"/>
          <w:i/>
          <w:szCs w:val="24"/>
        </w:rPr>
        <w:t>3 August 2017 Migrant population of the UK</w:t>
      </w:r>
      <w:r>
        <w:rPr>
          <w:rFonts w:cs="Arial"/>
          <w:szCs w:val="24"/>
        </w:rPr>
        <w:t xml:space="preserve"> [electronic], Available from </w:t>
      </w:r>
      <w:hyperlink r:id="rId12" w:history="1">
        <w:r w:rsidRPr="00C9454C">
          <w:rPr>
            <w:rStyle w:val="Hyperlink"/>
            <w:rFonts w:cs="Arial"/>
            <w:szCs w:val="24"/>
          </w:rPr>
          <w:t>https://researchbriefings.parliament.uk/ResearchBriefing/Summary/CBP-8070</w:t>
        </w:r>
      </w:hyperlink>
      <w:r>
        <w:rPr>
          <w:rFonts w:cs="Arial"/>
          <w:szCs w:val="24"/>
        </w:rPr>
        <w:t xml:space="preserve"> [Accessed: 20</w:t>
      </w:r>
      <w:r w:rsidRPr="004E0613">
        <w:rPr>
          <w:rFonts w:cs="Arial"/>
          <w:szCs w:val="24"/>
          <w:vertAlign w:val="superscript"/>
        </w:rPr>
        <w:t>th</w:t>
      </w:r>
      <w:r>
        <w:rPr>
          <w:rFonts w:cs="Arial"/>
          <w:szCs w:val="24"/>
        </w:rPr>
        <w:t xml:space="preserve"> February 2019].</w:t>
      </w:r>
    </w:p>
    <w:p w:rsidR="008F15C4" w:rsidRDefault="008F15C4" w:rsidP="008F15C4">
      <w:pPr>
        <w:spacing w:line="480" w:lineRule="auto"/>
        <w:ind w:left="1004" w:hanging="720"/>
        <w:rPr>
          <w:rFonts w:cs="Arial"/>
          <w:szCs w:val="24"/>
        </w:rPr>
      </w:pPr>
      <w:r w:rsidRPr="009E5B1F">
        <w:rPr>
          <w:rFonts w:cs="Arial"/>
          <w:szCs w:val="24"/>
        </w:rPr>
        <w:lastRenderedPageBreak/>
        <w:t>Weenink, A. W. (2015). Behavioural problems and disorders among radicals in police files. </w:t>
      </w:r>
      <w:r w:rsidRPr="009E5B1F">
        <w:rPr>
          <w:rFonts w:cs="Arial"/>
          <w:i/>
          <w:iCs/>
          <w:szCs w:val="24"/>
        </w:rPr>
        <w:t>Perspectives on terrorism</w:t>
      </w:r>
      <w:r w:rsidRPr="009E5B1F">
        <w:rPr>
          <w:rFonts w:cs="Arial"/>
          <w:szCs w:val="24"/>
        </w:rPr>
        <w:t>, </w:t>
      </w:r>
      <w:r w:rsidRPr="009E5B1F">
        <w:rPr>
          <w:rFonts w:cs="Arial"/>
          <w:i/>
          <w:iCs/>
          <w:szCs w:val="24"/>
        </w:rPr>
        <w:t>9</w:t>
      </w:r>
      <w:r w:rsidRPr="009E5B1F">
        <w:rPr>
          <w:rFonts w:cs="Arial"/>
          <w:szCs w:val="24"/>
        </w:rPr>
        <w:t>(2).</w:t>
      </w:r>
    </w:p>
    <w:p w:rsidR="008F15C4" w:rsidRDefault="008F15C4"/>
    <w:sectPr w:rsidR="008F15C4" w:rsidSect="00EE521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ABE" w:rsidRDefault="006F6ABE" w:rsidP="009F4A3D">
      <w:pPr>
        <w:spacing w:after="0" w:line="240" w:lineRule="auto"/>
      </w:pPr>
      <w:r>
        <w:separator/>
      </w:r>
    </w:p>
  </w:endnote>
  <w:endnote w:type="continuationSeparator" w:id="0">
    <w:p w:rsidR="006F6ABE" w:rsidRDefault="006F6ABE" w:rsidP="009F4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9860022"/>
      <w:docPartObj>
        <w:docPartGallery w:val="Page Numbers (Bottom of Page)"/>
        <w:docPartUnique/>
      </w:docPartObj>
    </w:sdtPr>
    <w:sdtEndPr>
      <w:rPr>
        <w:noProof/>
      </w:rPr>
    </w:sdtEndPr>
    <w:sdtContent>
      <w:p w:rsidR="00802900" w:rsidRDefault="00802900">
        <w:pPr>
          <w:pStyle w:val="Footer"/>
        </w:pPr>
        <w:r>
          <w:fldChar w:fldCharType="begin"/>
        </w:r>
        <w:r>
          <w:instrText xml:space="preserve"> PAGE   \* MERGEFORMAT </w:instrText>
        </w:r>
        <w:r>
          <w:fldChar w:fldCharType="separate"/>
        </w:r>
        <w:r>
          <w:rPr>
            <w:noProof/>
          </w:rPr>
          <w:t>2</w:t>
        </w:r>
        <w:r>
          <w:rPr>
            <w:noProof/>
          </w:rPr>
          <w:fldChar w:fldCharType="end"/>
        </w:r>
      </w:p>
    </w:sdtContent>
  </w:sdt>
  <w:p w:rsidR="00802900" w:rsidRDefault="00802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ABE" w:rsidRDefault="006F6ABE" w:rsidP="009F4A3D">
      <w:pPr>
        <w:spacing w:after="0" w:line="240" w:lineRule="auto"/>
      </w:pPr>
      <w:r>
        <w:separator/>
      </w:r>
    </w:p>
  </w:footnote>
  <w:footnote w:type="continuationSeparator" w:id="0">
    <w:p w:rsidR="006F6ABE" w:rsidRDefault="006F6ABE" w:rsidP="009F4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A3D" w:rsidRDefault="009F4A3D">
    <w:pPr>
      <w:pStyle w:val="Header"/>
    </w:pPr>
    <w:r>
      <w:t xml:space="preserve">P151932                                                                          </w:t>
    </w:r>
    <w:r w:rsidR="00387AE0" w:rsidRPr="00387AE0">
      <w:t>M6X02253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C4"/>
    <w:rsid w:val="00082F9B"/>
    <w:rsid w:val="002D4382"/>
    <w:rsid w:val="00387AE0"/>
    <w:rsid w:val="003B0B61"/>
    <w:rsid w:val="003E7DEF"/>
    <w:rsid w:val="006F6ABE"/>
    <w:rsid w:val="0070768F"/>
    <w:rsid w:val="00710833"/>
    <w:rsid w:val="007653B9"/>
    <w:rsid w:val="00802900"/>
    <w:rsid w:val="008205EC"/>
    <w:rsid w:val="008F15C4"/>
    <w:rsid w:val="009008E1"/>
    <w:rsid w:val="009F4A3D"/>
    <w:rsid w:val="00C25A8B"/>
    <w:rsid w:val="00CA338C"/>
    <w:rsid w:val="00CF1A1E"/>
    <w:rsid w:val="00D33CA2"/>
    <w:rsid w:val="00DD1871"/>
    <w:rsid w:val="00EE5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59E1"/>
  <w15:docId w15:val="{12516586-B009-4454-A2B9-0692A7E4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5C4"/>
    <w:rPr>
      <w:rFonts w:ascii="Arial" w:hAnsi="Arial"/>
      <w:spacing w:val="20"/>
      <w:position w:val="8"/>
      <w:sz w:val="24"/>
    </w:rPr>
  </w:style>
  <w:style w:type="paragraph" w:styleId="Heading1">
    <w:name w:val="heading 1"/>
    <w:basedOn w:val="Normal"/>
    <w:next w:val="Normal"/>
    <w:link w:val="Heading1Char"/>
    <w:uiPriority w:val="9"/>
    <w:qFormat/>
    <w:rsid w:val="009F4A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15C4"/>
    <w:rPr>
      <w:color w:val="0563C1" w:themeColor="hyperlink"/>
      <w:u w:val="single"/>
    </w:rPr>
  </w:style>
  <w:style w:type="character" w:customStyle="1" w:styleId="Heading1Char">
    <w:name w:val="Heading 1 Char"/>
    <w:basedOn w:val="DefaultParagraphFont"/>
    <w:link w:val="Heading1"/>
    <w:uiPriority w:val="9"/>
    <w:rsid w:val="009F4A3D"/>
    <w:rPr>
      <w:rFonts w:asciiTheme="majorHAnsi" w:eastAsiaTheme="majorEastAsia" w:hAnsiTheme="majorHAnsi" w:cstheme="majorBidi"/>
      <w:color w:val="2F5496" w:themeColor="accent1" w:themeShade="BF"/>
      <w:spacing w:val="20"/>
      <w:position w:val="8"/>
      <w:sz w:val="32"/>
      <w:szCs w:val="32"/>
    </w:rPr>
  </w:style>
  <w:style w:type="paragraph" w:styleId="Header">
    <w:name w:val="header"/>
    <w:basedOn w:val="Normal"/>
    <w:link w:val="HeaderChar"/>
    <w:uiPriority w:val="99"/>
    <w:unhideWhenUsed/>
    <w:rsid w:val="009F4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A3D"/>
    <w:rPr>
      <w:rFonts w:ascii="Arial" w:hAnsi="Arial"/>
      <w:spacing w:val="20"/>
      <w:position w:val="8"/>
      <w:sz w:val="24"/>
    </w:rPr>
  </w:style>
  <w:style w:type="paragraph" w:styleId="Footer">
    <w:name w:val="footer"/>
    <w:basedOn w:val="Normal"/>
    <w:link w:val="FooterChar"/>
    <w:uiPriority w:val="99"/>
    <w:unhideWhenUsed/>
    <w:rsid w:val="009F4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A3D"/>
    <w:rPr>
      <w:rFonts w:ascii="Arial" w:hAnsi="Arial"/>
      <w:spacing w:val="20"/>
      <w:position w:val="8"/>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11/l-m/e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ps.org.uk/sites/bps.org.uk/files/Policy/Policy%20-%20Files/Guidelines%20for%20psychologists%20working%20with%20refugees%20and%20asylum%20seekers%20in%20the%20UK%20-%20Summary%20%28Updated%20Nov%202018%29.pdf" TargetMode="External"/><Relationship Id="rId12" Type="http://schemas.openxmlformats.org/officeDocument/2006/relationships/hyperlink" Target="https://researchbriefings.parliament.uk/ResearchBriefing/Summary/CBP-807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igrationobservatory.ox.ac.uk/resources/briefings/who-counts-as-a-migrant-definitions-and-their-consequences/" TargetMode="External"/><Relationship Id="rId11" Type="http://schemas.openxmlformats.org/officeDocument/2006/relationships/hyperlink" Target="http://www.legislation.gov.uk/ukpga/2000/11/pdfs/ukpga_20000011_en.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legislation.gov.uk/ukpga/2015/6/contents/enacted" TargetMode="External"/><Relationship Id="rId4" Type="http://schemas.openxmlformats.org/officeDocument/2006/relationships/footnotes" Target="footnotes.xml"/><Relationship Id="rId9" Type="http://schemas.openxmlformats.org/officeDocument/2006/relationships/hyperlink" Target="https://www.legislation.gov.uk/ukpga/2008/28/pdfs/ukpga_20080028_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Ethel Janes (P151932)</dc:creator>
  <cp:keywords/>
  <dc:description/>
  <cp:lastModifiedBy>Ethel Janes (P151932)</cp:lastModifiedBy>
  <cp:revision>2</cp:revision>
  <dcterms:created xsi:type="dcterms:W3CDTF">2019-03-07T19:43:00Z</dcterms:created>
  <dcterms:modified xsi:type="dcterms:W3CDTF">2019-03-07T19:43:00Z</dcterms:modified>
</cp:coreProperties>
</file>