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5"/>
      </w:tblGrid>
      <w:tr w:rsidR="00F927A1" w:rsidRPr="005D3F07" w14:paraId="68CAA39D" w14:textId="77777777" w:rsidTr="008D4D43">
        <w:trPr>
          <w:trHeight w:val="4079"/>
        </w:trPr>
        <w:tc>
          <w:tcPr>
            <w:tcW w:w="10775" w:type="dxa"/>
            <w:shd w:val="clear" w:color="auto" w:fill="auto"/>
          </w:tcPr>
          <w:p w14:paraId="02F8EE88" w14:textId="0D3DB277" w:rsidR="00986B43" w:rsidRPr="008D4D43"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8D4D43">
              <w:rPr>
                <w:rFonts w:ascii="Times New Roman" w:hAnsi="Times New Roman" w:cs="Times New Roman"/>
                <w:b/>
                <w:color w:val="auto"/>
                <w:sz w:val="44"/>
                <w:szCs w:val="44"/>
              </w:rPr>
              <w:t>Learner’s name:</w:t>
            </w:r>
            <w:r w:rsidR="00247265" w:rsidRPr="008D4D43">
              <w:rPr>
                <w:rFonts w:ascii="Times New Roman" w:hAnsi="Times New Roman" w:cs="Times New Roman"/>
                <w:b/>
                <w:color w:val="auto"/>
                <w:sz w:val="44"/>
                <w:szCs w:val="44"/>
              </w:rPr>
              <w:t xml:space="preserve"> </w:t>
            </w:r>
            <w:r w:rsidR="00C57542" w:rsidRPr="008D4D43">
              <w:rPr>
                <w:rFonts w:ascii="Times New Roman" w:hAnsi="Times New Roman" w:cs="Times New Roman"/>
                <w:b/>
                <w:color w:val="auto"/>
                <w:sz w:val="44"/>
                <w:szCs w:val="44"/>
              </w:rPr>
              <w:t>Natasha Ruzzi</w:t>
            </w:r>
          </w:p>
          <w:p w14:paraId="0B6CD0DB" w14:textId="689515B5" w:rsidR="009C337F" w:rsidRPr="008D4D43"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3EA32643" w:rsidR="009C337F" w:rsidRPr="008D4D43"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8D4D43">
              <w:rPr>
                <w:rFonts w:ascii="Times New Roman" w:hAnsi="Times New Roman" w:cs="Times New Roman"/>
                <w:b/>
                <w:color w:val="auto"/>
                <w:sz w:val="44"/>
                <w:szCs w:val="44"/>
              </w:rPr>
              <w:t>Email address:</w:t>
            </w:r>
            <w:r w:rsidR="00C57542" w:rsidRPr="008D4D43">
              <w:rPr>
                <w:rFonts w:ascii="Times New Roman" w:hAnsi="Times New Roman" w:cs="Times New Roman"/>
                <w:b/>
                <w:color w:val="auto"/>
                <w:sz w:val="44"/>
                <w:szCs w:val="44"/>
              </w:rPr>
              <w:t xml:space="preserve"> n.ruzzi@npt.gov.uk</w:t>
            </w:r>
          </w:p>
          <w:p w14:paraId="22E38809" w14:textId="77777777" w:rsidR="00986B43" w:rsidRPr="008D4D43"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5306F327" w:rsidR="00F927A1" w:rsidRPr="008D4D43"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8D4D43">
              <w:rPr>
                <w:rFonts w:ascii="Times New Roman" w:hAnsi="Times New Roman" w:cs="Times New Roman"/>
                <w:b/>
                <w:color w:val="auto"/>
                <w:sz w:val="44"/>
                <w:szCs w:val="44"/>
              </w:rPr>
              <w:t>Learner’s University Registration</w:t>
            </w:r>
            <w:r w:rsidR="00F927A1" w:rsidRPr="008D4D43">
              <w:rPr>
                <w:rFonts w:ascii="Times New Roman" w:hAnsi="Times New Roman" w:cs="Times New Roman"/>
                <w:b/>
                <w:color w:val="auto"/>
                <w:sz w:val="44"/>
                <w:szCs w:val="44"/>
              </w:rPr>
              <w:t xml:space="preserve"> Number</w:t>
            </w:r>
            <w:r w:rsidR="00F927A1" w:rsidRPr="008D4D43">
              <w:rPr>
                <w:rFonts w:ascii="Times New Roman" w:hAnsi="Times New Roman" w:cs="Times New Roman"/>
                <w:bCs/>
                <w:color w:val="auto"/>
                <w:sz w:val="44"/>
                <w:szCs w:val="44"/>
              </w:rPr>
              <w:t>:</w:t>
            </w:r>
            <w:r w:rsidR="008D4D43" w:rsidRPr="008D4D43">
              <w:rPr>
                <w:rFonts w:ascii="Times New Roman" w:hAnsi="Times New Roman" w:cs="Times New Roman"/>
                <w:bCs/>
                <w:color w:val="auto"/>
                <w:sz w:val="44"/>
                <w:szCs w:val="44"/>
              </w:rPr>
              <w:t xml:space="preserve"> </w:t>
            </w:r>
            <w:hyperlink r:id="rId11" w:history="1">
              <w:r w:rsidR="008D4D43" w:rsidRPr="001F71D7">
                <w:rPr>
                  <w:rStyle w:val="Hyperlink"/>
                  <w:rFonts w:ascii="Times New Roman" w:hAnsi="Times New Roman" w:cs="Times New Roman"/>
                  <w:bCs/>
                  <w:color w:val="auto"/>
                  <w:sz w:val="40"/>
                  <w:szCs w:val="40"/>
                  <w:u w:val="none"/>
                </w:rPr>
                <w:t>2421588</w:t>
              </w:r>
            </w:hyperlink>
          </w:p>
          <w:p w14:paraId="622FD17A" w14:textId="77777777" w:rsidR="0085230E" w:rsidRPr="008D4D43"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8D4D43">
              <w:rPr>
                <w:rFonts w:ascii="Times New Roman" w:hAnsi="Times New Roman" w:cs="Times New Roman"/>
                <w:b/>
                <w:color w:val="auto"/>
                <w:sz w:val="44"/>
                <w:szCs w:val="44"/>
              </w:rPr>
              <w:t xml:space="preserve">Cohort: </w:t>
            </w:r>
            <w:r w:rsidR="0049374F" w:rsidRPr="008D4D43">
              <w:rPr>
                <w:rFonts w:ascii="Times New Roman" w:hAnsi="Times New Roman" w:cs="Times New Roman"/>
                <w:b/>
                <w:color w:val="auto"/>
                <w:sz w:val="44"/>
                <w:szCs w:val="44"/>
              </w:rPr>
              <w:t>21</w:t>
            </w:r>
            <w:r w:rsidR="00AE6231" w:rsidRPr="008D4D43">
              <w:rPr>
                <w:rFonts w:ascii="Times New Roman" w:hAnsi="Times New Roman" w:cs="Times New Roman"/>
                <w:b/>
                <w:color w:val="auto"/>
                <w:sz w:val="44"/>
                <w:szCs w:val="44"/>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Pr="00C54430" w:rsidRDefault="00D3203C" w:rsidP="00EE5BC3">
      <w:pPr>
        <w:jc w:val="center"/>
        <w:rPr>
          <w:rFonts w:ascii="Times New Roman" w:hAnsi="Times New Roman" w:cs="Times New Roman"/>
          <w:b/>
          <w:sz w:val="24"/>
          <w:szCs w:val="24"/>
        </w:rPr>
      </w:pPr>
    </w:p>
    <w:p w14:paraId="0EF984DF" w14:textId="02707E04" w:rsidR="000D0BB6" w:rsidRPr="00C54430" w:rsidRDefault="00337FEF" w:rsidP="00EE5BC3">
      <w:pPr>
        <w:jc w:val="center"/>
        <w:rPr>
          <w:rFonts w:ascii="Times New Roman" w:hAnsi="Times New Roman" w:cs="Times New Roman"/>
          <w:b/>
          <w:sz w:val="24"/>
          <w:szCs w:val="24"/>
        </w:rPr>
      </w:pPr>
      <w:r w:rsidRPr="00C54430">
        <w:rPr>
          <w:rFonts w:ascii="Times New Roman" w:hAnsi="Times New Roman" w:cs="Times New Roman"/>
          <w:b/>
          <w:sz w:val="24"/>
          <w:szCs w:val="24"/>
        </w:rPr>
        <w:t>Task 4</w:t>
      </w:r>
    </w:p>
    <w:p w14:paraId="156B2346" w14:textId="77777777" w:rsidR="00002C7A" w:rsidRPr="00C54430" w:rsidRDefault="00002C7A" w:rsidP="00EE5BC3">
      <w:pPr>
        <w:jc w:val="center"/>
        <w:rPr>
          <w:rFonts w:ascii="Times New Roman" w:hAnsi="Times New Roman" w:cs="Times New Roman"/>
          <w:b/>
          <w:sz w:val="24"/>
          <w:szCs w:val="24"/>
        </w:rPr>
      </w:pPr>
    </w:p>
    <w:p w14:paraId="4A34FA1D" w14:textId="77777777" w:rsidR="00002C7A" w:rsidRPr="00C54430" w:rsidRDefault="00002C7A" w:rsidP="00EE5BC3">
      <w:pPr>
        <w:jc w:val="center"/>
        <w:rPr>
          <w:rFonts w:ascii="Times New Roman" w:hAnsi="Times New Roman" w:cs="Times New Roman"/>
          <w:b/>
          <w:sz w:val="24"/>
          <w:szCs w:val="24"/>
        </w:rPr>
      </w:pPr>
      <w:r w:rsidRPr="00C54430">
        <w:rPr>
          <w:rFonts w:ascii="Times New Roman" w:hAnsi="Times New Roman" w:cs="Times New Roman"/>
          <w:b/>
          <w:sz w:val="24"/>
          <w:szCs w:val="24"/>
        </w:rPr>
        <w:t>Safeguarding</w:t>
      </w:r>
      <w:r w:rsidR="005F64AA" w:rsidRPr="00C54430">
        <w:rPr>
          <w:rFonts w:ascii="Times New Roman" w:hAnsi="Times New Roman" w:cs="Times New Roman"/>
          <w:b/>
          <w:sz w:val="24"/>
          <w:szCs w:val="24"/>
        </w:rPr>
        <w:t xml:space="preserve"> in an area which is not your main area of work</w:t>
      </w:r>
    </w:p>
    <w:p w14:paraId="6D6C0186" w14:textId="77777777" w:rsidR="000D0BB6" w:rsidRPr="00C54430" w:rsidRDefault="000D0BB6" w:rsidP="00FF7EBB">
      <w:pPr>
        <w:jc w:val="both"/>
        <w:rPr>
          <w:rFonts w:ascii="Times New Roman" w:hAnsi="Times New Roman" w:cs="Times New Roman"/>
          <w:b/>
          <w:sz w:val="24"/>
          <w:szCs w:val="24"/>
        </w:rPr>
      </w:pPr>
    </w:p>
    <w:p w14:paraId="63836D76" w14:textId="77777777" w:rsidR="00337FEF" w:rsidRPr="00C54430" w:rsidRDefault="008B28E7" w:rsidP="00FF7EBB">
      <w:pPr>
        <w:ind w:left="-90"/>
        <w:jc w:val="both"/>
        <w:rPr>
          <w:rFonts w:ascii="Times New Roman" w:hAnsi="Times New Roman" w:cs="Times New Roman"/>
          <w:b/>
          <w:i/>
          <w:sz w:val="24"/>
          <w:szCs w:val="24"/>
        </w:rPr>
      </w:pPr>
      <w:r w:rsidRPr="00C54430">
        <w:rPr>
          <w:rFonts w:ascii="Times New Roman" w:hAnsi="Times New Roman" w:cs="Times New Roman"/>
          <w:b/>
          <w:i/>
          <w:sz w:val="24"/>
          <w:szCs w:val="24"/>
        </w:rPr>
        <w:t xml:space="preserve">Guidance: </w:t>
      </w:r>
    </w:p>
    <w:p w14:paraId="440B2467" w14:textId="322DDD98" w:rsidR="00633165" w:rsidRPr="00C54430" w:rsidRDefault="00012B16" w:rsidP="4EC15626">
      <w:pPr>
        <w:ind w:left="-90"/>
        <w:jc w:val="both"/>
        <w:rPr>
          <w:rFonts w:ascii="Times New Roman" w:hAnsi="Times New Roman" w:cs="Times New Roman"/>
          <w:i/>
          <w:iCs/>
          <w:sz w:val="24"/>
          <w:szCs w:val="24"/>
        </w:rPr>
      </w:pPr>
      <w:r w:rsidRPr="00C54430">
        <w:rPr>
          <w:rFonts w:ascii="Times New Roman" w:hAnsi="Times New Roman" w:cs="Times New Roman"/>
          <w:i/>
          <w:iCs/>
          <w:sz w:val="24"/>
          <w:szCs w:val="24"/>
        </w:rPr>
        <w:t>Social Care Wales</w:t>
      </w:r>
      <w:r w:rsidR="008B28E7" w:rsidRPr="00C54430">
        <w:rPr>
          <w:rFonts w:ascii="Times New Roman" w:hAnsi="Times New Roman" w:cs="Times New Roman"/>
          <w:i/>
          <w:iCs/>
          <w:sz w:val="24"/>
          <w:szCs w:val="24"/>
        </w:rPr>
        <w:t xml:space="preserve"> require newly qualified social workers </w:t>
      </w:r>
      <w:r w:rsidR="00D60F88" w:rsidRPr="00C54430">
        <w:rPr>
          <w:rFonts w:ascii="Times New Roman" w:hAnsi="Times New Roman" w:cs="Times New Roman"/>
          <w:i/>
          <w:iCs/>
          <w:sz w:val="24"/>
          <w:szCs w:val="24"/>
        </w:rPr>
        <w:t xml:space="preserve">to provide evidence of </w:t>
      </w:r>
      <w:r w:rsidR="008B28E7" w:rsidRPr="00C54430">
        <w:rPr>
          <w:rFonts w:ascii="Times New Roman" w:hAnsi="Times New Roman" w:cs="Times New Roman"/>
          <w:i/>
          <w:iCs/>
          <w:sz w:val="24"/>
          <w:szCs w:val="24"/>
        </w:rPr>
        <w:t xml:space="preserve">their </w:t>
      </w:r>
      <w:r w:rsidR="00D60F88" w:rsidRPr="00C54430">
        <w:rPr>
          <w:rFonts w:ascii="Times New Roman" w:hAnsi="Times New Roman" w:cs="Times New Roman"/>
          <w:i/>
          <w:iCs/>
          <w:sz w:val="24"/>
          <w:szCs w:val="24"/>
        </w:rPr>
        <w:t>understanding of safeguarding work with adults and children</w:t>
      </w:r>
      <w:r w:rsidR="008B28E7" w:rsidRPr="00C54430">
        <w:rPr>
          <w:rFonts w:ascii="Times New Roman" w:hAnsi="Times New Roman" w:cs="Times New Roman"/>
          <w:i/>
          <w:iCs/>
          <w:sz w:val="24"/>
          <w:szCs w:val="24"/>
        </w:rPr>
        <w:t>.</w:t>
      </w:r>
      <w:r w:rsidR="00D60F88" w:rsidRPr="00C54430">
        <w:rPr>
          <w:rFonts w:ascii="Times New Roman" w:hAnsi="Times New Roman" w:cs="Times New Roman"/>
          <w:i/>
          <w:iCs/>
          <w:sz w:val="24"/>
          <w:szCs w:val="24"/>
        </w:rPr>
        <w:t xml:space="preserve"> </w:t>
      </w:r>
      <w:r w:rsidR="004911B4" w:rsidRPr="00C54430">
        <w:rPr>
          <w:rFonts w:ascii="Times New Roman" w:hAnsi="Times New Roman" w:cs="Times New Roman"/>
          <w:i/>
          <w:iCs/>
          <w:sz w:val="24"/>
          <w:szCs w:val="24"/>
        </w:rPr>
        <w:t>The</w:t>
      </w:r>
      <w:r w:rsidR="00D60F88" w:rsidRPr="00C54430">
        <w:rPr>
          <w:rFonts w:ascii="Times New Roman" w:hAnsi="Times New Roman" w:cs="Times New Roman"/>
          <w:i/>
          <w:iCs/>
          <w:sz w:val="24"/>
          <w:szCs w:val="24"/>
        </w:rPr>
        <w:t xml:space="preserve"> assignment below will enable you to </w:t>
      </w:r>
      <w:r w:rsidR="00EE5BC3" w:rsidRPr="00C54430">
        <w:rPr>
          <w:rFonts w:ascii="Times New Roman" w:hAnsi="Times New Roman" w:cs="Times New Roman"/>
          <w:i/>
          <w:iCs/>
          <w:sz w:val="24"/>
          <w:szCs w:val="24"/>
        </w:rPr>
        <w:t>demonstrate this</w:t>
      </w:r>
      <w:r w:rsidR="008B28E7" w:rsidRPr="00C54430">
        <w:rPr>
          <w:rFonts w:ascii="Times New Roman" w:hAnsi="Times New Roman" w:cs="Times New Roman"/>
          <w:i/>
          <w:iCs/>
          <w:sz w:val="24"/>
          <w:szCs w:val="24"/>
        </w:rPr>
        <w:t xml:space="preserve">. </w:t>
      </w:r>
      <w:r w:rsidR="008B28E7" w:rsidRPr="00C54430">
        <w:rPr>
          <w:rFonts w:ascii="Times New Roman" w:hAnsi="Times New Roman" w:cs="Times New Roman"/>
          <w:b/>
          <w:bCs/>
          <w:i/>
          <w:iCs/>
          <w:sz w:val="24"/>
          <w:szCs w:val="24"/>
        </w:rPr>
        <w:t>N.B</w:t>
      </w:r>
      <w:r w:rsidR="008B28E7" w:rsidRPr="00C54430">
        <w:rPr>
          <w:rFonts w:ascii="Times New Roman" w:hAnsi="Times New Roman" w:cs="Times New Roman"/>
          <w:i/>
          <w:iCs/>
          <w:sz w:val="24"/>
          <w:szCs w:val="24"/>
        </w:rPr>
        <w:t xml:space="preserve">. </w:t>
      </w:r>
      <w:r w:rsidR="00D60F88" w:rsidRPr="00C54430">
        <w:rPr>
          <w:rFonts w:ascii="Times New Roman" w:hAnsi="Times New Roman" w:cs="Times New Roman"/>
          <w:i/>
          <w:iCs/>
          <w:sz w:val="24"/>
          <w:szCs w:val="24"/>
        </w:rPr>
        <w:t xml:space="preserve">if your </w:t>
      </w:r>
      <w:r w:rsidR="009D477B" w:rsidRPr="00C54430">
        <w:rPr>
          <w:rFonts w:ascii="Times New Roman" w:hAnsi="Times New Roman" w:cs="Times New Roman"/>
          <w:i/>
          <w:iCs/>
          <w:sz w:val="24"/>
          <w:szCs w:val="24"/>
        </w:rPr>
        <w:t>usual area</w:t>
      </w:r>
      <w:r w:rsidR="00D60F88" w:rsidRPr="00C54430">
        <w:rPr>
          <w:rFonts w:ascii="Times New Roman" w:hAnsi="Times New Roman" w:cs="Times New Roman"/>
          <w:i/>
          <w:iCs/>
          <w:sz w:val="24"/>
          <w:szCs w:val="24"/>
        </w:rPr>
        <w:t xml:space="preserve"> of work is with children please write about adult</w:t>
      </w:r>
      <w:r w:rsidR="003C19F1" w:rsidRPr="00C54430">
        <w:rPr>
          <w:rFonts w:ascii="Times New Roman" w:hAnsi="Times New Roman" w:cs="Times New Roman"/>
          <w:i/>
          <w:iCs/>
          <w:sz w:val="24"/>
          <w:szCs w:val="24"/>
        </w:rPr>
        <w:t xml:space="preserve"> safeguarding. I</w:t>
      </w:r>
      <w:r w:rsidR="00D60F88" w:rsidRPr="00C54430">
        <w:rPr>
          <w:rFonts w:ascii="Times New Roman" w:hAnsi="Times New Roman" w:cs="Times New Roman"/>
          <w:i/>
          <w:iCs/>
          <w:sz w:val="24"/>
          <w:szCs w:val="24"/>
        </w:rPr>
        <w:t xml:space="preserve">f you </w:t>
      </w:r>
      <w:r w:rsidR="009D477B" w:rsidRPr="00C54430">
        <w:rPr>
          <w:rFonts w:ascii="Times New Roman" w:hAnsi="Times New Roman" w:cs="Times New Roman"/>
          <w:i/>
          <w:iCs/>
          <w:sz w:val="24"/>
          <w:szCs w:val="24"/>
        </w:rPr>
        <w:t>usually work</w:t>
      </w:r>
      <w:r w:rsidR="00D60F88" w:rsidRPr="00C54430">
        <w:rPr>
          <w:rFonts w:ascii="Times New Roman" w:hAnsi="Times New Roman" w:cs="Times New Roman"/>
          <w:i/>
          <w:iCs/>
          <w:sz w:val="24"/>
          <w:szCs w:val="24"/>
        </w:rPr>
        <w:t xml:space="preserve"> with adults</w:t>
      </w:r>
      <w:r w:rsidR="3CD2139F" w:rsidRPr="00C54430">
        <w:rPr>
          <w:rFonts w:ascii="Times New Roman" w:hAnsi="Times New Roman" w:cs="Times New Roman"/>
          <w:i/>
          <w:iCs/>
          <w:sz w:val="24"/>
          <w:szCs w:val="24"/>
        </w:rPr>
        <w:t>,</w:t>
      </w:r>
      <w:r w:rsidR="00D60F88" w:rsidRPr="00C54430">
        <w:rPr>
          <w:rFonts w:ascii="Times New Roman" w:hAnsi="Times New Roman" w:cs="Times New Roman"/>
          <w:i/>
          <w:iCs/>
          <w:sz w:val="24"/>
          <w:szCs w:val="24"/>
        </w:rPr>
        <w:t xml:space="preserve"> then write about child</w:t>
      </w:r>
      <w:r w:rsidR="003C19F1" w:rsidRPr="00C54430">
        <w:rPr>
          <w:rFonts w:ascii="Times New Roman" w:hAnsi="Times New Roman" w:cs="Times New Roman"/>
          <w:i/>
          <w:iCs/>
          <w:sz w:val="24"/>
          <w:szCs w:val="24"/>
        </w:rPr>
        <w:t xml:space="preserve"> safeguarding</w:t>
      </w:r>
      <w:r w:rsidR="00D60F88" w:rsidRPr="00C54430">
        <w:rPr>
          <w:rFonts w:ascii="Times New Roman" w:hAnsi="Times New Roman" w:cs="Times New Roman"/>
          <w:i/>
          <w:iCs/>
          <w:sz w:val="24"/>
          <w:szCs w:val="24"/>
        </w:rPr>
        <w:t xml:space="preserve">. </w:t>
      </w:r>
      <w:r w:rsidR="00337FEF" w:rsidRPr="00C54430">
        <w:rPr>
          <w:rFonts w:ascii="Times New Roman" w:hAnsi="Times New Roman" w:cs="Times New Roman"/>
          <w:i/>
          <w:iCs/>
          <w:sz w:val="24"/>
          <w:szCs w:val="24"/>
        </w:rPr>
        <w:t xml:space="preserve"> </w:t>
      </w:r>
      <w:r w:rsidR="0079422A" w:rsidRPr="00C54430">
        <w:rPr>
          <w:rFonts w:ascii="Times New Roman" w:hAnsi="Times New Roman" w:cs="Times New Roman"/>
          <w:i/>
          <w:iCs/>
          <w:sz w:val="24"/>
          <w:szCs w:val="24"/>
        </w:rPr>
        <w:t>E</w:t>
      </w:r>
      <w:r w:rsidR="00337FEF" w:rsidRPr="00C54430">
        <w:rPr>
          <w:rFonts w:ascii="Times New Roman" w:hAnsi="Times New Roman" w:cs="Times New Roman"/>
          <w:i/>
          <w:iCs/>
          <w:sz w:val="24"/>
          <w:szCs w:val="24"/>
        </w:rPr>
        <w:t xml:space="preserve">nsure you meet </w:t>
      </w:r>
      <w:r w:rsidR="00FC0334" w:rsidRPr="00C54430">
        <w:rPr>
          <w:rFonts w:ascii="Times New Roman" w:hAnsi="Times New Roman" w:cs="Times New Roman"/>
          <w:i/>
          <w:iCs/>
          <w:sz w:val="24"/>
          <w:szCs w:val="24"/>
        </w:rPr>
        <w:t>the</w:t>
      </w:r>
      <w:r w:rsidR="00AA7960" w:rsidRPr="00C54430">
        <w:rPr>
          <w:rFonts w:ascii="Times New Roman" w:hAnsi="Times New Roman" w:cs="Times New Roman"/>
          <w:i/>
          <w:iCs/>
          <w:sz w:val="24"/>
          <w:szCs w:val="24"/>
        </w:rPr>
        <w:t xml:space="preserve"> </w:t>
      </w:r>
      <w:r w:rsidR="00064063" w:rsidRPr="00C54430">
        <w:rPr>
          <w:rFonts w:ascii="Times New Roman" w:hAnsi="Times New Roman" w:cs="Times New Roman"/>
          <w:i/>
          <w:iCs/>
          <w:sz w:val="24"/>
          <w:szCs w:val="24"/>
        </w:rPr>
        <w:t xml:space="preserve">learning out comes for this task </w:t>
      </w:r>
      <w:r w:rsidR="0079422A" w:rsidRPr="00C54430">
        <w:rPr>
          <w:rFonts w:ascii="Times New Roman" w:hAnsi="Times New Roman" w:cs="Times New Roman"/>
          <w:i/>
          <w:iCs/>
          <w:sz w:val="24"/>
          <w:szCs w:val="24"/>
        </w:rPr>
        <w:t>(</w:t>
      </w:r>
      <w:r w:rsidR="00064063" w:rsidRPr="00C54430">
        <w:rPr>
          <w:rFonts w:ascii="Times New Roman" w:hAnsi="Times New Roman" w:cs="Times New Roman"/>
          <w:i/>
          <w:iCs/>
          <w:sz w:val="24"/>
          <w:szCs w:val="24"/>
        </w:rPr>
        <w:t xml:space="preserve">see appendix </w:t>
      </w:r>
      <w:r w:rsidR="003D1BC0" w:rsidRPr="00C54430">
        <w:rPr>
          <w:rFonts w:ascii="Times New Roman" w:hAnsi="Times New Roman" w:cs="Times New Roman"/>
          <w:i/>
          <w:iCs/>
          <w:sz w:val="24"/>
          <w:szCs w:val="24"/>
        </w:rPr>
        <w:t>5</w:t>
      </w:r>
      <w:r w:rsidR="00064063" w:rsidRPr="00C54430">
        <w:rPr>
          <w:rFonts w:ascii="Times New Roman" w:hAnsi="Times New Roman" w:cs="Times New Roman"/>
          <w:i/>
          <w:iCs/>
          <w:sz w:val="24"/>
          <w:szCs w:val="24"/>
        </w:rPr>
        <w:t xml:space="preserve"> </w:t>
      </w:r>
      <w:r w:rsidR="00FC0334" w:rsidRPr="00C54430">
        <w:rPr>
          <w:rFonts w:ascii="Times New Roman" w:hAnsi="Times New Roman" w:cs="Times New Roman"/>
          <w:i/>
          <w:iCs/>
          <w:sz w:val="24"/>
          <w:szCs w:val="24"/>
        </w:rPr>
        <w:t>of the</w:t>
      </w:r>
      <w:r w:rsidR="007A628F" w:rsidRPr="00C54430">
        <w:rPr>
          <w:rFonts w:ascii="Times New Roman" w:hAnsi="Times New Roman" w:cs="Times New Roman"/>
          <w:i/>
          <w:iCs/>
          <w:sz w:val="24"/>
          <w:szCs w:val="24"/>
        </w:rPr>
        <w:t xml:space="preserve"> h</w:t>
      </w:r>
      <w:r w:rsidR="00FC0334" w:rsidRPr="00C54430">
        <w:rPr>
          <w:rFonts w:ascii="Times New Roman" w:hAnsi="Times New Roman" w:cs="Times New Roman"/>
          <w:i/>
          <w:iCs/>
          <w:sz w:val="24"/>
          <w:szCs w:val="24"/>
        </w:rPr>
        <w:t>andbook</w:t>
      </w:r>
      <w:r w:rsidR="0079422A" w:rsidRPr="00C54430">
        <w:rPr>
          <w:rFonts w:ascii="Times New Roman" w:hAnsi="Times New Roman" w:cs="Times New Roman"/>
          <w:i/>
          <w:iCs/>
          <w:sz w:val="24"/>
          <w:szCs w:val="24"/>
        </w:rPr>
        <w:t>).</w:t>
      </w:r>
    </w:p>
    <w:p w14:paraId="7A8069C4" w14:textId="77777777" w:rsidR="00633165" w:rsidRPr="00C54430" w:rsidRDefault="00633165" w:rsidP="00FF7EBB">
      <w:pPr>
        <w:ind w:left="360" w:hanging="360"/>
        <w:jc w:val="both"/>
        <w:rPr>
          <w:rFonts w:ascii="Times New Roman" w:hAnsi="Times New Roman" w:cs="Times New Roman"/>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C54430" w14:paraId="152141E6" w14:textId="77777777" w:rsidTr="006108C9">
        <w:tc>
          <w:tcPr>
            <w:tcW w:w="10188" w:type="dxa"/>
            <w:shd w:val="clear" w:color="auto" w:fill="auto"/>
          </w:tcPr>
          <w:p w14:paraId="2B66890D" w14:textId="56A37C4F" w:rsidR="00337FEF" w:rsidRPr="00C54430" w:rsidRDefault="00337FEF" w:rsidP="00FF7EBB">
            <w:pPr>
              <w:jc w:val="both"/>
              <w:rPr>
                <w:rFonts w:ascii="Times New Roman" w:hAnsi="Times New Roman" w:cs="Times New Roman"/>
                <w:b/>
                <w:sz w:val="24"/>
                <w:szCs w:val="24"/>
              </w:rPr>
            </w:pPr>
            <w:r w:rsidRPr="00C54430">
              <w:rPr>
                <w:rFonts w:ascii="Times New Roman" w:hAnsi="Times New Roman" w:cs="Times New Roman"/>
                <w:b/>
                <w:sz w:val="24"/>
                <w:szCs w:val="24"/>
              </w:rPr>
              <w:t>Question</w:t>
            </w:r>
            <w:r w:rsidR="00FC0334" w:rsidRPr="00C54430">
              <w:rPr>
                <w:rFonts w:ascii="Times New Roman" w:hAnsi="Times New Roman" w:cs="Times New Roman"/>
                <w:b/>
                <w:sz w:val="24"/>
                <w:szCs w:val="24"/>
              </w:rPr>
              <w:t xml:space="preserve"> a</w:t>
            </w:r>
            <w:r w:rsidR="007A628F" w:rsidRPr="00C54430">
              <w:rPr>
                <w:rFonts w:ascii="Times New Roman" w:hAnsi="Times New Roman" w:cs="Times New Roman"/>
                <w:b/>
                <w:sz w:val="24"/>
                <w:szCs w:val="24"/>
              </w:rPr>
              <w:t>:</w:t>
            </w:r>
          </w:p>
          <w:p w14:paraId="4D67EB38" w14:textId="77777777" w:rsidR="00EB445E" w:rsidRDefault="00BB7FD2" w:rsidP="00FF7EBB">
            <w:pPr>
              <w:jc w:val="both"/>
              <w:rPr>
                <w:rFonts w:ascii="Times New Roman" w:hAnsi="Times New Roman" w:cs="Times New Roman"/>
                <w:sz w:val="24"/>
                <w:szCs w:val="24"/>
              </w:rPr>
            </w:pPr>
            <w:r w:rsidRPr="00C54430">
              <w:rPr>
                <w:rFonts w:ascii="Times New Roman" w:hAnsi="Times New Roman" w:cs="Times New Roman"/>
                <w:sz w:val="24"/>
                <w:szCs w:val="24"/>
              </w:rPr>
              <w:t xml:space="preserve">In an area </w:t>
            </w:r>
            <w:r w:rsidRPr="00C54430">
              <w:rPr>
                <w:rFonts w:ascii="Times New Roman" w:hAnsi="Times New Roman" w:cs="Times New Roman"/>
                <w:b/>
                <w:sz w:val="24"/>
                <w:szCs w:val="24"/>
              </w:rPr>
              <w:t xml:space="preserve">that is not your </w:t>
            </w:r>
            <w:proofErr w:type="gramStart"/>
            <w:r w:rsidRPr="00C54430">
              <w:rPr>
                <w:rFonts w:ascii="Times New Roman" w:hAnsi="Times New Roman" w:cs="Times New Roman"/>
                <w:b/>
                <w:sz w:val="24"/>
                <w:szCs w:val="24"/>
              </w:rPr>
              <w:t>main focus</w:t>
            </w:r>
            <w:proofErr w:type="gramEnd"/>
            <w:r w:rsidRPr="00C54430">
              <w:rPr>
                <w:rFonts w:ascii="Times New Roman" w:hAnsi="Times New Roman" w:cs="Times New Roman"/>
                <w:b/>
                <w:sz w:val="24"/>
                <w:szCs w:val="24"/>
              </w:rPr>
              <w:t xml:space="preserve"> of work </w:t>
            </w:r>
            <w:r w:rsidRPr="00C54430">
              <w:rPr>
                <w:rFonts w:ascii="Times New Roman" w:hAnsi="Times New Roman" w:cs="Times New Roman"/>
                <w:sz w:val="24"/>
                <w:szCs w:val="24"/>
              </w:rPr>
              <w:t xml:space="preserve">(see guidance above), </w:t>
            </w:r>
            <w:r w:rsidR="0002440E" w:rsidRPr="00C54430">
              <w:rPr>
                <w:rFonts w:ascii="Times New Roman" w:hAnsi="Times New Roman" w:cs="Times New Roman"/>
                <w:sz w:val="24"/>
                <w:szCs w:val="24"/>
              </w:rPr>
              <w:t>explain</w:t>
            </w:r>
            <w:r w:rsidR="008340BA" w:rsidRPr="00C54430">
              <w:rPr>
                <w:rFonts w:ascii="Times New Roman" w:hAnsi="Times New Roman" w:cs="Times New Roman"/>
                <w:sz w:val="24"/>
                <w:szCs w:val="24"/>
              </w:rPr>
              <w:t xml:space="preserve"> </w:t>
            </w:r>
            <w:r w:rsidR="00DA22EC" w:rsidRPr="00C54430">
              <w:rPr>
                <w:rFonts w:ascii="Times New Roman" w:hAnsi="Times New Roman" w:cs="Times New Roman"/>
                <w:sz w:val="24"/>
                <w:szCs w:val="24"/>
              </w:rPr>
              <w:t>the</w:t>
            </w:r>
            <w:r w:rsidR="005A545C" w:rsidRPr="00C54430">
              <w:rPr>
                <w:rFonts w:ascii="Times New Roman" w:hAnsi="Times New Roman" w:cs="Times New Roman"/>
                <w:sz w:val="24"/>
                <w:szCs w:val="24"/>
              </w:rPr>
              <w:t xml:space="preserve"> relevant </w:t>
            </w:r>
            <w:r w:rsidRPr="00C54430">
              <w:rPr>
                <w:rFonts w:ascii="Times New Roman" w:hAnsi="Times New Roman" w:cs="Times New Roman"/>
                <w:sz w:val="24"/>
                <w:szCs w:val="24"/>
              </w:rPr>
              <w:t xml:space="preserve">legislation, </w:t>
            </w:r>
            <w:r w:rsidR="0002440E" w:rsidRPr="00C54430">
              <w:rPr>
                <w:rFonts w:ascii="Times New Roman" w:hAnsi="Times New Roman" w:cs="Times New Roman"/>
                <w:sz w:val="24"/>
                <w:szCs w:val="24"/>
              </w:rPr>
              <w:t>and</w:t>
            </w:r>
            <w:r w:rsidR="008340BA" w:rsidRPr="00C54430">
              <w:rPr>
                <w:rFonts w:ascii="Times New Roman" w:hAnsi="Times New Roman" w:cs="Times New Roman"/>
                <w:sz w:val="24"/>
                <w:szCs w:val="24"/>
              </w:rPr>
              <w:t xml:space="preserve"> the </w:t>
            </w:r>
            <w:r w:rsidR="005A545C" w:rsidRPr="00C54430">
              <w:rPr>
                <w:rFonts w:ascii="Times New Roman" w:hAnsi="Times New Roman" w:cs="Times New Roman"/>
                <w:sz w:val="24"/>
                <w:szCs w:val="24"/>
              </w:rPr>
              <w:t>national, local and organisational policies and procedures</w:t>
            </w:r>
            <w:r w:rsidRPr="00C54430">
              <w:rPr>
                <w:rFonts w:ascii="Times New Roman" w:hAnsi="Times New Roman" w:cs="Times New Roman"/>
                <w:sz w:val="24"/>
                <w:szCs w:val="24"/>
              </w:rPr>
              <w:t xml:space="preserve"> for safeguarding.</w:t>
            </w:r>
          </w:p>
          <w:p w14:paraId="0E802EA9" w14:textId="77777777" w:rsidR="00871F06" w:rsidRPr="00871F06" w:rsidRDefault="00871F06" w:rsidP="00871F06">
            <w:pPr>
              <w:jc w:val="both"/>
              <w:rPr>
                <w:rFonts w:ascii="Times New Roman" w:hAnsi="Times New Roman" w:cs="Times New Roman"/>
                <w:sz w:val="24"/>
                <w:szCs w:val="24"/>
              </w:rPr>
            </w:pPr>
          </w:p>
          <w:p w14:paraId="2376F90C" w14:textId="7CD9CFD7" w:rsidR="00871F06" w:rsidRPr="00C54430" w:rsidRDefault="00871F06" w:rsidP="00FF7EBB">
            <w:pPr>
              <w:jc w:val="both"/>
              <w:rPr>
                <w:rFonts w:ascii="Times New Roman" w:hAnsi="Times New Roman" w:cs="Times New Roman"/>
                <w:sz w:val="24"/>
                <w:szCs w:val="24"/>
              </w:rPr>
            </w:pPr>
            <w:r w:rsidRPr="00871F06">
              <w:rPr>
                <w:rFonts w:ascii="Times New Roman" w:hAnsi="Times New Roman" w:cs="Times New Roman"/>
                <w:i/>
                <w:sz w:val="24"/>
                <w:szCs w:val="24"/>
              </w:rPr>
              <w:t>500 words</w:t>
            </w:r>
            <w:r w:rsidRPr="00871F06">
              <w:rPr>
                <w:rFonts w:ascii="Times New Roman" w:hAnsi="Times New Roman" w:cs="Times New Roman"/>
                <w:sz w:val="24"/>
                <w:szCs w:val="24"/>
              </w:rPr>
              <w:t xml:space="preserve"> (+/- 10%: include your actual word count at the end of each section).</w:t>
            </w:r>
          </w:p>
          <w:p w14:paraId="1FBBCFA0" w14:textId="77777777" w:rsidR="006108C9" w:rsidRPr="00C54430" w:rsidRDefault="006108C9" w:rsidP="00FF7EBB">
            <w:pPr>
              <w:jc w:val="both"/>
              <w:rPr>
                <w:rFonts w:ascii="Times New Roman" w:hAnsi="Times New Roman" w:cs="Times New Roman"/>
                <w:sz w:val="24"/>
                <w:szCs w:val="24"/>
              </w:rPr>
            </w:pPr>
          </w:p>
          <w:p w14:paraId="24F360B1" w14:textId="6BA41059" w:rsidR="00661828" w:rsidRPr="00661828" w:rsidRDefault="00661828" w:rsidP="00661828">
            <w:pPr>
              <w:jc w:val="both"/>
              <w:rPr>
                <w:rFonts w:ascii="Times New Roman" w:hAnsi="Times New Roman" w:cs="Times New Roman"/>
                <w:sz w:val="24"/>
                <w:szCs w:val="24"/>
              </w:rPr>
            </w:pPr>
            <w:r w:rsidRPr="00661828">
              <w:rPr>
                <w:rFonts w:ascii="Times New Roman" w:hAnsi="Times New Roman" w:cs="Times New Roman"/>
                <w:sz w:val="24"/>
                <w:szCs w:val="24"/>
              </w:rPr>
              <w:t xml:space="preserve">Safeguarding adults in Wales is governed by a robust set of laws, national guidance, and practice frameworks designed to protect individuals at risk while promoting their rights, well-being, and autonomy. The central legislation is the Social Services and Well-being (Wales) Act 2014, which establishes the foundation for contemporary adult social care. The Act places strong emphasis on promoting well-being, early intervention, and ensuring that adults have a voice and control over decisions affecting them. Part 7 outlines statutory safeguarding duties, including obligations on </w:t>
            </w:r>
            <w:r w:rsidR="006A6112">
              <w:rPr>
                <w:rFonts w:ascii="Times New Roman" w:hAnsi="Times New Roman" w:cs="Times New Roman"/>
                <w:sz w:val="24"/>
                <w:szCs w:val="24"/>
              </w:rPr>
              <w:t>LA</w:t>
            </w:r>
            <w:r w:rsidRPr="00661828">
              <w:rPr>
                <w:rFonts w:ascii="Times New Roman" w:hAnsi="Times New Roman" w:cs="Times New Roman"/>
                <w:sz w:val="24"/>
                <w:szCs w:val="24"/>
              </w:rPr>
              <w:t xml:space="preserve"> to report, assess, and protect adults at risk of abuse, harm, or neglect (Welsh Government, 2016). These duties ensure safeguarding is not only responsive but embedded in preventative, person-centred practice across services.</w:t>
            </w:r>
          </w:p>
          <w:p w14:paraId="370DCE1A" w14:textId="77777777" w:rsidR="00113FA3" w:rsidRDefault="00113FA3" w:rsidP="00FF7EBB">
            <w:pPr>
              <w:jc w:val="both"/>
              <w:rPr>
                <w:rFonts w:ascii="Times New Roman" w:hAnsi="Times New Roman" w:cs="Times New Roman"/>
                <w:sz w:val="24"/>
                <w:szCs w:val="24"/>
              </w:rPr>
            </w:pPr>
          </w:p>
          <w:p w14:paraId="09BE9FD5" w14:textId="643CD498" w:rsidR="00113FA3" w:rsidRDefault="00113FA3" w:rsidP="00FF7EBB">
            <w:pPr>
              <w:jc w:val="both"/>
              <w:rPr>
                <w:rFonts w:ascii="Times New Roman" w:hAnsi="Times New Roman" w:cs="Times New Roman"/>
                <w:sz w:val="24"/>
                <w:szCs w:val="24"/>
              </w:rPr>
            </w:pPr>
            <w:r w:rsidRPr="00113FA3">
              <w:rPr>
                <w:rFonts w:ascii="Times New Roman" w:hAnsi="Times New Roman" w:cs="Times New Roman"/>
                <w:sz w:val="24"/>
                <w:szCs w:val="24"/>
              </w:rPr>
              <w:t>The Wales Safeguarding Procedures (WSP) serve as the national operational framework, translating the statutory duties of the SSWBA into clear practice expectations for frontline practitioners. The WSP provides guidance for identifying, reporting, and responding to concerns about adults at risk, ensuring practice is consistent across agencies such as social services, health, police, housing, and the third sector (Safeguarding Wales, 2026). Section 1 outlines the core principles of safeguarding, including participation, dignity, collaboration, and multi-agency working, which mirror the person-centred ethos of the Act. These Procedures work alongside Welsh Government’s statutory guidance, Working Together to Safeguard People, which clarifies roles, responsibilities, and thresholds for intervention (Welsh Government, 2016).</w:t>
            </w:r>
          </w:p>
          <w:p w14:paraId="1E04534D" w14:textId="77777777" w:rsidR="00113FA3" w:rsidRDefault="00113FA3" w:rsidP="00FF7EBB">
            <w:pPr>
              <w:jc w:val="both"/>
              <w:rPr>
                <w:rFonts w:ascii="Times New Roman" w:hAnsi="Times New Roman" w:cs="Times New Roman"/>
                <w:sz w:val="24"/>
                <w:szCs w:val="24"/>
              </w:rPr>
            </w:pPr>
          </w:p>
          <w:p w14:paraId="52C2EE1F" w14:textId="77777777" w:rsidR="00EA17DC" w:rsidRDefault="00085583" w:rsidP="00FF7EBB">
            <w:pPr>
              <w:jc w:val="both"/>
              <w:rPr>
                <w:rFonts w:ascii="Times New Roman" w:hAnsi="Times New Roman" w:cs="Times New Roman"/>
                <w:sz w:val="24"/>
                <w:szCs w:val="24"/>
              </w:rPr>
            </w:pPr>
            <w:r w:rsidRPr="00085583">
              <w:rPr>
                <w:rFonts w:ascii="Times New Roman" w:hAnsi="Times New Roman" w:cs="Times New Roman"/>
                <w:sz w:val="24"/>
                <w:szCs w:val="24"/>
              </w:rPr>
              <w:t xml:space="preserve">Another important Welsh framework is the National Outcomes Framework, which sets out what adults should expect from care and support services, including safety, independence, and the protection of their rights (Welsh Government, 2019). Wales also aligns safeguarding practice with wider international standards such as the United Nations Principles for Older Persons, which emphasise independence, dignity, care, and participation (Williams, 2019). In addition, social care practitioners must adhere to the Code of Professional Practice for Social Care, which outlines professional values including respect, safeguarding, and accountability (Social Care Wales, 2020). </w:t>
            </w:r>
          </w:p>
          <w:p w14:paraId="7E736A59" w14:textId="77777777" w:rsidR="00EA17DC" w:rsidRDefault="00EA17DC" w:rsidP="00FF7EBB">
            <w:pPr>
              <w:jc w:val="both"/>
              <w:rPr>
                <w:rFonts w:ascii="Times New Roman" w:hAnsi="Times New Roman" w:cs="Times New Roman"/>
                <w:sz w:val="24"/>
                <w:szCs w:val="24"/>
              </w:rPr>
            </w:pPr>
          </w:p>
          <w:p w14:paraId="5DB90B3A" w14:textId="77777777" w:rsidR="00EA17DC" w:rsidRDefault="00085583" w:rsidP="00FF7EBB">
            <w:pPr>
              <w:jc w:val="both"/>
              <w:rPr>
                <w:rFonts w:ascii="Times New Roman" w:hAnsi="Times New Roman" w:cs="Times New Roman"/>
                <w:sz w:val="24"/>
                <w:szCs w:val="24"/>
              </w:rPr>
            </w:pPr>
            <w:r w:rsidRPr="00085583">
              <w:rPr>
                <w:rFonts w:ascii="Times New Roman" w:hAnsi="Times New Roman" w:cs="Times New Roman"/>
                <w:sz w:val="24"/>
                <w:szCs w:val="24"/>
              </w:rPr>
              <w:t xml:space="preserve">At a local level, each Regional Safeguarding Board formulates policies and procedures aligned with national guidelines while addressing the specific needs of the region. These policies generally encompass local referral pathways, procedures for escalating concerns, multi-agency protocols, thresholds for identifying issues, and frameworks for conducting Adult Practice Reviews to foster learning in the aftermath of serious incidents (Welsh Government, 2016). </w:t>
            </w:r>
          </w:p>
          <w:p w14:paraId="0D493CEC" w14:textId="77777777" w:rsidR="00EA17DC" w:rsidRDefault="00EA17DC" w:rsidP="00FF7EBB">
            <w:pPr>
              <w:jc w:val="both"/>
              <w:rPr>
                <w:rFonts w:ascii="Times New Roman" w:hAnsi="Times New Roman" w:cs="Times New Roman"/>
                <w:sz w:val="24"/>
                <w:szCs w:val="24"/>
              </w:rPr>
            </w:pPr>
          </w:p>
          <w:p w14:paraId="3C763E14" w14:textId="77777777" w:rsidR="00EA17DC" w:rsidRDefault="00085583" w:rsidP="00FF7EBB">
            <w:pPr>
              <w:jc w:val="both"/>
              <w:rPr>
                <w:rFonts w:ascii="Times New Roman" w:hAnsi="Times New Roman" w:cs="Times New Roman"/>
                <w:sz w:val="24"/>
                <w:szCs w:val="24"/>
              </w:rPr>
            </w:pPr>
            <w:r w:rsidRPr="00085583">
              <w:rPr>
                <w:rFonts w:ascii="Times New Roman" w:hAnsi="Times New Roman" w:cs="Times New Roman"/>
                <w:sz w:val="24"/>
                <w:szCs w:val="24"/>
              </w:rPr>
              <w:t xml:space="preserve">Within organizations, internal safeguarding policies are in place to ensure that staff uphold their responsibilities, including reporting incidents, sharing information, whistleblowing, and completing all mandatory training. The Regulation and Inspection of Social Care (Wales) Act 2016 enhances accountability for service quality and establishes and ensures organisational compliance (Care Inspectorate Wales, 2023). </w:t>
            </w:r>
          </w:p>
          <w:p w14:paraId="4EAE571D" w14:textId="77777777" w:rsidR="00EA17DC" w:rsidRDefault="00EA17DC" w:rsidP="00FF7EBB">
            <w:pPr>
              <w:jc w:val="both"/>
              <w:rPr>
                <w:rFonts w:ascii="Times New Roman" w:hAnsi="Times New Roman" w:cs="Times New Roman"/>
                <w:sz w:val="24"/>
                <w:szCs w:val="24"/>
              </w:rPr>
            </w:pPr>
          </w:p>
          <w:p w14:paraId="2F97F8D2" w14:textId="5E3810E4" w:rsidR="00393881" w:rsidRDefault="00085583" w:rsidP="00FF7EBB">
            <w:pPr>
              <w:jc w:val="both"/>
              <w:rPr>
                <w:rFonts w:ascii="Times New Roman" w:hAnsi="Times New Roman" w:cs="Times New Roman"/>
                <w:sz w:val="24"/>
                <w:szCs w:val="24"/>
              </w:rPr>
            </w:pPr>
            <w:r w:rsidRPr="00085583">
              <w:rPr>
                <w:rFonts w:ascii="Times New Roman" w:hAnsi="Times New Roman" w:cs="Times New Roman"/>
                <w:sz w:val="24"/>
                <w:szCs w:val="24"/>
              </w:rPr>
              <w:t>A further key safeguarding framework is the Deprivation of Liberty (</w:t>
            </w:r>
            <w:proofErr w:type="spellStart"/>
            <w:r w:rsidRPr="00085583">
              <w:rPr>
                <w:rFonts w:ascii="Times New Roman" w:hAnsi="Times New Roman" w:cs="Times New Roman"/>
                <w:sz w:val="24"/>
                <w:szCs w:val="24"/>
              </w:rPr>
              <w:t>DoLs</w:t>
            </w:r>
            <w:proofErr w:type="spellEnd"/>
            <w:r w:rsidRPr="00085583">
              <w:rPr>
                <w:rFonts w:ascii="Times New Roman" w:hAnsi="Times New Roman" w:cs="Times New Roman"/>
                <w:sz w:val="24"/>
                <w:szCs w:val="24"/>
              </w:rPr>
              <w:t xml:space="preserve">) Safeguards under the Mental Capacity Act 2005. </w:t>
            </w:r>
            <w:proofErr w:type="spellStart"/>
            <w:r w:rsidRPr="00085583">
              <w:rPr>
                <w:rFonts w:ascii="Times New Roman" w:hAnsi="Times New Roman" w:cs="Times New Roman"/>
                <w:sz w:val="24"/>
                <w:szCs w:val="24"/>
              </w:rPr>
              <w:t>DoLS</w:t>
            </w:r>
            <w:proofErr w:type="spellEnd"/>
            <w:r w:rsidRPr="00085583">
              <w:rPr>
                <w:rFonts w:ascii="Times New Roman" w:hAnsi="Times New Roman" w:cs="Times New Roman"/>
                <w:sz w:val="24"/>
                <w:szCs w:val="24"/>
              </w:rPr>
              <w:t xml:space="preserve"> protect adults who lack capacity and may be deprived of their liberty in care settings, ensuring that restrictions are lawful, proportionate, and in the person’s best interests. Furthermore, whilst assessing adults in need of care and support, social workers must also consider additional key legislation, such as the Mental Capacity Act (</w:t>
            </w:r>
            <w:r w:rsidR="00393881">
              <w:rPr>
                <w:rFonts w:ascii="Times New Roman" w:hAnsi="Times New Roman" w:cs="Times New Roman"/>
                <w:sz w:val="24"/>
                <w:szCs w:val="24"/>
              </w:rPr>
              <w:t>2005)</w:t>
            </w:r>
            <w:r w:rsidRPr="00085583">
              <w:rPr>
                <w:rFonts w:ascii="Times New Roman" w:hAnsi="Times New Roman" w:cs="Times New Roman"/>
                <w:sz w:val="24"/>
                <w:szCs w:val="24"/>
              </w:rPr>
              <w:t xml:space="preserve">, More Than Just Words (2012), the Equality Act 2010, and the Human Rights Act 1998. </w:t>
            </w:r>
          </w:p>
          <w:p w14:paraId="17F60CFE" w14:textId="77777777" w:rsidR="00393881" w:rsidRDefault="00393881" w:rsidP="00FF7EBB">
            <w:pPr>
              <w:jc w:val="both"/>
              <w:rPr>
                <w:rFonts w:ascii="Times New Roman" w:hAnsi="Times New Roman" w:cs="Times New Roman"/>
                <w:sz w:val="24"/>
                <w:szCs w:val="24"/>
              </w:rPr>
            </w:pPr>
          </w:p>
          <w:p w14:paraId="4090C91E" w14:textId="555D3195" w:rsidR="00EB445E" w:rsidRDefault="00085583" w:rsidP="00FF7EBB">
            <w:pPr>
              <w:jc w:val="both"/>
              <w:rPr>
                <w:rFonts w:ascii="Times New Roman" w:hAnsi="Times New Roman" w:cs="Times New Roman"/>
                <w:sz w:val="24"/>
                <w:szCs w:val="24"/>
              </w:rPr>
            </w:pPr>
            <w:r w:rsidRPr="00085583">
              <w:rPr>
                <w:rFonts w:ascii="Times New Roman" w:hAnsi="Times New Roman" w:cs="Times New Roman"/>
                <w:sz w:val="24"/>
                <w:szCs w:val="24"/>
              </w:rPr>
              <w:t xml:space="preserve">Overall, safeguarding adults in Wales is supported by a comprehensive and integrated system where legislation, national procedures, and local policies work together to promote </w:t>
            </w:r>
            <w:r w:rsidR="00EA17DC" w:rsidRPr="00085583">
              <w:rPr>
                <w:rFonts w:ascii="Times New Roman" w:hAnsi="Times New Roman" w:cs="Times New Roman"/>
                <w:sz w:val="24"/>
                <w:szCs w:val="24"/>
              </w:rPr>
              <w:t>well-being</w:t>
            </w:r>
            <w:r w:rsidRPr="00085583">
              <w:rPr>
                <w:rFonts w:ascii="Times New Roman" w:hAnsi="Times New Roman" w:cs="Times New Roman"/>
                <w:sz w:val="24"/>
                <w:szCs w:val="24"/>
              </w:rPr>
              <w:t xml:space="preserve">, uphold rights, and ensure adults at risk are protected through consistent, effective practice. </w:t>
            </w:r>
          </w:p>
          <w:p w14:paraId="1219AC9B" w14:textId="77777777" w:rsidR="00393881" w:rsidRDefault="00393881" w:rsidP="00FF7EBB">
            <w:pPr>
              <w:jc w:val="both"/>
              <w:rPr>
                <w:rFonts w:ascii="Times New Roman" w:hAnsi="Times New Roman" w:cs="Times New Roman"/>
                <w:sz w:val="24"/>
                <w:szCs w:val="24"/>
              </w:rPr>
            </w:pPr>
          </w:p>
          <w:p w14:paraId="4AAC9424" w14:textId="0A666F4A" w:rsidR="00393881" w:rsidRPr="00C54430" w:rsidRDefault="00113FA3" w:rsidP="00FF7EBB">
            <w:pPr>
              <w:jc w:val="both"/>
              <w:rPr>
                <w:rFonts w:ascii="Times New Roman" w:hAnsi="Times New Roman" w:cs="Times New Roman"/>
                <w:sz w:val="24"/>
                <w:szCs w:val="24"/>
              </w:rPr>
            </w:pPr>
            <w:r>
              <w:rPr>
                <w:rFonts w:ascii="Times New Roman" w:hAnsi="Times New Roman" w:cs="Times New Roman"/>
                <w:sz w:val="24"/>
                <w:szCs w:val="24"/>
              </w:rPr>
              <w:t xml:space="preserve">Word count - </w:t>
            </w:r>
            <w:r w:rsidR="00393881">
              <w:rPr>
                <w:rFonts w:ascii="Times New Roman" w:hAnsi="Times New Roman" w:cs="Times New Roman"/>
                <w:sz w:val="24"/>
                <w:szCs w:val="24"/>
              </w:rPr>
              <w:t>5</w:t>
            </w:r>
            <w:r>
              <w:rPr>
                <w:rFonts w:ascii="Times New Roman" w:hAnsi="Times New Roman" w:cs="Times New Roman"/>
                <w:sz w:val="24"/>
                <w:szCs w:val="24"/>
              </w:rPr>
              <w:t>48</w:t>
            </w:r>
          </w:p>
          <w:p w14:paraId="4FF8EBF3" w14:textId="6F2E2B0C" w:rsidR="005A545C" w:rsidRPr="00C54430" w:rsidRDefault="005A545C" w:rsidP="00FF7EBB">
            <w:pPr>
              <w:jc w:val="both"/>
              <w:rPr>
                <w:rFonts w:ascii="Times New Roman" w:hAnsi="Times New Roman" w:cs="Times New Roman"/>
                <w:sz w:val="24"/>
                <w:szCs w:val="24"/>
              </w:rPr>
            </w:pPr>
          </w:p>
          <w:p w14:paraId="03BD6D93" w14:textId="56AD433A" w:rsidR="007A628F" w:rsidRPr="00C54430" w:rsidRDefault="007A628F" w:rsidP="00FF7EBB">
            <w:pPr>
              <w:jc w:val="both"/>
              <w:rPr>
                <w:rFonts w:ascii="Times New Roman" w:hAnsi="Times New Roman" w:cs="Times New Roman"/>
                <w:b/>
                <w:sz w:val="24"/>
                <w:szCs w:val="24"/>
              </w:rPr>
            </w:pPr>
          </w:p>
        </w:tc>
      </w:tr>
    </w:tbl>
    <w:p w14:paraId="37E9CF73" w14:textId="77777777" w:rsidR="00AA666E" w:rsidRPr="00C54430" w:rsidRDefault="00AA666E" w:rsidP="00FF7EBB">
      <w:pPr>
        <w:jc w:val="both"/>
        <w:rPr>
          <w:rFonts w:ascii="Times New Roman" w:hAnsi="Times New Roman" w:cs="Times New Roman"/>
          <w:sz w:val="24"/>
          <w:szCs w:val="24"/>
        </w:rPr>
      </w:pPr>
    </w:p>
    <w:p w14:paraId="1FC83FC7" w14:textId="77777777" w:rsidR="00AA666E" w:rsidRPr="00C54430" w:rsidRDefault="00AA666E" w:rsidP="00FF7EBB">
      <w:pPr>
        <w:jc w:val="both"/>
        <w:rPr>
          <w:rFonts w:ascii="Times New Roman" w:hAnsi="Times New Roman" w:cs="Times New Roman"/>
          <w:sz w:val="24"/>
          <w:szCs w:val="24"/>
        </w:rPr>
      </w:pPr>
    </w:p>
    <w:p w14:paraId="60437654" w14:textId="77777777" w:rsidR="00AA666E" w:rsidRPr="00C54430" w:rsidRDefault="00AA666E" w:rsidP="00FF7EBB">
      <w:pPr>
        <w:jc w:val="both"/>
        <w:rPr>
          <w:rFonts w:ascii="Times New Roman" w:hAnsi="Times New Roman" w:cs="Times New Roman"/>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C54430" w14:paraId="3399E76C" w14:textId="77777777" w:rsidTr="00FC0334">
        <w:tc>
          <w:tcPr>
            <w:tcW w:w="10278" w:type="dxa"/>
            <w:shd w:val="clear" w:color="auto" w:fill="auto"/>
          </w:tcPr>
          <w:p w14:paraId="171F67D5" w14:textId="77777777" w:rsidR="00FC0334" w:rsidRPr="00C54430" w:rsidRDefault="00FC0334" w:rsidP="00FC0334">
            <w:pPr>
              <w:jc w:val="both"/>
              <w:rPr>
                <w:rFonts w:ascii="Times New Roman" w:hAnsi="Times New Roman" w:cs="Times New Roman"/>
                <w:b/>
                <w:sz w:val="24"/>
                <w:szCs w:val="24"/>
              </w:rPr>
            </w:pPr>
            <w:r w:rsidRPr="00C54430">
              <w:rPr>
                <w:rFonts w:ascii="Times New Roman" w:hAnsi="Times New Roman" w:cs="Times New Roman"/>
                <w:b/>
                <w:sz w:val="24"/>
                <w:szCs w:val="24"/>
              </w:rPr>
              <w:t>Question b:</w:t>
            </w:r>
          </w:p>
          <w:p w14:paraId="2ADF1EC3" w14:textId="58E4B8DE" w:rsidR="00FC0334" w:rsidRDefault="00FC0334" w:rsidP="00FC0334">
            <w:pPr>
              <w:jc w:val="both"/>
              <w:rPr>
                <w:rFonts w:ascii="Times New Roman" w:hAnsi="Times New Roman" w:cs="Times New Roman"/>
                <w:sz w:val="24"/>
                <w:szCs w:val="24"/>
              </w:rPr>
            </w:pPr>
            <w:r w:rsidRPr="00C54430">
              <w:rPr>
                <w:rFonts w:ascii="Times New Roman" w:hAnsi="Times New Roman" w:cs="Times New Roman"/>
                <w:sz w:val="24"/>
                <w:szCs w:val="24"/>
              </w:rPr>
              <w:t>Reflect on the difference between safeguarding in adult</w:t>
            </w:r>
            <w:r w:rsidR="00C63CAB" w:rsidRPr="00C54430">
              <w:rPr>
                <w:rFonts w:ascii="Times New Roman" w:hAnsi="Times New Roman" w:cs="Times New Roman"/>
                <w:sz w:val="24"/>
                <w:szCs w:val="24"/>
              </w:rPr>
              <w:t>s’</w:t>
            </w:r>
            <w:r w:rsidRPr="00C54430">
              <w:rPr>
                <w:rFonts w:ascii="Times New Roman" w:hAnsi="Times New Roman" w:cs="Times New Roman"/>
                <w:sz w:val="24"/>
                <w:szCs w:val="24"/>
              </w:rPr>
              <w:t xml:space="preserve"> and children</w:t>
            </w:r>
            <w:r w:rsidR="007A628F" w:rsidRPr="00C54430">
              <w:rPr>
                <w:rFonts w:ascii="Times New Roman" w:hAnsi="Times New Roman" w:cs="Times New Roman"/>
                <w:sz w:val="24"/>
                <w:szCs w:val="24"/>
              </w:rPr>
              <w:t>’s</w:t>
            </w:r>
            <w:r w:rsidRPr="00C54430">
              <w:rPr>
                <w:rFonts w:ascii="Times New Roman" w:hAnsi="Times New Roman" w:cs="Times New Roman"/>
                <w:sz w:val="24"/>
                <w:szCs w:val="24"/>
              </w:rPr>
              <w:t xml:space="preserve"> work</w:t>
            </w:r>
          </w:p>
          <w:p w14:paraId="56984463" w14:textId="77777777" w:rsidR="00EB31CD" w:rsidRDefault="00EB31CD" w:rsidP="00FC0334">
            <w:pPr>
              <w:jc w:val="both"/>
              <w:rPr>
                <w:rFonts w:ascii="Times New Roman" w:hAnsi="Times New Roman" w:cs="Times New Roman"/>
                <w:sz w:val="24"/>
                <w:szCs w:val="24"/>
              </w:rPr>
            </w:pPr>
          </w:p>
          <w:p w14:paraId="36B02815" w14:textId="3A908CE5" w:rsidR="00EB31CD" w:rsidRPr="00EB31CD" w:rsidRDefault="00EB31CD" w:rsidP="00EB31CD">
            <w:pPr>
              <w:jc w:val="both"/>
              <w:rPr>
                <w:rFonts w:ascii="Times New Roman" w:hAnsi="Times New Roman" w:cs="Times New Roman"/>
                <w:i/>
                <w:sz w:val="24"/>
                <w:szCs w:val="24"/>
              </w:rPr>
            </w:pPr>
            <w:r w:rsidRPr="00C54430">
              <w:rPr>
                <w:rFonts w:ascii="Times New Roman" w:hAnsi="Times New Roman" w:cs="Times New Roman"/>
                <w:i/>
                <w:sz w:val="24"/>
                <w:szCs w:val="24"/>
              </w:rPr>
              <w:t>400 words</w:t>
            </w:r>
            <w:r w:rsidRPr="00C54430">
              <w:rPr>
                <w:rFonts w:ascii="Times New Roman" w:hAnsi="Times New Roman" w:cs="Times New Roman"/>
                <w:sz w:val="24"/>
                <w:szCs w:val="24"/>
              </w:rPr>
              <w:t xml:space="preserve"> </w:t>
            </w:r>
            <w:r w:rsidRPr="00C54430">
              <w:rPr>
                <w:rFonts w:ascii="Times New Roman" w:hAnsi="Times New Roman" w:cs="Times New Roman"/>
                <w:i/>
                <w:sz w:val="24"/>
                <w:szCs w:val="24"/>
              </w:rPr>
              <w:t>(+/- 10%: include your actual word count at the end of each section).</w:t>
            </w:r>
          </w:p>
          <w:p w14:paraId="5A196614" w14:textId="77777777" w:rsidR="00511862" w:rsidRDefault="00511862" w:rsidP="007A3B3B">
            <w:pPr>
              <w:jc w:val="both"/>
              <w:rPr>
                <w:sz w:val="24"/>
                <w:szCs w:val="24"/>
              </w:rPr>
            </w:pPr>
          </w:p>
          <w:p w14:paraId="69913CC2" w14:textId="23016292" w:rsidR="00421C5C" w:rsidRDefault="00421C5C" w:rsidP="00421C5C">
            <w:pPr>
              <w:jc w:val="both"/>
              <w:rPr>
                <w:rFonts w:ascii="Times New Roman" w:hAnsi="Times New Roman" w:cs="Times New Roman"/>
                <w:sz w:val="24"/>
                <w:szCs w:val="24"/>
              </w:rPr>
            </w:pPr>
            <w:r w:rsidRPr="00421C5C">
              <w:rPr>
                <w:rFonts w:ascii="Times New Roman" w:hAnsi="Times New Roman" w:cs="Times New Roman"/>
                <w:sz w:val="24"/>
                <w:szCs w:val="24"/>
              </w:rPr>
              <w:t xml:space="preserve">Safeguarding practice in Wales is grounded in the Social Services and Well-being (Wales) Act 2014 (SSWBA). However, safeguarding duties differ depending on whether the person at risk </w:t>
            </w:r>
            <w:proofErr w:type="gramStart"/>
            <w:r w:rsidRPr="00421C5C">
              <w:rPr>
                <w:rFonts w:ascii="Times New Roman" w:hAnsi="Times New Roman" w:cs="Times New Roman"/>
                <w:sz w:val="24"/>
                <w:szCs w:val="24"/>
              </w:rPr>
              <w:t>is a child or an adult</w:t>
            </w:r>
            <w:proofErr w:type="gramEnd"/>
            <w:r w:rsidRPr="00421C5C">
              <w:rPr>
                <w:rFonts w:ascii="Times New Roman" w:hAnsi="Times New Roman" w:cs="Times New Roman"/>
                <w:sz w:val="24"/>
                <w:szCs w:val="24"/>
              </w:rPr>
              <w:t>. Social workers must therefore adapt their professional judgement, interventions</w:t>
            </w:r>
            <w:r w:rsidR="002E33D1">
              <w:rPr>
                <w:rFonts w:ascii="Times New Roman" w:hAnsi="Times New Roman" w:cs="Times New Roman"/>
                <w:sz w:val="24"/>
                <w:szCs w:val="24"/>
              </w:rPr>
              <w:t>,</w:t>
            </w:r>
            <w:r w:rsidRPr="00421C5C">
              <w:rPr>
                <w:rFonts w:ascii="Times New Roman" w:hAnsi="Times New Roman" w:cs="Times New Roman"/>
                <w:sz w:val="24"/>
                <w:szCs w:val="24"/>
              </w:rPr>
              <w:t xml:space="preserve"> and use of statutory powers based on age, vulnerability, capacity and legal rights (</w:t>
            </w:r>
            <w:proofErr w:type="spellStart"/>
            <w:r w:rsidRPr="00421C5C">
              <w:rPr>
                <w:rFonts w:ascii="Times New Roman" w:hAnsi="Times New Roman" w:cs="Times New Roman"/>
                <w:sz w:val="24"/>
                <w:szCs w:val="24"/>
              </w:rPr>
              <w:t>Brayne</w:t>
            </w:r>
            <w:proofErr w:type="spellEnd"/>
            <w:r w:rsidRPr="00421C5C">
              <w:rPr>
                <w:rFonts w:ascii="Times New Roman" w:hAnsi="Times New Roman" w:cs="Times New Roman"/>
                <w:sz w:val="24"/>
                <w:szCs w:val="24"/>
              </w:rPr>
              <w:t xml:space="preserve"> and Carr, 2017).</w:t>
            </w:r>
          </w:p>
          <w:p w14:paraId="69A94879" w14:textId="77777777" w:rsidR="00421C5C" w:rsidRPr="00421C5C" w:rsidRDefault="00421C5C" w:rsidP="00421C5C">
            <w:pPr>
              <w:jc w:val="both"/>
              <w:rPr>
                <w:rFonts w:ascii="Times New Roman" w:hAnsi="Times New Roman" w:cs="Times New Roman"/>
                <w:sz w:val="24"/>
                <w:szCs w:val="24"/>
              </w:rPr>
            </w:pPr>
          </w:p>
          <w:p w14:paraId="03D4C309" w14:textId="67A7691B" w:rsidR="00421C5C" w:rsidRDefault="00421C5C" w:rsidP="00421C5C">
            <w:pPr>
              <w:jc w:val="both"/>
              <w:rPr>
                <w:rFonts w:ascii="Times New Roman" w:hAnsi="Times New Roman" w:cs="Times New Roman"/>
                <w:sz w:val="24"/>
                <w:szCs w:val="24"/>
              </w:rPr>
            </w:pPr>
            <w:r w:rsidRPr="00421C5C">
              <w:rPr>
                <w:rFonts w:ascii="Times New Roman" w:hAnsi="Times New Roman" w:cs="Times New Roman"/>
                <w:sz w:val="24"/>
                <w:szCs w:val="24"/>
              </w:rPr>
              <w:t>Children’s safeguarding is shaped by the principle of paramountcy, meaning a child’s welfare must be the primary consideration. This principle, reflected in Part 6 of the SSWBA 2014 and the Children Act 1989, acknowledges children’s increased vulnerability and limited ability to recognise or communicate harm (Featherstone, Gupta and Morris, 2018). When concerns arise, Local Authorities</w:t>
            </w:r>
            <w:r w:rsidR="006A6112">
              <w:rPr>
                <w:rFonts w:ascii="Times New Roman" w:hAnsi="Times New Roman" w:cs="Times New Roman"/>
                <w:sz w:val="24"/>
                <w:szCs w:val="24"/>
              </w:rPr>
              <w:t xml:space="preserve"> (LA)</w:t>
            </w:r>
            <w:r w:rsidRPr="00421C5C">
              <w:rPr>
                <w:rFonts w:ascii="Times New Roman" w:hAnsi="Times New Roman" w:cs="Times New Roman"/>
                <w:sz w:val="24"/>
                <w:szCs w:val="24"/>
              </w:rPr>
              <w:t xml:space="preserve"> have statutory duties: Section 47 of the Children Act 1989 requires enquiries where there is reasonable cause to suspect significant harm. In Wales, these duties are supported by the Wales Safeguarding Procedures </w:t>
            </w:r>
            <w:r w:rsidRPr="00421C5C">
              <w:rPr>
                <w:rFonts w:ascii="Times New Roman" w:hAnsi="Times New Roman" w:cs="Times New Roman"/>
                <w:sz w:val="24"/>
                <w:szCs w:val="24"/>
              </w:rPr>
              <w:lastRenderedPageBreak/>
              <w:t>(2019), which provide a national framework for recognising and responding to child protection concerns (Welsh Government, 2019).</w:t>
            </w:r>
          </w:p>
          <w:p w14:paraId="3B15A8DD" w14:textId="77777777" w:rsidR="00421C5C" w:rsidRPr="00421C5C" w:rsidRDefault="00421C5C" w:rsidP="00421C5C">
            <w:pPr>
              <w:jc w:val="both"/>
              <w:rPr>
                <w:rFonts w:ascii="Times New Roman" w:hAnsi="Times New Roman" w:cs="Times New Roman"/>
                <w:sz w:val="24"/>
                <w:szCs w:val="24"/>
              </w:rPr>
            </w:pPr>
          </w:p>
          <w:p w14:paraId="144ADA9B" w14:textId="734DAD2D" w:rsidR="00421C5C" w:rsidRDefault="00421C5C" w:rsidP="00421C5C">
            <w:pPr>
              <w:jc w:val="both"/>
              <w:rPr>
                <w:rFonts w:ascii="Times New Roman" w:hAnsi="Times New Roman" w:cs="Times New Roman"/>
                <w:sz w:val="24"/>
                <w:szCs w:val="24"/>
              </w:rPr>
            </w:pPr>
            <w:r w:rsidRPr="00421C5C">
              <w:rPr>
                <w:rFonts w:ascii="Times New Roman" w:hAnsi="Times New Roman" w:cs="Times New Roman"/>
                <w:sz w:val="24"/>
                <w:szCs w:val="24"/>
              </w:rPr>
              <w:t>A key feature of children’s safeguarding is Gillick competence, established in Gillick v West Norfolk and Wisbech (1986). This principle recognises that some children under 16 may have sufficient maturity to make decisions about aspects of their own welfare, including medical treatment (</w:t>
            </w:r>
            <w:proofErr w:type="spellStart"/>
            <w:r w:rsidRPr="00421C5C">
              <w:rPr>
                <w:rFonts w:ascii="Times New Roman" w:hAnsi="Times New Roman" w:cs="Times New Roman"/>
                <w:sz w:val="24"/>
                <w:szCs w:val="24"/>
              </w:rPr>
              <w:t>Brayne</w:t>
            </w:r>
            <w:proofErr w:type="spellEnd"/>
            <w:r w:rsidRPr="00421C5C">
              <w:rPr>
                <w:rFonts w:ascii="Times New Roman" w:hAnsi="Times New Roman" w:cs="Times New Roman"/>
                <w:sz w:val="24"/>
                <w:szCs w:val="24"/>
              </w:rPr>
              <w:t xml:space="preserve"> and Carr, 2017). For practitioners, this introduces an important layer of professional judgement, requiring assessment not only of vulnerability but also of a child’s autonomy.</w:t>
            </w:r>
          </w:p>
          <w:p w14:paraId="03E03CDB" w14:textId="77777777" w:rsidR="00421C5C" w:rsidRPr="00421C5C" w:rsidRDefault="00421C5C" w:rsidP="00421C5C">
            <w:pPr>
              <w:jc w:val="both"/>
              <w:rPr>
                <w:rFonts w:ascii="Times New Roman" w:hAnsi="Times New Roman" w:cs="Times New Roman"/>
                <w:sz w:val="24"/>
                <w:szCs w:val="24"/>
              </w:rPr>
            </w:pPr>
          </w:p>
          <w:p w14:paraId="16B137D7" w14:textId="70B1BCD5" w:rsidR="00421C5C" w:rsidRDefault="00421C5C" w:rsidP="00421C5C">
            <w:pPr>
              <w:jc w:val="both"/>
              <w:rPr>
                <w:rFonts w:ascii="Times New Roman" w:hAnsi="Times New Roman" w:cs="Times New Roman"/>
                <w:sz w:val="24"/>
                <w:szCs w:val="24"/>
              </w:rPr>
            </w:pPr>
            <w:r w:rsidRPr="00421C5C">
              <w:rPr>
                <w:rFonts w:ascii="Times New Roman" w:hAnsi="Times New Roman" w:cs="Times New Roman"/>
                <w:sz w:val="24"/>
                <w:szCs w:val="24"/>
              </w:rPr>
              <w:t>In contrast, adult safeguarding emphasises autonomy, choice</w:t>
            </w:r>
            <w:r>
              <w:rPr>
                <w:rFonts w:ascii="Times New Roman" w:hAnsi="Times New Roman" w:cs="Times New Roman"/>
                <w:sz w:val="24"/>
                <w:szCs w:val="24"/>
              </w:rPr>
              <w:t>,</w:t>
            </w:r>
            <w:r w:rsidRPr="00421C5C">
              <w:rPr>
                <w:rFonts w:ascii="Times New Roman" w:hAnsi="Times New Roman" w:cs="Times New Roman"/>
                <w:sz w:val="24"/>
                <w:szCs w:val="24"/>
              </w:rPr>
              <w:t xml:space="preserve"> and empowerment. Adults are presumed to have capacity and may make decisions that others consider risky. Under Section 126 of the SSWBA, </w:t>
            </w:r>
            <w:r w:rsidR="006A6112">
              <w:rPr>
                <w:rFonts w:ascii="Times New Roman" w:hAnsi="Times New Roman" w:cs="Times New Roman"/>
                <w:sz w:val="24"/>
                <w:szCs w:val="24"/>
              </w:rPr>
              <w:t>LAs</w:t>
            </w:r>
            <w:r w:rsidRPr="00421C5C">
              <w:rPr>
                <w:rFonts w:ascii="Times New Roman" w:hAnsi="Times New Roman" w:cs="Times New Roman"/>
                <w:sz w:val="24"/>
                <w:szCs w:val="24"/>
              </w:rPr>
              <w:t xml:space="preserve"> must make enquiries when an adult is experiencing or at risk of abuse or neglect and has care and support needs affecting their ability to protect themselves. Interventions should be proportionate and aligned with the adult’s wishes wherever possible (Preston-Shoot, 2019). The Mental Capacity Act 2005 is central to adult safeguarding, guiding practitioners to assess capacity and act in a person’s best interests only when they cannot make a specific decision (Dunn et al., 2018).</w:t>
            </w:r>
          </w:p>
          <w:p w14:paraId="7D286361" w14:textId="77777777" w:rsidR="00421C5C" w:rsidRPr="00421C5C" w:rsidRDefault="00421C5C" w:rsidP="00421C5C">
            <w:pPr>
              <w:jc w:val="both"/>
              <w:rPr>
                <w:rFonts w:ascii="Times New Roman" w:hAnsi="Times New Roman" w:cs="Times New Roman"/>
                <w:sz w:val="24"/>
                <w:szCs w:val="24"/>
              </w:rPr>
            </w:pPr>
          </w:p>
          <w:p w14:paraId="27B7EA2E" w14:textId="386251E5" w:rsidR="00421C5C" w:rsidRDefault="00421C5C" w:rsidP="00421C5C">
            <w:pPr>
              <w:jc w:val="both"/>
              <w:rPr>
                <w:rFonts w:ascii="Times New Roman" w:hAnsi="Times New Roman" w:cs="Times New Roman"/>
                <w:sz w:val="24"/>
                <w:szCs w:val="24"/>
              </w:rPr>
            </w:pPr>
            <w:r w:rsidRPr="00421C5C">
              <w:rPr>
                <w:rFonts w:ascii="Times New Roman" w:hAnsi="Times New Roman" w:cs="Times New Roman"/>
                <w:sz w:val="24"/>
                <w:szCs w:val="24"/>
              </w:rPr>
              <w:t>A key difference between the systems lies in thresholds for intervention. In children’s safeguarding, the presence of risk alone is sufficient to initiate protective action</w:t>
            </w:r>
            <w:r w:rsidR="006A6112">
              <w:rPr>
                <w:rFonts w:ascii="Times New Roman" w:hAnsi="Times New Roman" w:cs="Times New Roman"/>
                <w:sz w:val="24"/>
                <w:szCs w:val="24"/>
              </w:rPr>
              <w:t>, given</w:t>
            </w:r>
            <w:r w:rsidRPr="00421C5C">
              <w:rPr>
                <w:rFonts w:ascii="Times New Roman" w:hAnsi="Times New Roman" w:cs="Times New Roman"/>
                <w:sz w:val="24"/>
                <w:szCs w:val="24"/>
              </w:rPr>
              <w:t xml:space="preserve"> the L</w:t>
            </w:r>
            <w:r w:rsidR="006A6112">
              <w:rPr>
                <w:rFonts w:ascii="Times New Roman" w:hAnsi="Times New Roman" w:cs="Times New Roman"/>
                <w:sz w:val="24"/>
                <w:szCs w:val="24"/>
              </w:rPr>
              <w:t>A</w:t>
            </w:r>
            <w:r w:rsidRPr="00421C5C">
              <w:rPr>
                <w:rFonts w:ascii="Times New Roman" w:hAnsi="Times New Roman" w:cs="Times New Roman"/>
                <w:sz w:val="24"/>
                <w:szCs w:val="24"/>
              </w:rPr>
              <w:t>’s overarching duty to safeguard children (Munro, 2011). In adult safeguarding, risk must be combined with care and support needs that reduce the person’s ability to protect themselves. As a result, children’s safeguarding often involves more directive measures, while adult safeguarding prioritises least restrictive, collaborative approaches (Braye and Preston-Shoot, 2015).</w:t>
            </w:r>
          </w:p>
          <w:p w14:paraId="7BA3536B" w14:textId="77777777" w:rsidR="00421C5C" w:rsidRPr="00421C5C" w:rsidRDefault="00421C5C" w:rsidP="00421C5C">
            <w:pPr>
              <w:jc w:val="both"/>
              <w:rPr>
                <w:rFonts w:ascii="Times New Roman" w:hAnsi="Times New Roman" w:cs="Times New Roman"/>
                <w:sz w:val="24"/>
                <w:szCs w:val="24"/>
              </w:rPr>
            </w:pPr>
          </w:p>
          <w:p w14:paraId="559FAD98" w14:textId="17F8798A" w:rsidR="00421C5C" w:rsidRPr="00421C5C" w:rsidRDefault="00421C5C" w:rsidP="00421C5C">
            <w:pPr>
              <w:jc w:val="both"/>
              <w:rPr>
                <w:rFonts w:ascii="Times New Roman" w:hAnsi="Times New Roman" w:cs="Times New Roman"/>
                <w:sz w:val="24"/>
                <w:szCs w:val="24"/>
              </w:rPr>
            </w:pPr>
            <w:r w:rsidRPr="00421C5C">
              <w:rPr>
                <w:rFonts w:ascii="Times New Roman" w:hAnsi="Times New Roman" w:cs="Times New Roman"/>
                <w:sz w:val="24"/>
                <w:szCs w:val="24"/>
              </w:rPr>
              <w:t>Overall, safeguarding cannot be applied uniformly. Social workers must balance protection with respect for rights, adapting practice to legal duties, capacity</w:t>
            </w:r>
            <w:r w:rsidR="006A6112">
              <w:rPr>
                <w:rFonts w:ascii="Times New Roman" w:hAnsi="Times New Roman" w:cs="Times New Roman"/>
                <w:sz w:val="24"/>
                <w:szCs w:val="24"/>
              </w:rPr>
              <w:t>,</w:t>
            </w:r>
            <w:r w:rsidRPr="00421C5C">
              <w:rPr>
                <w:rFonts w:ascii="Times New Roman" w:hAnsi="Times New Roman" w:cs="Times New Roman"/>
                <w:sz w:val="24"/>
                <w:szCs w:val="24"/>
              </w:rPr>
              <w:t xml:space="preserve"> and developmental considerations (Healy, 2014).</w:t>
            </w:r>
          </w:p>
          <w:p w14:paraId="292F592A" w14:textId="77777777" w:rsidR="00421C5C" w:rsidRPr="007A3B3B" w:rsidRDefault="00421C5C" w:rsidP="007A3B3B">
            <w:pPr>
              <w:jc w:val="both"/>
              <w:rPr>
                <w:rFonts w:ascii="Times New Roman" w:hAnsi="Times New Roman" w:cs="Times New Roman"/>
                <w:sz w:val="24"/>
                <w:szCs w:val="24"/>
              </w:rPr>
            </w:pPr>
          </w:p>
          <w:p w14:paraId="551FF794" w14:textId="1A41FFF3" w:rsidR="000716AE" w:rsidRDefault="000716AE" w:rsidP="007A3B3B">
            <w:pPr>
              <w:jc w:val="both"/>
              <w:rPr>
                <w:rFonts w:ascii="Times New Roman" w:hAnsi="Times New Roman" w:cs="Times New Roman"/>
                <w:sz w:val="24"/>
                <w:szCs w:val="24"/>
              </w:rPr>
            </w:pPr>
          </w:p>
          <w:p w14:paraId="25C9EAAA" w14:textId="07DB9CBB" w:rsidR="00EB31CD" w:rsidRPr="000716AE" w:rsidRDefault="00EB31CD" w:rsidP="007A3B3B">
            <w:pPr>
              <w:jc w:val="both"/>
              <w:rPr>
                <w:rFonts w:ascii="Times New Roman" w:hAnsi="Times New Roman" w:cs="Times New Roman"/>
                <w:sz w:val="24"/>
                <w:szCs w:val="24"/>
              </w:rPr>
            </w:pPr>
            <w:r>
              <w:rPr>
                <w:rFonts w:ascii="Times New Roman" w:hAnsi="Times New Roman" w:cs="Times New Roman"/>
                <w:sz w:val="24"/>
                <w:szCs w:val="24"/>
              </w:rPr>
              <w:t>Word count - 440</w:t>
            </w:r>
          </w:p>
          <w:p w14:paraId="08760B3D" w14:textId="77777777" w:rsidR="00FC0334" w:rsidRPr="00C54430" w:rsidRDefault="00FC0334" w:rsidP="00EB31CD">
            <w:pPr>
              <w:jc w:val="both"/>
              <w:rPr>
                <w:rFonts w:ascii="Times New Roman" w:hAnsi="Times New Roman" w:cs="Times New Roman"/>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2D83"/>
    <w:rsid w:val="00054A07"/>
    <w:rsid w:val="00055D43"/>
    <w:rsid w:val="00056FAC"/>
    <w:rsid w:val="00057751"/>
    <w:rsid w:val="00057B54"/>
    <w:rsid w:val="00061474"/>
    <w:rsid w:val="00062E39"/>
    <w:rsid w:val="00064063"/>
    <w:rsid w:val="0006581A"/>
    <w:rsid w:val="000716AE"/>
    <w:rsid w:val="00074461"/>
    <w:rsid w:val="000766EC"/>
    <w:rsid w:val="00080E58"/>
    <w:rsid w:val="00083D99"/>
    <w:rsid w:val="00084DA6"/>
    <w:rsid w:val="00085583"/>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102"/>
    <w:rsid w:val="000C378F"/>
    <w:rsid w:val="000C5FAD"/>
    <w:rsid w:val="000C6892"/>
    <w:rsid w:val="000C6FFE"/>
    <w:rsid w:val="000D0BB6"/>
    <w:rsid w:val="000D2ED2"/>
    <w:rsid w:val="000D479F"/>
    <w:rsid w:val="000D6653"/>
    <w:rsid w:val="000E0D51"/>
    <w:rsid w:val="000E26B0"/>
    <w:rsid w:val="000E37C2"/>
    <w:rsid w:val="000E38C3"/>
    <w:rsid w:val="000E47DC"/>
    <w:rsid w:val="000E75DD"/>
    <w:rsid w:val="000F0CF9"/>
    <w:rsid w:val="000F1599"/>
    <w:rsid w:val="000F1769"/>
    <w:rsid w:val="000F1A97"/>
    <w:rsid w:val="000F2F8D"/>
    <w:rsid w:val="000F42AE"/>
    <w:rsid w:val="000F6196"/>
    <w:rsid w:val="000F6BC3"/>
    <w:rsid w:val="0010312C"/>
    <w:rsid w:val="00105026"/>
    <w:rsid w:val="0010662B"/>
    <w:rsid w:val="00106DC7"/>
    <w:rsid w:val="00112391"/>
    <w:rsid w:val="00113FA3"/>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422F"/>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E35A6"/>
    <w:rsid w:val="001E6AC8"/>
    <w:rsid w:val="001F4121"/>
    <w:rsid w:val="001F4552"/>
    <w:rsid w:val="001F71D7"/>
    <w:rsid w:val="002019EB"/>
    <w:rsid w:val="00204B58"/>
    <w:rsid w:val="00205051"/>
    <w:rsid w:val="00211F65"/>
    <w:rsid w:val="00214047"/>
    <w:rsid w:val="00216563"/>
    <w:rsid w:val="0021792F"/>
    <w:rsid w:val="00220D06"/>
    <w:rsid w:val="002246A0"/>
    <w:rsid w:val="002267B0"/>
    <w:rsid w:val="00230439"/>
    <w:rsid w:val="00232A09"/>
    <w:rsid w:val="00235176"/>
    <w:rsid w:val="00236061"/>
    <w:rsid w:val="0024100E"/>
    <w:rsid w:val="00241C1B"/>
    <w:rsid w:val="0024288B"/>
    <w:rsid w:val="00243DB0"/>
    <w:rsid w:val="00247265"/>
    <w:rsid w:val="00250EAB"/>
    <w:rsid w:val="002574B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6AC"/>
    <w:rsid w:val="002D2F29"/>
    <w:rsid w:val="002D46C0"/>
    <w:rsid w:val="002D5A92"/>
    <w:rsid w:val="002D65D2"/>
    <w:rsid w:val="002D6B31"/>
    <w:rsid w:val="002E33D1"/>
    <w:rsid w:val="002E39CB"/>
    <w:rsid w:val="002E6D17"/>
    <w:rsid w:val="002E7017"/>
    <w:rsid w:val="002E7F2C"/>
    <w:rsid w:val="002F1FC7"/>
    <w:rsid w:val="002F2185"/>
    <w:rsid w:val="002F4F6E"/>
    <w:rsid w:val="003015C3"/>
    <w:rsid w:val="00302A7B"/>
    <w:rsid w:val="003106DB"/>
    <w:rsid w:val="003126E4"/>
    <w:rsid w:val="0031350A"/>
    <w:rsid w:val="00316815"/>
    <w:rsid w:val="003168CA"/>
    <w:rsid w:val="00321255"/>
    <w:rsid w:val="0032230D"/>
    <w:rsid w:val="00322A0B"/>
    <w:rsid w:val="00330881"/>
    <w:rsid w:val="00331CD2"/>
    <w:rsid w:val="00332426"/>
    <w:rsid w:val="00335C41"/>
    <w:rsid w:val="00335FC5"/>
    <w:rsid w:val="0033771E"/>
    <w:rsid w:val="00337FEF"/>
    <w:rsid w:val="00346EB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3881"/>
    <w:rsid w:val="0039762B"/>
    <w:rsid w:val="003A0BA9"/>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08A1"/>
    <w:rsid w:val="003E16D7"/>
    <w:rsid w:val="003E197E"/>
    <w:rsid w:val="003E20F8"/>
    <w:rsid w:val="003E4B70"/>
    <w:rsid w:val="003E54CF"/>
    <w:rsid w:val="003E5FBA"/>
    <w:rsid w:val="003F1233"/>
    <w:rsid w:val="003F2571"/>
    <w:rsid w:val="003F67A4"/>
    <w:rsid w:val="00400786"/>
    <w:rsid w:val="00401FDA"/>
    <w:rsid w:val="004046F0"/>
    <w:rsid w:val="0040668F"/>
    <w:rsid w:val="00411EF7"/>
    <w:rsid w:val="00412677"/>
    <w:rsid w:val="00421C5C"/>
    <w:rsid w:val="00425160"/>
    <w:rsid w:val="00430DE3"/>
    <w:rsid w:val="004348AE"/>
    <w:rsid w:val="004376C0"/>
    <w:rsid w:val="0044223A"/>
    <w:rsid w:val="00450B67"/>
    <w:rsid w:val="00451851"/>
    <w:rsid w:val="0045189A"/>
    <w:rsid w:val="00453343"/>
    <w:rsid w:val="004538C3"/>
    <w:rsid w:val="00453EA6"/>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96C52"/>
    <w:rsid w:val="004A2A49"/>
    <w:rsid w:val="004A581C"/>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1862"/>
    <w:rsid w:val="0051287D"/>
    <w:rsid w:val="00513C7D"/>
    <w:rsid w:val="00521123"/>
    <w:rsid w:val="00521221"/>
    <w:rsid w:val="0052250B"/>
    <w:rsid w:val="005305C6"/>
    <w:rsid w:val="00540EEC"/>
    <w:rsid w:val="005414F4"/>
    <w:rsid w:val="00546187"/>
    <w:rsid w:val="00546B41"/>
    <w:rsid w:val="00547B11"/>
    <w:rsid w:val="005524B7"/>
    <w:rsid w:val="0055793E"/>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2650"/>
    <w:rsid w:val="005D3F07"/>
    <w:rsid w:val="005D4A1E"/>
    <w:rsid w:val="005D4F72"/>
    <w:rsid w:val="005E13EA"/>
    <w:rsid w:val="005E17F1"/>
    <w:rsid w:val="005E3D59"/>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57DB"/>
    <w:rsid w:val="006579FD"/>
    <w:rsid w:val="00661828"/>
    <w:rsid w:val="006635E3"/>
    <w:rsid w:val="006669F3"/>
    <w:rsid w:val="006712A7"/>
    <w:rsid w:val="00672CED"/>
    <w:rsid w:val="00674FC2"/>
    <w:rsid w:val="00676E35"/>
    <w:rsid w:val="00677E42"/>
    <w:rsid w:val="00682334"/>
    <w:rsid w:val="00684732"/>
    <w:rsid w:val="00684B16"/>
    <w:rsid w:val="00687016"/>
    <w:rsid w:val="006872A0"/>
    <w:rsid w:val="00693042"/>
    <w:rsid w:val="0069625A"/>
    <w:rsid w:val="00696A88"/>
    <w:rsid w:val="00696F65"/>
    <w:rsid w:val="00697572"/>
    <w:rsid w:val="006A6112"/>
    <w:rsid w:val="006B4496"/>
    <w:rsid w:val="006B5E0C"/>
    <w:rsid w:val="006B5E67"/>
    <w:rsid w:val="006B6612"/>
    <w:rsid w:val="006B6DEE"/>
    <w:rsid w:val="006C2EB5"/>
    <w:rsid w:val="006D18A3"/>
    <w:rsid w:val="006D5970"/>
    <w:rsid w:val="006E481E"/>
    <w:rsid w:val="006E5F43"/>
    <w:rsid w:val="006E795F"/>
    <w:rsid w:val="006F0862"/>
    <w:rsid w:val="006F1438"/>
    <w:rsid w:val="006F2A9E"/>
    <w:rsid w:val="006F5ED3"/>
    <w:rsid w:val="006F73CF"/>
    <w:rsid w:val="00700249"/>
    <w:rsid w:val="007069CD"/>
    <w:rsid w:val="00706BB5"/>
    <w:rsid w:val="007113D3"/>
    <w:rsid w:val="0071231A"/>
    <w:rsid w:val="00712E90"/>
    <w:rsid w:val="00713B7E"/>
    <w:rsid w:val="00716849"/>
    <w:rsid w:val="0072678F"/>
    <w:rsid w:val="007276E5"/>
    <w:rsid w:val="00727C4C"/>
    <w:rsid w:val="00733D63"/>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6DC"/>
    <w:rsid w:val="00772924"/>
    <w:rsid w:val="00774D11"/>
    <w:rsid w:val="0078112D"/>
    <w:rsid w:val="00783C14"/>
    <w:rsid w:val="007872F2"/>
    <w:rsid w:val="007873F9"/>
    <w:rsid w:val="007908E0"/>
    <w:rsid w:val="00793EB3"/>
    <w:rsid w:val="00794205"/>
    <w:rsid w:val="0079422A"/>
    <w:rsid w:val="007952FF"/>
    <w:rsid w:val="007A1F6A"/>
    <w:rsid w:val="007A3B3B"/>
    <w:rsid w:val="007A50E9"/>
    <w:rsid w:val="007A628F"/>
    <w:rsid w:val="007A64C2"/>
    <w:rsid w:val="007B0DE3"/>
    <w:rsid w:val="007B1BFD"/>
    <w:rsid w:val="007B7191"/>
    <w:rsid w:val="007C1D94"/>
    <w:rsid w:val="007C5288"/>
    <w:rsid w:val="007C556F"/>
    <w:rsid w:val="007C5ABE"/>
    <w:rsid w:val="007C6A87"/>
    <w:rsid w:val="007D0A07"/>
    <w:rsid w:val="007D0F11"/>
    <w:rsid w:val="007D133D"/>
    <w:rsid w:val="007D3EB4"/>
    <w:rsid w:val="007D3F16"/>
    <w:rsid w:val="007E0B41"/>
    <w:rsid w:val="007F10BD"/>
    <w:rsid w:val="007F312E"/>
    <w:rsid w:val="007F3F7E"/>
    <w:rsid w:val="007F4BA4"/>
    <w:rsid w:val="007F6B6D"/>
    <w:rsid w:val="00813CEC"/>
    <w:rsid w:val="0081534C"/>
    <w:rsid w:val="00816CE7"/>
    <w:rsid w:val="008171E4"/>
    <w:rsid w:val="008208EA"/>
    <w:rsid w:val="008214E1"/>
    <w:rsid w:val="00822B44"/>
    <w:rsid w:val="00824E67"/>
    <w:rsid w:val="00825A64"/>
    <w:rsid w:val="00826F48"/>
    <w:rsid w:val="008308AE"/>
    <w:rsid w:val="00830DD1"/>
    <w:rsid w:val="0083166E"/>
    <w:rsid w:val="00831DC3"/>
    <w:rsid w:val="008322C7"/>
    <w:rsid w:val="008340BA"/>
    <w:rsid w:val="00834F1D"/>
    <w:rsid w:val="00836FEC"/>
    <w:rsid w:val="00840686"/>
    <w:rsid w:val="00841F9D"/>
    <w:rsid w:val="008420E1"/>
    <w:rsid w:val="00842937"/>
    <w:rsid w:val="00844D98"/>
    <w:rsid w:val="00846D84"/>
    <w:rsid w:val="00850233"/>
    <w:rsid w:val="0085230E"/>
    <w:rsid w:val="008550A1"/>
    <w:rsid w:val="00861038"/>
    <w:rsid w:val="00865B58"/>
    <w:rsid w:val="00866B50"/>
    <w:rsid w:val="00867A63"/>
    <w:rsid w:val="008708F1"/>
    <w:rsid w:val="00871960"/>
    <w:rsid w:val="00871F06"/>
    <w:rsid w:val="0087369F"/>
    <w:rsid w:val="00880539"/>
    <w:rsid w:val="00882B81"/>
    <w:rsid w:val="0088400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59BD"/>
    <w:rsid w:val="008C633F"/>
    <w:rsid w:val="008C6EEA"/>
    <w:rsid w:val="008C7770"/>
    <w:rsid w:val="008C79C7"/>
    <w:rsid w:val="008D03B0"/>
    <w:rsid w:val="008D2150"/>
    <w:rsid w:val="008D4D43"/>
    <w:rsid w:val="008D5813"/>
    <w:rsid w:val="008D5999"/>
    <w:rsid w:val="008D634E"/>
    <w:rsid w:val="008D778A"/>
    <w:rsid w:val="008D78C9"/>
    <w:rsid w:val="008E3195"/>
    <w:rsid w:val="008E5A35"/>
    <w:rsid w:val="008F127E"/>
    <w:rsid w:val="008F32D9"/>
    <w:rsid w:val="00902A65"/>
    <w:rsid w:val="00903932"/>
    <w:rsid w:val="009062C1"/>
    <w:rsid w:val="009079BD"/>
    <w:rsid w:val="00912BD9"/>
    <w:rsid w:val="00916735"/>
    <w:rsid w:val="00916FB2"/>
    <w:rsid w:val="00920E5B"/>
    <w:rsid w:val="00926436"/>
    <w:rsid w:val="00926C53"/>
    <w:rsid w:val="0093018C"/>
    <w:rsid w:val="0094495F"/>
    <w:rsid w:val="009544C0"/>
    <w:rsid w:val="00954FA4"/>
    <w:rsid w:val="00956AE9"/>
    <w:rsid w:val="00957432"/>
    <w:rsid w:val="00964CC6"/>
    <w:rsid w:val="0096721F"/>
    <w:rsid w:val="00967BFA"/>
    <w:rsid w:val="00975A74"/>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7D2"/>
    <w:rsid w:val="009D4E3B"/>
    <w:rsid w:val="009D59C2"/>
    <w:rsid w:val="009D7BC9"/>
    <w:rsid w:val="009E122F"/>
    <w:rsid w:val="009E1982"/>
    <w:rsid w:val="009E4D2C"/>
    <w:rsid w:val="009F0978"/>
    <w:rsid w:val="009F3AEC"/>
    <w:rsid w:val="009F6801"/>
    <w:rsid w:val="00A00081"/>
    <w:rsid w:val="00A0622D"/>
    <w:rsid w:val="00A06422"/>
    <w:rsid w:val="00A10D56"/>
    <w:rsid w:val="00A12AAE"/>
    <w:rsid w:val="00A12F22"/>
    <w:rsid w:val="00A16DD1"/>
    <w:rsid w:val="00A20633"/>
    <w:rsid w:val="00A22441"/>
    <w:rsid w:val="00A23F3B"/>
    <w:rsid w:val="00A24406"/>
    <w:rsid w:val="00A25F64"/>
    <w:rsid w:val="00A275F6"/>
    <w:rsid w:val="00A303B9"/>
    <w:rsid w:val="00A33DD2"/>
    <w:rsid w:val="00A37416"/>
    <w:rsid w:val="00A40646"/>
    <w:rsid w:val="00A40ED6"/>
    <w:rsid w:val="00A47621"/>
    <w:rsid w:val="00A479CD"/>
    <w:rsid w:val="00A50CFC"/>
    <w:rsid w:val="00A54D67"/>
    <w:rsid w:val="00A55A3F"/>
    <w:rsid w:val="00A5656A"/>
    <w:rsid w:val="00A60103"/>
    <w:rsid w:val="00A652F6"/>
    <w:rsid w:val="00A65861"/>
    <w:rsid w:val="00A71B60"/>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AA8"/>
    <w:rsid w:val="00AF6CC6"/>
    <w:rsid w:val="00B0296A"/>
    <w:rsid w:val="00B07E79"/>
    <w:rsid w:val="00B12295"/>
    <w:rsid w:val="00B137BE"/>
    <w:rsid w:val="00B15998"/>
    <w:rsid w:val="00B17FA0"/>
    <w:rsid w:val="00B2292C"/>
    <w:rsid w:val="00B22C3C"/>
    <w:rsid w:val="00B24344"/>
    <w:rsid w:val="00B26769"/>
    <w:rsid w:val="00B2754B"/>
    <w:rsid w:val="00B31C91"/>
    <w:rsid w:val="00B36EA9"/>
    <w:rsid w:val="00B3747F"/>
    <w:rsid w:val="00B3778A"/>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023"/>
    <w:rsid w:val="00BE0F7B"/>
    <w:rsid w:val="00BE10C2"/>
    <w:rsid w:val="00BF0D6C"/>
    <w:rsid w:val="00C01D14"/>
    <w:rsid w:val="00C01D97"/>
    <w:rsid w:val="00C025B4"/>
    <w:rsid w:val="00C029EC"/>
    <w:rsid w:val="00C161FD"/>
    <w:rsid w:val="00C17C9F"/>
    <w:rsid w:val="00C23F17"/>
    <w:rsid w:val="00C246F2"/>
    <w:rsid w:val="00C26215"/>
    <w:rsid w:val="00C26D0D"/>
    <w:rsid w:val="00C27C95"/>
    <w:rsid w:val="00C300D2"/>
    <w:rsid w:val="00C3270F"/>
    <w:rsid w:val="00C3278B"/>
    <w:rsid w:val="00C33375"/>
    <w:rsid w:val="00C34C23"/>
    <w:rsid w:val="00C368FA"/>
    <w:rsid w:val="00C42005"/>
    <w:rsid w:val="00C4664D"/>
    <w:rsid w:val="00C472AA"/>
    <w:rsid w:val="00C50A05"/>
    <w:rsid w:val="00C54430"/>
    <w:rsid w:val="00C54AED"/>
    <w:rsid w:val="00C555FC"/>
    <w:rsid w:val="00C55E9B"/>
    <w:rsid w:val="00C56D09"/>
    <w:rsid w:val="00C57542"/>
    <w:rsid w:val="00C57D24"/>
    <w:rsid w:val="00C604D6"/>
    <w:rsid w:val="00C63CAB"/>
    <w:rsid w:val="00C63D00"/>
    <w:rsid w:val="00C6441B"/>
    <w:rsid w:val="00C65921"/>
    <w:rsid w:val="00C7108B"/>
    <w:rsid w:val="00C75883"/>
    <w:rsid w:val="00C76432"/>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50CF"/>
    <w:rsid w:val="00CC02F1"/>
    <w:rsid w:val="00CC1122"/>
    <w:rsid w:val="00CC11A6"/>
    <w:rsid w:val="00CC135E"/>
    <w:rsid w:val="00CC7226"/>
    <w:rsid w:val="00CD0735"/>
    <w:rsid w:val="00CD45E3"/>
    <w:rsid w:val="00CD4771"/>
    <w:rsid w:val="00CD5089"/>
    <w:rsid w:val="00CD5D3F"/>
    <w:rsid w:val="00CD7E1F"/>
    <w:rsid w:val="00CE4BC4"/>
    <w:rsid w:val="00CE5695"/>
    <w:rsid w:val="00CE7DA2"/>
    <w:rsid w:val="00CF2F8A"/>
    <w:rsid w:val="00CF3DB3"/>
    <w:rsid w:val="00D0274B"/>
    <w:rsid w:val="00D0503D"/>
    <w:rsid w:val="00D052BC"/>
    <w:rsid w:val="00D07026"/>
    <w:rsid w:val="00D072D1"/>
    <w:rsid w:val="00D146AE"/>
    <w:rsid w:val="00D14A30"/>
    <w:rsid w:val="00D16ACF"/>
    <w:rsid w:val="00D22C8F"/>
    <w:rsid w:val="00D3203C"/>
    <w:rsid w:val="00D33491"/>
    <w:rsid w:val="00D3442D"/>
    <w:rsid w:val="00D365F1"/>
    <w:rsid w:val="00D36F00"/>
    <w:rsid w:val="00D44B67"/>
    <w:rsid w:val="00D44F8E"/>
    <w:rsid w:val="00D51817"/>
    <w:rsid w:val="00D51FD5"/>
    <w:rsid w:val="00D55DE0"/>
    <w:rsid w:val="00D607EF"/>
    <w:rsid w:val="00D60F88"/>
    <w:rsid w:val="00D646BD"/>
    <w:rsid w:val="00D65558"/>
    <w:rsid w:val="00D71201"/>
    <w:rsid w:val="00D720C7"/>
    <w:rsid w:val="00D84841"/>
    <w:rsid w:val="00D876E6"/>
    <w:rsid w:val="00D90958"/>
    <w:rsid w:val="00D9459D"/>
    <w:rsid w:val="00D96A9C"/>
    <w:rsid w:val="00D97C9D"/>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6A62"/>
    <w:rsid w:val="00DF7899"/>
    <w:rsid w:val="00E0524C"/>
    <w:rsid w:val="00E15751"/>
    <w:rsid w:val="00E17160"/>
    <w:rsid w:val="00E17D41"/>
    <w:rsid w:val="00E231D1"/>
    <w:rsid w:val="00E32339"/>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51D"/>
    <w:rsid w:val="00EA17DC"/>
    <w:rsid w:val="00EA4D48"/>
    <w:rsid w:val="00EA7ADF"/>
    <w:rsid w:val="00EB2173"/>
    <w:rsid w:val="00EB31CD"/>
    <w:rsid w:val="00EB445E"/>
    <w:rsid w:val="00EB62E6"/>
    <w:rsid w:val="00EB695F"/>
    <w:rsid w:val="00EC3A85"/>
    <w:rsid w:val="00EC4B89"/>
    <w:rsid w:val="00EC59A5"/>
    <w:rsid w:val="00EC6E15"/>
    <w:rsid w:val="00ED1B30"/>
    <w:rsid w:val="00ED5D03"/>
    <w:rsid w:val="00ED70CD"/>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6355"/>
    <w:rsid w:val="00F50847"/>
    <w:rsid w:val="00F53F27"/>
    <w:rsid w:val="00F546D1"/>
    <w:rsid w:val="00F60281"/>
    <w:rsid w:val="00F66272"/>
    <w:rsid w:val="00F709C0"/>
    <w:rsid w:val="00F75B16"/>
    <w:rsid w:val="00F81FEC"/>
    <w:rsid w:val="00F86F56"/>
    <w:rsid w:val="00F927A1"/>
    <w:rsid w:val="00F92E4D"/>
    <w:rsid w:val="00F95D08"/>
    <w:rsid w:val="00FA0497"/>
    <w:rsid w:val="00FA23BD"/>
    <w:rsid w:val="00FA3764"/>
    <w:rsid w:val="00FA41C7"/>
    <w:rsid w:val="00FA4A79"/>
    <w:rsid w:val="00FA56ED"/>
    <w:rsid w:val="00FB05DD"/>
    <w:rsid w:val="00FB0F7C"/>
    <w:rsid w:val="00FB24EA"/>
    <w:rsid w:val="00FB49B1"/>
    <w:rsid w:val="00FB5FA6"/>
    <w:rsid w:val="00FC0334"/>
    <w:rsid w:val="00FC1310"/>
    <w:rsid w:val="00FC1EA1"/>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D4D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529021">
      <w:bodyDiv w:val="1"/>
      <w:marLeft w:val="0"/>
      <w:marRight w:val="0"/>
      <w:marTop w:val="0"/>
      <w:marBottom w:val="0"/>
      <w:divBdr>
        <w:top w:val="none" w:sz="0" w:space="0" w:color="auto"/>
        <w:left w:val="none" w:sz="0" w:space="0" w:color="auto"/>
        <w:bottom w:val="none" w:sz="0" w:space="0" w:color="auto"/>
        <w:right w:val="none" w:sz="0" w:space="0" w:color="auto"/>
      </w:divBdr>
      <w:divsChild>
        <w:div w:id="921140729">
          <w:marLeft w:val="0"/>
          <w:marRight w:val="0"/>
          <w:marTop w:val="120"/>
          <w:marBottom w:val="120"/>
          <w:divBdr>
            <w:top w:val="none" w:sz="0" w:space="0" w:color="auto"/>
            <w:left w:val="none" w:sz="0" w:space="0" w:color="auto"/>
            <w:bottom w:val="none" w:sz="0" w:space="0" w:color="auto"/>
            <w:right w:val="none" w:sz="0" w:space="0" w:color="auto"/>
          </w:divBdr>
        </w:div>
        <w:div w:id="1723678220">
          <w:marLeft w:val="0"/>
          <w:marRight w:val="0"/>
          <w:marTop w:val="120"/>
          <w:marBottom w:val="120"/>
          <w:divBdr>
            <w:top w:val="none" w:sz="0" w:space="0" w:color="auto"/>
            <w:left w:val="none" w:sz="0" w:space="0" w:color="auto"/>
            <w:bottom w:val="none" w:sz="0" w:space="0" w:color="auto"/>
            <w:right w:val="none" w:sz="0" w:space="0" w:color="auto"/>
          </w:divBdr>
        </w:div>
        <w:div w:id="1857304718">
          <w:marLeft w:val="0"/>
          <w:marRight w:val="0"/>
          <w:marTop w:val="120"/>
          <w:marBottom w:val="120"/>
          <w:divBdr>
            <w:top w:val="none" w:sz="0" w:space="0" w:color="auto"/>
            <w:left w:val="none" w:sz="0" w:space="0" w:color="auto"/>
            <w:bottom w:val="none" w:sz="0" w:space="0" w:color="auto"/>
            <w:right w:val="none" w:sz="0" w:space="0" w:color="auto"/>
          </w:divBdr>
        </w:div>
        <w:div w:id="1214580504">
          <w:marLeft w:val="0"/>
          <w:marRight w:val="0"/>
          <w:marTop w:val="120"/>
          <w:marBottom w:val="120"/>
          <w:divBdr>
            <w:top w:val="none" w:sz="0" w:space="0" w:color="auto"/>
            <w:left w:val="none" w:sz="0" w:space="0" w:color="auto"/>
            <w:bottom w:val="none" w:sz="0" w:space="0" w:color="auto"/>
            <w:right w:val="none" w:sz="0" w:space="0" w:color="auto"/>
          </w:divBdr>
        </w:div>
        <w:div w:id="993140546">
          <w:marLeft w:val="0"/>
          <w:marRight w:val="0"/>
          <w:marTop w:val="120"/>
          <w:marBottom w:val="120"/>
          <w:divBdr>
            <w:top w:val="none" w:sz="0" w:space="0" w:color="auto"/>
            <w:left w:val="none" w:sz="0" w:space="0" w:color="auto"/>
            <w:bottom w:val="none" w:sz="0" w:space="0" w:color="auto"/>
            <w:right w:val="none" w:sz="0" w:space="0" w:color="auto"/>
          </w:divBdr>
        </w:div>
        <w:div w:id="697051307">
          <w:marLeft w:val="0"/>
          <w:marRight w:val="0"/>
          <w:marTop w:val="120"/>
          <w:marBottom w:val="120"/>
          <w:divBdr>
            <w:top w:val="none" w:sz="0" w:space="0" w:color="auto"/>
            <w:left w:val="none" w:sz="0" w:space="0" w:color="auto"/>
            <w:bottom w:val="none" w:sz="0" w:space="0" w:color="auto"/>
            <w:right w:val="none" w:sz="0" w:space="0" w:color="auto"/>
          </w:divBdr>
        </w:div>
        <w:div w:id="880361787">
          <w:marLeft w:val="0"/>
          <w:marRight w:val="0"/>
          <w:marTop w:val="120"/>
          <w:marBottom w:val="120"/>
          <w:divBdr>
            <w:top w:val="none" w:sz="0" w:space="0" w:color="auto"/>
            <w:left w:val="none" w:sz="0" w:space="0" w:color="auto"/>
            <w:bottom w:val="none" w:sz="0" w:space="0" w:color="auto"/>
            <w:right w:val="none" w:sz="0" w:space="0" w:color="auto"/>
          </w:divBdr>
        </w:div>
      </w:divsChild>
    </w:div>
    <w:div w:id="422067045">
      <w:bodyDiv w:val="1"/>
      <w:marLeft w:val="0"/>
      <w:marRight w:val="0"/>
      <w:marTop w:val="0"/>
      <w:marBottom w:val="0"/>
      <w:divBdr>
        <w:top w:val="none" w:sz="0" w:space="0" w:color="auto"/>
        <w:left w:val="none" w:sz="0" w:space="0" w:color="auto"/>
        <w:bottom w:val="none" w:sz="0" w:space="0" w:color="auto"/>
        <w:right w:val="none" w:sz="0" w:space="0" w:color="auto"/>
      </w:divBdr>
      <w:divsChild>
        <w:div w:id="39328744">
          <w:marLeft w:val="0"/>
          <w:marRight w:val="0"/>
          <w:marTop w:val="0"/>
          <w:marBottom w:val="0"/>
          <w:divBdr>
            <w:top w:val="none" w:sz="0" w:space="0" w:color="auto"/>
            <w:left w:val="none" w:sz="0" w:space="0" w:color="auto"/>
            <w:bottom w:val="none" w:sz="0" w:space="0" w:color="auto"/>
            <w:right w:val="none" w:sz="0" w:space="0" w:color="auto"/>
          </w:divBdr>
        </w:div>
      </w:divsChild>
    </w:div>
    <w:div w:id="504785369">
      <w:bodyDiv w:val="1"/>
      <w:marLeft w:val="0"/>
      <w:marRight w:val="0"/>
      <w:marTop w:val="0"/>
      <w:marBottom w:val="0"/>
      <w:divBdr>
        <w:top w:val="none" w:sz="0" w:space="0" w:color="auto"/>
        <w:left w:val="none" w:sz="0" w:space="0" w:color="auto"/>
        <w:bottom w:val="none" w:sz="0" w:space="0" w:color="auto"/>
        <w:right w:val="none" w:sz="0" w:space="0" w:color="auto"/>
      </w:divBdr>
      <w:divsChild>
        <w:div w:id="398670593">
          <w:marLeft w:val="0"/>
          <w:marRight w:val="0"/>
          <w:marTop w:val="0"/>
          <w:marBottom w:val="0"/>
          <w:divBdr>
            <w:top w:val="none" w:sz="0" w:space="0" w:color="auto"/>
            <w:left w:val="none" w:sz="0" w:space="0" w:color="auto"/>
            <w:bottom w:val="none" w:sz="0" w:space="0" w:color="auto"/>
            <w:right w:val="none" w:sz="0" w:space="0" w:color="auto"/>
          </w:divBdr>
        </w:div>
      </w:divsChild>
    </w:div>
    <w:div w:id="659389869">
      <w:bodyDiv w:val="1"/>
      <w:marLeft w:val="0"/>
      <w:marRight w:val="0"/>
      <w:marTop w:val="0"/>
      <w:marBottom w:val="0"/>
      <w:divBdr>
        <w:top w:val="none" w:sz="0" w:space="0" w:color="auto"/>
        <w:left w:val="none" w:sz="0" w:space="0" w:color="auto"/>
        <w:bottom w:val="none" w:sz="0" w:space="0" w:color="auto"/>
        <w:right w:val="none" w:sz="0" w:space="0" w:color="auto"/>
      </w:divBdr>
      <w:divsChild>
        <w:div w:id="523788379">
          <w:marLeft w:val="0"/>
          <w:marRight w:val="0"/>
          <w:marTop w:val="0"/>
          <w:marBottom w:val="0"/>
          <w:divBdr>
            <w:top w:val="none" w:sz="0" w:space="0" w:color="auto"/>
            <w:left w:val="none" w:sz="0" w:space="0" w:color="auto"/>
            <w:bottom w:val="none" w:sz="0" w:space="0" w:color="auto"/>
            <w:right w:val="none" w:sz="0" w:space="0" w:color="auto"/>
          </w:divBdr>
        </w:div>
      </w:divsChild>
    </w:div>
    <w:div w:id="733505036">
      <w:bodyDiv w:val="1"/>
      <w:marLeft w:val="0"/>
      <w:marRight w:val="0"/>
      <w:marTop w:val="0"/>
      <w:marBottom w:val="0"/>
      <w:divBdr>
        <w:top w:val="none" w:sz="0" w:space="0" w:color="auto"/>
        <w:left w:val="none" w:sz="0" w:space="0" w:color="auto"/>
        <w:bottom w:val="none" w:sz="0" w:space="0" w:color="auto"/>
        <w:right w:val="none" w:sz="0" w:space="0" w:color="auto"/>
      </w:divBdr>
      <w:divsChild>
        <w:div w:id="426922047">
          <w:marLeft w:val="0"/>
          <w:marRight w:val="0"/>
          <w:marTop w:val="0"/>
          <w:marBottom w:val="0"/>
          <w:divBdr>
            <w:top w:val="none" w:sz="0" w:space="0" w:color="auto"/>
            <w:left w:val="none" w:sz="0" w:space="0" w:color="auto"/>
            <w:bottom w:val="none" w:sz="0" w:space="0" w:color="auto"/>
            <w:right w:val="none" w:sz="0" w:space="0" w:color="auto"/>
          </w:divBdr>
        </w:div>
      </w:divsChild>
    </w:div>
    <w:div w:id="859973903">
      <w:bodyDiv w:val="1"/>
      <w:marLeft w:val="0"/>
      <w:marRight w:val="0"/>
      <w:marTop w:val="0"/>
      <w:marBottom w:val="0"/>
      <w:divBdr>
        <w:top w:val="none" w:sz="0" w:space="0" w:color="auto"/>
        <w:left w:val="none" w:sz="0" w:space="0" w:color="auto"/>
        <w:bottom w:val="none" w:sz="0" w:space="0" w:color="auto"/>
        <w:right w:val="none" w:sz="0" w:space="0" w:color="auto"/>
      </w:divBdr>
      <w:divsChild>
        <w:div w:id="1445539411">
          <w:marLeft w:val="0"/>
          <w:marRight w:val="0"/>
          <w:marTop w:val="0"/>
          <w:marBottom w:val="0"/>
          <w:divBdr>
            <w:top w:val="none" w:sz="0" w:space="0" w:color="auto"/>
            <w:left w:val="none" w:sz="0" w:space="0" w:color="auto"/>
            <w:bottom w:val="none" w:sz="0" w:space="0" w:color="auto"/>
            <w:right w:val="none" w:sz="0" w:space="0" w:color="auto"/>
          </w:divBdr>
        </w:div>
      </w:divsChild>
    </w:div>
    <w:div w:id="863372750">
      <w:bodyDiv w:val="1"/>
      <w:marLeft w:val="0"/>
      <w:marRight w:val="0"/>
      <w:marTop w:val="0"/>
      <w:marBottom w:val="0"/>
      <w:divBdr>
        <w:top w:val="none" w:sz="0" w:space="0" w:color="auto"/>
        <w:left w:val="none" w:sz="0" w:space="0" w:color="auto"/>
        <w:bottom w:val="none" w:sz="0" w:space="0" w:color="auto"/>
        <w:right w:val="none" w:sz="0" w:space="0" w:color="auto"/>
      </w:divBdr>
      <w:divsChild>
        <w:div w:id="1997372122">
          <w:marLeft w:val="0"/>
          <w:marRight w:val="0"/>
          <w:marTop w:val="0"/>
          <w:marBottom w:val="0"/>
          <w:divBdr>
            <w:top w:val="none" w:sz="0" w:space="0" w:color="auto"/>
            <w:left w:val="none" w:sz="0" w:space="0" w:color="auto"/>
            <w:bottom w:val="none" w:sz="0" w:space="0" w:color="auto"/>
            <w:right w:val="none" w:sz="0" w:space="0" w:color="auto"/>
          </w:divBdr>
        </w:div>
      </w:divsChild>
    </w:div>
    <w:div w:id="869299763">
      <w:bodyDiv w:val="1"/>
      <w:marLeft w:val="0"/>
      <w:marRight w:val="0"/>
      <w:marTop w:val="0"/>
      <w:marBottom w:val="0"/>
      <w:divBdr>
        <w:top w:val="none" w:sz="0" w:space="0" w:color="auto"/>
        <w:left w:val="none" w:sz="0" w:space="0" w:color="auto"/>
        <w:bottom w:val="none" w:sz="0" w:space="0" w:color="auto"/>
        <w:right w:val="none" w:sz="0" w:space="0" w:color="auto"/>
      </w:divBdr>
      <w:divsChild>
        <w:div w:id="883718904">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0257599">
      <w:bodyDiv w:val="1"/>
      <w:marLeft w:val="0"/>
      <w:marRight w:val="0"/>
      <w:marTop w:val="0"/>
      <w:marBottom w:val="0"/>
      <w:divBdr>
        <w:top w:val="none" w:sz="0" w:space="0" w:color="auto"/>
        <w:left w:val="none" w:sz="0" w:space="0" w:color="auto"/>
        <w:bottom w:val="none" w:sz="0" w:space="0" w:color="auto"/>
        <w:right w:val="none" w:sz="0" w:space="0" w:color="auto"/>
      </w:divBdr>
      <w:divsChild>
        <w:div w:id="89667786">
          <w:marLeft w:val="0"/>
          <w:marRight w:val="0"/>
          <w:marTop w:val="0"/>
          <w:marBottom w:val="0"/>
          <w:divBdr>
            <w:top w:val="none" w:sz="0" w:space="0" w:color="auto"/>
            <w:left w:val="none" w:sz="0" w:space="0" w:color="auto"/>
            <w:bottom w:val="none" w:sz="0" w:space="0" w:color="auto"/>
            <w:right w:val="none" w:sz="0" w:space="0" w:color="auto"/>
          </w:divBdr>
        </w:div>
      </w:divsChild>
    </w:div>
    <w:div w:id="1109199048">
      <w:bodyDiv w:val="1"/>
      <w:marLeft w:val="0"/>
      <w:marRight w:val="0"/>
      <w:marTop w:val="0"/>
      <w:marBottom w:val="0"/>
      <w:divBdr>
        <w:top w:val="none" w:sz="0" w:space="0" w:color="auto"/>
        <w:left w:val="none" w:sz="0" w:space="0" w:color="auto"/>
        <w:bottom w:val="none" w:sz="0" w:space="0" w:color="auto"/>
        <w:right w:val="none" w:sz="0" w:space="0" w:color="auto"/>
      </w:divBdr>
      <w:divsChild>
        <w:div w:id="826019126">
          <w:marLeft w:val="0"/>
          <w:marRight w:val="0"/>
          <w:marTop w:val="120"/>
          <w:marBottom w:val="120"/>
          <w:divBdr>
            <w:top w:val="none" w:sz="0" w:space="0" w:color="auto"/>
            <w:left w:val="none" w:sz="0" w:space="0" w:color="auto"/>
            <w:bottom w:val="none" w:sz="0" w:space="0" w:color="auto"/>
            <w:right w:val="none" w:sz="0" w:space="0" w:color="auto"/>
          </w:divBdr>
        </w:div>
        <w:div w:id="1295792203">
          <w:marLeft w:val="0"/>
          <w:marRight w:val="0"/>
          <w:marTop w:val="120"/>
          <w:marBottom w:val="120"/>
          <w:divBdr>
            <w:top w:val="none" w:sz="0" w:space="0" w:color="auto"/>
            <w:left w:val="none" w:sz="0" w:space="0" w:color="auto"/>
            <w:bottom w:val="none" w:sz="0" w:space="0" w:color="auto"/>
            <w:right w:val="none" w:sz="0" w:space="0" w:color="auto"/>
          </w:divBdr>
        </w:div>
        <w:div w:id="882789131">
          <w:marLeft w:val="0"/>
          <w:marRight w:val="0"/>
          <w:marTop w:val="120"/>
          <w:marBottom w:val="120"/>
          <w:divBdr>
            <w:top w:val="none" w:sz="0" w:space="0" w:color="auto"/>
            <w:left w:val="none" w:sz="0" w:space="0" w:color="auto"/>
            <w:bottom w:val="none" w:sz="0" w:space="0" w:color="auto"/>
            <w:right w:val="none" w:sz="0" w:space="0" w:color="auto"/>
          </w:divBdr>
        </w:div>
        <w:div w:id="23681002">
          <w:marLeft w:val="0"/>
          <w:marRight w:val="0"/>
          <w:marTop w:val="120"/>
          <w:marBottom w:val="120"/>
          <w:divBdr>
            <w:top w:val="none" w:sz="0" w:space="0" w:color="auto"/>
            <w:left w:val="none" w:sz="0" w:space="0" w:color="auto"/>
            <w:bottom w:val="none" w:sz="0" w:space="0" w:color="auto"/>
            <w:right w:val="none" w:sz="0" w:space="0" w:color="auto"/>
          </w:divBdr>
        </w:div>
        <w:div w:id="1278024705">
          <w:marLeft w:val="0"/>
          <w:marRight w:val="0"/>
          <w:marTop w:val="120"/>
          <w:marBottom w:val="120"/>
          <w:divBdr>
            <w:top w:val="none" w:sz="0" w:space="0" w:color="auto"/>
            <w:left w:val="none" w:sz="0" w:space="0" w:color="auto"/>
            <w:bottom w:val="none" w:sz="0" w:space="0" w:color="auto"/>
            <w:right w:val="none" w:sz="0" w:space="0" w:color="auto"/>
          </w:divBdr>
        </w:div>
        <w:div w:id="1910842710">
          <w:marLeft w:val="0"/>
          <w:marRight w:val="0"/>
          <w:marTop w:val="120"/>
          <w:marBottom w:val="120"/>
          <w:divBdr>
            <w:top w:val="none" w:sz="0" w:space="0" w:color="auto"/>
            <w:left w:val="none" w:sz="0" w:space="0" w:color="auto"/>
            <w:bottom w:val="none" w:sz="0" w:space="0" w:color="auto"/>
            <w:right w:val="none" w:sz="0" w:space="0" w:color="auto"/>
          </w:divBdr>
        </w:div>
        <w:div w:id="2052073166">
          <w:marLeft w:val="0"/>
          <w:marRight w:val="0"/>
          <w:marTop w:val="120"/>
          <w:marBottom w:val="120"/>
          <w:divBdr>
            <w:top w:val="none" w:sz="0" w:space="0" w:color="auto"/>
            <w:left w:val="none" w:sz="0" w:space="0" w:color="auto"/>
            <w:bottom w:val="none" w:sz="0" w:space="0" w:color="auto"/>
            <w:right w:val="none" w:sz="0" w:space="0" w:color="auto"/>
          </w:divBdr>
        </w:div>
      </w:divsChild>
    </w:div>
    <w:div w:id="1116174182">
      <w:bodyDiv w:val="1"/>
      <w:marLeft w:val="0"/>
      <w:marRight w:val="0"/>
      <w:marTop w:val="0"/>
      <w:marBottom w:val="0"/>
      <w:divBdr>
        <w:top w:val="none" w:sz="0" w:space="0" w:color="auto"/>
        <w:left w:val="none" w:sz="0" w:space="0" w:color="auto"/>
        <w:bottom w:val="none" w:sz="0" w:space="0" w:color="auto"/>
        <w:right w:val="none" w:sz="0" w:space="0" w:color="auto"/>
      </w:divBdr>
      <w:divsChild>
        <w:div w:id="674695247">
          <w:marLeft w:val="0"/>
          <w:marRight w:val="0"/>
          <w:marTop w:val="0"/>
          <w:marBottom w:val="0"/>
          <w:divBdr>
            <w:top w:val="none" w:sz="0" w:space="0" w:color="auto"/>
            <w:left w:val="none" w:sz="0" w:space="0" w:color="auto"/>
            <w:bottom w:val="none" w:sz="0" w:space="0" w:color="auto"/>
            <w:right w:val="none" w:sz="0" w:space="0" w:color="auto"/>
          </w:divBdr>
        </w:div>
      </w:divsChild>
    </w:div>
    <w:div w:id="1163352729">
      <w:bodyDiv w:val="1"/>
      <w:marLeft w:val="0"/>
      <w:marRight w:val="0"/>
      <w:marTop w:val="0"/>
      <w:marBottom w:val="0"/>
      <w:divBdr>
        <w:top w:val="none" w:sz="0" w:space="0" w:color="auto"/>
        <w:left w:val="none" w:sz="0" w:space="0" w:color="auto"/>
        <w:bottom w:val="none" w:sz="0" w:space="0" w:color="auto"/>
        <w:right w:val="none" w:sz="0" w:space="0" w:color="auto"/>
      </w:divBdr>
      <w:divsChild>
        <w:div w:id="262499839">
          <w:marLeft w:val="0"/>
          <w:marRight w:val="0"/>
          <w:marTop w:val="120"/>
          <w:marBottom w:val="120"/>
          <w:divBdr>
            <w:top w:val="none" w:sz="0" w:space="0" w:color="auto"/>
            <w:left w:val="none" w:sz="0" w:space="0" w:color="auto"/>
            <w:bottom w:val="none" w:sz="0" w:space="0" w:color="auto"/>
            <w:right w:val="none" w:sz="0" w:space="0" w:color="auto"/>
          </w:divBdr>
        </w:div>
        <w:div w:id="32124626">
          <w:marLeft w:val="0"/>
          <w:marRight w:val="0"/>
          <w:marTop w:val="120"/>
          <w:marBottom w:val="120"/>
          <w:divBdr>
            <w:top w:val="none" w:sz="0" w:space="0" w:color="auto"/>
            <w:left w:val="none" w:sz="0" w:space="0" w:color="auto"/>
            <w:bottom w:val="none" w:sz="0" w:space="0" w:color="auto"/>
            <w:right w:val="none" w:sz="0" w:space="0" w:color="auto"/>
          </w:divBdr>
        </w:div>
        <w:div w:id="1163544878">
          <w:marLeft w:val="0"/>
          <w:marRight w:val="0"/>
          <w:marTop w:val="120"/>
          <w:marBottom w:val="120"/>
          <w:divBdr>
            <w:top w:val="none" w:sz="0" w:space="0" w:color="auto"/>
            <w:left w:val="none" w:sz="0" w:space="0" w:color="auto"/>
            <w:bottom w:val="none" w:sz="0" w:space="0" w:color="auto"/>
            <w:right w:val="none" w:sz="0" w:space="0" w:color="auto"/>
          </w:divBdr>
        </w:div>
        <w:div w:id="311373058">
          <w:marLeft w:val="0"/>
          <w:marRight w:val="0"/>
          <w:marTop w:val="120"/>
          <w:marBottom w:val="120"/>
          <w:divBdr>
            <w:top w:val="none" w:sz="0" w:space="0" w:color="auto"/>
            <w:left w:val="none" w:sz="0" w:space="0" w:color="auto"/>
            <w:bottom w:val="none" w:sz="0" w:space="0" w:color="auto"/>
            <w:right w:val="none" w:sz="0" w:space="0" w:color="auto"/>
          </w:divBdr>
        </w:div>
        <w:div w:id="1072123844">
          <w:marLeft w:val="0"/>
          <w:marRight w:val="0"/>
          <w:marTop w:val="120"/>
          <w:marBottom w:val="120"/>
          <w:divBdr>
            <w:top w:val="none" w:sz="0" w:space="0" w:color="auto"/>
            <w:left w:val="none" w:sz="0" w:space="0" w:color="auto"/>
            <w:bottom w:val="none" w:sz="0" w:space="0" w:color="auto"/>
            <w:right w:val="none" w:sz="0" w:space="0" w:color="auto"/>
          </w:divBdr>
        </w:div>
        <w:div w:id="1020089073">
          <w:marLeft w:val="0"/>
          <w:marRight w:val="0"/>
          <w:marTop w:val="120"/>
          <w:marBottom w:val="120"/>
          <w:divBdr>
            <w:top w:val="none" w:sz="0" w:space="0" w:color="auto"/>
            <w:left w:val="none" w:sz="0" w:space="0" w:color="auto"/>
            <w:bottom w:val="none" w:sz="0" w:space="0" w:color="auto"/>
            <w:right w:val="none" w:sz="0" w:space="0" w:color="auto"/>
          </w:divBdr>
        </w:div>
        <w:div w:id="100413920">
          <w:marLeft w:val="0"/>
          <w:marRight w:val="0"/>
          <w:marTop w:val="120"/>
          <w:marBottom w:val="120"/>
          <w:divBdr>
            <w:top w:val="none" w:sz="0" w:space="0" w:color="auto"/>
            <w:left w:val="none" w:sz="0" w:space="0" w:color="auto"/>
            <w:bottom w:val="none" w:sz="0" w:space="0" w:color="auto"/>
            <w:right w:val="none" w:sz="0" w:space="0" w:color="auto"/>
          </w:divBdr>
        </w:div>
        <w:div w:id="1907450211">
          <w:marLeft w:val="0"/>
          <w:marRight w:val="0"/>
          <w:marTop w:val="120"/>
          <w:marBottom w:val="120"/>
          <w:divBdr>
            <w:top w:val="none" w:sz="0" w:space="0" w:color="auto"/>
            <w:left w:val="none" w:sz="0" w:space="0" w:color="auto"/>
            <w:bottom w:val="none" w:sz="0" w:space="0" w:color="auto"/>
            <w:right w:val="none" w:sz="0" w:space="0" w:color="auto"/>
          </w:divBdr>
        </w:div>
        <w:div w:id="1117870406">
          <w:marLeft w:val="0"/>
          <w:marRight w:val="0"/>
          <w:marTop w:val="120"/>
          <w:marBottom w:val="120"/>
          <w:divBdr>
            <w:top w:val="none" w:sz="0" w:space="0" w:color="auto"/>
            <w:left w:val="none" w:sz="0" w:space="0" w:color="auto"/>
            <w:bottom w:val="none" w:sz="0" w:space="0" w:color="auto"/>
            <w:right w:val="none" w:sz="0" w:space="0" w:color="auto"/>
          </w:divBdr>
        </w:div>
        <w:div w:id="2112046510">
          <w:marLeft w:val="0"/>
          <w:marRight w:val="0"/>
          <w:marTop w:val="120"/>
          <w:marBottom w:val="120"/>
          <w:divBdr>
            <w:top w:val="none" w:sz="0" w:space="0" w:color="auto"/>
            <w:left w:val="none" w:sz="0" w:space="0" w:color="auto"/>
            <w:bottom w:val="none" w:sz="0" w:space="0" w:color="auto"/>
            <w:right w:val="none" w:sz="0" w:space="0" w:color="auto"/>
          </w:divBdr>
        </w:div>
        <w:div w:id="1016733777">
          <w:marLeft w:val="0"/>
          <w:marRight w:val="0"/>
          <w:marTop w:val="120"/>
          <w:marBottom w:val="120"/>
          <w:divBdr>
            <w:top w:val="none" w:sz="0" w:space="0" w:color="auto"/>
            <w:left w:val="none" w:sz="0" w:space="0" w:color="auto"/>
            <w:bottom w:val="none" w:sz="0" w:space="0" w:color="auto"/>
            <w:right w:val="none" w:sz="0" w:space="0" w:color="auto"/>
          </w:divBdr>
        </w:div>
        <w:div w:id="1158113159">
          <w:marLeft w:val="0"/>
          <w:marRight w:val="0"/>
          <w:marTop w:val="120"/>
          <w:marBottom w:val="120"/>
          <w:divBdr>
            <w:top w:val="none" w:sz="0" w:space="0" w:color="auto"/>
            <w:left w:val="none" w:sz="0" w:space="0" w:color="auto"/>
            <w:bottom w:val="none" w:sz="0" w:space="0" w:color="auto"/>
            <w:right w:val="none" w:sz="0" w:space="0" w:color="auto"/>
          </w:divBdr>
        </w:div>
      </w:divsChild>
    </w:div>
    <w:div w:id="1163543754">
      <w:bodyDiv w:val="1"/>
      <w:marLeft w:val="0"/>
      <w:marRight w:val="0"/>
      <w:marTop w:val="0"/>
      <w:marBottom w:val="0"/>
      <w:divBdr>
        <w:top w:val="none" w:sz="0" w:space="0" w:color="auto"/>
        <w:left w:val="none" w:sz="0" w:space="0" w:color="auto"/>
        <w:bottom w:val="none" w:sz="0" w:space="0" w:color="auto"/>
        <w:right w:val="none" w:sz="0" w:space="0" w:color="auto"/>
      </w:divBdr>
    </w:div>
    <w:div w:id="1177648157">
      <w:bodyDiv w:val="1"/>
      <w:marLeft w:val="0"/>
      <w:marRight w:val="0"/>
      <w:marTop w:val="0"/>
      <w:marBottom w:val="0"/>
      <w:divBdr>
        <w:top w:val="none" w:sz="0" w:space="0" w:color="auto"/>
        <w:left w:val="none" w:sz="0" w:space="0" w:color="auto"/>
        <w:bottom w:val="none" w:sz="0" w:space="0" w:color="auto"/>
        <w:right w:val="none" w:sz="0" w:space="0" w:color="auto"/>
      </w:divBdr>
      <w:divsChild>
        <w:div w:id="350422318">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4620204">
      <w:bodyDiv w:val="1"/>
      <w:marLeft w:val="0"/>
      <w:marRight w:val="0"/>
      <w:marTop w:val="0"/>
      <w:marBottom w:val="0"/>
      <w:divBdr>
        <w:top w:val="none" w:sz="0" w:space="0" w:color="auto"/>
        <w:left w:val="none" w:sz="0" w:space="0" w:color="auto"/>
        <w:bottom w:val="none" w:sz="0" w:space="0" w:color="auto"/>
        <w:right w:val="none" w:sz="0" w:space="0" w:color="auto"/>
      </w:divBdr>
      <w:divsChild>
        <w:div w:id="584650070">
          <w:marLeft w:val="0"/>
          <w:marRight w:val="0"/>
          <w:marTop w:val="120"/>
          <w:marBottom w:val="120"/>
          <w:divBdr>
            <w:top w:val="none" w:sz="0" w:space="0" w:color="auto"/>
            <w:left w:val="none" w:sz="0" w:space="0" w:color="auto"/>
            <w:bottom w:val="none" w:sz="0" w:space="0" w:color="auto"/>
            <w:right w:val="none" w:sz="0" w:space="0" w:color="auto"/>
          </w:divBdr>
        </w:div>
        <w:div w:id="812137548">
          <w:marLeft w:val="0"/>
          <w:marRight w:val="0"/>
          <w:marTop w:val="120"/>
          <w:marBottom w:val="120"/>
          <w:divBdr>
            <w:top w:val="none" w:sz="0" w:space="0" w:color="auto"/>
            <w:left w:val="none" w:sz="0" w:space="0" w:color="auto"/>
            <w:bottom w:val="none" w:sz="0" w:space="0" w:color="auto"/>
            <w:right w:val="none" w:sz="0" w:space="0" w:color="auto"/>
          </w:divBdr>
        </w:div>
        <w:div w:id="1369642227">
          <w:marLeft w:val="0"/>
          <w:marRight w:val="0"/>
          <w:marTop w:val="120"/>
          <w:marBottom w:val="120"/>
          <w:divBdr>
            <w:top w:val="none" w:sz="0" w:space="0" w:color="auto"/>
            <w:left w:val="none" w:sz="0" w:space="0" w:color="auto"/>
            <w:bottom w:val="none" w:sz="0" w:space="0" w:color="auto"/>
            <w:right w:val="none" w:sz="0" w:space="0" w:color="auto"/>
          </w:divBdr>
        </w:div>
        <w:div w:id="705570049">
          <w:marLeft w:val="0"/>
          <w:marRight w:val="0"/>
          <w:marTop w:val="120"/>
          <w:marBottom w:val="120"/>
          <w:divBdr>
            <w:top w:val="none" w:sz="0" w:space="0" w:color="auto"/>
            <w:left w:val="none" w:sz="0" w:space="0" w:color="auto"/>
            <w:bottom w:val="none" w:sz="0" w:space="0" w:color="auto"/>
            <w:right w:val="none" w:sz="0" w:space="0" w:color="auto"/>
          </w:divBdr>
        </w:div>
        <w:div w:id="973027272">
          <w:marLeft w:val="0"/>
          <w:marRight w:val="0"/>
          <w:marTop w:val="120"/>
          <w:marBottom w:val="120"/>
          <w:divBdr>
            <w:top w:val="none" w:sz="0" w:space="0" w:color="auto"/>
            <w:left w:val="none" w:sz="0" w:space="0" w:color="auto"/>
            <w:bottom w:val="none" w:sz="0" w:space="0" w:color="auto"/>
            <w:right w:val="none" w:sz="0" w:space="0" w:color="auto"/>
          </w:divBdr>
        </w:div>
        <w:div w:id="486213428">
          <w:marLeft w:val="0"/>
          <w:marRight w:val="0"/>
          <w:marTop w:val="120"/>
          <w:marBottom w:val="120"/>
          <w:divBdr>
            <w:top w:val="none" w:sz="0" w:space="0" w:color="auto"/>
            <w:left w:val="none" w:sz="0" w:space="0" w:color="auto"/>
            <w:bottom w:val="none" w:sz="0" w:space="0" w:color="auto"/>
            <w:right w:val="none" w:sz="0" w:space="0" w:color="auto"/>
          </w:divBdr>
        </w:div>
        <w:div w:id="1333486440">
          <w:marLeft w:val="0"/>
          <w:marRight w:val="0"/>
          <w:marTop w:val="120"/>
          <w:marBottom w:val="120"/>
          <w:divBdr>
            <w:top w:val="none" w:sz="0" w:space="0" w:color="auto"/>
            <w:left w:val="none" w:sz="0" w:space="0" w:color="auto"/>
            <w:bottom w:val="none" w:sz="0" w:space="0" w:color="auto"/>
            <w:right w:val="none" w:sz="0" w:space="0" w:color="auto"/>
          </w:divBdr>
        </w:div>
        <w:div w:id="908812032">
          <w:marLeft w:val="0"/>
          <w:marRight w:val="0"/>
          <w:marTop w:val="120"/>
          <w:marBottom w:val="120"/>
          <w:divBdr>
            <w:top w:val="none" w:sz="0" w:space="0" w:color="auto"/>
            <w:left w:val="none" w:sz="0" w:space="0" w:color="auto"/>
            <w:bottom w:val="none" w:sz="0" w:space="0" w:color="auto"/>
            <w:right w:val="none" w:sz="0" w:space="0" w:color="auto"/>
          </w:divBdr>
        </w:div>
        <w:div w:id="652612036">
          <w:marLeft w:val="0"/>
          <w:marRight w:val="0"/>
          <w:marTop w:val="120"/>
          <w:marBottom w:val="120"/>
          <w:divBdr>
            <w:top w:val="none" w:sz="0" w:space="0" w:color="auto"/>
            <w:left w:val="none" w:sz="0" w:space="0" w:color="auto"/>
            <w:bottom w:val="none" w:sz="0" w:space="0" w:color="auto"/>
            <w:right w:val="none" w:sz="0" w:space="0" w:color="auto"/>
          </w:divBdr>
        </w:div>
        <w:div w:id="109475835">
          <w:marLeft w:val="0"/>
          <w:marRight w:val="0"/>
          <w:marTop w:val="120"/>
          <w:marBottom w:val="120"/>
          <w:divBdr>
            <w:top w:val="none" w:sz="0" w:space="0" w:color="auto"/>
            <w:left w:val="none" w:sz="0" w:space="0" w:color="auto"/>
            <w:bottom w:val="none" w:sz="0" w:space="0" w:color="auto"/>
            <w:right w:val="none" w:sz="0" w:space="0" w:color="auto"/>
          </w:divBdr>
        </w:div>
        <w:div w:id="57167713">
          <w:marLeft w:val="0"/>
          <w:marRight w:val="0"/>
          <w:marTop w:val="120"/>
          <w:marBottom w:val="120"/>
          <w:divBdr>
            <w:top w:val="none" w:sz="0" w:space="0" w:color="auto"/>
            <w:left w:val="none" w:sz="0" w:space="0" w:color="auto"/>
            <w:bottom w:val="none" w:sz="0" w:space="0" w:color="auto"/>
            <w:right w:val="none" w:sz="0" w:space="0" w:color="auto"/>
          </w:divBdr>
        </w:div>
        <w:div w:id="1643535398">
          <w:marLeft w:val="0"/>
          <w:marRight w:val="0"/>
          <w:marTop w:val="120"/>
          <w:marBottom w:val="120"/>
          <w:divBdr>
            <w:top w:val="none" w:sz="0" w:space="0" w:color="auto"/>
            <w:left w:val="none" w:sz="0" w:space="0" w:color="auto"/>
            <w:bottom w:val="none" w:sz="0" w:space="0" w:color="auto"/>
            <w:right w:val="none" w:sz="0" w:space="0" w:color="auto"/>
          </w:divBdr>
        </w:div>
      </w:divsChild>
    </w:div>
    <w:div w:id="1376126576">
      <w:bodyDiv w:val="1"/>
      <w:marLeft w:val="0"/>
      <w:marRight w:val="0"/>
      <w:marTop w:val="0"/>
      <w:marBottom w:val="0"/>
      <w:divBdr>
        <w:top w:val="none" w:sz="0" w:space="0" w:color="auto"/>
        <w:left w:val="none" w:sz="0" w:space="0" w:color="auto"/>
        <w:bottom w:val="none" w:sz="0" w:space="0" w:color="auto"/>
        <w:right w:val="none" w:sz="0" w:space="0" w:color="auto"/>
      </w:divBdr>
      <w:divsChild>
        <w:div w:id="1968969441">
          <w:marLeft w:val="0"/>
          <w:marRight w:val="0"/>
          <w:marTop w:val="0"/>
          <w:marBottom w:val="0"/>
          <w:divBdr>
            <w:top w:val="none" w:sz="0" w:space="0" w:color="auto"/>
            <w:left w:val="none" w:sz="0" w:space="0" w:color="auto"/>
            <w:bottom w:val="none" w:sz="0" w:space="0" w:color="auto"/>
            <w:right w:val="none" w:sz="0" w:space="0" w:color="auto"/>
          </w:divBdr>
        </w:div>
      </w:divsChild>
    </w:div>
    <w:div w:id="1425374651">
      <w:bodyDiv w:val="1"/>
      <w:marLeft w:val="0"/>
      <w:marRight w:val="0"/>
      <w:marTop w:val="0"/>
      <w:marBottom w:val="0"/>
      <w:divBdr>
        <w:top w:val="none" w:sz="0" w:space="0" w:color="auto"/>
        <w:left w:val="none" w:sz="0" w:space="0" w:color="auto"/>
        <w:bottom w:val="none" w:sz="0" w:space="0" w:color="auto"/>
        <w:right w:val="none" w:sz="0" w:space="0" w:color="auto"/>
      </w:divBdr>
      <w:divsChild>
        <w:div w:id="340359122">
          <w:marLeft w:val="0"/>
          <w:marRight w:val="0"/>
          <w:marTop w:val="0"/>
          <w:marBottom w:val="0"/>
          <w:divBdr>
            <w:top w:val="none" w:sz="0" w:space="0" w:color="auto"/>
            <w:left w:val="none" w:sz="0" w:space="0" w:color="auto"/>
            <w:bottom w:val="none" w:sz="0" w:space="0" w:color="auto"/>
            <w:right w:val="none" w:sz="0" w:space="0" w:color="auto"/>
          </w:divBdr>
        </w:div>
      </w:divsChild>
    </w:div>
    <w:div w:id="1551961960">
      <w:bodyDiv w:val="1"/>
      <w:marLeft w:val="0"/>
      <w:marRight w:val="0"/>
      <w:marTop w:val="0"/>
      <w:marBottom w:val="0"/>
      <w:divBdr>
        <w:top w:val="none" w:sz="0" w:space="0" w:color="auto"/>
        <w:left w:val="none" w:sz="0" w:space="0" w:color="auto"/>
        <w:bottom w:val="none" w:sz="0" w:space="0" w:color="auto"/>
        <w:right w:val="none" w:sz="0" w:space="0" w:color="auto"/>
      </w:divBdr>
      <w:divsChild>
        <w:div w:id="62727360">
          <w:marLeft w:val="0"/>
          <w:marRight w:val="0"/>
          <w:marTop w:val="0"/>
          <w:marBottom w:val="0"/>
          <w:divBdr>
            <w:top w:val="none" w:sz="0" w:space="0" w:color="auto"/>
            <w:left w:val="none" w:sz="0" w:space="0" w:color="auto"/>
            <w:bottom w:val="none" w:sz="0" w:space="0" w:color="auto"/>
            <w:right w:val="none" w:sz="0" w:space="0" w:color="auto"/>
          </w:divBdr>
        </w:div>
      </w:divsChild>
    </w:div>
    <w:div w:id="1781799931">
      <w:bodyDiv w:val="1"/>
      <w:marLeft w:val="0"/>
      <w:marRight w:val="0"/>
      <w:marTop w:val="0"/>
      <w:marBottom w:val="0"/>
      <w:divBdr>
        <w:top w:val="none" w:sz="0" w:space="0" w:color="auto"/>
        <w:left w:val="none" w:sz="0" w:space="0" w:color="auto"/>
        <w:bottom w:val="none" w:sz="0" w:space="0" w:color="auto"/>
        <w:right w:val="none" w:sz="0" w:space="0" w:color="auto"/>
      </w:divBdr>
      <w:divsChild>
        <w:div w:id="1628928788">
          <w:marLeft w:val="0"/>
          <w:marRight w:val="0"/>
          <w:marTop w:val="0"/>
          <w:marBottom w:val="0"/>
          <w:divBdr>
            <w:top w:val="none" w:sz="0" w:space="0" w:color="auto"/>
            <w:left w:val="none" w:sz="0" w:space="0" w:color="auto"/>
            <w:bottom w:val="none" w:sz="0" w:space="0" w:color="auto"/>
            <w:right w:val="none" w:sz="0" w:space="0" w:color="auto"/>
          </w:divBdr>
        </w:div>
      </w:divsChild>
    </w:div>
    <w:div w:id="1846819426">
      <w:bodyDiv w:val="1"/>
      <w:marLeft w:val="0"/>
      <w:marRight w:val="0"/>
      <w:marTop w:val="0"/>
      <w:marBottom w:val="0"/>
      <w:divBdr>
        <w:top w:val="none" w:sz="0" w:space="0" w:color="auto"/>
        <w:left w:val="none" w:sz="0" w:space="0" w:color="auto"/>
        <w:bottom w:val="none" w:sz="0" w:space="0" w:color="auto"/>
        <w:right w:val="none" w:sz="0" w:space="0" w:color="auto"/>
      </w:divBdr>
      <w:divsChild>
        <w:div w:id="82606044">
          <w:marLeft w:val="0"/>
          <w:marRight w:val="0"/>
          <w:marTop w:val="0"/>
          <w:marBottom w:val="0"/>
          <w:divBdr>
            <w:top w:val="none" w:sz="0" w:space="0" w:color="auto"/>
            <w:left w:val="none" w:sz="0" w:space="0" w:color="auto"/>
            <w:bottom w:val="none" w:sz="0" w:space="0" w:color="auto"/>
            <w:right w:val="none" w:sz="0" w:space="0" w:color="auto"/>
          </w:divBdr>
        </w:div>
      </w:divsChild>
    </w:div>
    <w:div w:id="1961178742">
      <w:bodyDiv w:val="1"/>
      <w:marLeft w:val="0"/>
      <w:marRight w:val="0"/>
      <w:marTop w:val="0"/>
      <w:marBottom w:val="0"/>
      <w:divBdr>
        <w:top w:val="none" w:sz="0" w:space="0" w:color="auto"/>
        <w:left w:val="none" w:sz="0" w:space="0" w:color="auto"/>
        <w:bottom w:val="none" w:sz="0" w:space="0" w:color="auto"/>
        <w:right w:val="none" w:sz="0" w:space="0" w:color="auto"/>
      </w:divBdr>
      <w:divsChild>
        <w:div w:id="62339089">
          <w:marLeft w:val="0"/>
          <w:marRight w:val="0"/>
          <w:marTop w:val="0"/>
          <w:marBottom w:val="0"/>
          <w:divBdr>
            <w:top w:val="none" w:sz="0" w:space="0" w:color="auto"/>
            <w:left w:val="none" w:sz="0" w:space="0" w:color="auto"/>
            <w:bottom w:val="none" w:sz="0" w:space="0" w:color="auto"/>
            <w:right w:val="none" w:sz="0" w:space="0" w:color="auto"/>
          </w:divBdr>
        </w:div>
      </w:divsChild>
    </w:div>
    <w:div w:id="2024167996">
      <w:bodyDiv w:val="1"/>
      <w:marLeft w:val="0"/>
      <w:marRight w:val="0"/>
      <w:marTop w:val="0"/>
      <w:marBottom w:val="0"/>
      <w:divBdr>
        <w:top w:val="none" w:sz="0" w:space="0" w:color="auto"/>
        <w:left w:val="none" w:sz="0" w:space="0" w:color="auto"/>
        <w:bottom w:val="none" w:sz="0" w:space="0" w:color="auto"/>
        <w:right w:val="none" w:sz="0" w:space="0" w:color="auto"/>
      </w:divBdr>
      <w:divsChild>
        <w:div w:id="1648317649">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218336">
      <w:bodyDiv w:val="1"/>
      <w:marLeft w:val="0"/>
      <w:marRight w:val="0"/>
      <w:marTop w:val="0"/>
      <w:marBottom w:val="0"/>
      <w:divBdr>
        <w:top w:val="none" w:sz="0" w:space="0" w:color="auto"/>
        <w:left w:val="none" w:sz="0" w:space="0" w:color="auto"/>
        <w:bottom w:val="none" w:sz="0" w:space="0" w:color="auto"/>
        <w:right w:val="none" w:sz="0" w:space="0" w:color="auto"/>
      </w:divBdr>
    </w:div>
    <w:div w:id="2077167717">
      <w:bodyDiv w:val="1"/>
      <w:marLeft w:val="0"/>
      <w:marRight w:val="0"/>
      <w:marTop w:val="0"/>
      <w:marBottom w:val="0"/>
      <w:divBdr>
        <w:top w:val="none" w:sz="0" w:space="0" w:color="auto"/>
        <w:left w:val="none" w:sz="0" w:space="0" w:color="auto"/>
        <w:bottom w:val="none" w:sz="0" w:space="0" w:color="auto"/>
        <w:right w:val="none" w:sz="0" w:space="0" w:color="auto"/>
      </w:divBdr>
      <w:divsChild>
        <w:div w:id="1400519240">
          <w:marLeft w:val="0"/>
          <w:marRight w:val="0"/>
          <w:marTop w:val="0"/>
          <w:marBottom w:val="0"/>
          <w:divBdr>
            <w:top w:val="none" w:sz="0" w:space="0" w:color="auto"/>
            <w:left w:val="none" w:sz="0" w:space="0" w:color="auto"/>
            <w:bottom w:val="none" w:sz="0" w:space="0" w:color="auto"/>
            <w:right w:val="none" w:sz="0" w:space="0" w:color="auto"/>
          </w:divBdr>
        </w:div>
      </w:divsChild>
    </w:div>
    <w:div w:id="2086410566">
      <w:bodyDiv w:val="1"/>
      <w:marLeft w:val="0"/>
      <w:marRight w:val="0"/>
      <w:marTop w:val="0"/>
      <w:marBottom w:val="0"/>
      <w:divBdr>
        <w:top w:val="none" w:sz="0" w:space="0" w:color="auto"/>
        <w:left w:val="none" w:sz="0" w:space="0" w:color="auto"/>
        <w:bottom w:val="none" w:sz="0" w:space="0" w:color="auto"/>
        <w:right w:val="none" w:sz="0" w:space="0" w:color="auto"/>
      </w:divBdr>
      <w:divsChild>
        <w:div w:id="595097378">
          <w:marLeft w:val="0"/>
          <w:marRight w:val="0"/>
          <w:marTop w:val="0"/>
          <w:marBottom w:val="0"/>
          <w:divBdr>
            <w:top w:val="none" w:sz="0" w:space="0" w:color="auto"/>
            <w:left w:val="none" w:sz="0" w:space="0" w:color="auto"/>
            <w:bottom w:val="none" w:sz="0" w:space="0" w:color="auto"/>
            <w:right w:val="none" w:sz="0" w:space="0" w:color="auto"/>
          </w:divBdr>
        </w:div>
      </w:divsChild>
    </w:div>
    <w:div w:id="2099595433">
      <w:bodyDiv w:val="1"/>
      <w:marLeft w:val="0"/>
      <w:marRight w:val="0"/>
      <w:marTop w:val="0"/>
      <w:marBottom w:val="0"/>
      <w:divBdr>
        <w:top w:val="none" w:sz="0" w:space="0" w:color="auto"/>
        <w:left w:val="none" w:sz="0" w:space="0" w:color="auto"/>
        <w:bottom w:val="none" w:sz="0" w:space="0" w:color="auto"/>
        <w:right w:val="none" w:sz="0" w:space="0" w:color="auto"/>
      </w:divBdr>
      <w:divsChild>
        <w:div w:id="1798715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321%35%38%38@s%74%75d%65n%74%2e%75%77%74sd.%61c.%75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2613</TotalTime>
  <Pages>4</Pages>
  <Words>1195</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Natasha Ruzzi</cp:lastModifiedBy>
  <cp:revision>115</cp:revision>
  <cp:lastPrinted>2020-02-11T19:20:00Z</cp:lastPrinted>
  <dcterms:created xsi:type="dcterms:W3CDTF">2026-02-03T14:44:00Z</dcterms:created>
  <dcterms:modified xsi:type="dcterms:W3CDTF">2026-02-11T11:03:00Z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468d6236-aab1-4466-9aac-ff00c2678e19</vt:lpwstr>
  </property>
</Properties>
</file>