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ECD340" w14:textId="77777777" w:rsidR="00893787" w:rsidRDefault="00EF1AD0">
      <w:pPr>
        <w:pStyle w:val="Title"/>
      </w:pPr>
      <w:r>
        <w:t>Case Study Report: Communication, Administration, and Collaborative Practice in Mrs Mann’s Care</w:t>
      </w:r>
    </w:p>
    <w:p w14:paraId="25712C8C" w14:textId="4E8676F1" w:rsidR="00893787" w:rsidRDefault="00EF1AD0">
      <w:r>
        <w:t xml:space="preserve">Student Name: </w:t>
      </w:r>
      <w:r w:rsidR="00483433">
        <w:t>Nazima begum</w:t>
      </w:r>
    </w:p>
    <w:p w14:paraId="01C6B8BA" w14:textId="60CF3C65" w:rsidR="00893787" w:rsidRDefault="00EF1AD0">
      <w:r>
        <w:t xml:space="preserve">Student Number: </w:t>
      </w:r>
      <w:r w:rsidR="00296AD1">
        <w:t>2435512</w:t>
      </w:r>
    </w:p>
    <w:p w14:paraId="3FA95E15" w14:textId="276BECF7" w:rsidR="00893787" w:rsidRDefault="00EF1AD0">
      <w:r>
        <w:t xml:space="preserve">Module Code and Title: </w:t>
      </w:r>
      <w:r w:rsidR="00932F50">
        <w:t>LCHS4003</w:t>
      </w:r>
      <w:r>
        <w:t xml:space="preserve"> – </w:t>
      </w:r>
      <w:r w:rsidR="001479A9">
        <w:t>Introduction to</w:t>
      </w:r>
      <w:r>
        <w:t xml:space="preserve"> Health and Social Care</w:t>
      </w:r>
    </w:p>
    <w:p w14:paraId="5F8B3368" w14:textId="14B005AC" w:rsidR="00893787" w:rsidRDefault="00EF1AD0">
      <w:r>
        <w:t xml:space="preserve">Lecturer’s Name: </w:t>
      </w:r>
      <w:r w:rsidR="000D0D20">
        <w:t>Mumtaz Goolam</w:t>
      </w:r>
    </w:p>
    <w:p w14:paraId="7A3FFD36" w14:textId="77777777" w:rsidR="00893787" w:rsidRDefault="00EF1AD0">
      <w:r>
        <w:t>Date: November 2025</w:t>
      </w:r>
    </w:p>
    <w:p w14:paraId="03E1F80F" w14:textId="77777777" w:rsidR="00893787" w:rsidRDefault="00EF1AD0">
      <w:r>
        <w:br w:type="page"/>
      </w:r>
    </w:p>
    <w:p w14:paraId="0EF5F918" w14:textId="77777777" w:rsidR="00893787" w:rsidRDefault="00EF1AD0">
      <w:pPr>
        <w:pStyle w:val="Heading1"/>
      </w:pPr>
      <w:r>
        <w:t>Contents</w:t>
      </w:r>
    </w:p>
    <w:p w14:paraId="0D61D68D" w14:textId="3F6E506D" w:rsidR="00893787" w:rsidRDefault="00EF1AD0">
      <w:r>
        <w:t>1. Introduction .................................................................................. 2</w:t>
      </w:r>
      <w:r>
        <w:br/>
        <w:t>2. Importance of Effective Communication ....................................... 3</w:t>
      </w:r>
      <w:r>
        <w:br/>
        <w:t>3. Good Administrative Skills and Record Keeping .............................. 4</w:t>
      </w:r>
      <w:r w:rsidR="00B928DD">
        <w:t xml:space="preserve"> </w:t>
      </w:r>
      <w:r>
        <w:br/>
        <w:t>4. Collaborative Working with Professionals ..................................... 5</w:t>
      </w:r>
      <w:r>
        <w:br/>
        <w:t>5. Conclusion ..................................................................................... 6</w:t>
      </w:r>
      <w:r>
        <w:br/>
        <w:t>6. References ..................................................................................... 7</w:t>
      </w:r>
      <w:r>
        <w:br/>
      </w:r>
    </w:p>
    <w:p w14:paraId="7D70A7F9" w14:textId="77777777" w:rsidR="00893787" w:rsidRDefault="00EF1AD0">
      <w:r>
        <w:br w:type="page"/>
      </w:r>
    </w:p>
    <w:p w14:paraId="65E909F8" w14:textId="77777777" w:rsidR="00893787" w:rsidRDefault="00EF1AD0">
      <w:pPr>
        <w:pStyle w:val="Heading1"/>
      </w:pPr>
      <w:r>
        <w:t>1. Introduction</w:t>
      </w:r>
    </w:p>
    <w:p w14:paraId="38305B5E" w14:textId="757DAF39" w:rsidR="00893787" w:rsidRDefault="00EF1AD0">
      <w:r>
        <w:t xml:space="preserve">Effective communication, accurate record keeping, and collaborative working are foundational to safe, person-centred care within health and social care practice. The case of Mrs Mann, a 72-year-old woman recovering from hip replacement surgery, highlights the </w:t>
      </w:r>
      <w:r w:rsidR="005453AD">
        <w:t>mutualism</w:t>
      </w:r>
      <w:r>
        <w:t xml:space="preserve"> of these professional skills. Her complex needs, language barrier, and multi-agency involvement create a context where failures in communication and administration can directly impact care quality and safety. Recent concerns about inconsistent documentation and delayed medication adjustments underline the importance of </w:t>
      </w:r>
      <w:r w:rsidR="001E66F0">
        <w:t>powerful</w:t>
      </w:r>
      <w:r>
        <w:t xml:space="preserve"> systems and inter-professional cooperation. This report explores three core aspects of professional practice within this context: (1) effective communication with Mrs Mann </w:t>
      </w:r>
      <w:r>
        <w:t>and her family, (2) good administrative skills and record keeping aligned with the Data Protection Act 2018, and (3) collaborative working with healthcare professionals. The analysis draws upon relevant legislation, policy frameworks, and communication models to demonstrate how effective practice underpins holistic, equitable, and safe patient care.</w:t>
      </w:r>
    </w:p>
    <w:p w14:paraId="322DEAAF" w14:textId="77777777" w:rsidR="00893787" w:rsidRDefault="00EF1AD0">
      <w:pPr>
        <w:pStyle w:val="Heading1"/>
      </w:pPr>
      <w:r>
        <w:t>2. Importance of Effective Communication</w:t>
      </w:r>
    </w:p>
    <w:p w14:paraId="269104A2" w14:textId="20A6D1CC" w:rsidR="00893787" w:rsidRDefault="00EF1AD0">
      <w:r>
        <w:t>Effective communication is central to person-centred care and ensures that service users’ needs, preferences, and rights are respected. In Mrs Mann’s case, communication challenges arise due to her limited English and the involvement of multiple professionals. According to the Equality Act 2010, all individuals must have equal access to services and reasonable adjustments must be made to overcome barriers, including those related to language and cultural background (Legislation.gov.uk, 2010). Ensuring effec</w:t>
      </w:r>
      <w:r>
        <w:t>tive communication upholds the principle of equality and supports Mrs Mann’s autonomy and informed consent. Using Berlo’s SMCR Model of Communication (1960)—which identifies Source, Message, Channel, and Receiver</w:t>
      </w:r>
      <w:r w:rsidR="00FF1E5E">
        <w:t xml:space="preserve"> </w:t>
      </w:r>
      <w:r>
        <w:t xml:space="preserve">helps explain how miscommunication may occur. The </w:t>
      </w:r>
      <w:r w:rsidR="00BE2C37">
        <w:t>healthcare professional</w:t>
      </w:r>
      <w:r>
        <w:t xml:space="preserve"> must </w:t>
      </w:r>
      <w:r w:rsidR="007F67EA">
        <w:t>deliver</w:t>
      </w:r>
      <w:r>
        <w:t xml:space="preserve"> messages clearly and consider Mrs Mann’s linguistic and cultural context. The ‘channel’ </w:t>
      </w:r>
      <w:r w:rsidR="008C688C">
        <w:t xml:space="preserve">a </w:t>
      </w:r>
      <w:r w:rsidR="003B2CCA">
        <w:t>interpreter speaking Urdu</w:t>
      </w:r>
      <w:r w:rsidR="00F31431">
        <w:t xml:space="preserve"> </w:t>
      </w:r>
      <w:r>
        <w:t>must be accessible, and the ‘receiver’ (Mrs Mann or her daughter) must be supported to interpret</w:t>
      </w:r>
      <w:r>
        <w:t xml:space="preserve"> information accurately. Feedback </w:t>
      </w:r>
      <w:r w:rsidR="002643F7">
        <w:t>patterns</w:t>
      </w:r>
      <w:r>
        <w:t xml:space="preserve"> are essential to confirm understanding, particularly regarding medication, mobility, and post-operative care instructions.</w:t>
      </w:r>
    </w:p>
    <w:p w14:paraId="246B7227" w14:textId="0E13211D" w:rsidR="00893787" w:rsidRDefault="00EF1AD0">
      <w:r>
        <w:t>To facilitate effective communication, care staff should use interpreters or translated materials rather than relying solely on family members, ensuring professional boundaries and accuracy. The NHS Accessible Information Standard (2016) requires that service users receive information they can understand, in a format that meets their needs. Active listening, use of non-verbal cues, and culturally sensitive communication techniques (e.g., using respectful forms of address and understanding cultural attitudes</w:t>
      </w:r>
      <w:r>
        <w:t xml:space="preserve"> toward health and recovery) are vital. Additionally, teamwork communication</w:t>
      </w:r>
      <w:r w:rsidR="00AA5173">
        <w:t xml:space="preserve"> </w:t>
      </w:r>
      <w:r>
        <w:t xml:space="preserve">between </w:t>
      </w:r>
      <w:r w:rsidR="001556C0">
        <w:t>home-based</w:t>
      </w:r>
      <w:r>
        <w:t xml:space="preserve"> carers, physiotherapists, and GPs</w:t>
      </w:r>
      <w:r w:rsidR="005D3427">
        <w:t xml:space="preserve">, </w:t>
      </w:r>
      <w:r>
        <w:t>must be structured and timely. Using communication frameworks such as SBAR (Situation, Background, Assessment, Recommendation) can standardise information transfer and reduce errors (NHS Improvement, 2018). This model would have helped prevent the missed medication adjustment by ensuring clear and structured handovers.</w:t>
      </w:r>
    </w:p>
    <w:p w14:paraId="4906F797" w14:textId="77777777" w:rsidR="00893787" w:rsidRDefault="00EF1AD0">
      <w:r>
        <w:t>Ultimately, effective communication not only ensures safety and compliance with equality legislation but also promotes dignity, trust, and empowerment. For Mrs Mann, adapting communication to her needs and ensuring consistency among professionals will enhance her rehabilitation outcomes and emotional wellbeing.</w:t>
      </w:r>
    </w:p>
    <w:p w14:paraId="2B554941" w14:textId="77777777" w:rsidR="00893787" w:rsidRDefault="00EF1AD0">
      <w:pPr>
        <w:pStyle w:val="Heading1"/>
      </w:pPr>
      <w:r>
        <w:t>3. Good Administrative Skills and Record Keeping</w:t>
      </w:r>
    </w:p>
    <w:p w14:paraId="01E7FD96" w14:textId="77777777" w:rsidR="00893787" w:rsidRDefault="00EF1AD0">
      <w:r>
        <w:t>Good administrative practice underpins safe, coordinated care delivery. In Mrs Mann’s case, inconsistent documentation and delayed medication adjustments highlight how poor record keeping can jeopardise patient safety. Accurate, timely, and confidential documentation ensures continuity of care, supports accountability, and provides a legal record of interventions. The Data Protection Act 2018, which incorporates the UK General Data Protection Regulation (GDPR), governs how personal information must be handl</w:t>
      </w:r>
      <w:r>
        <w:t>ed within health and social care settings. It sets out seven key principles: lawfulness, fairness and transparency; purpose limitation; data minimisation; accuracy; storage limitation; integrity and confidentiality; and accountability (ICO, 2021). Care records must therefore be factual, relevant, and securely stored. In Mrs Mann’s case, ensuring that updates on her medication, physiotherapy sessions, and personal care needs are accurately logged and shared with relevant professionals is essential.</w:t>
      </w:r>
    </w:p>
    <w:p w14:paraId="3BF81518" w14:textId="15C89C1C" w:rsidR="00893787" w:rsidRDefault="00EF1AD0">
      <w:r>
        <w:t>Policies such as the Health and Social Care Act 2008 (Regulated Activities) Regulations 2014 and the NMC (2018) Code require that all health and care staff maintain clear, contemporaneous records. Poor administrative skills can lead to errors in medication management, duplication of care tasks, or omissions</w:t>
      </w:r>
      <w:r w:rsidR="008D1E7E">
        <w:t xml:space="preserve"> </w:t>
      </w:r>
      <w:r>
        <w:t>each of which can compromise patient safety. Digital record systems and care plans must also comply with information governance standards outlined by NHS Digital (2021). Staff should receive training on secure handling of records, password protection, and confidentiality when sharing data between agencies. Only authorised individuals, such as Mrs Mann’s GP and care coordinator, should have access to her health information.</w:t>
      </w:r>
    </w:p>
    <w:p w14:paraId="374E1D00" w14:textId="09E21D26" w:rsidR="00893787" w:rsidRDefault="00EF1AD0">
      <w:r>
        <w:t xml:space="preserve">Administrative competence also extends to time management, attention to detail, and adherence to organisational policies. Effective care documentation enables professionals to track progress, monitor risk, and evaluate outcomes, all of which support Mrs Mann’s recovery and independence. In summary, accurate and compliant record keeping is not merely a </w:t>
      </w:r>
      <w:r w:rsidR="00177C14">
        <w:t>procedural</w:t>
      </w:r>
      <w:r>
        <w:t xml:space="preserve"> task</w:t>
      </w:r>
      <w:r w:rsidR="00177C14">
        <w:t>,</w:t>
      </w:r>
      <w:r w:rsidR="003C4047">
        <w:t xml:space="preserve"> </w:t>
      </w:r>
      <w:r>
        <w:t>it is a cornerstone of safe, ethical, and person-centred practice. It supports communication, ensures legal compliance, and protects both the service user and the organisation.</w:t>
      </w:r>
    </w:p>
    <w:p w14:paraId="4ABB6D54" w14:textId="77777777" w:rsidR="00893787" w:rsidRDefault="00EF1AD0">
      <w:pPr>
        <w:pStyle w:val="Heading1"/>
      </w:pPr>
      <w:r>
        <w:t>4. Collaborative Working with Professionals</w:t>
      </w:r>
    </w:p>
    <w:p w14:paraId="135E11AD" w14:textId="77777777" w:rsidR="00893787" w:rsidRDefault="00EF1AD0">
      <w:r>
        <w:t>Collaborative practice ensures that multidisciplinary teams deliver coordinated, holistic care. For Mrs Mann, collaboration among the GP, physiotherapist, and care staff is vital for effective rehabilitation and medication management. The Care Act 2014 and NHS Long Term Plan (2019) both emphasise integrated care and partnership working as key to improving outcomes. Approaches to fostering collaboration include interdisciplinary meetings, shared digital care plans, and regular communication updates. Tools su</w:t>
      </w:r>
      <w:r>
        <w:t>ch as the SBAR framework or TeamSTEPPS model help standardise communication and clarify professional roles. Establishing a clear chain of responsibility and shared decision-making processes ensures accountability and continuity of care.</w:t>
      </w:r>
    </w:p>
    <w:p w14:paraId="1AD8CB61" w14:textId="70025A49" w:rsidR="00893787" w:rsidRDefault="00EF1AD0">
      <w:r>
        <w:t>Common barriers include unclear role boundaries, differing professional priorities, and communication breakdowns. Strategies to overcome these include promoting a culture of respect, joint training sessions, and reflective practice. The use of multidisciplinary case conferences allows all professionals</w:t>
      </w:r>
      <w:r w:rsidR="0003049F">
        <w:t xml:space="preserve">, </w:t>
      </w:r>
      <w:r>
        <w:t>including Mrs Mann’s daughter as her informal carer</w:t>
      </w:r>
      <w:r w:rsidR="0003049F">
        <w:t xml:space="preserve"> </w:t>
      </w:r>
      <w:r>
        <w:t>to contribute to goal setting and review progress collaboratively. Effective teamwork enhances patient safety, reduces duplication, and ensures consistent care delivery. For Mrs Mann, seamless coordination between professionals ensures timely medication adjustments, aligned physiotherapy goals, and holistic recovery support.</w:t>
      </w:r>
    </w:p>
    <w:p w14:paraId="09FEFE31" w14:textId="77777777" w:rsidR="00893787" w:rsidRDefault="00EF1AD0">
      <w:pPr>
        <w:pStyle w:val="Heading1"/>
      </w:pPr>
      <w:r>
        <w:t>5. Conclusion</w:t>
      </w:r>
    </w:p>
    <w:p w14:paraId="166A48E3" w14:textId="698FCCFB" w:rsidR="00893787" w:rsidRDefault="00EF1AD0">
      <w:r>
        <w:t>Mrs Mann’s case highlights the interconnectedness of communication, administration, and collaboration within professional health and social care practice. Effective communication</w:t>
      </w:r>
      <w:r w:rsidR="005364FE">
        <w:t xml:space="preserve">, </w:t>
      </w:r>
      <w:r>
        <w:t>supported by equality and accessibility principles</w:t>
      </w:r>
      <w:r w:rsidR="005364FE">
        <w:t xml:space="preserve"> </w:t>
      </w:r>
      <w:r>
        <w:t>ensures that her linguistic and cultural needs are met. Robust administrative and record-keeping practices safeguard her privacy, promote continuity, and uphold legal and ethical standards. Finally, strong collaborative working among professionals ensures integrated and person-centred care, reducing the likelihood of errors or omissions. Collectively, these practices demonstrate the professional accountability and inter-agency cooperation required to deli</w:t>
      </w:r>
      <w:r>
        <w:t>ver high-quality care. Embedding these principles across health and social care settings strengthens both patient outcomes and organisational integrity, ensuring that service users like Mrs Mann receive safe, respectful, and effective support during their recovery and beyond.</w:t>
      </w:r>
    </w:p>
    <w:p w14:paraId="067AF0F4" w14:textId="77777777" w:rsidR="00893787" w:rsidRDefault="00EF1AD0">
      <w:pPr>
        <w:pStyle w:val="Heading1"/>
      </w:pPr>
      <w:r>
        <w:t>6. References</w:t>
      </w:r>
    </w:p>
    <w:p w14:paraId="357A74DE" w14:textId="77777777" w:rsidR="00893787" w:rsidRDefault="00EF1AD0">
      <w:pPr>
        <w:pStyle w:val="ListBullet"/>
      </w:pPr>
      <w:r>
        <w:t>Berlo, D.K. (1960) *The Process of Communication.* New York: Holt, Rinehart &amp; Winston.</w:t>
      </w:r>
    </w:p>
    <w:p w14:paraId="35E23347" w14:textId="77777777" w:rsidR="00893787" w:rsidRDefault="00EF1AD0">
      <w:pPr>
        <w:pStyle w:val="ListBullet"/>
      </w:pPr>
      <w:r>
        <w:t>Care Act (2014). *UK Public General Acts.* Available at: https://www.legislation.gov.uk/ukpga/2014/23</w:t>
      </w:r>
    </w:p>
    <w:p w14:paraId="41D60156" w14:textId="77777777" w:rsidR="00893787" w:rsidRDefault="00EF1AD0">
      <w:pPr>
        <w:pStyle w:val="ListBullet"/>
      </w:pPr>
      <w:r>
        <w:t>Department of Health and Social Care (2018) *Data Protection in Health and Care.* London: DHSC.</w:t>
      </w:r>
    </w:p>
    <w:p w14:paraId="49FE1237" w14:textId="77777777" w:rsidR="00893787" w:rsidRDefault="00EF1AD0">
      <w:pPr>
        <w:pStyle w:val="ListBullet"/>
      </w:pPr>
      <w:r>
        <w:t>Health and Social Care Act (Regulated Activities) Regulations (2014). *UK Statutory Instruments.*</w:t>
      </w:r>
    </w:p>
    <w:p w14:paraId="330D96E2" w14:textId="77777777" w:rsidR="00893787" w:rsidRDefault="00EF1AD0">
      <w:pPr>
        <w:pStyle w:val="ListBullet"/>
      </w:pPr>
      <w:r>
        <w:t>Health and Care Professions Council (2016) *Standards of Conduct, Performance and Ethics.* London: HCPC.</w:t>
      </w:r>
    </w:p>
    <w:p w14:paraId="2B6219D8" w14:textId="77777777" w:rsidR="00893787" w:rsidRDefault="00EF1AD0">
      <w:pPr>
        <w:pStyle w:val="ListBullet"/>
      </w:pPr>
      <w:r>
        <w:t>Information Commissioner’s Office (2021) *Guide to the Data Protection Act 2018.* London: ICO.</w:t>
      </w:r>
    </w:p>
    <w:p w14:paraId="6D8640B8" w14:textId="77777777" w:rsidR="00893787" w:rsidRDefault="00EF1AD0">
      <w:pPr>
        <w:pStyle w:val="ListBullet"/>
      </w:pPr>
      <w:r>
        <w:t>Legislation.gov.uk (2010) *Equality Act 2010.* Available at: https://www.legislation.gov.uk/ukpga/2010/15</w:t>
      </w:r>
    </w:p>
    <w:p w14:paraId="526DB719" w14:textId="77777777" w:rsidR="00893787" w:rsidRDefault="00EF1AD0">
      <w:pPr>
        <w:pStyle w:val="ListBullet"/>
      </w:pPr>
      <w:r>
        <w:t>NHS Digital (2021) *Data Security and Protection Toolkit.* London: NHS Digital.</w:t>
      </w:r>
    </w:p>
    <w:p w14:paraId="56161545" w14:textId="77777777" w:rsidR="00893787" w:rsidRDefault="00EF1AD0">
      <w:pPr>
        <w:pStyle w:val="ListBullet"/>
      </w:pPr>
      <w:r>
        <w:t>NHS England (2016) *Accessible Information Standard.* London: NHS England.</w:t>
      </w:r>
    </w:p>
    <w:p w14:paraId="283AD415" w14:textId="77777777" w:rsidR="00893787" w:rsidRDefault="00EF1AD0">
      <w:pPr>
        <w:pStyle w:val="ListBullet"/>
      </w:pPr>
      <w:r>
        <w:t>NHS England (2019) *The NHS Long Term Plan.* London: NHS England.</w:t>
      </w:r>
    </w:p>
    <w:p w14:paraId="73E6DF33" w14:textId="77777777" w:rsidR="00893787" w:rsidRDefault="00EF1AD0">
      <w:pPr>
        <w:pStyle w:val="ListBullet"/>
      </w:pPr>
      <w:r>
        <w:t>NHS Improvement (2018) *SBAR Communication Tool.* London: NHS Improvement.</w:t>
      </w:r>
    </w:p>
    <w:p w14:paraId="7B0DA2DB" w14:textId="77777777" w:rsidR="00893787" w:rsidRDefault="00EF1AD0">
      <w:pPr>
        <w:pStyle w:val="ListBullet"/>
      </w:pPr>
      <w:r>
        <w:t>NMC (2018) *The Code: Professional Standards of Practice and Behaviour for Nurses, Midwives and Nursing Associates.* London: NMC.</w:t>
      </w:r>
    </w:p>
    <w:p w14:paraId="552DAB03" w14:textId="77777777" w:rsidR="00893787" w:rsidRDefault="00EF1AD0">
      <w:pPr>
        <w:pStyle w:val="ListBullet"/>
      </w:pPr>
      <w:r>
        <w:t>Reeves, S., Lewin, S., Espin, S. and Zwarenstein, M. (2017) *Interprofessional Teamwork for Health and Social Care.* 2nd ed. Wiley-Blackwell.</w:t>
      </w:r>
    </w:p>
    <w:p w14:paraId="54066AE1" w14:textId="77777777" w:rsidR="00893787" w:rsidRDefault="00EF1AD0">
      <w:pPr>
        <w:pStyle w:val="ListBullet"/>
      </w:pPr>
      <w:r>
        <w:t>Skills for Care (2021) *Effective Communication in Care.* Leeds: Skills for Care.</w:t>
      </w:r>
    </w:p>
    <w:sectPr w:rsidR="0089378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767254">
    <w:abstractNumId w:val="8"/>
  </w:num>
  <w:num w:numId="2" w16cid:durableId="565410809">
    <w:abstractNumId w:val="6"/>
  </w:num>
  <w:num w:numId="3" w16cid:durableId="1943757858">
    <w:abstractNumId w:val="5"/>
  </w:num>
  <w:num w:numId="4" w16cid:durableId="408626104">
    <w:abstractNumId w:val="4"/>
  </w:num>
  <w:num w:numId="5" w16cid:durableId="1726643741">
    <w:abstractNumId w:val="7"/>
  </w:num>
  <w:num w:numId="6" w16cid:durableId="35929581">
    <w:abstractNumId w:val="3"/>
  </w:num>
  <w:num w:numId="7" w16cid:durableId="1193573945">
    <w:abstractNumId w:val="2"/>
  </w:num>
  <w:num w:numId="8" w16cid:durableId="777986516">
    <w:abstractNumId w:val="1"/>
  </w:num>
  <w:num w:numId="9" w16cid:durableId="810366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revisionView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049F"/>
    <w:rsid w:val="00034616"/>
    <w:rsid w:val="0006063C"/>
    <w:rsid w:val="000B1B35"/>
    <w:rsid w:val="000D0D20"/>
    <w:rsid w:val="001479A9"/>
    <w:rsid w:val="0015074B"/>
    <w:rsid w:val="001556C0"/>
    <w:rsid w:val="00177C14"/>
    <w:rsid w:val="001B11A7"/>
    <w:rsid w:val="001E66F0"/>
    <w:rsid w:val="002510E2"/>
    <w:rsid w:val="0025210E"/>
    <w:rsid w:val="002643F7"/>
    <w:rsid w:val="0029639D"/>
    <w:rsid w:val="00296AD1"/>
    <w:rsid w:val="00326F90"/>
    <w:rsid w:val="003B2CCA"/>
    <w:rsid w:val="003C4047"/>
    <w:rsid w:val="00474A0B"/>
    <w:rsid w:val="00483433"/>
    <w:rsid w:val="005364FE"/>
    <w:rsid w:val="005453AD"/>
    <w:rsid w:val="00595792"/>
    <w:rsid w:val="005D3427"/>
    <w:rsid w:val="007B54A4"/>
    <w:rsid w:val="007F67EA"/>
    <w:rsid w:val="00893787"/>
    <w:rsid w:val="008C688C"/>
    <w:rsid w:val="008D1E7E"/>
    <w:rsid w:val="00910EF5"/>
    <w:rsid w:val="00932F50"/>
    <w:rsid w:val="009F332F"/>
    <w:rsid w:val="00AA1D8D"/>
    <w:rsid w:val="00AA5173"/>
    <w:rsid w:val="00B47730"/>
    <w:rsid w:val="00B928DD"/>
    <w:rsid w:val="00BE2C37"/>
    <w:rsid w:val="00BF2F9C"/>
    <w:rsid w:val="00BF780C"/>
    <w:rsid w:val="00C61B77"/>
    <w:rsid w:val="00CB0664"/>
    <w:rsid w:val="00CD7E48"/>
    <w:rsid w:val="00DF3D08"/>
    <w:rsid w:val="00E143AF"/>
    <w:rsid w:val="00E2644B"/>
    <w:rsid w:val="00EF1AD0"/>
    <w:rsid w:val="00F10D5D"/>
    <w:rsid w:val="00F31431"/>
    <w:rsid w:val="00FC693F"/>
    <w:rsid w:val="00FF1E5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0ECDDDA3-63FC-064C-84D2-E0285FCC5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CommentReference">
    <w:name w:val="annotation reference"/>
    <w:basedOn w:val="DefaultParagraphFont"/>
    <w:uiPriority w:val="99"/>
    <w:semiHidden/>
    <w:unhideWhenUsed/>
    <w:rsid w:val="00F31431"/>
    <w:rPr>
      <w:sz w:val="16"/>
      <w:szCs w:val="16"/>
    </w:rPr>
  </w:style>
  <w:style w:type="paragraph" w:styleId="CommentText">
    <w:name w:val="annotation text"/>
    <w:basedOn w:val="Normal"/>
    <w:link w:val="CommentTextChar"/>
    <w:uiPriority w:val="99"/>
    <w:semiHidden/>
    <w:unhideWhenUsed/>
    <w:rsid w:val="00F31431"/>
    <w:pPr>
      <w:spacing w:line="240" w:lineRule="auto"/>
    </w:pPr>
    <w:rPr>
      <w:sz w:val="20"/>
      <w:szCs w:val="20"/>
    </w:rPr>
  </w:style>
  <w:style w:type="character" w:customStyle="1" w:styleId="CommentTextChar">
    <w:name w:val="Comment Text Char"/>
    <w:basedOn w:val="DefaultParagraphFont"/>
    <w:link w:val="CommentText"/>
    <w:uiPriority w:val="99"/>
    <w:semiHidden/>
    <w:rsid w:val="00F31431"/>
    <w:rPr>
      <w:sz w:val="20"/>
      <w:szCs w:val="20"/>
    </w:rPr>
  </w:style>
  <w:style w:type="paragraph" w:styleId="CommentSubject">
    <w:name w:val="annotation subject"/>
    <w:basedOn w:val="CommentText"/>
    <w:next w:val="CommentText"/>
    <w:link w:val="CommentSubjectChar"/>
    <w:uiPriority w:val="99"/>
    <w:semiHidden/>
    <w:unhideWhenUsed/>
    <w:rsid w:val="00F31431"/>
    <w:rPr>
      <w:b/>
      <w:bCs/>
    </w:rPr>
  </w:style>
  <w:style w:type="character" w:customStyle="1" w:styleId="CommentSubjectChar">
    <w:name w:val="Comment Subject Char"/>
    <w:basedOn w:val="CommentTextChar"/>
    <w:link w:val="CommentSubject"/>
    <w:uiPriority w:val="99"/>
    <w:semiHidden/>
    <w:rsid w:val="00F3143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1589</Words>
  <Characters>9058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10626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Huma Ali</cp:lastModifiedBy>
  <cp:revision>2</cp:revision>
  <dcterms:created xsi:type="dcterms:W3CDTF">2025-11-16T23:44:00Z</dcterms:created>
  <dcterms:modified xsi:type="dcterms:W3CDTF">2025-11-16T23:44:00Z</dcterms:modified>
  <cp:category/>
</cp:coreProperties>
</file>