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lang w:val="en-US" w:eastAsia="zh-CN"/>
        </w:rPr>
      </w:pPr>
      <w:r>
        <w:rPr>
          <w:rFonts w:hint="eastAsia" w:asciiTheme="majorEastAsia" w:hAnsiTheme="majorEastAsia" w:eastAsiaTheme="majorEastAsia" w:cstheme="majorEastAsia"/>
          <w:lang w:val="en-US" w:eastAsia="zh-CN"/>
        </w:rPr>
        <w:t>論《國學治要·莊子-齊物論》之節錄原則</w:t>
      </w:r>
    </w:p>
    <w:p>
      <w:pPr>
        <w:rPr>
          <w:rFonts w:hint="eastAsia"/>
          <w:lang w:val="en-US" w:eastAsia="zh-CN"/>
        </w:rPr>
      </w:pPr>
    </w:p>
    <w:p>
      <w:pPr>
        <w:pStyle w:val="3"/>
        <w:bidi w:val="0"/>
        <w:rPr>
          <w:rFonts w:hint="eastAsia" w:asciiTheme="majorEastAsia" w:hAnsiTheme="majorEastAsia" w:eastAsiaTheme="majorEastAsia" w:cstheme="majorEastAsia"/>
          <w:lang w:val="en-US" w:eastAsia="zh-CN"/>
        </w:rPr>
      </w:pPr>
      <w:r>
        <w:rPr>
          <w:rFonts w:hint="eastAsia" w:asciiTheme="majorEastAsia" w:hAnsiTheme="majorEastAsia" w:eastAsiaTheme="majorEastAsia" w:cstheme="majorEastAsia"/>
          <w:lang w:val="en-US" w:eastAsia="zh-CN"/>
        </w:rPr>
        <w:t>一、前言</w:t>
      </w:r>
    </w:p>
    <w:p>
      <w:pPr>
        <w:bidi w:val="0"/>
        <w:rPr>
          <w:rFonts w:hint="eastAsia"/>
          <w:lang w:val="en-US" w:eastAsia="zh-CN"/>
        </w:rPr>
      </w:pPr>
      <w:r>
        <w:rPr>
          <w:rFonts w:hint="eastAsia"/>
          <w:lang w:val="en-US" w:eastAsia="zh-CN"/>
        </w:rPr>
        <w:t>《國學治要》是一部民國時期由張文治編纂的大型四部常見書選本。名為《治要》可見其並非簡單地將文獻全文收綠，而是選取其中精華的部分進行摘錄。與《群書治要》不同的是，其並非為國君更好地治國理政的所編，在編纂之初是為了響應民國初期「國民必讀書目」的風潮，方便國民更好地掌握國學經典的要旨。</w:t>
      </w:r>
      <w:r>
        <w:rPr>
          <w:rStyle w:val="14"/>
          <w:rFonts w:hint="eastAsia"/>
          <w:lang w:val="en-US" w:eastAsia="zh-CN"/>
        </w:rPr>
        <w:footnoteReference w:id="0"/>
      </w:r>
      <w:r>
        <w:rPr>
          <w:rFonts w:hint="eastAsia"/>
          <w:lang w:val="en-US" w:eastAsia="zh-CN"/>
        </w:rPr>
        <w:t>因此分析其選編與節錄原則，也能夠掌握其中精神。而其中收綠的《莊子·齊物論》便是一篇節錄版本，本篇文章將透過分析其節錄〈齊物論〉的方式，總結其中節錄原則，並探尋其背後所傳遞的選編精神。</w:t>
      </w:r>
    </w:p>
    <w:p>
      <w:pPr>
        <w:pStyle w:val="3"/>
        <w:bidi w:val="0"/>
        <w:rPr>
          <w:rFonts w:hint="default"/>
          <w:lang w:val="en-US" w:eastAsia="zh-CN"/>
        </w:rPr>
      </w:pPr>
      <w:r>
        <w:rPr>
          <w:rFonts w:hint="eastAsia"/>
          <w:lang w:val="en-US" w:eastAsia="zh-CN"/>
        </w:rPr>
        <w:t>二、節錄文章與原文的區別</w:t>
      </w:r>
    </w:p>
    <w:p>
      <w:pPr>
        <w:bidi w:val="0"/>
        <w:rPr>
          <w:rFonts w:hint="default" w:ascii="PMingLiU" w:hAnsi="PMingLiU" w:cs="PMingLiU"/>
          <w:sz w:val="24"/>
          <w:szCs w:val="24"/>
          <w:lang w:val="en-US" w:eastAsia="zh-CN"/>
        </w:rPr>
      </w:pPr>
      <w:r>
        <w:rPr>
          <w:rFonts w:hint="eastAsia"/>
          <w:lang w:val="en-US" w:eastAsia="zh-CN"/>
        </w:rPr>
        <w:t>我們先來看一看《國學治要》當中所節錄的〈齊物論〉和原篇的差別有哪些。按照原篇內容我們可以將其分為六個部分。</w:t>
      </w:r>
      <w:r>
        <w:rPr>
          <w:rFonts w:hint="eastAsia" w:ascii="PMingLiU" w:hAnsi="PMingLiU" w:cs="PMingLiU"/>
          <w:sz w:val="24"/>
          <w:szCs w:val="24"/>
          <w:lang w:val="en-US" w:eastAsia="zh-CN"/>
        </w:rPr>
        <w:t>具體節錄情況如下表1</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3080"/>
        <w:gridCol w:w="3081"/>
        <w:gridCol w:w="308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80" w:type="dxa"/>
          </w:tcPr>
          <w:p>
            <w:pPr>
              <w:bidi w:val="0"/>
              <w:rPr>
                <w:rFonts w:hint="default"/>
                <w:sz w:val="24"/>
                <w:szCs w:val="24"/>
                <w:vertAlign w:val="baseline"/>
                <w:lang w:val="en-US" w:eastAsia="zh-CN"/>
              </w:rPr>
            </w:pPr>
          </w:p>
        </w:tc>
        <w:tc>
          <w:tcPr>
            <w:tcW w:w="3081" w:type="dxa"/>
          </w:tcPr>
          <w:p>
            <w:pPr>
              <w:bidi w:val="0"/>
              <w:rPr>
                <w:rFonts w:hint="default"/>
                <w:sz w:val="24"/>
                <w:szCs w:val="24"/>
                <w:vertAlign w:val="baseline"/>
                <w:lang w:val="en-US" w:eastAsia="zh-CN"/>
              </w:rPr>
            </w:pPr>
            <w:r>
              <w:rPr>
                <w:rFonts w:hint="eastAsia"/>
                <w:sz w:val="24"/>
                <w:szCs w:val="24"/>
                <w:vertAlign w:val="baseline"/>
                <w:lang w:val="en-US" w:eastAsia="zh-CN"/>
              </w:rPr>
              <w:t>齊物論原文</w:t>
            </w:r>
          </w:p>
        </w:tc>
        <w:tc>
          <w:tcPr>
            <w:tcW w:w="3081" w:type="dxa"/>
          </w:tcPr>
          <w:p>
            <w:pPr>
              <w:bidi w:val="0"/>
              <w:ind w:left="0" w:leftChars="0" w:firstLine="0" w:firstLineChars="0"/>
              <w:rPr>
                <w:rFonts w:hint="default"/>
                <w:sz w:val="24"/>
                <w:szCs w:val="24"/>
                <w:vertAlign w:val="baseline"/>
                <w:lang w:val="en-US" w:eastAsia="zh-CN"/>
              </w:rPr>
            </w:pPr>
            <w:r>
              <w:rPr>
                <w:rFonts w:hint="eastAsia"/>
                <w:sz w:val="24"/>
                <w:szCs w:val="24"/>
                <w:vertAlign w:val="baseline"/>
                <w:lang w:val="en-US" w:eastAsia="zh-CN"/>
              </w:rPr>
              <w:t>齊物論《國學治要》摘錄</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80" w:type="dxa"/>
          </w:tcPr>
          <w:p>
            <w:pPr>
              <w:bidi w:val="0"/>
              <w:rPr>
                <w:rFonts w:hint="default"/>
                <w:sz w:val="24"/>
                <w:szCs w:val="24"/>
                <w:vertAlign w:val="baseline"/>
                <w:lang w:val="en-US" w:eastAsia="zh-CN"/>
              </w:rPr>
            </w:pPr>
            <w:r>
              <w:rPr>
                <w:rFonts w:hint="eastAsia"/>
                <w:sz w:val="24"/>
                <w:szCs w:val="24"/>
                <w:vertAlign w:val="baseline"/>
                <w:lang w:val="en-US" w:eastAsia="zh-CN"/>
              </w:rPr>
              <w:t>第一部分</w:t>
            </w:r>
          </w:p>
        </w:tc>
        <w:tc>
          <w:tcPr>
            <w:tcW w:w="3081" w:type="dxa"/>
          </w:tcPr>
          <w:p>
            <w:pPr>
              <w:bidi w:val="0"/>
              <w:ind w:left="0" w:leftChars="0" w:firstLine="0" w:firstLineChars="0"/>
              <w:rPr>
                <w:rFonts w:hint="default"/>
                <w:sz w:val="24"/>
                <w:szCs w:val="24"/>
                <w:vertAlign w:val="baseline"/>
                <w:lang w:val="en-US" w:eastAsia="zh-CN"/>
              </w:rPr>
            </w:pPr>
            <w:r>
              <w:rPr>
                <w:rFonts w:hint="eastAsia"/>
                <w:lang w:val="en-US" w:eastAsia="zh-CN"/>
              </w:rPr>
              <w:t>「南郭子綦隱几而坐」到「怒者其誰邪」</w:t>
            </w:r>
            <w:r>
              <w:rPr>
                <w:rStyle w:val="14"/>
                <w:rFonts w:hint="eastAsia"/>
                <w:lang w:val="en-US" w:eastAsia="zh-CN"/>
              </w:rPr>
              <w:footnoteReference w:id="1"/>
            </w:r>
          </w:p>
        </w:tc>
        <w:tc>
          <w:tcPr>
            <w:tcW w:w="3081" w:type="dxa"/>
          </w:tcPr>
          <w:p>
            <w:pPr>
              <w:bidi w:val="0"/>
              <w:rPr>
                <w:rFonts w:hint="default"/>
                <w:sz w:val="24"/>
                <w:szCs w:val="24"/>
                <w:vertAlign w:val="baseline"/>
                <w:lang w:val="en-US" w:eastAsia="zh-CN"/>
              </w:rPr>
            </w:pPr>
            <w:r>
              <w:rPr>
                <w:rFonts w:hint="eastAsia"/>
                <w:sz w:val="24"/>
                <w:szCs w:val="24"/>
                <w:vertAlign w:val="baseline"/>
                <w:lang w:val="en-US" w:eastAsia="zh-CN"/>
              </w:rPr>
              <w:t>同原文</w:t>
            </w:r>
            <w:r>
              <w:rPr>
                <w:rStyle w:val="14"/>
                <w:rFonts w:hint="eastAsia"/>
                <w:sz w:val="24"/>
                <w:szCs w:val="24"/>
                <w:lang w:val="en-US" w:eastAsia="zh-CN"/>
              </w:rPr>
              <w:footnoteReference w:id="2"/>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080" w:type="dxa"/>
          </w:tcPr>
          <w:p>
            <w:pPr>
              <w:bidi w:val="0"/>
              <w:rPr>
                <w:rFonts w:hint="default"/>
                <w:sz w:val="24"/>
                <w:szCs w:val="24"/>
                <w:vertAlign w:val="baseline"/>
                <w:lang w:val="en-US" w:eastAsia="zh-CN"/>
              </w:rPr>
            </w:pPr>
            <w:r>
              <w:rPr>
                <w:rFonts w:hint="eastAsia"/>
                <w:sz w:val="24"/>
                <w:szCs w:val="24"/>
                <w:vertAlign w:val="baseline"/>
                <w:lang w:val="en-US" w:eastAsia="zh-CN"/>
              </w:rPr>
              <w:t>第二部分</w:t>
            </w:r>
          </w:p>
        </w:tc>
        <w:tc>
          <w:tcPr>
            <w:tcW w:w="3081" w:type="dxa"/>
          </w:tcPr>
          <w:p>
            <w:pPr>
              <w:bidi w:val="0"/>
              <w:ind w:left="0" w:leftChars="0" w:firstLine="0" w:firstLineChars="0"/>
              <w:rPr>
                <w:rFonts w:hint="default"/>
                <w:sz w:val="24"/>
                <w:szCs w:val="24"/>
                <w:vertAlign w:val="baseline"/>
                <w:lang w:val="en-US" w:eastAsia="zh-CN"/>
              </w:rPr>
            </w:pPr>
            <w:r>
              <w:rPr>
                <w:rFonts w:hint="eastAsia"/>
                <w:lang w:val="en-US" w:eastAsia="zh-CN"/>
              </w:rPr>
              <w:t>「大知閑閑，小知閒閒」到「而況德之進乎日者乎」</w:t>
            </w:r>
            <w:r>
              <w:rPr>
                <w:rStyle w:val="14"/>
                <w:rFonts w:hint="eastAsia"/>
                <w:lang w:val="en-US" w:eastAsia="zh-CN"/>
              </w:rPr>
              <w:footnoteReference w:id="3"/>
            </w:r>
          </w:p>
        </w:tc>
        <w:tc>
          <w:tcPr>
            <w:tcW w:w="3081" w:type="dxa"/>
          </w:tcPr>
          <w:p>
            <w:pPr>
              <w:bidi w:val="0"/>
              <w:ind w:left="0" w:leftChars="0" w:firstLine="0" w:firstLineChars="0"/>
              <w:rPr>
                <w:rFonts w:hint="default"/>
                <w:sz w:val="24"/>
                <w:szCs w:val="24"/>
                <w:vertAlign w:val="baseline"/>
                <w:lang w:val="en-US" w:eastAsia="zh-CN"/>
              </w:rPr>
            </w:pPr>
            <w:r>
              <w:rPr>
                <w:rFonts w:hint="eastAsia"/>
                <w:sz w:val="24"/>
                <w:szCs w:val="24"/>
                <w:vertAlign w:val="baseline"/>
                <w:lang w:val="en-US" w:eastAsia="zh-CN"/>
              </w:rPr>
              <w:t>節錄自</w:t>
            </w:r>
            <w:r>
              <w:rPr>
                <w:rFonts w:hint="eastAsia"/>
                <w:lang w:val="en-US" w:eastAsia="zh-CN"/>
              </w:rPr>
              <w:t>「大知閑閑，小知閒閒」到「吾獨且柰何哉」</w:t>
            </w:r>
            <w:r>
              <w:rPr>
                <w:rStyle w:val="14"/>
                <w:rFonts w:hint="eastAsia"/>
                <w:lang w:val="en-US" w:eastAsia="zh-CN"/>
              </w:rPr>
              <w:footnoteReference w:id="4"/>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80" w:type="dxa"/>
          </w:tcPr>
          <w:p>
            <w:pPr>
              <w:bidi w:val="0"/>
              <w:rPr>
                <w:rFonts w:hint="default"/>
                <w:sz w:val="24"/>
                <w:szCs w:val="24"/>
                <w:vertAlign w:val="baseline"/>
                <w:lang w:val="en-US" w:eastAsia="zh-CN"/>
              </w:rPr>
            </w:pPr>
            <w:r>
              <w:rPr>
                <w:rFonts w:hint="eastAsia"/>
                <w:sz w:val="24"/>
                <w:szCs w:val="24"/>
                <w:vertAlign w:val="baseline"/>
                <w:lang w:val="en-US" w:eastAsia="zh-CN"/>
              </w:rPr>
              <w:t>第三部分</w:t>
            </w:r>
          </w:p>
        </w:tc>
        <w:tc>
          <w:tcPr>
            <w:tcW w:w="3081" w:type="dxa"/>
          </w:tcPr>
          <w:p>
            <w:pPr>
              <w:bidi w:val="0"/>
              <w:ind w:left="0" w:leftChars="0" w:firstLine="0" w:firstLineChars="0"/>
              <w:rPr>
                <w:rFonts w:hint="default"/>
                <w:sz w:val="24"/>
                <w:szCs w:val="24"/>
                <w:vertAlign w:val="baseline"/>
                <w:lang w:val="en-US" w:eastAsia="zh-CN"/>
              </w:rPr>
            </w:pPr>
            <w:r>
              <w:rPr>
                <w:rFonts w:hint="eastAsia"/>
                <w:lang w:val="en-US" w:eastAsia="zh-CN"/>
              </w:rPr>
              <w:t>「齧缺問乎王倪曰」到「而況利害之端乎」</w:t>
            </w:r>
            <w:r>
              <w:rPr>
                <w:rStyle w:val="14"/>
                <w:rFonts w:hint="eastAsia"/>
                <w:lang w:val="en-US" w:eastAsia="zh-CN"/>
              </w:rPr>
              <w:footnoteReference w:id="5"/>
            </w:r>
          </w:p>
        </w:tc>
        <w:tc>
          <w:tcPr>
            <w:tcW w:w="3081" w:type="dxa"/>
          </w:tcPr>
          <w:p>
            <w:pPr>
              <w:bidi w:val="0"/>
              <w:rPr>
                <w:rFonts w:hint="default"/>
                <w:sz w:val="24"/>
                <w:szCs w:val="24"/>
                <w:vertAlign w:val="baseline"/>
                <w:lang w:val="en-US" w:eastAsia="zh-CN"/>
              </w:rPr>
            </w:pPr>
            <w:r>
              <w:rPr>
                <w:rFonts w:hint="eastAsia"/>
                <w:sz w:val="24"/>
                <w:szCs w:val="24"/>
                <w:vertAlign w:val="baseline"/>
                <w:lang w:val="en-US" w:eastAsia="zh-CN"/>
              </w:rPr>
              <w:t>同原文</w:t>
            </w:r>
            <w:r>
              <w:rPr>
                <w:rStyle w:val="14"/>
                <w:rFonts w:hint="eastAsia"/>
                <w:sz w:val="24"/>
                <w:szCs w:val="24"/>
                <w:lang w:val="en-US" w:eastAsia="zh-CN"/>
              </w:rPr>
              <w:footnoteReference w:id="6"/>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80" w:type="dxa"/>
          </w:tcPr>
          <w:p>
            <w:pPr>
              <w:bidi w:val="0"/>
              <w:rPr>
                <w:rFonts w:hint="default"/>
                <w:sz w:val="24"/>
                <w:szCs w:val="24"/>
                <w:vertAlign w:val="baseline"/>
                <w:lang w:val="en-US" w:eastAsia="zh-CN"/>
              </w:rPr>
            </w:pPr>
            <w:r>
              <w:rPr>
                <w:rFonts w:hint="eastAsia"/>
                <w:sz w:val="24"/>
                <w:szCs w:val="24"/>
                <w:vertAlign w:val="baseline"/>
                <w:lang w:val="en-US" w:eastAsia="zh-CN"/>
              </w:rPr>
              <w:t>第四部分</w:t>
            </w:r>
          </w:p>
        </w:tc>
        <w:tc>
          <w:tcPr>
            <w:tcW w:w="3081" w:type="dxa"/>
          </w:tcPr>
          <w:p>
            <w:pPr>
              <w:bidi w:val="0"/>
              <w:ind w:left="0" w:leftChars="0" w:firstLine="0" w:firstLineChars="0"/>
              <w:rPr>
                <w:rFonts w:hint="default"/>
                <w:sz w:val="24"/>
                <w:szCs w:val="24"/>
                <w:vertAlign w:val="baseline"/>
                <w:lang w:val="en-US" w:eastAsia="zh-CN"/>
              </w:rPr>
            </w:pPr>
            <w:r>
              <w:rPr>
                <w:rFonts w:hint="eastAsia"/>
                <w:lang w:val="en-US" w:eastAsia="zh-CN"/>
              </w:rPr>
              <w:t>「瞿鵲子問乎長梧子」到「故寓諸無竟」</w:t>
            </w:r>
            <w:r>
              <w:rPr>
                <w:rStyle w:val="14"/>
                <w:rFonts w:hint="eastAsia"/>
                <w:lang w:val="en-US" w:eastAsia="zh-CN"/>
              </w:rPr>
              <w:footnoteReference w:id="7"/>
            </w:r>
          </w:p>
        </w:tc>
        <w:tc>
          <w:tcPr>
            <w:tcW w:w="3081" w:type="dxa"/>
          </w:tcPr>
          <w:p>
            <w:pPr>
              <w:bidi w:val="0"/>
              <w:ind w:left="0" w:leftChars="0" w:firstLine="0" w:firstLineChars="0"/>
              <w:rPr>
                <w:rFonts w:hint="default"/>
                <w:sz w:val="24"/>
                <w:szCs w:val="24"/>
                <w:vertAlign w:val="baseline"/>
                <w:lang w:val="en-US" w:eastAsia="zh-CN"/>
              </w:rPr>
            </w:pPr>
            <w:r>
              <w:rPr>
                <w:rFonts w:hint="eastAsia"/>
                <w:sz w:val="24"/>
                <w:szCs w:val="24"/>
                <w:vertAlign w:val="baseline"/>
                <w:lang w:val="en-US" w:eastAsia="zh-CN"/>
              </w:rPr>
              <w:t>節錄自</w:t>
            </w:r>
            <w:r>
              <w:rPr>
                <w:rFonts w:hint="eastAsia"/>
                <w:lang w:val="en-US" w:eastAsia="zh-CN"/>
              </w:rPr>
              <w:t>「瞿鵲子問乎長梧子」到「是旦暮遇之也」</w:t>
            </w:r>
            <w:r>
              <w:rPr>
                <w:rStyle w:val="14"/>
                <w:rFonts w:hint="eastAsia"/>
                <w:lang w:val="en-US" w:eastAsia="zh-CN"/>
              </w:rPr>
              <w:footnoteReference w:id="8"/>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80" w:type="dxa"/>
          </w:tcPr>
          <w:p>
            <w:pPr>
              <w:bidi w:val="0"/>
              <w:rPr>
                <w:rFonts w:hint="default"/>
                <w:sz w:val="24"/>
                <w:szCs w:val="24"/>
                <w:vertAlign w:val="baseline"/>
                <w:lang w:val="en-US" w:eastAsia="zh-CN"/>
              </w:rPr>
            </w:pPr>
            <w:r>
              <w:rPr>
                <w:rFonts w:hint="eastAsia"/>
                <w:sz w:val="24"/>
                <w:szCs w:val="24"/>
                <w:vertAlign w:val="baseline"/>
                <w:lang w:val="en-US" w:eastAsia="zh-CN"/>
              </w:rPr>
              <w:t>第五部分</w:t>
            </w:r>
          </w:p>
        </w:tc>
        <w:tc>
          <w:tcPr>
            <w:tcW w:w="3081" w:type="dxa"/>
          </w:tcPr>
          <w:p>
            <w:pPr>
              <w:bidi w:val="0"/>
              <w:ind w:left="0" w:leftChars="0" w:firstLine="0" w:firstLineChars="0"/>
              <w:rPr>
                <w:rFonts w:hint="default"/>
                <w:sz w:val="24"/>
                <w:szCs w:val="24"/>
                <w:vertAlign w:val="baseline"/>
                <w:lang w:val="en-US" w:eastAsia="zh-CN"/>
              </w:rPr>
            </w:pPr>
            <w:r>
              <w:rPr>
                <w:rFonts w:hint="eastAsia"/>
                <w:lang w:val="en-US" w:eastAsia="zh-CN"/>
              </w:rPr>
              <w:t>「罔兩問景曰」到「惡識所以不然」</w:t>
            </w:r>
            <w:r>
              <w:rPr>
                <w:rStyle w:val="14"/>
                <w:rFonts w:hint="eastAsia"/>
                <w:lang w:val="en-US" w:eastAsia="zh-CN"/>
              </w:rPr>
              <w:footnoteReference w:id="9"/>
            </w:r>
          </w:p>
        </w:tc>
        <w:tc>
          <w:tcPr>
            <w:tcW w:w="3081" w:type="dxa"/>
          </w:tcPr>
          <w:p>
            <w:pPr>
              <w:bidi w:val="0"/>
              <w:rPr>
                <w:rFonts w:hint="default"/>
                <w:sz w:val="24"/>
                <w:szCs w:val="24"/>
                <w:vertAlign w:val="baseline"/>
                <w:lang w:val="en-US" w:eastAsia="zh-CN"/>
              </w:rPr>
            </w:pPr>
            <w:r>
              <w:rPr>
                <w:rFonts w:hint="eastAsia"/>
                <w:sz w:val="24"/>
                <w:szCs w:val="24"/>
                <w:vertAlign w:val="baseline"/>
                <w:lang w:val="en-US" w:eastAsia="zh-CN"/>
              </w:rPr>
              <w:t>無</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3080" w:type="dxa"/>
          </w:tcPr>
          <w:p>
            <w:pPr>
              <w:bidi w:val="0"/>
              <w:rPr>
                <w:rFonts w:hint="default"/>
                <w:sz w:val="24"/>
                <w:szCs w:val="24"/>
                <w:vertAlign w:val="baseline"/>
                <w:lang w:val="en-US" w:eastAsia="zh-CN"/>
              </w:rPr>
            </w:pPr>
            <w:r>
              <w:rPr>
                <w:rFonts w:hint="eastAsia"/>
                <w:sz w:val="24"/>
                <w:szCs w:val="24"/>
                <w:vertAlign w:val="baseline"/>
                <w:lang w:val="en-US" w:eastAsia="zh-CN"/>
              </w:rPr>
              <w:t>第六部分</w:t>
            </w:r>
          </w:p>
        </w:tc>
        <w:tc>
          <w:tcPr>
            <w:tcW w:w="3081" w:type="dxa"/>
          </w:tcPr>
          <w:p>
            <w:pPr>
              <w:bidi w:val="0"/>
              <w:ind w:left="0" w:leftChars="0" w:firstLine="0" w:firstLineChars="0"/>
              <w:rPr>
                <w:rFonts w:hint="default"/>
                <w:sz w:val="24"/>
                <w:szCs w:val="24"/>
                <w:vertAlign w:val="baseline"/>
                <w:lang w:val="en-US" w:eastAsia="zh-CN"/>
              </w:rPr>
            </w:pPr>
            <w:r>
              <w:rPr>
                <w:rFonts w:hint="eastAsia"/>
                <w:lang w:val="en-US" w:eastAsia="zh-CN"/>
              </w:rPr>
              <w:t>「昔者莊周夢為胡蝶」到「此之謂物化」</w:t>
            </w:r>
            <w:r>
              <w:rPr>
                <w:rStyle w:val="14"/>
                <w:rFonts w:hint="eastAsia"/>
                <w:lang w:val="en-US" w:eastAsia="zh-CN"/>
              </w:rPr>
              <w:footnoteReference w:id="10"/>
            </w:r>
          </w:p>
        </w:tc>
        <w:tc>
          <w:tcPr>
            <w:tcW w:w="3081" w:type="dxa"/>
          </w:tcPr>
          <w:p>
            <w:pPr>
              <w:bidi w:val="0"/>
              <w:rPr>
                <w:rFonts w:hint="default"/>
                <w:sz w:val="24"/>
                <w:szCs w:val="24"/>
                <w:vertAlign w:val="baseline"/>
                <w:lang w:val="en-US" w:eastAsia="zh-CN"/>
              </w:rPr>
            </w:pPr>
            <w:r>
              <w:rPr>
                <w:rFonts w:hint="eastAsia"/>
                <w:sz w:val="24"/>
                <w:szCs w:val="24"/>
                <w:vertAlign w:val="baseline"/>
                <w:lang w:val="en-US" w:eastAsia="zh-CN"/>
              </w:rPr>
              <w:t>同原文</w:t>
            </w:r>
            <w:r>
              <w:rPr>
                <w:rStyle w:val="14"/>
                <w:rFonts w:hint="eastAsia"/>
                <w:sz w:val="24"/>
                <w:szCs w:val="24"/>
                <w:lang w:val="en-US" w:eastAsia="zh-CN"/>
              </w:rPr>
              <w:footnoteReference w:id="11"/>
            </w:r>
          </w:p>
        </w:tc>
      </w:tr>
    </w:tbl>
    <w:p>
      <w:pPr>
        <w:bidi w:val="0"/>
        <w:jc w:val="center"/>
        <w:rPr>
          <w:rFonts w:hint="default"/>
          <w:sz w:val="24"/>
          <w:szCs w:val="24"/>
          <w:lang w:val="en-US" w:eastAsia="zh-CN"/>
        </w:rPr>
      </w:pPr>
      <w:r>
        <w:rPr>
          <w:rFonts w:hint="eastAsia"/>
          <w:sz w:val="24"/>
          <w:szCs w:val="24"/>
          <w:lang w:val="en-US" w:eastAsia="zh-CN"/>
        </w:rPr>
        <w:t>表1</w:t>
      </w:r>
    </w:p>
    <w:p>
      <w:pPr>
        <w:bidi w:val="0"/>
        <w:jc w:val="both"/>
        <w:rPr>
          <w:rFonts w:hint="eastAsia"/>
          <w:sz w:val="24"/>
          <w:szCs w:val="24"/>
          <w:lang w:val="en-US" w:eastAsia="zh-CN"/>
        </w:rPr>
      </w:pPr>
      <w:r>
        <w:rPr>
          <w:rFonts w:hint="eastAsia"/>
          <w:sz w:val="24"/>
          <w:szCs w:val="24"/>
          <w:lang w:val="en-US" w:eastAsia="zh-CN"/>
        </w:rPr>
        <w:t>由上表可見，《國學治要》針對</w:t>
      </w:r>
      <w:r>
        <w:rPr>
          <w:rFonts w:hint="eastAsia"/>
          <w:sz w:val="24"/>
          <w:szCs w:val="24"/>
          <w:lang w:val="en-US" w:eastAsia="zh-CN"/>
        </w:rPr>
        <w:t>〈齊物論〉主要集中在文章的第二部分，第四部分以及第五部分。為了能夠進一步分析其節錄的邏輯，我們需要對整篇文章的論述邏輯進行完整地分析，以清晰地顯示出各個部分在文章的論述結構中起到了什麼作用。</w:t>
      </w:r>
    </w:p>
    <w:p>
      <w:pPr>
        <w:bidi w:val="0"/>
        <w:jc w:val="both"/>
        <w:rPr>
          <w:rFonts w:hint="eastAsia"/>
          <w:sz w:val="24"/>
          <w:szCs w:val="24"/>
          <w:lang w:val="en-US" w:eastAsia="zh-CN"/>
        </w:rPr>
      </w:pPr>
    </w:p>
    <w:p>
      <w:pPr>
        <w:pStyle w:val="3"/>
        <w:bidi w:val="0"/>
        <w:rPr>
          <w:rFonts w:hint="default"/>
          <w:lang w:val="en-US" w:eastAsia="zh-CN"/>
        </w:rPr>
      </w:pPr>
      <w:r>
        <w:rPr>
          <w:rFonts w:hint="eastAsia"/>
          <w:lang w:val="en-US" w:eastAsia="zh-CN"/>
        </w:rPr>
        <w:t>三、原文論述結構分析</w:t>
      </w:r>
    </w:p>
    <w:p>
      <w:pPr>
        <w:bidi w:val="0"/>
        <w:jc w:val="both"/>
        <w:rPr>
          <w:rFonts w:hint="default"/>
          <w:sz w:val="24"/>
          <w:szCs w:val="24"/>
          <w:vertAlign w:val="baseline"/>
          <w:lang w:val="en-US" w:eastAsia="zh-CN"/>
        </w:rPr>
      </w:pPr>
      <w:r>
        <w:rPr>
          <w:rFonts w:hint="eastAsia"/>
          <w:sz w:val="24"/>
          <w:szCs w:val="24"/>
          <w:lang w:val="en-US" w:eastAsia="zh-CN"/>
        </w:rPr>
        <w:t>那麼整篇文章到底是如何來做論述的，這些被節錄的選段在其中又在其中處於什麼樣的位置？杜保瑞教授在其</w:t>
      </w:r>
      <w:r>
        <w:rPr>
          <w:rFonts w:hint="eastAsia"/>
          <w:lang w:val="en-US" w:eastAsia="zh-CN"/>
        </w:rPr>
        <w:t>〈莊子＜齊物論＞的命題解析與理論架構〉當中，將整篇文字內容劃分為「論證系統」與「譬喻系統」兩個區塊，「論證系統」即說理的部分，「譬喻系統」即由故事或寓言來展現其中宗旨的部分。</w:t>
      </w:r>
      <w:r>
        <w:rPr>
          <w:rStyle w:val="14"/>
          <w:rFonts w:hint="eastAsia"/>
          <w:lang w:val="en-US" w:eastAsia="zh-CN"/>
        </w:rPr>
        <w:footnoteReference w:id="12"/>
      </w:r>
      <w:r>
        <w:rPr>
          <w:rFonts w:hint="eastAsia"/>
          <w:lang w:val="en-US" w:eastAsia="zh-CN"/>
        </w:rPr>
        <w:t>筆者參考了其中部分分類的方式，重新給文章段落做了分類，同樣將其分為了「理論」與「譬喻」兩個部分，但是是從文章論述結構的角度做出的，總結為下表。</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454"/>
        <w:gridCol w:w="1406"/>
        <w:gridCol w:w="1185"/>
        <w:gridCol w:w="419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firstLine="720" w:firstLineChars="300"/>
              <w:jc w:val="both"/>
              <w:rPr>
                <w:rFonts w:hint="default"/>
                <w:sz w:val="24"/>
                <w:szCs w:val="24"/>
                <w:vertAlign w:val="baseline"/>
                <w:lang w:val="en-US" w:eastAsia="zh-CN"/>
              </w:rPr>
            </w:pPr>
            <w:r>
              <w:rPr>
                <w:rFonts w:hint="eastAsia"/>
                <w:sz w:val="24"/>
                <w:szCs w:val="24"/>
                <w:vertAlign w:val="baseline"/>
                <w:lang w:val="en-US" w:eastAsia="zh-CN"/>
              </w:rPr>
              <w:t>內容</w:t>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功能</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所屬部分</w:t>
            </w:r>
          </w:p>
        </w:tc>
        <w:tc>
          <w:tcPr>
            <w:tcW w:w="4197" w:type="dxa"/>
          </w:tcPr>
          <w:p>
            <w:pPr>
              <w:bidi w:val="0"/>
              <w:jc w:val="both"/>
              <w:rPr>
                <w:rFonts w:hint="default"/>
                <w:sz w:val="24"/>
                <w:szCs w:val="24"/>
                <w:vertAlign w:val="baseline"/>
                <w:lang w:val="en-US" w:eastAsia="zh-CN"/>
              </w:rPr>
            </w:pPr>
            <w:r>
              <w:rPr>
                <w:rFonts w:hint="eastAsia"/>
                <w:sz w:val="24"/>
                <w:szCs w:val="24"/>
                <w:vertAlign w:val="baseline"/>
                <w:lang w:val="en-US" w:eastAsia="zh-CN"/>
              </w:rPr>
              <w:t>結構主旨及作用</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「南郭子綦隱机而坐」</w:t>
            </w:r>
            <w:r>
              <w:rPr>
                <w:rFonts w:hint="eastAsia"/>
                <w:sz w:val="24"/>
                <w:szCs w:val="24"/>
                <w:vertAlign w:val="baseline"/>
                <w:lang w:val="en-US" w:eastAsia="zh-CN"/>
              </w:rPr>
              <w:t>到</w:t>
            </w:r>
            <w:r>
              <w:rPr>
                <w:rFonts w:hint="eastAsia"/>
                <w:lang w:val="en-US" w:eastAsia="zh-CN"/>
              </w:rPr>
              <w:t>「怒者其誰邪」</w:t>
            </w:r>
            <w:r>
              <w:rPr>
                <w:rStyle w:val="14"/>
                <w:rFonts w:hint="eastAsia"/>
                <w:lang w:val="en-US" w:eastAsia="zh-CN"/>
              </w:rPr>
              <w:footnoteReference w:id="13"/>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引論0</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第一部分</w:t>
            </w:r>
          </w:p>
        </w:tc>
        <w:tc>
          <w:tcPr>
            <w:tcW w:w="4197"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透過</w:t>
            </w:r>
            <w:r>
              <w:rPr>
                <w:rFonts w:hint="default"/>
                <w:sz w:val="24"/>
                <w:szCs w:val="24"/>
                <w:vertAlign w:val="baseline"/>
                <w:lang w:val="en-US" w:eastAsia="zh-CN"/>
              </w:rPr>
              <w:t>南郭子綦</w:t>
            </w:r>
            <w:r>
              <w:rPr>
                <w:rFonts w:hint="eastAsia"/>
                <w:sz w:val="24"/>
                <w:szCs w:val="24"/>
                <w:vertAlign w:val="baseline"/>
                <w:lang w:val="en-US" w:eastAsia="zh-CN"/>
              </w:rPr>
              <w:t>與</w:t>
            </w:r>
            <w:r>
              <w:rPr>
                <w:rFonts w:hint="eastAsia" w:ascii="PMingLiU" w:hAnsi="PMingLiU" w:eastAsia="PMingLiU" w:cs="PMingLiU"/>
                <w:sz w:val="24"/>
                <w:szCs w:val="24"/>
                <w:lang w:val="en-US" w:eastAsia="zh-CN"/>
              </w:rPr>
              <w:t>顏成子遊</w:t>
            </w:r>
            <w:r>
              <w:rPr>
                <w:rFonts w:hint="eastAsia" w:ascii="PMingLiU" w:hAnsi="PMingLiU" w:cs="PMingLiU"/>
                <w:sz w:val="24"/>
                <w:szCs w:val="24"/>
                <w:lang w:val="en-US" w:eastAsia="zh-CN"/>
              </w:rPr>
              <w:t>的對話，引出「天籟」的譬喻，用以表現「道」</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eastAsia"/>
                <w:lang w:val="en-US" w:eastAsia="zh-CN"/>
              </w:rPr>
              <w:t>「大知閑閑，小知閒閒」到「而莫知其所萌」</w:t>
            </w:r>
            <w:r>
              <w:rPr>
                <w:rStyle w:val="14"/>
                <w:rFonts w:hint="eastAsia"/>
                <w:lang w:val="en-US" w:eastAsia="zh-CN"/>
              </w:rPr>
              <w:footnoteReference w:id="14"/>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理論論述1</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透過對現實世界中一切社會議論的批判，引出</w:t>
            </w:r>
            <w:r>
              <w:rPr>
                <w:rFonts w:hint="eastAsia"/>
                <w:sz w:val="24"/>
                <w:szCs w:val="24"/>
                <w:vertAlign w:val="baseline"/>
                <w:lang w:val="en-US" w:eastAsia="zh-CN"/>
              </w:rPr>
              <w:t>全篇核心議題</w:t>
            </w:r>
            <w:r>
              <w:rPr>
                <w:rFonts w:hint="default"/>
                <w:sz w:val="24"/>
                <w:szCs w:val="24"/>
                <w:vertAlign w:val="baseline"/>
                <w:lang w:val="en-US" w:eastAsia="zh-CN"/>
              </w:rPr>
              <w:t>，解決「為什麼」的問題</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eastAsia"/>
                <w:lang w:val="en-US" w:eastAsia="zh-CN"/>
              </w:rPr>
            </w:pPr>
            <w:r>
              <w:rPr>
                <w:rFonts w:hint="default"/>
                <w:sz w:val="24"/>
                <w:szCs w:val="24"/>
                <w:vertAlign w:val="baseline"/>
                <w:lang w:val="en-US" w:eastAsia="zh-CN"/>
              </w:rPr>
              <w:t>「已乎，已乎！」</w:t>
            </w:r>
            <w:r>
              <w:rPr>
                <w:rFonts w:hint="eastAsia"/>
                <w:lang w:val="en-US" w:eastAsia="zh-CN"/>
              </w:rPr>
              <w:t>到「不知其所為使」</w:t>
            </w:r>
            <w:r>
              <w:rPr>
                <w:rStyle w:val="14"/>
                <w:rFonts w:hint="eastAsia"/>
                <w:lang w:val="en-US" w:eastAsia="zh-CN"/>
              </w:rPr>
              <w:footnoteReference w:id="15"/>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理論論述2</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提出</w:t>
            </w:r>
            <w:r>
              <w:rPr>
                <w:rFonts w:hint="default"/>
                <w:sz w:val="24"/>
                <w:szCs w:val="24"/>
                <w:vertAlign w:val="baseline"/>
                <w:lang w:val="en-US" w:eastAsia="zh-CN"/>
              </w:rPr>
              <w:t>核心觀點1「非彼無我，非我無所取」，指出事物的相對性</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989" w:hRule="atLeast"/>
        </w:trPr>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「若有真宰」</w:t>
            </w:r>
            <w:r>
              <w:rPr>
                <w:rFonts w:hint="eastAsia"/>
                <w:lang w:val="en-US" w:eastAsia="zh-CN"/>
              </w:rPr>
              <w:t>到「無益損乎其真」</w:t>
            </w:r>
            <w:r>
              <w:rPr>
                <w:rStyle w:val="14"/>
                <w:rFonts w:hint="eastAsia"/>
                <w:lang w:val="en-US" w:eastAsia="zh-CN"/>
              </w:rPr>
              <w:footnoteReference w:id="16"/>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輔論1</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以</w:t>
            </w:r>
            <w:r>
              <w:rPr>
                <w:rFonts w:hint="default"/>
                <w:sz w:val="24"/>
                <w:szCs w:val="24"/>
                <w:vertAlign w:val="baseline"/>
                <w:lang w:val="en-US" w:eastAsia="zh-CN"/>
              </w:rPr>
              <w:t>人體眾器官能不需引導正常運行為例，指出萬物規律背後應當有一「真宰」的存在</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「一受其成形不亡以待盡」</w:t>
            </w:r>
            <w:r>
              <w:rPr>
                <w:rFonts w:hint="eastAsia"/>
                <w:lang w:val="en-US" w:eastAsia="zh-CN"/>
              </w:rPr>
              <w:t>到「而人亦有不芒者乎」</w:t>
            </w:r>
            <w:r>
              <w:rPr>
                <w:rStyle w:val="14"/>
                <w:rFonts w:hint="eastAsia"/>
                <w:lang w:val="en-US" w:eastAsia="zh-CN"/>
              </w:rPr>
              <w:footnoteReference w:id="17"/>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理論論述3</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論</w:t>
            </w:r>
            <w:r>
              <w:rPr>
                <w:rFonts w:hint="default"/>
                <w:sz w:val="24"/>
                <w:szCs w:val="24"/>
                <w:vertAlign w:val="baseline"/>
                <w:lang w:val="en-US" w:eastAsia="zh-CN"/>
              </w:rPr>
              <w:t>述人這一生不斷消亡的過程</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「夫隨其成心而師之」</w:t>
            </w:r>
            <w:r>
              <w:rPr>
                <w:rFonts w:hint="eastAsia"/>
                <w:lang w:val="en-US" w:eastAsia="zh-CN"/>
              </w:rPr>
              <w:t>到「吾獨且柰何哉」</w:t>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理論論述4</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論</w:t>
            </w:r>
            <w:r>
              <w:rPr>
                <w:rFonts w:hint="default"/>
                <w:sz w:val="24"/>
                <w:szCs w:val="24"/>
                <w:vertAlign w:val="baseline"/>
                <w:lang w:val="en-US" w:eastAsia="zh-CN"/>
              </w:rPr>
              <w:t>述</w:t>
            </w:r>
            <w:r>
              <w:rPr>
                <w:rFonts w:hint="default"/>
                <w:sz w:val="24"/>
                <w:szCs w:val="24"/>
                <w:vertAlign w:val="baseline"/>
                <w:lang w:val="en-US" w:eastAsia="zh-CN"/>
              </w:rPr>
              <w:t>了「成心」即人的三觀對於人的言語，行為以及是非觀的影響</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「夫言非吹也」</w:t>
            </w:r>
            <w:r>
              <w:rPr>
                <w:rFonts w:hint="eastAsia"/>
                <w:lang w:val="en-US" w:eastAsia="zh-CN"/>
              </w:rPr>
              <w:t>到「則莫若以明」</w:t>
            </w:r>
            <w:r>
              <w:rPr>
                <w:rStyle w:val="14"/>
                <w:rFonts w:hint="eastAsia"/>
                <w:lang w:val="en-US" w:eastAsia="zh-CN"/>
              </w:rPr>
              <w:footnoteReference w:id="18"/>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理論論述5</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提出</w:t>
            </w:r>
            <w:r>
              <w:rPr>
                <w:rFonts w:hint="default"/>
                <w:sz w:val="24"/>
                <w:szCs w:val="24"/>
                <w:vertAlign w:val="baseline"/>
                <w:lang w:val="en-US" w:eastAsia="zh-CN"/>
              </w:rPr>
              <w:t>核心觀點2「道隱於小成，言隱於榮華」，指出應當跳脫出事物的表象去看其本質</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「物無非彼」</w:t>
            </w:r>
            <w:r>
              <w:rPr>
                <w:rFonts w:hint="eastAsia"/>
                <w:lang w:val="en-US" w:eastAsia="zh-CN"/>
              </w:rPr>
              <w:t>到「謂之道」</w:t>
            </w:r>
            <w:r>
              <w:rPr>
                <w:rStyle w:val="14"/>
                <w:rFonts w:hint="eastAsia"/>
                <w:lang w:val="en-US" w:eastAsia="zh-CN"/>
              </w:rPr>
              <w:footnoteReference w:id="19"/>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理論論述6</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提出</w:t>
            </w:r>
            <w:r>
              <w:rPr>
                <w:rFonts w:hint="default"/>
                <w:sz w:val="24"/>
                <w:szCs w:val="24"/>
                <w:vertAlign w:val="baseline"/>
                <w:lang w:val="en-US" w:eastAsia="zh-CN"/>
              </w:rPr>
              <w:t>核心觀點3「物無非彼，物無非是」，論證事物對立的兩個方面是相互依存的，其源頭並無分別，因此應當跳脫出片面的一方，從更高的層次掌握事物發展的規律，即</w:t>
            </w:r>
            <w:r>
              <w:rPr>
                <w:rFonts w:hint="default"/>
                <w:sz w:val="24"/>
                <w:szCs w:val="24"/>
                <w:vertAlign w:val="baseline"/>
                <w:lang w:val="en-US" w:eastAsia="zh-CN"/>
              </w:rPr>
              <w:t>「</w:t>
            </w:r>
            <w:r>
              <w:rPr>
                <w:rFonts w:hint="default"/>
                <w:sz w:val="24"/>
                <w:szCs w:val="24"/>
                <w:vertAlign w:val="baseline"/>
                <w:lang w:val="en-US" w:eastAsia="zh-CN"/>
              </w:rPr>
              <w:t>道</w:t>
            </w:r>
            <w:r>
              <w:rPr>
                <w:rFonts w:hint="default"/>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「勞神明為一而不知其同也」到「是之謂兩行」</w:t>
            </w:r>
            <w:r>
              <w:rPr>
                <w:rStyle w:val="14"/>
                <w:rFonts w:hint="default"/>
                <w:sz w:val="24"/>
                <w:szCs w:val="24"/>
                <w:lang w:val="en-US" w:eastAsia="zh-CN"/>
              </w:rPr>
              <w:footnoteReference w:id="20"/>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輔論2</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運用「朝三暮四」的寓言故事，進一步說明一切是非爭端是毫無意義的，聖人能夠看清楚事情的本源自然能不為世間的是非所牽累</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「古之人」</w:t>
            </w:r>
            <w:r>
              <w:rPr>
                <w:rFonts w:hint="default"/>
                <w:sz w:val="24"/>
                <w:szCs w:val="24"/>
                <w:vertAlign w:val="baseline"/>
                <w:lang w:val="en-US" w:eastAsia="zh-CN"/>
              </w:rPr>
              <w:t>到「愛之所以成」</w:t>
            </w:r>
            <w:r>
              <w:rPr>
                <w:rStyle w:val="14"/>
                <w:rFonts w:hint="default"/>
                <w:sz w:val="24"/>
                <w:szCs w:val="24"/>
                <w:lang w:val="en-US" w:eastAsia="zh-CN"/>
              </w:rPr>
              <w:footnoteReference w:id="21"/>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理論論述7</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對於聖賢境界高低的描述，並闡明愛之所以產生的原因。</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「果且有成與虧乎哉」</w:t>
            </w:r>
            <w:r>
              <w:rPr>
                <w:rFonts w:hint="default"/>
                <w:sz w:val="24"/>
                <w:szCs w:val="24"/>
                <w:vertAlign w:val="baseline"/>
                <w:lang w:val="en-US" w:eastAsia="zh-CN"/>
              </w:rPr>
              <w:t>到「此之謂以明」</w:t>
            </w:r>
            <w:r>
              <w:rPr>
                <w:rStyle w:val="14"/>
                <w:rFonts w:hint="default"/>
                <w:sz w:val="24"/>
                <w:szCs w:val="24"/>
                <w:lang w:val="en-US" w:eastAsia="zh-CN"/>
              </w:rPr>
              <w:footnoteReference w:id="22"/>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輔論3</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先通過昭文鼓琴的例子說明音節的差異才能帶來美妙的音樂，隨後又用三人所謂的成功來說明這樣的偏好本質上是對道的認知尚且片面，只有真正的聖人能夠透過表象，看到本質即</w:t>
            </w:r>
            <w:r>
              <w:rPr>
                <w:rFonts w:hint="default"/>
                <w:sz w:val="24"/>
                <w:szCs w:val="24"/>
                <w:vertAlign w:val="baseline"/>
                <w:lang w:val="en-US" w:eastAsia="zh-CN"/>
              </w:rPr>
              <w:t>「道」</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trHeight w:val="1476" w:hRule="atLeast"/>
        </w:trPr>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「今且有言於此」</w:t>
            </w:r>
            <w:r>
              <w:rPr>
                <w:rFonts w:hint="default"/>
                <w:sz w:val="24"/>
                <w:szCs w:val="24"/>
                <w:vertAlign w:val="baseline"/>
                <w:lang w:val="en-US" w:eastAsia="zh-CN"/>
              </w:rPr>
              <w:t>到「因是已」</w:t>
            </w:r>
            <w:r>
              <w:rPr>
                <w:rStyle w:val="14"/>
                <w:rFonts w:hint="default"/>
                <w:sz w:val="24"/>
                <w:szCs w:val="24"/>
                <w:lang w:val="en-US" w:eastAsia="zh-CN"/>
              </w:rPr>
              <w:footnoteReference w:id="23"/>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理論論述8</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提出</w:t>
            </w:r>
            <w:r>
              <w:rPr>
                <w:rFonts w:hint="default"/>
                <w:sz w:val="24"/>
                <w:szCs w:val="24"/>
                <w:vertAlign w:val="baseline"/>
                <w:lang w:val="en-US" w:eastAsia="zh-CN"/>
              </w:rPr>
              <w:t>核心觀點4「天地與我並生，而萬物與我為一」，事物是具有相對性的，而天下與我皆為一，就沒有所謂的對立了，一切的「言」在「一」的背景下就失去了意義與價值</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「夫道未始有封」</w:t>
            </w:r>
            <w:r>
              <w:rPr>
                <w:rFonts w:hint="default"/>
                <w:sz w:val="24"/>
                <w:szCs w:val="24"/>
                <w:vertAlign w:val="baseline"/>
                <w:lang w:val="en-US" w:eastAsia="zh-CN"/>
              </w:rPr>
              <w:t>到「此之謂葆光」</w:t>
            </w:r>
            <w:r>
              <w:rPr>
                <w:rStyle w:val="14"/>
                <w:rFonts w:hint="default"/>
                <w:sz w:val="24"/>
                <w:szCs w:val="24"/>
                <w:lang w:val="en-US" w:eastAsia="zh-CN"/>
              </w:rPr>
              <w:footnoteReference w:id="24"/>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理論論述9</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對於聖人的行為與境界加以描述，補充說明前文論點</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「故昔者堯問於舜」</w:t>
            </w:r>
            <w:r>
              <w:rPr>
                <w:rFonts w:hint="eastAsia"/>
                <w:sz w:val="24"/>
                <w:szCs w:val="24"/>
                <w:vertAlign w:val="baseline"/>
                <w:lang w:val="en-US" w:eastAsia="zh-CN"/>
              </w:rPr>
              <w:t>到</w:t>
            </w:r>
            <w:r>
              <w:rPr>
                <w:rFonts w:hint="default"/>
                <w:sz w:val="24"/>
                <w:szCs w:val="24"/>
                <w:vertAlign w:val="baseline"/>
                <w:lang w:val="en-US" w:eastAsia="zh-CN"/>
              </w:rPr>
              <w:t>「而況德之進乎日者乎」</w:t>
            </w:r>
            <w:r>
              <w:rPr>
                <w:rStyle w:val="14"/>
                <w:rFonts w:hint="default"/>
                <w:sz w:val="24"/>
                <w:szCs w:val="24"/>
                <w:lang w:val="en-US" w:eastAsia="zh-CN"/>
              </w:rPr>
              <w:footnoteReference w:id="25"/>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輔論4</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第二部分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運用堯舜的對話輔助說明前文「大道不稱」等聖人行徑的實際展現。</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w:t>
            </w:r>
            <w:r>
              <w:rPr>
                <w:rFonts w:hint="eastAsia" w:ascii="PMingLiU" w:hAnsi="PMingLiU" w:eastAsia="PMingLiU" w:cs="PMingLiU"/>
                <w:sz w:val="24"/>
                <w:szCs w:val="24"/>
                <w:lang w:val="en-US" w:eastAsia="zh-CN"/>
              </w:rPr>
              <w:t>齧缺問乎王倪</w:t>
            </w:r>
            <w:r>
              <w:rPr>
                <w:rFonts w:hint="default"/>
                <w:sz w:val="24"/>
                <w:szCs w:val="24"/>
                <w:vertAlign w:val="baseline"/>
                <w:lang w:val="en-US" w:eastAsia="zh-CN"/>
              </w:rPr>
              <w:t>」</w:t>
            </w:r>
            <w:r>
              <w:rPr>
                <w:rFonts w:hint="eastAsia"/>
                <w:sz w:val="24"/>
                <w:szCs w:val="24"/>
                <w:vertAlign w:val="baseline"/>
                <w:lang w:val="en-US" w:eastAsia="zh-CN"/>
              </w:rPr>
              <w:t>到</w:t>
            </w:r>
            <w:r>
              <w:rPr>
                <w:rFonts w:hint="default"/>
                <w:sz w:val="24"/>
                <w:szCs w:val="24"/>
                <w:vertAlign w:val="baseline"/>
                <w:lang w:val="en-US" w:eastAsia="zh-CN"/>
              </w:rPr>
              <w:t>「</w:t>
            </w:r>
            <w:r>
              <w:rPr>
                <w:rFonts w:hint="eastAsia" w:ascii="PMingLiU" w:hAnsi="PMingLiU" w:eastAsia="PMingLiU" w:cs="PMingLiU"/>
                <w:sz w:val="24"/>
                <w:szCs w:val="24"/>
                <w:lang w:val="en-US" w:eastAsia="zh-CN"/>
              </w:rPr>
              <w:t>而況利害之端乎</w:t>
            </w:r>
            <w:r>
              <w:rPr>
                <w:rFonts w:hint="default"/>
                <w:sz w:val="24"/>
                <w:szCs w:val="24"/>
                <w:vertAlign w:val="baseline"/>
                <w:lang w:val="en-US" w:eastAsia="zh-CN"/>
              </w:rPr>
              <w:t>」</w:t>
            </w:r>
            <w:r>
              <w:rPr>
                <w:rStyle w:val="14"/>
                <w:rFonts w:hint="default"/>
                <w:sz w:val="24"/>
                <w:szCs w:val="24"/>
                <w:lang w:val="en-US" w:eastAsia="zh-CN"/>
              </w:rPr>
              <w:footnoteReference w:id="26"/>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輔論5</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第三部分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透過齧缺與王倪的對話，進一步論述莊子世間萬物對立統一，溯本為一的觀點。</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w:t>
            </w:r>
            <w:r>
              <w:rPr>
                <w:rFonts w:hint="eastAsia" w:ascii="PMingLiU" w:hAnsi="PMingLiU" w:eastAsia="PMingLiU" w:cs="PMingLiU"/>
                <w:sz w:val="24"/>
                <w:szCs w:val="24"/>
                <w:lang w:val="en-US" w:eastAsia="zh-CN"/>
              </w:rPr>
              <w:t>瞿鵲子問乎長梧子</w:t>
            </w:r>
            <w:r>
              <w:rPr>
                <w:rFonts w:hint="default"/>
                <w:sz w:val="24"/>
                <w:szCs w:val="24"/>
                <w:vertAlign w:val="baseline"/>
                <w:lang w:val="en-US" w:eastAsia="zh-CN"/>
              </w:rPr>
              <w:t>」</w:t>
            </w:r>
            <w:r>
              <w:rPr>
                <w:rFonts w:hint="eastAsia"/>
                <w:sz w:val="24"/>
                <w:szCs w:val="24"/>
                <w:vertAlign w:val="baseline"/>
                <w:lang w:val="en-US" w:eastAsia="zh-CN"/>
              </w:rPr>
              <w:t>到</w:t>
            </w:r>
            <w:r>
              <w:rPr>
                <w:rFonts w:hint="default"/>
                <w:sz w:val="24"/>
                <w:szCs w:val="24"/>
                <w:vertAlign w:val="baseline"/>
                <w:lang w:val="en-US" w:eastAsia="zh-CN"/>
              </w:rPr>
              <w:t>「</w:t>
            </w:r>
            <w:r>
              <w:rPr>
                <w:rFonts w:hint="eastAsia" w:ascii="PMingLiU" w:hAnsi="PMingLiU" w:eastAsia="PMingLiU" w:cs="PMingLiU"/>
                <w:sz w:val="24"/>
                <w:szCs w:val="24"/>
                <w:lang w:val="en-US" w:eastAsia="zh-CN"/>
              </w:rPr>
              <w:t>是旦暮遇之也</w:t>
            </w:r>
            <w:r>
              <w:rPr>
                <w:rFonts w:hint="default"/>
                <w:sz w:val="24"/>
                <w:szCs w:val="24"/>
                <w:vertAlign w:val="baseline"/>
                <w:lang w:val="en-US" w:eastAsia="zh-CN"/>
              </w:rPr>
              <w:t>」</w:t>
            </w:r>
            <w:r>
              <w:rPr>
                <w:rStyle w:val="14"/>
                <w:rFonts w:hint="default"/>
                <w:sz w:val="24"/>
                <w:szCs w:val="24"/>
                <w:lang w:val="en-US" w:eastAsia="zh-CN"/>
              </w:rPr>
              <w:footnoteReference w:id="27"/>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輔論6</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第四部分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在對話中，通過舉例子等方式具體說明聖人處世的態度和方式</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「既使我與若辯矣」</w:t>
            </w:r>
            <w:r>
              <w:rPr>
                <w:rFonts w:hint="eastAsia"/>
                <w:sz w:val="24"/>
                <w:szCs w:val="24"/>
                <w:vertAlign w:val="baseline"/>
                <w:lang w:val="en-US" w:eastAsia="zh-CN"/>
              </w:rPr>
              <w:t>到</w:t>
            </w:r>
            <w:r>
              <w:rPr>
                <w:rFonts w:hint="default"/>
                <w:sz w:val="24"/>
                <w:szCs w:val="24"/>
                <w:vertAlign w:val="baseline"/>
                <w:lang w:val="en-US" w:eastAsia="zh-CN"/>
              </w:rPr>
              <w:t>「故寓諸無竟」</w:t>
            </w:r>
            <w:r>
              <w:rPr>
                <w:rStyle w:val="14"/>
                <w:rFonts w:hint="default"/>
                <w:sz w:val="24"/>
                <w:szCs w:val="24"/>
                <w:lang w:val="en-US" w:eastAsia="zh-CN"/>
              </w:rPr>
              <w:footnoteReference w:id="28"/>
            </w:r>
          </w:p>
        </w:tc>
        <w:tc>
          <w:tcPr>
            <w:tcW w:w="1406"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理論論述10</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第四部分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引出核心觀點「化聲之相待，若其不相待」。透過正反邏輯的辨析，指出世間沒有所謂絕對正確或錯誤的觀點，因為沒有能夠用來評判的標準。因此應當放下對於是非對錯的執著，而置身於自然之中，方能享盡天年</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「罔兩問景曰」</w:t>
            </w:r>
            <w:r>
              <w:rPr>
                <w:rFonts w:hint="eastAsia"/>
                <w:sz w:val="24"/>
                <w:szCs w:val="24"/>
                <w:vertAlign w:val="baseline"/>
                <w:lang w:val="en-US" w:eastAsia="zh-CN"/>
              </w:rPr>
              <w:t>到</w:t>
            </w:r>
            <w:r>
              <w:rPr>
                <w:rFonts w:hint="default"/>
                <w:sz w:val="24"/>
                <w:szCs w:val="24"/>
                <w:vertAlign w:val="baseline"/>
                <w:lang w:val="en-US" w:eastAsia="zh-CN"/>
              </w:rPr>
              <w:t>「惡識所以不然」</w:t>
            </w:r>
            <w:r>
              <w:rPr>
                <w:rStyle w:val="14"/>
                <w:rFonts w:hint="default"/>
                <w:sz w:val="24"/>
                <w:szCs w:val="24"/>
                <w:lang w:val="en-US" w:eastAsia="zh-CN"/>
              </w:rPr>
              <w:footnoteReference w:id="29"/>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輔論7</w:t>
            </w:r>
          </w:p>
        </w:tc>
        <w:tc>
          <w:tcPr>
            <w:tcW w:w="1185" w:type="dxa"/>
          </w:tcPr>
          <w:p>
            <w:pPr>
              <w:bidi w:val="0"/>
              <w:ind w:left="0" w:leftChars="0" w:firstLine="0" w:firstLineChars="0"/>
              <w:jc w:val="both"/>
              <w:rPr>
                <w:rFonts w:hint="eastAsia"/>
                <w:sz w:val="24"/>
                <w:szCs w:val="24"/>
                <w:vertAlign w:val="baseline"/>
                <w:lang w:val="en-US" w:eastAsia="zh-CN"/>
              </w:rPr>
            </w:pPr>
            <w:r>
              <w:rPr>
                <w:rFonts w:hint="eastAsia"/>
                <w:sz w:val="24"/>
                <w:szCs w:val="24"/>
                <w:vertAlign w:val="baseline"/>
                <w:lang w:val="en-US" w:eastAsia="zh-CN"/>
              </w:rPr>
              <w:t>第五部分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用罔兩與影子對話的寓言，補充說明了世間人為什麼要執著於本無意義的是非對錯，正是因為在思想上被固有觀念所束縛，進而無法達到「寓諸無竟」境界</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2454"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w:t>
            </w:r>
            <w:r>
              <w:rPr>
                <w:rFonts w:hint="eastAsia" w:ascii="PMingLiU" w:hAnsi="PMingLiU" w:eastAsia="PMingLiU" w:cs="PMingLiU"/>
                <w:sz w:val="24"/>
                <w:szCs w:val="24"/>
                <w:lang w:val="en-US" w:eastAsia="zh-CN"/>
              </w:rPr>
              <w:t>昔者莊周夢為蝴蝶</w:t>
            </w:r>
            <w:r>
              <w:rPr>
                <w:rFonts w:hint="default"/>
                <w:sz w:val="24"/>
                <w:szCs w:val="24"/>
                <w:vertAlign w:val="baseline"/>
                <w:lang w:val="en-US" w:eastAsia="zh-CN"/>
              </w:rPr>
              <w:t>」</w:t>
            </w:r>
            <w:r>
              <w:rPr>
                <w:rFonts w:hint="eastAsia"/>
                <w:sz w:val="24"/>
                <w:szCs w:val="24"/>
                <w:vertAlign w:val="baseline"/>
                <w:lang w:val="en-US" w:eastAsia="zh-CN"/>
              </w:rPr>
              <w:t>到</w:t>
            </w:r>
            <w:r>
              <w:rPr>
                <w:rFonts w:hint="default"/>
                <w:sz w:val="24"/>
                <w:szCs w:val="24"/>
                <w:vertAlign w:val="baseline"/>
                <w:lang w:val="en-US" w:eastAsia="zh-CN"/>
              </w:rPr>
              <w:t>「</w:t>
            </w:r>
            <w:r>
              <w:rPr>
                <w:rFonts w:hint="eastAsia" w:ascii="PMingLiU" w:hAnsi="PMingLiU" w:eastAsia="PMingLiU" w:cs="PMingLiU"/>
                <w:sz w:val="24"/>
                <w:szCs w:val="24"/>
                <w:lang w:val="en-US" w:eastAsia="zh-CN"/>
              </w:rPr>
              <w:t>此之謂物化</w:t>
            </w:r>
            <w:r>
              <w:rPr>
                <w:rFonts w:hint="default"/>
                <w:sz w:val="24"/>
                <w:szCs w:val="24"/>
                <w:vertAlign w:val="baseline"/>
                <w:lang w:val="en-US" w:eastAsia="zh-CN"/>
              </w:rPr>
              <w:t>」</w:t>
            </w:r>
            <w:r>
              <w:rPr>
                <w:rStyle w:val="14"/>
                <w:rFonts w:hint="default"/>
                <w:sz w:val="24"/>
                <w:szCs w:val="24"/>
                <w:lang w:val="en-US" w:eastAsia="zh-CN"/>
              </w:rPr>
              <w:footnoteReference w:id="30"/>
            </w:r>
          </w:p>
        </w:tc>
        <w:tc>
          <w:tcPr>
            <w:tcW w:w="1406"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譬喻</w:t>
            </w:r>
            <w:r>
              <w:rPr>
                <w:rFonts w:hint="eastAsia"/>
                <w:sz w:val="24"/>
                <w:szCs w:val="24"/>
                <w:vertAlign w:val="baseline"/>
                <w:lang w:val="en-US" w:eastAsia="zh-CN"/>
              </w:rPr>
              <w:t>輔論8</w:t>
            </w:r>
          </w:p>
        </w:tc>
        <w:tc>
          <w:tcPr>
            <w:tcW w:w="1185" w:type="dxa"/>
          </w:tcPr>
          <w:p>
            <w:pPr>
              <w:bidi w:val="0"/>
              <w:ind w:left="0" w:leftChars="0" w:firstLine="0" w:firstLineChars="0"/>
              <w:jc w:val="both"/>
              <w:rPr>
                <w:rFonts w:hint="default"/>
                <w:sz w:val="24"/>
                <w:szCs w:val="24"/>
                <w:vertAlign w:val="baseline"/>
                <w:lang w:val="en-US" w:eastAsia="zh-CN"/>
              </w:rPr>
            </w:pPr>
            <w:r>
              <w:rPr>
                <w:rFonts w:hint="eastAsia"/>
                <w:sz w:val="24"/>
                <w:szCs w:val="24"/>
                <w:vertAlign w:val="baseline"/>
                <w:lang w:val="en-US" w:eastAsia="zh-CN"/>
              </w:rPr>
              <w:t>第六部分</w:t>
            </w:r>
          </w:p>
        </w:tc>
        <w:tc>
          <w:tcPr>
            <w:tcW w:w="4197" w:type="dxa"/>
          </w:tcPr>
          <w:p>
            <w:pPr>
              <w:bidi w:val="0"/>
              <w:ind w:left="0" w:leftChars="0" w:firstLine="0" w:firstLineChars="0"/>
              <w:jc w:val="both"/>
              <w:rPr>
                <w:rFonts w:hint="default"/>
                <w:sz w:val="24"/>
                <w:szCs w:val="24"/>
                <w:vertAlign w:val="baseline"/>
                <w:lang w:val="en-US" w:eastAsia="zh-CN"/>
              </w:rPr>
            </w:pPr>
            <w:r>
              <w:rPr>
                <w:rFonts w:hint="default"/>
                <w:sz w:val="24"/>
                <w:szCs w:val="24"/>
                <w:vertAlign w:val="baseline"/>
                <w:lang w:val="en-US" w:eastAsia="zh-CN"/>
              </w:rPr>
              <w:t>用莊周夢蝶的寓言，補充說明了物我同化的概念，萬物之間本就渾然一體，進一步表現了核心觀點4</w:t>
            </w:r>
          </w:p>
        </w:tc>
      </w:tr>
    </w:tbl>
    <w:p>
      <w:pPr>
        <w:bidi w:val="0"/>
        <w:jc w:val="center"/>
        <w:rPr>
          <w:rFonts w:hint="eastAsia"/>
          <w:sz w:val="24"/>
          <w:szCs w:val="24"/>
          <w:lang w:val="en-US" w:eastAsia="zh-CN"/>
        </w:rPr>
      </w:pPr>
      <w:r>
        <w:rPr>
          <w:rFonts w:hint="eastAsia"/>
          <w:sz w:val="24"/>
          <w:szCs w:val="24"/>
          <w:lang w:val="en-US" w:eastAsia="zh-CN"/>
        </w:rPr>
        <w:t>表2</w:t>
      </w:r>
    </w:p>
    <w:p>
      <w:pPr>
        <w:pStyle w:val="3"/>
        <w:bidi w:val="0"/>
        <w:rPr>
          <w:rFonts w:hint="default"/>
          <w:lang w:val="en-US" w:eastAsia="zh-CN"/>
        </w:rPr>
      </w:pPr>
      <w:r>
        <w:rPr>
          <w:rFonts w:hint="eastAsia"/>
          <w:lang w:val="en-US" w:eastAsia="zh-CN"/>
        </w:rPr>
        <w:t>三、節錄原則分析</w:t>
      </w:r>
    </w:p>
    <w:p>
      <w:pPr>
        <w:bidi w:val="0"/>
        <w:jc w:val="both"/>
        <w:rPr>
          <w:rFonts w:hint="eastAsia"/>
          <w:lang w:val="en-US" w:eastAsia="zh-CN"/>
        </w:rPr>
      </w:pPr>
      <w:r>
        <w:rPr>
          <w:rFonts w:hint="eastAsia"/>
          <w:sz w:val="24"/>
          <w:szCs w:val="24"/>
          <w:lang w:val="en-US" w:eastAsia="zh-CN"/>
        </w:rPr>
        <w:t>由上表2可見，整篇文章結構環環相扣，屬於「理論」論述的部分一共為10個區塊，而屬於「譬喻」論述的部分則一共為9個區塊，二者互為</w:t>
      </w:r>
      <w:r>
        <w:rPr>
          <w:rFonts w:hint="eastAsia"/>
          <w:sz w:val="24"/>
          <w:szCs w:val="24"/>
          <w:lang w:val="en-US" w:eastAsia="zh-CN"/>
        </w:rPr>
        <w:t>依襯，最終完成了對文章核心精神的傳達。將其帶入到表1《國學治要》刪節的部分，我們發現在《國學治要》刪節版〈齊物論〉（下文簡稱〈齊物論（節錄）〉）當中，「理論」論述的部分僅保留了其中的區塊1至區塊4，而「譬喻」部分則保留了區塊0，區塊1以及區塊5至區塊8。</w:t>
      </w:r>
      <w:r>
        <w:rPr>
          <w:rFonts w:hint="eastAsia"/>
          <w:sz w:val="24"/>
          <w:szCs w:val="24"/>
          <w:lang w:val="en-US" w:eastAsia="zh-CN"/>
        </w:rPr>
        <w:t>由此我們可以總結出其第一條</w:t>
      </w:r>
      <w:r>
        <w:rPr>
          <w:rFonts w:hint="eastAsia"/>
          <w:sz w:val="24"/>
          <w:szCs w:val="24"/>
          <w:lang w:val="en-US" w:eastAsia="zh-CN"/>
        </w:rPr>
        <w:t>節錄</w:t>
      </w:r>
      <w:r>
        <w:rPr>
          <w:rFonts w:hint="eastAsia"/>
          <w:sz w:val="24"/>
          <w:szCs w:val="24"/>
          <w:lang w:val="en-US" w:eastAsia="zh-CN"/>
        </w:rPr>
        <w:t>原則，即在盡量簡化說理性的內容的同時盡可能保留譬喻的內容以方便讀者理解，這或許也與其編書之初便想要成為「</w:t>
      </w:r>
      <w:r>
        <w:rPr>
          <w:rFonts w:hint="eastAsia"/>
          <w:lang w:val="en-US" w:eastAsia="zh-CN"/>
        </w:rPr>
        <w:t>現今高級中學教本之用」有關，相對少的理論性質的文字搭配盡可能多的譬喻能夠幫助學生更容易把握文章的主旨要義。</w:t>
      </w:r>
    </w:p>
    <w:p>
      <w:pPr>
        <w:bidi w:val="0"/>
        <w:jc w:val="both"/>
        <w:rPr>
          <w:rFonts w:hint="eastAsia"/>
          <w:sz w:val="24"/>
          <w:szCs w:val="24"/>
          <w:lang w:val="en-US" w:eastAsia="zh-CN"/>
        </w:rPr>
      </w:pPr>
      <w:r>
        <w:rPr>
          <w:rFonts w:hint="eastAsia"/>
          <w:lang w:val="en-US" w:eastAsia="zh-CN"/>
        </w:rPr>
        <w:t>而後我們再來分析</w:t>
      </w:r>
      <w:r>
        <w:rPr>
          <w:rFonts w:hint="eastAsia"/>
          <w:sz w:val="24"/>
          <w:szCs w:val="24"/>
          <w:lang w:val="en-US" w:eastAsia="zh-CN"/>
        </w:rPr>
        <w:t>〈齊物論（節錄）〉的選段。拋開原文，假如我們將〈齊物論（節錄）〉看做是一篇完整地文章，透過表2的分析，我們驚訝地發現，其依舊是一篇論述結構完整地文章，和原文相比只是缺少了針對論點的進一步論述。譬如被刪節最多的第二部分，其剩餘的部分依然有完整地引論，論點提出，譬喻輔論以及論點延伸（「成心」的影響）包括銜接到第三部分</w:t>
      </w:r>
      <w:r>
        <w:rPr>
          <w:rFonts w:hint="eastAsia" w:ascii="PMingLiU" w:hAnsi="PMingLiU" w:eastAsia="PMingLiU" w:cs="PMingLiU"/>
          <w:sz w:val="24"/>
          <w:szCs w:val="24"/>
          <w:lang w:val="en-US" w:eastAsia="zh-CN"/>
        </w:rPr>
        <w:t>齧缺</w:t>
      </w:r>
      <w:r>
        <w:rPr>
          <w:rFonts w:hint="eastAsia" w:ascii="PMingLiU" w:hAnsi="PMingLiU" w:cs="PMingLiU"/>
          <w:sz w:val="24"/>
          <w:szCs w:val="24"/>
          <w:lang w:val="en-US" w:eastAsia="zh-CN"/>
        </w:rPr>
        <w:t>與</w:t>
      </w:r>
      <w:r>
        <w:rPr>
          <w:rFonts w:hint="eastAsia" w:ascii="PMingLiU" w:hAnsi="PMingLiU" w:eastAsia="PMingLiU" w:cs="PMingLiU"/>
          <w:sz w:val="24"/>
          <w:szCs w:val="24"/>
          <w:lang w:val="en-US" w:eastAsia="zh-CN"/>
        </w:rPr>
        <w:t>王倪</w:t>
      </w:r>
      <w:r>
        <w:rPr>
          <w:rFonts w:hint="eastAsia" w:ascii="PMingLiU" w:hAnsi="PMingLiU" w:cs="PMingLiU"/>
          <w:sz w:val="24"/>
          <w:szCs w:val="24"/>
          <w:lang w:val="en-US" w:eastAsia="zh-CN"/>
        </w:rPr>
        <w:t>的對話，也可看做其是為第二部分第一個論點「</w:t>
      </w:r>
      <w:r>
        <w:rPr>
          <w:rFonts w:hint="default"/>
          <w:sz w:val="24"/>
          <w:szCs w:val="24"/>
          <w:vertAlign w:val="baseline"/>
          <w:lang w:val="en-US" w:eastAsia="zh-CN"/>
        </w:rPr>
        <w:t>非彼無我，非我無所取</w:t>
      </w:r>
      <w:r>
        <w:rPr>
          <w:rFonts w:hint="eastAsia" w:ascii="PMingLiU" w:hAnsi="PMingLiU" w:cs="PMingLiU"/>
          <w:sz w:val="24"/>
          <w:szCs w:val="24"/>
          <w:lang w:val="en-US" w:eastAsia="zh-CN"/>
        </w:rPr>
        <w:t>」的輔助論述。後面的幾個部分也環環相扣，行文邏輯流暢。實際上，之所以能夠有這樣效果，是因為</w:t>
      </w:r>
      <w:r>
        <w:rPr>
          <w:rFonts w:hint="eastAsia"/>
          <w:sz w:val="24"/>
          <w:szCs w:val="24"/>
          <w:lang w:val="en-US" w:eastAsia="zh-CN"/>
        </w:rPr>
        <w:t>「理論」論述的區塊1與區塊2已然通過對社會議論的徹底否定，從而表達出〈齊物論〉核心主旨，後續的議論也只是對於其主旨的延伸。由此我們也可總結出其第二條節錄原則，即在節錄時盡可能不改變原文的論述邏輯，刪節過後依然保持流暢的行文方便閱讀。</w:t>
      </w:r>
    </w:p>
    <w:p>
      <w:pPr>
        <w:pStyle w:val="3"/>
        <w:numPr>
          <w:ilvl w:val="0"/>
          <w:numId w:val="1"/>
        </w:numPr>
        <w:bidi w:val="0"/>
        <w:rPr>
          <w:rFonts w:hint="eastAsia"/>
          <w:lang w:val="en-US" w:eastAsia="zh-CN"/>
        </w:rPr>
      </w:pPr>
      <w:r>
        <w:rPr>
          <w:rFonts w:hint="eastAsia"/>
          <w:lang w:val="en-US" w:eastAsia="zh-CN"/>
        </w:rPr>
        <w:t>結語</w:t>
      </w:r>
    </w:p>
    <w:p>
      <w:pPr>
        <w:numPr>
          <w:numId w:val="0"/>
        </w:numPr>
        <w:ind w:firstLine="420" w:firstLineChars="0"/>
        <w:rPr>
          <w:rFonts w:hint="default"/>
          <w:lang w:val="en-US" w:eastAsia="zh-CN"/>
        </w:rPr>
      </w:pPr>
      <w:r>
        <w:rPr>
          <w:rFonts w:hint="eastAsia"/>
          <w:lang w:val="en-US" w:eastAsia="zh-CN"/>
        </w:rPr>
        <w:t>綜上所述，我們透過分析</w:t>
      </w:r>
      <w:r>
        <w:rPr>
          <w:rFonts w:hint="eastAsia"/>
          <w:sz w:val="24"/>
          <w:szCs w:val="24"/>
          <w:lang w:val="en-US" w:eastAsia="zh-CN"/>
        </w:rPr>
        <w:t>〈齊物論〉原文的論述邏輯結構，對比節錄文章與原文的區別，總結出了二者之間的差異，並由此得出了在這篇文章當中其節錄時所依據的原則。第一是在節錄時在盡可能簡化理論部分的同時盡可能多地保留譬喻部分；第二是節錄盡可能不改變原文的論述邏輯，依然保持行文的流暢性。兩項原則皆是為了能夠讓讀者更方便地掌握文章的主旨，更好地理解莊子在其中所要表達的精神，足見編者的良苦用心。</w:t>
      </w:r>
    </w:p>
    <w:p>
      <w:pPr>
        <w:bidi w:val="0"/>
        <w:jc w:val="both"/>
        <w:rPr>
          <w:rFonts w:hint="default"/>
          <w:lang w:val="en-US" w:eastAsia="zh-CN"/>
        </w:rPr>
      </w:pPr>
    </w:p>
    <w:p>
      <w:pPr>
        <w:pStyle w:val="3"/>
        <w:bidi w:val="0"/>
        <w:jc w:val="center"/>
        <w:rPr>
          <w:rFonts w:hint="eastAsia"/>
          <w:lang w:val="en-US" w:eastAsia="zh-CN"/>
        </w:rPr>
      </w:pP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r>
    </w:p>
    <w:p>
      <w:pPr>
        <w:pStyle w:val="3"/>
        <w:bidi w:val="0"/>
        <w:jc w:val="center"/>
        <w:rPr>
          <w:rFonts w:hint="eastAsia"/>
          <w:lang w:val="en-US" w:eastAsia="zh-CN"/>
        </w:rPr>
      </w:pPr>
    </w:p>
    <w:p>
      <w:pPr>
        <w:pStyle w:val="3"/>
        <w:bidi w:val="0"/>
        <w:jc w:val="center"/>
        <w:rPr>
          <w:rFonts w:hint="eastAsia"/>
          <w:lang w:val="en-US" w:eastAsia="zh-CN"/>
        </w:rPr>
      </w:pPr>
    </w:p>
    <w:p>
      <w:pPr>
        <w:pStyle w:val="3"/>
        <w:bidi w:val="0"/>
        <w:jc w:val="center"/>
        <w:rPr>
          <w:rFonts w:hint="eastAsia"/>
          <w:lang w:val="en-US" w:eastAsia="zh-CN"/>
        </w:rPr>
      </w:pPr>
    </w:p>
    <w:p>
      <w:pPr>
        <w:pStyle w:val="3"/>
        <w:bidi w:val="0"/>
        <w:jc w:val="center"/>
        <w:rPr>
          <w:rFonts w:hint="eastAsia"/>
          <w:lang w:val="en-US" w:eastAsia="zh-CN"/>
        </w:rPr>
      </w:pPr>
    </w:p>
    <w:p>
      <w:pPr>
        <w:pStyle w:val="3"/>
        <w:bidi w:val="0"/>
        <w:jc w:val="center"/>
        <w:rPr>
          <w:rFonts w:hint="eastAsia"/>
          <w:lang w:val="en-US" w:eastAsia="zh-CN"/>
        </w:rPr>
      </w:pPr>
    </w:p>
    <w:p>
      <w:pPr>
        <w:pStyle w:val="3"/>
        <w:bidi w:val="0"/>
        <w:jc w:val="center"/>
        <w:rPr>
          <w:rFonts w:hint="eastAsia"/>
          <w:lang w:val="en-US" w:eastAsia="zh-CN"/>
        </w:rPr>
      </w:pPr>
    </w:p>
    <w:p>
      <w:pPr>
        <w:pStyle w:val="3"/>
        <w:bidi w:val="0"/>
        <w:jc w:val="both"/>
        <w:rPr>
          <w:rFonts w:ascii="DFKai-SB" w:hAnsi="DFKai-SB" w:eastAsia="DFKai-SB" w:cs="MingLiU"/>
          <w:b/>
          <w:sz w:val="32"/>
          <w:szCs w:val="32"/>
          <w:lang w:eastAsia="zh-TW"/>
        </w:rPr>
      </w:pPr>
    </w:p>
    <w:p>
      <w:pPr>
        <w:pStyle w:val="3"/>
        <w:bidi w:val="0"/>
        <w:jc w:val="both"/>
        <w:rPr>
          <w:rFonts w:ascii="DFKai-SB" w:hAnsi="DFKai-SB" w:eastAsia="DFKai-SB" w:cs="MingLiU"/>
          <w:b/>
          <w:sz w:val="32"/>
          <w:szCs w:val="32"/>
          <w:lang w:eastAsia="zh-TW"/>
        </w:rPr>
      </w:pPr>
    </w:p>
    <w:p>
      <w:pPr>
        <w:rPr>
          <w:rFonts w:hint="eastAsia"/>
          <w:lang w:val="en-US" w:eastAsia="zh-CN"/>
        </w:rPr>
      </w:pPr>
      <w:bookmarkStart w:id="0" w:name="_GoBack"/>
      <w:bookmarkEnd w:id="0"/>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jc w:val="left"/>
        <w:rPr>
          <w:rFonts w:hint="eastAsia"/>
          <w:lang w:val="en-US" w:eastAsia="zh-CN"/>
        </w:rPr>
      </w:pPr>
    </w:p>
    <w:p>
      <w:pPr>
        <w:pStyle w:val="3"/>
        <w:bidi w:val="0"/>
        <w:rPr>
          <w:rFonts w:hint="default"/>
          <w:lang w:val="en-US" w:eastAsia="zh-CN"/>
        </w:rPr>
      </w:pP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t/>
      </w:r>
      <w:r>
        <w:rPr>
          <w:rFonts w:hint="eastAsia"/>
          <w:lang w:val="en-US" w:eastAsia="zh-CN"/>
        </w:rPr>
        <w:tab/>
      </w:r>
    </w:p>
    <w:sectPr>
      <w:footerReference r:id="rId5" w:type="default"/>
      <w:pgSz w:w="11906" w:h="16838"/>
      <w:pgMar w:top="1440" w:right="1440" w:bottom="1440" w:left="1440" w:header="851" w:footer="992" w:gutter="0"/>
      <w:pgNumType w:fmt="decimal"/>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ingLiU">
    <w:panose1 w:val="02020509000000000000"/>
    <w:charset w:val="88"/>
    <w:family w:val="modern"/>
    <w:pitch w:val="default"/>
    <w:sig w:usb0="A00002FF" w:usb1="28CFFCFA" w:usb2="00000016" w:usb3="00000000" w:csb0="00100001" w:csb1="00000000"/>
  </w:font>
  <w:font w:name="PMingLiU-TW">
    <w:altName w:val="宋体"/>
    <w:panose1 w:val="020B0600000000000000"/>
    <w:charset w:val="86"/>
    <w:family w:val="auto"/>
    <w:pitch w:val="default"/>
    <w:sig w:usb0="00000000" w:usb1="00000000" w:usb2="00000000" w:usb3="00000000" w:csb0="00160000" w:csb1="00000000"/>
  </w:font>
  <w:font w:name="Linux Libertine">
    <w:altName w:val="Corbel"/>
    <w:panose1 w:val="02000503000000000000"/>
    <w:charset w:val="00"/>
    <w:family w:val="auto"/>
    <w:pitch w:val="default"/>
    <w:sig w:usb0="00000000" w:usb1="00000000" w:usb2="02000020" w:usb3="00000000" w:csb0="600001BF" w:csb1="00000000"/>
  </w:font>
  <w:font w:name="BiauKai">
    <w:altName w:val="宋体"/>
    <w:panose1 w:val="02010601000101010101"/>
    <w:charset w:val="86"/>
    <w:family w:val="auto"/>
    <w:pitch w:val="default"/>
    <w:sig w:usb0="00000000" w:usb1="00000000" w:usb2="00000000" w:usb3="00000000" w:csb0="00140000" w:csb1="00000000"/>
  </w:font>
  <w:font w:name="Corbel">
    <w:panose1 w:val="020B0503020204020204"/>
    <w:charset w:val="00"/>
    <w:family w:val="auto"/>
    <w:pitch w:val="default"/>
    <w:sig w:usb0="A00002EF" w:usb1="4000A44B" w:usb2="00000000" w:usb3="00000000" w:csb0="2000019F" w:csb1="00000000"/>
  </w:font>
  <w:font w:name="DFKai-SB">
    <w:panose1 w:val="03000509000000000000"/>
    <w:charset w:val="88"/>
    <w:family w:val="auto"/>
    <w:pitch w:val="default"/>
    <w:sig w:usb0="00000003" w:usb1="082E0000" w:usb2="00000016" w:usb3="00000000" w:csb0="00100001" w:csb1="00000000"/>
  </w:font>
  <w:font w:name="PMingLiU-TW">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PMingLiU">
    <w:panose1 w:val="02020500000000000000"/>
    <w:charset w:val="88"/>
    <w:family w:val="auto"/>
    <w:pitch w:val="default"/>
    <w:sig w:usb0="A00002FF" w:usb1="28CFFCFA" w:usb2="00000016" w:usb3="00000000" w:csb0="00100001" w:csb1="00000000"/>
  </w:font>
  <w:font w:name="BiauKai">
    <w:altName w:val="Segoe Print"/>
    <w:panose1 w:val="00000000000000000000"/>
    <w:charset w:val="00"/>
    <w:family w:val="auto"/>
    <w:pitch w:val="default"/>
    <w:sig w:usb0="00000000" w:usb1="00000000" w:usb2="00000000" w:usb3="00000000" w:csb0="00000000" w:csb1="00000000"/>
  </w:font>
  <w:font w:name="p">
    <w:altName w:val="Segoe Print"/>
    <w:panose1 w:val="00000000000000000000"/>
    <w:charset w:val="00"/>
    <w:family w:val="auto"/>
    <w:pitch w:val="default"/>
    <w:sig w:usb0="00000000" w:usb1="00000000" w:usb2="00000000" w:usb3="00000000" w:csb0="00000000" w:csb1="00000000"/>
  </w:font>
  <w:font w:name="d">
    <w:altName w:val="Segoe Print"/>
    <w:panose1 w:val="00000000000000000000"/>
    <w:charset w:val="00"/>
    <w:family w:val="auto"/>
    <w:pitch w:val="default"/>
    <w:sig w:usb0="00000000" w:usb1="00000000" w:usb2="00000000" w:usb3="00000000" w:csb0="00000000" w:csb1="00000000"/>
  </w:font>
  <w:font w:name="Df">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Verdana">
    <w:panose1 w:val="020B0604030504040204"/>
    <w:charset w:val="00"/>
    <w:family w:val="auto"/>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fyKa93AIAACQGAAAOAAAAAAAAAAEAIAAAAB8BAABkcnMvZTJvRG9jLnhtbFBLBQYA&#10;AAAABgAGAFkBAABtBgAAAAA=&#10;">
              <v:fill on="f" focussize="0,0"/>
              <v:stroke on="f" weight="0.5pt"/>
              <v:imagedata o:title=""/>
              <o:lock v:ext="edit" aspectratio="f"/>
              <v:textbox inset="0mm,0mm,0mm,0mm" style="mso-fit-shape-to-text:t;">
                <w:txbxContent>
                  <w:p>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62">
    <w:p>
      <w:pPr>
        <w:spacing w:line="360" w:lineRule="auto"/>
        <w:ind w:firstLine="480"/>
      </w:pPr>
      <w:r>
        <w:separator/>
      </w:r>
    </w:p>
  </w:footnote>
  <w:footnote w:type="continuationSeparator" w:id="63">
    <w:p>
      <w:pPr>
        <w:spacing w:line="360" w:lineRule="auto"/>
        <w:ind w:firstLine="480"/>
      </w:pPr>
      <w:r>
        <w:continuationSeparator/>
      </w:r>
    </w:p>
  </w:footnote>
  <w:footnote w:id="0">
    <w:p>
      <w:pPr>
        <w:pStyle w:val="10"/>
        <w:bidi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val="en-US" w:eastAsia="zh-CN"/>
        </w:rPr>
        <w:t>田雯</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國學治要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體例研究</w:t>
      </w:r>
      <w:r>
        <w:rPr>
          <w:rStyle w:val="19"/>
          <w:rFonts w:hint="eastAsia" w:ascii="PMingLiU" w:hAnsi="PMingLiU" w:eastAsia="PMingLiU" w:cs="PMingLiU"/>
          <w:lang w:eastAsia="zh-TW"/>
        </w:rPr>
        <w:t>〉，</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內蒙古師範大學學報（哲學社會科學版）</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202</w:t>
      </w:r>
      <w:r>
        <w:rPr>
          <w:rStyle w:val="19"/>
          <w:rFonts w:hint="eastAsia" w:ascii="PMingLiU" w:hAnsi="PMingLiU" w:eastAsia="PMingLiU" w:cs="PMingLiU"/>
          <w:lang w:eastAsia="zh-TW"/>
        </w:rPr>
        <w:t>2年第</w:t>
      </w:r>
      <w:r>
        <w:rPr>
          <w:rStyle w:val="19"/>
          <w:rFonts w:hint="eastAsia" w:ascii="PMingLiU" w:hAnsi="PMingLiU" w:eastAsia="PMingLiU" w:cs="PMingLiU"/>
          <w:lang w:val="en-US" w:eastAsia="zh-CN"/>
        </w:rPr>
        <w:t>2</w:t>
      </w:r>
      <w:r>
        <w:rPr>
          <w:rStyle w:val="19"/>
          <w:rFonts w:hint="eastAsia" w:ascii="PMingLiU" w:hAnsi="PMingLiU" w:eastAsia="PMingLiU" w:cs="PMingLiU"/>
          <w:lang w:eastAsia="zh-TW"/>
        </w:rPr>
        <w:t>期，頁</w:t>
      </w:r>
      <w:r>
        <w:rPr>
          <w:rStyle w:val="19"/>
          <w:rFonts w:hint="eastAsia" w:ascii="PMingLiU" w:hAnsi="PMingLiU" w:eastAsia="PMingLiU" w:cs="PMingLiU"/>
          <w:lang w:val="en-US" w:eastAsia="zh-CN"/>
        </w:rPr>
        <w:t>9</w:t>
      </w:r>
      <w:r>
        <w:rPr>
          <w:rStyle w:val="19"/>
          <w:rFonts w:hint="eastAsia" w:ascii="PMingLiU" w:hAnsi="PMingLiU" w:eastAsia="PMingLiU" w:cs="PMingLiU"/>
          <w:lang w:val="en-US" w:eastAsia="zh-CN"/>
        </w:rPr>
        <w:t>8</w:t>
      </w:r>
      <w:r>
        <w:rPr>
          <w:rStyle w:val="19"/>
          <w:rFonts w:hint="eastAsia" w:ascii="PMingLiU" w:hAnsi="PMingLiU" w:eastAsia="PMingLiU" w:cs="PMingLiU"/>
          <w:lang w:eastAsia="zh-TW"/>
        </w:rPr>
        <w:t>。</w:t>
      </w:r>
    </w:p>
  </w:footnote>
  <w:footnote w:id="1">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4</w:t>
      </w:r>
      <w:r>
        <w:rPr>
          <w:rStyle w:val="19"/>
          <w:rFonts w:hint="eastAsia" w:ascii="PMingLiU" w:hAnsi="PMingLiU" w:eastAsia="PMingLiU" w:cs="PMingLiU"/>
          <w:lang w:val="en-US" w:eastAsia="zh-CN"/>
        </w:rPr>
        <w:t>9</w:t>
      </w:r>
      <w:r>
        <w:rPr>
          <w:rStyle w:val="19"/>
          <w:rFonts w:hint="eastAsia" w:ascii="PMingLiU" w:hAnsi="PMingLiU" w:eastAsia="PMingLiU" w:cs="PMingLiU"/>
          <w:lang w:eastAsia="zh-TW"/>
        </w:rPr>
        <w:t>。</w:t>
      </w:r>
    </w:p>
  </w:footnote>
  <w:footnote w:id="2">
    <w:p>
      <w:pPr>
        <w:pStyle w:val="10"/>
        <w:snapToGrid w:val="0"/>
        <w:rPr>
          <w:rStyle w:val="19"/>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val="en-US" w:eastAsia="zh-CN"/>
        </w:rPr>
        <w:t>張文治編</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國學治要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第三冊《諸子治要》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臺北</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世界書局</w:t>
      </w:r>
      <w:r>
        <w:rPr>
          <w:rStyle w:val="19"/>
          <w:rFonts w:hint="eastAsia" w:ascii="PMingLiU" w:hAnsi="PMingLiU" w:eastAsia="PMingLiU" w:cs="PMingLiU"/>
          <w:lang w:eastAsia="zh-TW"/>
        </w:rPr>
        <w:t>，201</w:t>
      </w:r>
      <w:r>
        <w:rPr>
          <w:rStyle w:val="19"/>
          <w:rFonts w:hint="eastAsia" w:ascii="PMingLiU" w:hAnsi="PMingLiU" w:eastAsia="PMingLiU" w:cs="PMingLiU"/>
          <w:lang w:val="en-US" w:eastAsia="zh-CN"/>
        </w:rPr>
        <w:t>1</w:t>
      </w:r>
      <w:r>
        <w:rPr>
          <w:rStyle w:val="19"/>
          <w:rFonts w:hint="eastAsia" w:ascii="PMingLiU" w:hAnsi="PMingLiU" w:eastAsia="PMingLiU" w:cs="PMingLiU"/>
          <w:lang w:eastAsia="zh-TW"/>
        </w:rPr>
        <w:t>年），頁</w:t>
      </w:r>
      <w:r>
        <w:rPr>
          <w:rStyle w:val="19"/>
          <w:rFonts w:hint="eastAsia" w:ascii="PMingLiU" w:hAnsi="PMingLiU" w:eastAsia="PMingLiU" w:cs="PMingLiU"/>
          <w:lang w:val="en-US" w:eastAsia="zh-CN"/>
        </w:rPr>
        <w:t>1</w:t>
      </w:r>
      <w:r>
        <w:rPr>
          <w:rStyle w:val="19"/>
          <w:rFonts w:hint="eastAsia" w:ascii="PMingLiU" w:hAnsi="PMingLiU" w:eastAsia="PMingLiU" w:cs="PMingLiU"/>
          <w:lang w:val="en-US" w:eastAsia="zh-CN"/>
        </w:rPr>
        <w:t>14</w:t>
      </w:r>
      <w:r>
        <w:rPr>
          <w:rStyle w:val="19"/>
          <w:rFonts w:hint="eastAsia" w:ascii="PMingLiU" w:hAnsi="PMingLiU" w:eastAsia="PMingLiU" w:cs="PMingLiU"/>
          <w:lang w:eastAsia="zh-TW"/>
        </w:rPr>
        <w:t>。</w:t>
      </w:r>
    </w:p>
  </w:footnote>
  <w:footnote w:id="3">
    <w:p>
      <w:pPr>
        <w:pStyle w:val="10"/>
        <w:snapToGrid w:val="0"/>
        <w:rPr>
          <w:rFonts w:hint="eastAsia" w:ascii="PMingLiU" w:hAnsi="PMingLiU" w:eastAsia="PMingLiU" w:cs="PMingLiU"/>
          <w:lang w:val="en-US" w:eastAsia="zh-CN"/>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58</w:t>
      </w:r>
      <w:r>
        <w:rPr>
          <w:rStyle w:val="19"/>
          <w:rFonts w:hint="eastAsia" w:ascii="PMingLiU" w:hAnsi="PMingLiU" w:eastAsia="PMingLiU" w:cs="PMingLiU"/>
          <w:lang w:eastAsia="zh-TW"/>
        </w:rPr>
        <w:t>。</w:t>
      </w:r>
    </w:p>
  </w:footnote>
  <w:footnote w:id="4">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val="en-US" w:eastAsia="zh-CN"/>
        </w:rPr>
        <w:t>張文治編</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國學治要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第三冊《諸子治要》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臺北</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世界書局</w:t>
      </w:r>
      <w:r>
        <w:rPr>
          <w:rStyle w:val="19"/>
          <w:rFonts w:hint="eastAsia" w:ascii="PMingLiU" w:hAnsi="PMingLiU" w:eastAsia="PMingLiU" w:cs="PMingLiU"/>
          <w:lang w:eastAsia="zh-TW"/>
        </w:rPr>
        <w:t>，201</w:t>
      </w:r>
      <w:r>
        <w:rPr>
          <w:rStyle w:val="19"/>
          <w:rFonts w:hint="eastAsia" w:ascii="PMingLiU" w:hAnsi="PMingLiU" w:eastAsia="PMingLiU" w:cs="PMingLiU"/>
          <w:lang w:val="en-US" w:eastAsia="zh-CN"/>
        </w:rPr>
        <w:t>1</w:t>
      </w:r>
      <w:r>
        <w:rPr>
          <w:rStyle w:val="19"/>
          <w:rFonts w:hint="eastAsia" w:ascii="PMingLiU" w:hAnsi="PMingLiU" w:eastAsia="PMingLiU" w:cs="PMingLiU"/>
          <w:lang w:eastAsia="zh-TW"/>
        </w:rPr>
        <w:t>年），頁</w:t>
      </w:r>
      <w:r>
        <w:rPr>
          <w:rStyle w:val="19"/>
          <w:rFonts w:hint="eastAsia" w:ascii="PMingLiU" w:hAnsi="PMingLiU" w:eastAsia="PMingLiU" w:cs="PMingLiU"/>
          <w:lang w:val="en-US" w:eastAsia="zh-CN"/>
        </w:rPr>
        <w:t>114</w:t>
      </w:r>
      <w:r>
        <w:rPr>
          <w:rStyle w:val="19"/>
          <w:rFonts w:hint="eastAsia" w:ascii="PMingLiU" w:hAnsi="PMingLiU" w:eastAsia="PMingLiU" w:cs="PMingLiU"/>
          <w:lang w:eastAsia="zh-TW"/>
        </w:rPr>
        <w:t>。</w:t>
      </w:r>
    </w:p>
  </w:footnote>
  <w:footnote w:id="5">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97</w:t>
      </w:r>
      <w:r>
        <w:rPr>
          <w:rStyle w:val="19"/>
          <w:rFonts w:hint="eastAsia" w:ascii="PMingLiU" w:hAnsi="PMingLiU" w:eastAsia="PMingLiU" w:cs="PMingLiU"/>
          <w:lang w:eastAsia="zh-TW"/>
        </w:rPr>
        <w:t>。</w:t>
      </w:r>
    </w:p>
  </w:footnote>
  <w:footnote w:id="6">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val="en-US" w:eastAsia="zh-CN"/>
        </w:rPr>
        <w:t>張文治編</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國學治要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第三冊《諸子治要》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臺北</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世界書局</w:t>
      </w:r>
      <w:r>
        <w:rPr>
          <w:rStyle w:val="19"/>
          <w:rFonts w:hint="eastAsia" w:ascii="PMingLiU" w:hAnsi="PMingLiU" w:eastAsia="PMingLiU" w:cs="PMingLiU"/>
          <w:lang w:eastAsia="zh-TW"/>
        </w:rPr>
        <w:t>，201</w:t>
      </w:r>
      <w:r>
        <w:rPr>
          <w:rStyle w:val="19"/>
          <w:rFonts w:hint="eastAsia" w:ascii="PMingLiU" w:hAnsi="PMingLiU" w:eastAsia="PMingLiU" w:cs="PMingLiU"/>
          <w:lang w:val="en-US" w:eastAsia="zh-CN"/>
        </w:rPr>
        <w:t>1</w:t>
      </w:r>
      <w:r>
        <w:rPr>
          <w:rStyle w:val="19"/>
          <w:rFonts w:hint="eastAsia" w:ascii="PMingLiU" w:hAnsi="PMingLiU" w:eastAsia="PMingLiU" w:cs="PMingLiU"/>
          <w:lang w:eastAsia="zh-TW"/>
        </w:rPr>
        <w:t>年），頁</w:t>
      </w:r>
      <w:r>
        <w:rPr>
          <w:rStyle w:val="19"/>
          <w:rFonts w:hint="eastAsia" w:ascii="PMingLiU" w:hAnsi="PMingLiU" w:eastAsia="PMingLiU" w:cs="PMingLiU"/>
          <w:lang w:val="en-US" w:eastAsia="zh-CN"/>
        </w:rPr>
        <w:t>114</w:t>
      </w:r>
      <w:r>
        <w:rPr>
          <w:rStyle w:val="19"/>
          <w:rFonts w:hint="eastAsia" w:ascii="PMingLiU" w:hAnsi="PMingLiU" w:eastAsia="PMingLiU" w:cs="PMingLiU"/>
          <w:lang w:eastAsia="zh-TW"/>
        </w:rPr>
        <w:t>。</w:t>
      </w:r>
    </w:p>
    <w:p>
      <w:pPr>
        <w:pStyle w:val="10"/>
        <w:snapToGrid w:val="0"/>
        <w:rPr>
          <w:rFonts w:hint="eastAsia" w:ascii="PMingLiU" w:hAnsi="PMingLiU" w:eastAsia="PMingLiU" w:cs="PMingLiU"/>
        </w:rPr>
      </w:pPr>
    </w:p>
  </w:footnote>
  <w:footnote w:id="7">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104</w:t>
      </w:r>
      <w:r>
        <w:rPr>
          <w:rStyle w:val="19"/>
          <w:rFonts w:hint="eastAsia" w:ascii="PMingLiU" w:hAnsi="PMingLiU" w:eastAsia="PMingLiU" w:cs="PMingLiU"/>
          <w:lang w:eastAsia="zh-TW"/>
        </w:rPr>
        <w:t>。</w:t>
      </w:r>
    </w:p>
  </w:footnote>
  <w:footnote w:id="8">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val="en-US" w:eastAsia="zh-CN"/>
        </w:rPr>
        <w:t>張文治編</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國學治要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第三冊《諸子治要》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臺北</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世界書局</w:t>
      </w:r>
      <w:r>
        <w:rPr>
          <w:rStyle w:val="19"/>
          <w:rFonts w:hint="eastAsia" w:ascii="PMingLiU" w:hAnsi="PMingLiU" w:eastAsia="PMingLiU" w:cs="PMingLiU"/>
          <w:lang w:eastAsia="zh-TW"/>
        </w:rPr>
        <w:t>，201</w:t>
      </w:r>
      <w:r>
        <w:rPr>
          <w:rStyle w:val="19"/>
          <w:rFonts w:hint="eastAsia" w:ascii="PMingLiU" w:hAnsi="PMingLiU" w:eastAsia="PMingLiU" w:cs="PMingLiU"/>
          <w:lang w:val="en-US" w:eastAsia="zh-CN"/>
        </w:rPr>
        <w:t>1</w:t>
      </w:r>
      <w:r>
        <w:rPr>
          <w:rStyle w:val="19"/>
          <w:rFonts w:hint="eastAsia" w:ascii="PMingLiU" w:hAnsi="PMingLiU" w:eastAsia="PMingLiU" w:cs="PMingLiU"/>
          <w:lang w:eastAsia="zh-TW"/>
        </w:rPr>
        <w:t>年），頁</w:t>
      </w:r>
      <w:r>
        <w:rPr>
          <w:rStyle w:val="19"/>
          <w:rFonts w:hint="eastAsia" w:ascii="PMingLiU" w:hAnsi="PMingLiU" w:eastAsia="PMingLiU" w:cs="PMingLiU"/>
          <w:lang w:val="en-US" w:eastAsia="zh-CN"/>
        </w:rPr>
        <w:t>115</w:t>
      </w:r>
      <w:r>
        <w:rPr>
          <w:rStyle w:val="19"/>
          <w:rFonts w:hint="eastAsia" w:ascii="PMingLiU" w:hAnsi="PMingLiU" w:eastAsia="PMingLiU" w:cs="PMingLiU"/>
          <w:lang w:eastAsia="zh-TW"/>
        </w:rPr>
        <w:t>。</w:t>
      </w:r>
    </w:p>
  </w:footnote>
  <w:footnote w:id="9">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117</w:t>
      </w:r>
      <w:r>
        <w:rPr>
          <w:rStyle w:val="19"/>
          <w:rFonts w:hint="eastAsia" w:ascii="PMingLiU" w:hAnsi="PMingLiU" w:eastAsia="PMingLiU" w:cs="PMingLiU"/>
          <w:lang w:eastAsia="zh-TW"/>
        </w:rPr>
        <w:t>。</w:t>
      </w:r>
    </w:p>
  </w:footnote>
  <w:footnote w:id="10">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119</w:t>
      </w:r>
      <w:r>
        <w:rPr>
          <w:rStyle w:val="19"/>
          <w:rFonts w:hint="eastAsia" w:ascii="PMingLiU" w:hAnsi="PMingLiU" w:eastAsia="PMingLiU" w:cs="PMingLiU"/>
          <w:lang w:eastAsia="zh-TW"/>
        </w:rPr>
        <w:t>。</w:t>
      </w:r>
    </w:p>
  </w:footnote>
  <w:footnote w:id="11">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val="en-US" w:eastAsia="zh-CN"/>
        </w:rPr>
        <w:t>張文治編</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國學治要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第三冊《諸子治要》</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臺北</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世界書局</w:t>
      </w:r>
      <w:r>
        <w:rPr>
          <w:rStyle w:val="19"/>
          <w:rFonts w:hint="eastAsia" w:ascii="PMingLiU" w:hAnsi="PMingLiU" w:eastAsia="PMingLiU" w:cs="PMingLiU"/>
          <w:lang w:eastAsia="zh-TW"/>
        </w:rPr>
        <w:t>，201</w:t>
      </w:r>
      <w:r>
        <w:rPr>
          <w:rStyle w:val="19"/>
          <w:rFonts w:hint="eastAsia" w:ascii="PMingLiU" w:hAnsi="PMingLiU" w:eastAsia="PMingLiU" w:cs="PMingLiU"/>
          <w:lang w:val="en-US" w:eastAsia="zh-CN"/>
        </w:rPr>
        <w:t>1</w:t>
      </w:r>
      <w:r>
        <w:rPr>
          <w:rStyle w:val="19"/>
          <w:rFonts w:hint="eastAsia" w:ascii="PMingLiU" w:hAnsi="PMingLiU" w:eastAsia="PMingLiU" w:cs="PMingLiU"/>
          <w:lang w:eastAsia="zh-TW"/>
        </w:rPr>
        <w:t>年），頁</w:t>
      </w:r>
      <w:r>
        <w:rPr>
          <w:rStyle w:val="19"/>
          <w:rFonts w:hint="eastAsia" w:ascii="PMingLiU" w:hAnsi="PMingLiU" w:eastAsia="PMingLiU" w:cs="PMingLiU"/>
          <w:lang w:val="en-US" w:eastAsia="zh-CN"/>
        </w:rPr>
        <w:t>116</w:t>
      </w:r>
      <w:r>
        <w:rPr>
          <w:rStyle w:val="19"/>
          <w:rFonts w:hint="eastAsia" w:ascii="PMingLiU" w:hAnsi="PMingLiU" w:eastAsia="PMingLiU" w:cs="PMingLiU"/>
          <w:lang w:eastAsia="zh-TW"/>
        </w:rPr>
        <w:t>。</w:t>
      </w:r>
    </w:p>
  </w:footnote>
  <w:footnote w:id="12">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val="en-US" w:eastAsia="zh-CN"/>
        </w:rPr>
        <w:t>杜保瑞</w:t>
      </w:r>
      <w:r>
        <w:rPr>
          <w:rStyle w:val="19"/>
          <w:rFonts w:hint="eastAsia" w:ascii="PMingLiU" w:hAnsi="PMingLiU" w:eastAsia="PMingLiU" w:cs="PMingLiU"/>
          <w:lang w:eastAsia="zh-TW"/>
        </w:rPr>
        <w:t>：〈</w:t>
      </w:r>
      <w:r>
        <w:rPr>
          <w:rStyle w:val="19"/>
          <w:rFonts w:hint="eastAsia" w:ascii="PMingLiU" w:hAnsi="PMingLiU" w:eastAsia="PMingLiU" w:cs="PMingLiU"/>
        </w:rPr>
        <w:t>莊子＜齊物論＞的命題解析與理論架構</w:t>
      </w:r>
      <w:r>
        <w:rPr>
          <w:rStyle w:val="19"/>
          <w:rFonts w:hint="eastAsia" w:ascii="PMingLiU" w:hAnsi="PMingLiU" w:eastAsia="PMingLiU" w:cs="PMingLiU"/>
          <w:lang w:eastAsia="zh-TW"/>
        </w:rPr>
        <w:t>〉，「莊子齊物論學術研討會」</w:t>
      </w:r>
      <w:r>
        <w:rPr>
          <w:rStyle w:val="19"/>
          <w:rFonts w:hint="eastAsia" w:ascii="PMingLiU" w:hAnsi="PMingLiU" w:eastAsia="PMingLiU" w:cs="PMingLiU"/>
          <w:lang w:val="en-US" w:eastAsia="zh-CN"/>
        </w:rPr>
        <w:t>2006</w:t>
      </w:r>
      <w:r>
        <w:rPr>
          <w:rStyle w:val="19"/>
          <w:rFonts w:hint="eastAsia" w:ascii="PMingLiU" w:hAnsi="PMingLiU" w:eastAsia="PMingLiU" w:cs="PMingLiU"/>
          <w:lang w:eastAsia="zh-TW"/>
        </w:rPr>
        <w:t>年</w:t>
      </w:r>
      <w:r>
        <w:rPr>
          <w:rStyle w:val="19"/>
          <w:rFonts w:hint="eastAsia" w:ascii="PMingLiU" w:hAnsi="PMingLiU" w:eastAsia="PMingLiU" w:cs="PMingLiU"/>
          <w:lang w:val="en-US" w:eastAsia="zh-CN"/>
        </w:rPr>
        <w:t>6月</w:t>
      </w:r>
      <w:r>
        <w:rPr>
          <w:rStyle w:val="19"/>
          <w:rFonts w:hint="eastAsia" w:ascii="PMingLiU" w:hAnsi="PMingLiU" w:eastAsia="PMingLiU" w:cs="PMingLiU"/>
          <w:lang w:eastAsia="zh-TW"/>
        </w:rPr>
        <w:t>。</w:t>
      </w:r>
    </w:p>
  </w:footnote>
  <w:footnote w:id="13">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49</w:t>
      </w:r>
      <w:r>
        <w:rPr>
          <w:rStyle w:val="19"/>
          <w:rFonts w:hint="eastAsia" w:ascii="PMingLiU" w:hAnsi="PMingLiU" w:eastAsia="PMingLiU" w:cs="PMingLiU"/>
          <w:lang w:eastAsia="zh-TW"/>
        </w:rPr>
        <w:t>。</w:t>
      </w:r>
    </w:p>
  </w:footnote>
  <w:footnote w:id="14">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58</w:t>
      </w:r>
      <w:r>
        <w:rPr>
          <w:rStyle w:val="19"/>
          <w:rFonts w:hint="eastAsia" w:ascii="PMingLiU" w:hAnsi="PMingLiU" w:eastAsia="PMingLiU" w:cs="PMingLiU"/>
          <w:lang w:eastAsia="zh-TW"/>
        </w:rPr>
        <w:t>。</w:t>
      </w:r>
    </w:p>
  </w:footnote>
  <w:footnote w:id="15">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58</w:t>
      </w:r>
      <w:r>
        <w:rPr>
          <w:rStyle w:val="19"/>
          <w:rFonts w:hint="eastAsia" w:ascii="PMingLiU" w:hAnsi="PMingLiU" w:eastAsia="PMingLiU" w:cs="PMingLiU"/>
          <w:lang w:eastAsia="zh-TW"/>
        </w:rPr>
        <w:t>。</w:t>
      </w:r>
    </w:p>
  </w:footnote>
  <w:footnote w:id="16">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62</w:t>
      </w:r>
      <w:r>
        <w:rPr>
          <w:rStyle w:val="19"/>
          <w:rFonts w:hint="eastAsia" w:ascii="PMingLiU" w:hAnsi="PMingLiU" w:eastAsia="PMingLiU" w:cs="PMingLiU"/>
          <w:lang w:eastAsia="zh-TW"/>
        </w:rPr>
        <w:t>。</w:t>
      </w:r>
    </w:p>
  </w:footnote>
  <w:footnote w:id="17">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62</w:t>
      </w:r>
      <w:r>
        <w:rPr>
          <w:rStyle w:val="19"/>
          <w:rFonts w:hint="eastAsia" w:ascii="PMingLiU" w:hAnsi="PMingLiU" w:eastAsia="PMingLiU" w:cs="PMingLiU"/>
          <w:lang w:eastAsia="zh-TW"/>
        </w:rPr>
        <w:t>。</w:t>
      </w:r>
    </w:p>
  </w:footnote>
  <w:footnote w:id="18">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69</w:t>
      </w:r>
      <w:r>
        <w:rPr>
          <w:rStyle w:val="19"/>
          <w:rFonts w:hint="eastAsia" w:ascii="PMingLiU" w:hAnsi="PMingLiU" w:eastAsia="PMingLiU" w:cs="PMingLiU"/>
          <w:lang w:eastAsia="zh-TW"/>
        </w:rPr>
        <w:t>。</w:t>
      </w:r>
    </w:p>
  </w:footnote>
  <w:footnote w:id="19">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72</w:t>
      </w:r>
      <w:r>
        <w:rPr>
          <w:rStyle w:val="19"/>
          <w:rFonts w:hint="eastAsia" w:ascii="PMingLiU" w:hAnsi="PMingLiU" w:eastAsia="PMingLiU" w:cs="PMingLiU"/>
          <w:lang w:eastAsia="zh-TW"/>
        </w:rPr>
        <w:t>。</w:t>
      </w:r>
    </w:p>
  </w:footnote>
  <w:footnote w:id="20">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76</w:t>
      </w:r>
      <w:r>
        <w:rPr>
          <w:rStyle w:val="19"/>
          <w:rFonts w:hint="eastAsia" w:ascii="PMingLiU" w:hAnsi="PMingLiU" w:eastAsia="PMingLiU" w:cs="PMingLiU"/>
          <w:lang w:eastAsia="zh-TW"/>
        </w:rPr>
        <w:t>。</w:t>
      </w:r>
    </w:p>
  </w:footnote>
  <w:footnote w:id="21">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81</w:t>
      </w:r>
      <w:r>
        <w:rPr>
          <w:rStyle w:val="19"/>
          <w:rFonts w:hint="eastAsia" w:ascii="PMingLiU" w:hAnsi="PMingLiU" w:eastAsia="PMingLiU" w:cs="PMingLiU"/>
          <w:lang w:eastAsia="zh-TW"/>
        </w:rPr>
        <w:t>。</w:t>
      </w:r>
    </w:p>
  </w:footnote>
  <w:footnote w:id="22">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81</w:t>
      </w:r>
      <w:r>
        <w:rPr>
          <w:rStyle w:val="19"/>
          <w:rFonts w:hint="eastAsia" w:ascii="PMingLiU" w:hAnsi="PMingLiU" w:eastAsia="PMingLiU" w:cs="PMingLiU"/>
          <w:lang w:eastAsia="zh-TW"/>
        </w:rPr>
        <w:t>。</w:t>
      </w:r>
    </w:p>
  </w:footnote>
  <w:footnote w:id="23">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85</w:t>
      </w:r>
      <w:r>
        <w:rPr>
          <w:rStyle w:val="19"/>
          <w:rFonts w:hint="eastAsia" w:ascii="PMingLiU" w:hAnsi="PMingLiU" w:eastAsia="PMingLiU" w:cs="PMingLiU"/>
          <w:lang w:eastAsia="zh-TW"/>
        </w:rPr>
        <w:t>。</w:t>
      </w:r>
    </w:p>
  </w:footnote>
  <w:footnote w:id="24">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90</w:t>
      </w:r>
      <w:r>
        <w:rPr>
          <w:rStyle w:val="19"/>
          <w:rFonts w:hint="eastAsia" w:ascii="PMingLiU" w:hAnsi="PMingLiU" w:eastAsia="PMingLiU" w:cs="PMingLiU"/>
          <w:lang w:eastAsia="zh-TW"/>
        </w:rPr>
        <w:t>。</w:t>
      </w:r>
    </w:p>
  </w:footnote>
  <w:footnote w:id="25">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95</w:t>
      </w:r>
      <w:r>
        <w:rPr>
          <w:rStyle w:val="19"/>
          <w:rFonts w:hint="eastAsia" w:ascii="PMingLiU" w:hAnsi="PMingLiU" w:eastAsia="PMingLiU" w:cs="PMingLiU"/>
          <w:lang w:eastAsia="zh-TW"/>
        </w:rPr>
        <w:t>。</w:t>
      </w:r>
    </w:p>
  </w:footnote>
  <w:footnote w:id="26">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97</w:t>
      </w:r>
      <w:r>
        <w:rPr>
          <w:rStyle w:val="19"/>
          <w:rFonts w:hint="eastAsia" w:ascii="PMingLiU" w:hAnsi="PMingLiU" w:eastAsia="PMingLiU" w:cs="PMingLiU"/>
          <w:lang w:eastAsia="zh-TW"/>
        </w:rPr>
        <w:t>。</w:t>
      </w:r>
    </w:p>
  </w:footnote>
  <w:footnote w:id="27">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104</w:t>
      </w:r>
      <w:r>
        <w:rPr>
          <w:rStyle w:val="19"/>
          <w:rFonts w:hint="eastAsia" w:ascii="PMingLiU" w:hAnsi="PMingLiU" w:eastAsia="PMingLiU" w:cs="PMingLiU"/>
          <w:lang w:eastAsia="zh-TW"/>
        </w:rPr>
        <w:t>。</w:t>
      </w:r>
    </w:p>
  </w:footnote>
  <w:footnote w:id="28">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113</w:t>
      </w:r>
      <w:r>
        <w:rPr>
          <w:rStyle w:val="19"/>
          <w:rFonts w:hint="eastAsia" w:ascii="PMingLiU" w:hAnsi="PMingLiU" w:eastAsia="PMingLiU" w:cs="PMingLiU"/>
          <w:lang w:eastAsia="zh-TW"/>
        </w:rPr>
        <w:t>。</w:t>
      </w:r>
    </w:p>
  </w:footnote>
  <w:footnote w:id="29">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117</w:t>
      </w:r>
      <w:r>
        <w:rPr>
          <w:rStyle w:val="19"/>
          <w:rFonts w:hint="eastAsia" w:ascii="PMingLiU" w:hAnsi="PMingLiU" w:eastAsia="PMingLiU" w:cs="PMingLiU"/>
          <w:lang w:eastAsia="zh-TW"/>
        </w:rPr>
        <w:t>。</w:t>
      </w:r>
    </w:p>
  </w:footnote>
  <w:footnote w:id="30">
    <w:p>
      <w:pPr>
        <w:pStyle w:val="10"/>
        <w:snapToGrid w:val="0"/>
        <w:rPr>
          <w:rFonts w:hint="eastAsia" w:ascii="PMingLiU" w:hAnsi="PMingLiU" w:eastAsia="PMingLiU" w:cs="PMingLiU"/>
        </w:rPr>
      </w:pPr>
      <w:r>
        <w:rPr>
          <w:rStyle w:val="14"/>
          <w:rFonts w:hint="eastAsia" w:ascii="PMingLiU" w:hAnsi="PMingLiU" w:eastAsia="PMingLiU" w:cs="PMingLiU"/>
        </w:rPr>
        <w:footnoteRef/>
      </w:r>
      <w:r>
        <w:rPr>
          <w:rFonts w:hint="eastAsia" w:ascii="PMingLiU" w:hAnsi="PMingLiU" w:eastAsia="PMingLiU" w:cs="PMingLiU"/>
        </w:rPr>
        <w:t xml:space="preserve"> </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清</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郭慶藩</w:t>
      </w:r>
      <w:r>
        <w:rPr>
          <w:rStyle w:val="19"/>
          <w:rFonts w:hint="eastAsia" w:ascii="PMingLiU" w:hAnsi="PMingLiU" w:eastAsia="PMingLiU" w:cs="PMingLiU"/>
          <w:lang w:eastAsia="zh-TW"/>
        </w:rPr>
        <w:t>撰，</w:t>
      </w:r>
      <w:r>
        <w:rPr>
          <w:rStyle w:val="19"/>
          <w:rFonts w:hint="eastAsia" w:ascii="PMingLiU" w:hAnsi="PMingLiU" w:eastAsia="PMingLiU" w:cs="PMingLiU"/>
          <w:lang w:val="en-US" w:eastAsia="zh-CN"/>
        </w:rPr>
        <w:t>王孝魚點校</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莊子集釋</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北京</w:t>
      </w:r>
      <w:r>
        <w:rPr>
          <w:rStyle w:val="19"/>
          <w:rFonts w:hint="eastAsia" w:ascii="PMingLiU" w:hAnsi="PMingLiU" w:eastAsia="PMingLiU" w:cs="PMingLiU"/>
          <w:lang w:eastAsia="zh-TW"/>
        </w:rPr>
        <w:t>：</w:t>
      </w:r>
      <w:r>
        <w:rPr>
          <w:rStyle w:val="19"/>
          <w:rFonts w:hint="eastAsia" w:ascii="PMingLiU" w:hAnsi="PMingLiU" w:eastAsia="PMingLiU" w:cs="PMingLiU"/>
          <w:lang w:val="en-US" w:eastAsia="zh-CN"/>
        </w:rPr>
        <w:t>中華書局</w:t>
      </w:r>
      <w:r>
        <w:rPr>
          <w:rStyle w:val="19"/>
          <w:rFonts w:hint="eastAsia" w:ascii="PMingLiU" w:hAnsi="PMingLiU" w:eastAsia="PMingLiU" w:cs="PMingLiU"/>
          <w:lang w:eastAsia="zh-TW"/>
        </w:rPr>
        <w:t>，2016年），頁</w:t>
      </w:r>
      <w:r>
        <w:rPr>
          <w:rStyle w:val="19"/>
          <w:rFonts w:hint="eastAsia" w:ascii="PMingLiU" w:hAnsi="PMingLiU" w:eastAsia="PMingLiU" w:cs="PMingLiU"/>
          <w:lang w:val="en-US" w:eastAsia="zh-CN"/>
        </w:rPr>
        <w:t>119</w:t>
      </w:r>
      <w:r>
        <w:rPr>
          <w:rStyle w:val="19"/>
          <w:rFonts w:hint="eastAsia" w:ascii="PMingLiU" w:hAnsi="PMingLiU" w:eastAsia="PMingLiU" w:cs="PMingLiU"/>
          <w:lang w:eastAsia="zh-TW"/>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CCAE8E6"/>
    <w:multiLevelType w:val="singleLevel"/>
    <w:tmpl w:val="8CCAE8E6"/>
    <w:lvl w:ilvl="0" w:tentative="0">
      <w:start w:val="4"/>
      <w:numFmt w:val="chineseCounting"/>
      <w:suff w:val="nothing"/>
      <w:lvlText w:val="%1、"/>
      <w:lvlJc w:val="left"/>
      <w:rPr>
        <w:rFonts w:hint="eastAsi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oNotDisplayPageBoundaries w:val="1"/>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footnotePr>
    <w:footnote w:id="62"/>
    <w:footnote w:id="63"/>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GJmMzQwNzYwMWI5ODYwNWIyMzcxOTA0MmM5MTgzY2MifQ=="/>
  </w:docVars>
  <w:rsids>
    <w:rsidRoot w:val="2AD64CC9"/>
    <w:rsid w:val="000E4713"/>
    <w:rsid w:val="002075B0"/>
    <w:rsid w:val="002E5505"/>
    <w:rsid w:val="004B5DF2"/>
    <w:rsid w:val="007516D2"/>
    <w:rsid w:val="008347D2"/>
    <w:rsid w:val="00AE64A5"/>
    <w:rsid w:val="00BF55AB"/>
    <w:rsid w:val="00E0476A"/>
    <w:rsid w:val="00E40F2A"/>
    <w:rsid w:val="00E75939"/>
    <w:rsid w:val="05294145"/>
    <w:rsid w:val="08A3045C"/>
    <w:rsid w:val="0A067AB9"/>
    <w:rsid w:val="0B492A1C"/>
    <w:rsid w:val="0BF0024E"/>
    <w:rsid w:val="11A75DD1"/>
    <w:rsid w:val="144D1EDE"/>
    <w:rsid w:val="1B465F0C"/>
    <w:rsid w:val="1F9F2FD8"/>
    <w:rsid w:val="22761828"/>
    <w:rsid w:val="22B76619"/>
    <w:rsid w:val="22E90F98"/>
    <w:rsid w:val="253C3211"/>
    <w:rsid w:val="2A7702A9"/>
    <w:rsid w:val="2AD64CC9"/>
    <w:rsid w:val="2E9372BE"/>
    <w:rsid w:val="30AE03DF"/>
    <w:rsid w:val="33F70348"/>
    <w:rsid w:val="342553D4"/>
    <w:rsid w:val="39553B53"/>
    <w:rsid w:val="39777F08"/>
    <w:rsid w:val="3CFB49AC"/>
    <w:rsid w:val="3D204412"/>
    <w:rsid w:val="3E2717D1"/>
    <w:rsid w:val="41B052A9"/>
    <w:rsid w:val="4E755B7D"/>
    <w:rsid w:val="518B17DE"/>
    <w:rsid w:val="54414F42"/>
    <w:rsid w:val="5C55520B"/>
    <w:rsid w:val="699D27C3"/>
    <w:rsid w:val="6F857F81"/>
    <w:rsid w:val="6F9E0CFC"/>
    <w:rsid w:val="6FEC6252"/>
    <w:rsid w:val="73396415"/>
    <w:rsid w:val="75A66146"/>
    <w:rsid w:val="7B9D46EF"/>
    <w:rsid w:val="7C262AEC"/>
    <w:rsid w:val="7C813D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nhideWhenUsed="0" w:uiPriority="6" w:semiHidden="0" w:name="footnote text"/>
    <w:lsdException w:qFormat="1" w:uiPriority="99" w:name="annotation text"/>
    <w:lsdException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semiHidden="0"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iPriority="10" w:name="Title"/>
    <w:lsdException w:uiPriority="99" w:name="Closing"/>
    <w:lsdException w:uiPriority="99" w:name="Signature"/>
    <w:lsdException w:qFormat="1" w:uiPriority="1" w:semiHidden="0"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djustRightInd w:val="0"/>
      <w:snapToGrid w:val="0"/>
      <w:spacing w:line="360" w:lineRule="auto"/>
      <w:ind w:firstLine="200" w:firstLineChars="200"/>
      <w:jc w:val="both"/>
      <w:textAlignment w:val="auto"/>
    </w:pPr>
    <w:rPr>
      <w:rFonts w:ascii="Times New Roman" w:hAnsi="Times New Roman" w:eastAsia="PMingLiU" w:cs="Times New Roman"/>
      <w:kern w:val="2"/>
      <w:sz w:val="24"/>
      <w:szCs w:val="24"/>
      <w:lang w:val="en-GB" w:eastAsia="zh-CN" w:bidi="ar-SA"/>
    </w:rPr>
  </w:style>
  <w:style w:type="paragraph" w:styleId="2">
    <w:name w:val="heading 1"/>
    <w:next w:val="1"/>
    <w:link w:val="15"/>
    <w:qFormat/>
    <w:uiPriority w:val="0"/>
    <w:pPr>
      <w:keepNext/>
      <w:keepLines/>
      <w:ind w:firstLine="0" w:firstLineChars="0"/>
      <w:jc w:val="center"/>
      <w:outlineLvl w:val="0"/>
    </w:pPr>
    <w:rPr>
      <w:rFonts w:ascii="Linux Libertine" w:hAnsi="Linux Libertine" w:eastAsia="DFKai-SB" w:cs="Linux Libertine"/>
      <w:b/>
      <w:bCs/>
      <w:kern w:val="44"/>
      <w:sz w:val="40"/>
      <w:szCs w:val="40"/>
    </w:rPr>
  </w:style>
  <w:style w:type="paragraph" w:styleId="3">
    <w:name w:val="heading 2"/>
    <w:next w:val="1"/>
    <w:link w:val="16"/>
    <w:unhideWhenUsed/>
    <w:qFormat/>
    <w:uiPriority w:val="0"/>
    <w:pPr>
      <w:keepNext/>
      <w:keepLines/>
      <w:ind w:firstLine="0" w:firstLineChars="0"/>
      <w:jc w:val="center"/>
      <w:outlineLvl w:val="1"/>
    </w:pPr>
    <w:rPr>
      <w:rFonts w:ascii="Linux Libertine" w:hAnsi="Linux Libertine" w:eastAsia="DFKai-SB" w:cs="Linux Libertine"/>
      <w:b/>
      <w:bCs/>
      <w:sz w:val="36"/>
      <w:szCs w:val="36"/>
    </w:rPr>
  </w:style>
  <w:style w:type="paragraph" w:styleId="4">
    <w:name w:val="heading 3"/>
    <w:next w:val="1"/>
    <w:link w:val="17"/>
    <w:unhideWhenUsed/>
    <w:qFormat/>
    <w:uiPriority w:val="0"/>
    <w:pPr>
      <w:keepNext/>
      <w:keepLines/>
      <w:adjustRightInd w:val="0"/>
      <w:snapToGrid w:val="0"/>
      <w:spacing w:line="360" w:lineRule="auto"/>
      <w:ind w:firstLine="0" w:firstLineChars="0"/>
      <w:jc w:val="left"/>
      <w:outlineLvl w:val="2"/>
    </w:pPr>
    <w:rPr>
      <w:rFonts w:ascii="Linux Libertine" w:hAnsi="Linux Libertine" w:eastAsia="DFKai-SB" w:cs="Linux Libertine"/>
      <w:b/>
      <w:bCs/>
      <w:sz w:val="32"/>
      <w:szCs w:val="32"/>
    </w:rPr>
  </w:style>
  <w:style w:type="paragraph" w:styleId="5">
    <w:name w:val="heading 4"/>
    <w:next w:val="1"/>
    <w:link w:val="18"/>
    <w:unhideWhenUsed/>
    <w:qFormat/>
    <w:uiPriority w:val="0"/>
    <w:pPr>
      <w:keepNext/>
      <w:keepLines/>
      <w:adjustRightInd w:val="0"/>
      <w:snapToGrid w:val="0"/>
      <w:spacing w:line="360" w:lineRule="auto"/>
      <w:jc w:val="left"/>
      <w:outlineLvl w:val="3"/>
    </w:pPr>
    <w:rPr>
      <w:rFonts w:ascii="Times New Roman" w:hAnsi="Times New Roman" w:eastAsia="PMingLiU" w:cstheme="minorBidi"/>
      <w:b/>
      <w:bCs/>
      <w:sz w:val="28"/>
      <w:szCs w:val="28"/>
    </w:rPr>
  </w:style>
  <w:style w:type="paragraph" w:styleId="6">
    <w:name w:val="heading 5"/>
    <w:basedOn w:val="1"/>
    <w:next w:val="1"/>
    <w:semiHidden/>
    <w:unhideWhenUsed/>
    <w:qFormat/>
    <w:uiPriority w:val="9"/>
    <w:pPr>
      <w:keepNext/>
      <w:keepLines/>
      <w:spacing w:before="280" w:beforeLines="0" w:beforeAutospacing="0" w:after="290" w:afterLines="0" w:afterAutospacing="0" w:line="372" w:lineRule="auto"/>
      <w:outlineLvl w:val="4"/>
    </w:pPr>
    <w:rPr>
      <w:b/>
      <w:sz w:val="28"/>
    </w:rPr>
  </w:style>
  <w:style w:type="character" w:default="1" w:styleId="13">
    <w:name w:val="Default Paragraph Font"/>
    <w:unhideWhenUsed/>
    <w:qFormat/>
    <w:uiPriority w:val="1"/>
    <w:rPr>
      <w:rFonts w:ascii="Times New Roman" w:hAnsi="Times New Roman" w:eastAsia="PMingLiU" w:cs="Times New Roman"/>
      <w:sz w:val="24"/>
      <w:szCs w:val="24"/>
    </w:rPr>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7">
    <w:name w:val="annotation text"/>
    <w:basedOn w:val="1"/>
    <w:semiHidden/>
    <w:unhideWhenUsed/>
    <w:qFormat/>
    <w:uiPriority w:val="99"/>
  </w:style>
  <w:style w:type="paragraph" w:styleId="8">
    <w:name w:val="footer"/>
    <w:basedOn w:val="1"/>
    <w:qFormat/>
    <w:uiPriority w:val="99"/>
    <w:pPr>
      <w:tabs>
        <w:tab w:val="center" w:pos="4153"/>
        <w:tab w:val="right" w:pos="8306"/>
      </w:tabs>
      <w:snapToGrid w:val="0"/>
      <w:jc w:val="left"/>
    </w:pPr>
    <w:rPr>
      <w:sz w:val="18"/>
    </w:rPr>
  </w:style>
  <w:style w:type="paragraph" w:styleId="9">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footnote text"/>
    <w:next w:val="1"/>
    <w:link w:val="19"/>
    <w:qFormat/>
    <w:uiPriority w:val="6"/>
    <w:pPr>
      <w:tabs>
        <w:tab w:val="left" w:pos="263"/>
      </w:tabs>
      <w:adjustRightInd w:val="0"/>
      <w:snapToGrid w:val="0"/>
      <w:spacing w:line="264" w:lineRule="auto"/>
      <w:ind w:left="288" w:leftChars="0" w:hanging="288" w:hangingChars="120"/>
    </w:pPr>
    <w:rPr>
      <w:rFonts w:ascii="Times New Roman" w:hAnsi="Times New Roman" w:eastAsia="PMingLiU" w:cs="Times New Roman"/>
      <w:sz w:val="20"/>
      <w:szCs w:val="20"/>
    </w:rPr>
  </w:style>
  <w:style w:type="table" w:styleId="12">
    <w:name w:val="Table Grid"/>
    <w:basedOn w:val="11"/>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footnote reference"/>
    <w:basedOn w:val="13"/>
    <w:unhideWhenUsed/>
    <w:qFormat/>
    <w:uiPriority w:val="99"/>
    <w:rPr>
      <w:rFonts w:ascii="Times New Roman" w:hAnsi="Times New Roman" w:eastAsia="PMingLiU" w:cs="Times New Roman"/>
      <w:vertAlign w:val="superscript"/>
    </w:rPr>
  </w:style>
  <w:style w:type="character" w:customStyle="1" w:styleId="15">
    <w:name w:val="标题 1 字符"/>
    <w:basedOn w:val="13"/>
    <w:link w:val="2"/>
    <w:qFormat/>
    <w:uiPriority w:val="0"/>
    <w:rPr>
      <w:rFonts w:ascii="Linux Libertine" w:hAnsi="Linux Libertine" w:eastAsia="DFKai-SB" w:cs="Linux Libertine"/>
      <w:b/>
      <w:bCs/>
      <w:kern w:val="44"/>
      <w:sz w:val="40"/>
      <w:szCs w:val="40"/>
    </w:rPr>
  </w:style>
  <w:style w:type="character" w:customStyle="1" w:styleId="16">
    <w:name w:val="标题 2 字符"/>
    <w:basedOn w:val="13"/>
    <w:link w:val="3"/>
    <w:semiHidden/>
    <w:qFormat/>
    <w:uiPriority w:val="0"/>
    <w:rPr>
      <w:rFonts w:ascii="Linux Libertine" w:hAnsi="Linux Libertine" w:eastAsia="DFKai-SB" w:cs="Linux Libertine"/>
      <w:b/>
      <w:bCs/>
      <w:sz w:val="36"/>
      <w:szCs w:val="36"/>
    </w:rPr>
  </w:style>
  <w:style w:type="character" w:customStyle="1" w:styleId="17">
    <w:name w:val="标题 3 字符"/>
    <w:basedOn w:val="13"/>
    <w:link w:val="4"/>
    <w:semiHidden/>
    <w:qFormat/>
    <w:uiPriority w:val="0"/>
    <w:rPr>
      <w:rFonts w:ascii="Linux Libertine" w:hAnsi="Linux Libertine" w:eastAsia="DFKai-SB" w:cs="Linux Libertine"/>
      <w:b/>
      <w:bCs/>
      <w:sz w:val="32"/>
      <w:szCs w:val="32"/>
    </w:rPr>
  </w:style>
  <w:style w:type="character" w:customStyle="1" w:styleId="18">
    <w:name w:val="标题 4 字符"/>
    <w:basedOn w:val="13"/>
    <w:link w:val="5"/>
    <w:semiHidden/>
    <w:qFormat/>
    <w:uiPriority w:val="0"/>
    <w:rPr>
      <w:rFonts w:ascii="Times New Roman" w:hAnsi="Times New Roman" w:eastAsia="PMingLiU" w:cs="Linux Libertine"/>
      <w:b/>
      <w:bCs/>
      <w:sz w:val="28"/>
      <w:szCs w:val="28"/>
    </w:rPr>
  </w:style>
  <w:style w:type="character" w:customStyle="1" w:styleId="19">
    <w:name w:val="脚注文本 字符"/>
    <w:basedOn w:val="13"/>
    <w:link w:val="10"/>
    <w:qFormat/>
    <w:uiPriority w:val="6"/>
    <w:rPr>
      <w:rFonts w:ascii="Times New Roman" w:hAnsi="Times New Roman" w:eastAsia="PMingLiU" w:cs="Times New Roman"/>
      <w:sz w:val="20"/>
      <w:szCs w:val="20"/>
    </w:rPr>
  </w:style>
  <w:style w:type="paragraph" w:customStyle="1" w:styleId="20">
    <w:name w:val="独立引文"/>
    <w:basedOn w:val="1"/>
    <w:link w:val="21"/>
    <w:qFormat/>
    <w:uiPriority w:val="2"/>
    <w:pPr>
      <w:spacing w:before="60" w:beforeLines="60" w:after="80" w:afterLines="80" w:line="288" w:lineRule="auto"/>
      <w:ind w:left="300" w:leftChars="300" w:firstLine="0" w:firstLineChars="0"/>
    </w:pPr>
    <w:rPr>
      <w:rFonts w:eastAsia="DFKai-SB"/>
    </w:rPr>
  </w:style>
  <w:style w:type="character" w:customStyle="1" w:styleId="21">
    <w:name w:val="独立引文 Char"/>
    <w:link w:val="20"/>
    <w:qFormat/>
    <w:uiPriority w:val="2"/>
    <w:rPr>
      <w:rFonts w:eastAsia="DFKai-SB" w:asciiTheme="minorAscii" w:hAnsiTheme="minorAscii"/>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istrator\Downloads\&#20013;&#25991;&#27169;&#26495;-&#27491;&#25991;&#32048;&#26126;&#39636;&#20462;&#25913;.do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自定义">
      <a:majorFont>
        <a:latin typeface="Times New Roman"/>
        <a:ea typeface="DFKai-SB"/>
        <a:cs typeface=""/>
      </a:majorFont>
      <a:minorFont>
        <a:latin typeface="Times New Roman"/>
        <a:ea typeface="MingLiU"/>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中文模板-正文細明體修改.dotm</Template>
  <Pages>1</Pages>
  <Words>22</Words>
  <Characters>22</Characters>
  <Lines>0</Lines>
  <Paragraphs>0</Paragraphs>
  <TotalTime>3</TotalTime>
  <ScaleCrop>false</ScaleCrop>
  <LinksUpToDate>false</LinksUpToDate>
  <CharactersWithSpaces>22</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2023-11-16T01:25:00Z</dcterms:created>
  <dc:creator>為天地立心</dc:creator>
  <cp:lastModifiedBy>為天地立心</cp:lastModifiedBy>
  <dcterms:modified xsi:type="dcterms:W3CDTF">2023-11-17T09:32:58Z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F37F8BBC94E148BEB14674BB759FAE6C_11</vt:lpwstr>
  </property>
</Properties>
</file>