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583E77" w14:textId="3120D964" w:rsidR="00720175" w:rsidRDefault="00A51C31" w:rsidP="00B77050">
      <w:pPr>
        <w:spacing w:before="120" w:after="120" w:line="360" w:lineRule="auto"/>
        <w:jc w:val="both"/>
        <w:rPr>
          <w:rFonts w:ascii="Arial" w:eastAsia="Times New Roman" w:hAnsi="Arial" w:cs="Arial"/>
          <w:b/>
          <w:bCs/>
          <w:kern w:val="0"/>
          <w:sz w:val="28"/>
          <w:szCs w:val="28"/>
          <w:lang w:eastAsia="en-GB"/>
          <w14:ligatures w14:val="none"/>
        </w:rPr>
      </w:pPr>
      <w:r>
        <w:rPr>
          <w:noProof/>
        </w:rPr>
        <w:drawing>
          <wp:inline distT="0" distB="0" distL="0" distR="0" wp14:anchorId="5440A313" wp14:editId="4EBCF042">
            <wp:extent cx="5715000" cy="1895475"/>
            <wp:effectExtent l="0" t="0" r="0" b="9525"/>
            <wp:docPr id="1563959861" name="Picture 15639598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15000" cy="1895475"/>
                    </a:xfrm>
                    <a:prstGeom prst="rect">
                      <a:avLst/>
                    </a:prstGeom>
                    <a:noFill/>
                  </pic:spPr>
                </pic:pic>
              </a:graphicData>
            </a:graphic>
          </wp:inline>
        </w:drawing>
      </w:r>
    </w:p>
    <w:p w14:paraId="0F952215" w14:textId="77777777" w:rsidR="00352084" w:rsidRDefault="00352084" w:rsidP="00B77050">
      <w:pPr>
        <w:spacing w:before="120" w:after="120" w:line="360" w:lineRule="auto"/>
        <w:jc w:val="both"/>
        <w:rPr>
          <w:rFonts w:ascii="Arial" w:eastAsia="Times New Roman" w:hAnsi="Arial" w:cs="Arial"/>
          <w:b/>
          <w:bCs/>
          <w:kern w:val="0"/>
          <w:sz w:val="28"/>
          <w:szCs w:val="28"/>
          <w:lang w:eastAsia="en-GB"/>
          <w14:ligatures w14:val="none"/>
        </w:rPr>
      </w:pPr>
    </w:p>
    <w:p w14:paraId="7DA20B55" w14:textId="77777777" w:rsidR="00352084" w:rsidRDefault="00352084" w:rsidP="00B77050">
      <w:pPr>
        <w:spacing w:before="120" w:after="120" w:line="360" w:lineRule="auto"/>
        <w:jc w:val="both"/>
        <w:rPr>
          <w:rFonts w:ascii="Arial" w:eastAsia="Times New Roman" w:hAnsi="Arial" w:cs="Arial"/>
          <w:b/>
          <w:bCs/>
          <w:kern w:val="0"/>
          <w:sz w:val="28"/>
          <w:szCs w:val="28"/>
          <w:lang w:eastAsia="en-GB"/>
          <w14:ligatures w14:val="none"/>
        </w:rPr>
      </w:pPr>
    </w:p>
    <w:p w14:paraId="3BB1E07C" w14:textId="77777777" w:rsidR="00352084" w:rsidRDefault="00352084" w:rsidP="00352084">
      <w:pPr>
        <w:spacing w:line="480" w:lineRule="auto"/>
        <w:rPr>
          <w:rFonts w:ascii="Arial" w:hAnsi="Arial" w:cs="Arial"/>
          <w:i/>
          <w:iCs/>
        </w:rPr>
      </w:pPr>
      <w:r>
        <w:rPr>
          <w:rFonts w:ascii="Arial" w:hAnsi="Arial" w:cs="Arial"/>
          <w:b/>
          <w:bCs/>
          <w:sz w:val="56"/>
          <w:szCs w:val="56"/>
        </w:rPr>
        <w:t xml:space="preserve">BA (Hons) Business Management </w:t>
      </w:r>
    </w:p>
    <w:p w14:paraId="31FDD854" w14:textId="77777777" w:rsidR="00352084" w:rsidRPr="007B1BEA" w:rsidRDefault="00352084" w:rsidP="00352084">
      <w:pPr>
        <w:spacing w:line="600" w:lineRule="auto"/>
        <w:rPr>
          <w:rFonts w:ascii="Arial" w:hAnsi="Arial" w:cs="Arial"/>
          <w:b/>
          <w:bCs/>
          <w:sz w:val="36"/>
          <w:szCs w:val="36"/>
        </w:rPr>
      </w:pPr>
      <w:r w:rsidRPr="007B1BEA">
        <w:rPr>
          <w:rFonts w:ascii="Arial" w:hAnsi="Arial" w:cs="Arial"/>
          <w:b/>
          <w:bCs/>
          <w:sz w:val="36"/>
          <w:szCs w:val="36"/>
        </w:rPr>
        <w:t>Student Name:</w:t>
      </w:r>
      <w:r>
        <w:rPr>
          <w:rFonts w:ascii="Arial" w:hAnsi="Arial" w:cs="Arial"/>
          <w:b/>
          <w:bCs/>
          <w:sz w:val="36"/>
          <w:szCs w:val="36"/>
        </w:rPr>
        <w:t xml:space="preserve"> </w:t>
      </w:r>
      <w:r w:rsidRPr="00F11CD9">
        <w:rPr>
          <w:rFonts w:ascii="Arial" w:hAnsi="Arial" w:cs="Arial"/>
          <w:sz w:val="36"/>
          <w:szCs w:val="36"/>
        </w:rPr>
        <w:t>Natalia Jitari</w:t>
      </w:r>
    </w:p>
    <w:p w14:paraId="7260DBD7" w14:textId="77777777" w:rsidR="00352084" w:rsidRPr="007B1BEA" w:rsidRDefault="00352084" w:rsidP="00352084">
      <w:pPr>
        <w:spacing w:line="600" w:lineRule="auto"/>
        <w:rPr>
          <w:rFonts w:ascii="Arial" w:hAnsi="Arial" w:cs="Arial"/>
          <w:b/>
          <w:bCs/>
          <w:sz w:val="36"/>
          <w:szCs w:val="36"/>
        </w:rPr>
      </w:pPr>
      <w:r w:rsidRPr="007B1BEA">
        <w:rPr>
          <w:rFonts w:ascii="Arial" w:hAnsi="Arial" w:cs="Arial"/>
          <w:b/>
          <w:bCs/>
          <w:sz w:val="36"/>
          <w:szCs w:val="36"/>
        </w:rPr>
        <w:t>Student Number:</w:t>
      </w:r>
      <w:r>
        <w:rPr>
          <w:rFonts w:ascii="Arial" w:hAnsi="Arial" w:cs="Arial"/>
          <w:b/>
          <w:bCs/>
          <w:sz w:val="36"/>
          <w:szCs w:val="36"/>
        </w:rPr>
        <w:t xml:space="preserve"> </w:t>
      </w:r>
      <w:r w:rsidRPr="00466ED9">
        <w:rPr>
          <w:rFonts w:ascii="Arial" w:hAnsi="Arial" w:cs="Arial"/>
          <w:sz w:val="36"/>
          <w:szCs w:val="36"/>
        </w:rPr>
        <w:t>2239910</w:t>
      </w:r>
    </w:p>
    <w:p w14:paraId="626C17A8" w14:textId="533A2FAC" w:rsidR="00352084" w:rsidRPr="00D774F5" w:rsidRDefault="00352084" w:rsidP="005E700A">
      <w:pPr>
        <w:spacing w:line="360" w:lineRule="auto"/>
        <w:rPr>
          <w:rFonts w:ascii="Arial" w:hAnsi="Arial" w:cs="Arial"/>
          <w:sz w:val="36"/>
          <w:szCs w:val="36"/>
        </w:rPr>
      </w:pPr>
      <w:r w:rsidRPr="007B1BEA">
        <w:rPr>
          <w:rFonts w:ascii="Arial" w:hAnsi="Arial" w:cs="Arial"/>
          <w:b/>
          <w:bCs/>
          <w:sz w:val="36"/>
          <w:szCs w:val="36"/>
        </w:rPr>
        <w:t>Course Name:</w:t>
      </w:r>
      <w:r w:rsidRPr="007B1BEA">
        <w:rPr>
          <w:rFonts w:ascii="Arial" w:hAnsi="Arial" w:cs="Arial"/>
          <w:sz w:val="36"/>
          <w:szCs w:val="36"/>
        </w:rPr>
        <w:t xml:space="preserve"> </w:t>
      </w:r>
      <w:r w:rsidR="005E700A">
        <w:rPr>
          <w:rFonts w:ascii="Arial" w:hAnsi="Arial" w:cs="Arial"/>
          <w:sz w:val="36"/>
          <w:szCs w:val="36"/>
        </w:rPr>
        <w:t xml:space="preserve">Principles of Human </w:t>
      </w:r>
      <w:r w:rsidR="00562B7F">
        <w:rPr>
          <w:rFonts w:ascii="Arial" w:hAnsi="Arial" w:cs="Arial"/>
          <w:sz w:val="36"/>
          <w:szCs w:val="36"/>
        </w:rPr>
        <w:t>Resource         Management (LCBB5012)</w:t>
      </w:r>
    </w:p>
    <w:p w14:paraId="67D46B62" w14:textId="5458D050" w:rsidR="00352084" w:rsidRPr="007B1BEA" w:rsidRDefault="00352084" w:rsidP="00352084">
      <w:pPr>
        <w:spacing w:line="600" w:lineRule="auto"/>
        <w:rPr>
          <w:rFonts w:ascii="Arial" w:hAnsi="Arial" w:cs="Arial"/>
          <w:sz w:val="36"/>
          <w:szCs w:val="36"/>
        </w:rPr>
      </w:pPr>
      <w:r w:rsidRPr="007B1BEA">
        <w:rPr>
          <w:rFonts w:ascii="Arial" w:hAnsi="Arial" w:cs="Arial"/>
          <w:b/>
          <w:bCs/>
          <w:sz w:val="36"/>
          <w:szCs w:val="36"/>
        </w:rPr>
        <w:t xml:space="preserve">Lecturer Name: </w:t>
      </w:r>
      <w:r w:rsidR="00A42C75">
        <w:rPr>
          <w:rFonts w:ascii="Arial" w:hAnsi="Arial" w:cs="Arial"/>
          <w:sz w:val="36"/>
          <w:szCs w:val="36"/>
        </w:rPr>
        <w:t xml:space="preserve">Nerys Dosseh </w:t>
      </w:r>
    </w:p>
    <w:p w14:paraId="5B288942" w14:textId="77777777" w:rsidR="00352084" w:rsidRDefault="00352084" w:rsidP="00352084">
      <w:pPr>
        <w:spacing w:line="600" w:lineRule="auto"/>
        <w:rPr>
          <w:rFonts w:ascii="Arial" w:hAnsi="Arial" w:cs="Arial"/>
          <w:sz w:val="36"/>
          <w:szCs w:val="36"/>
        </w:rPr>
      </w:pPr>
      <w:r w:rsidRPr="007B1BEA">
        <w:rPr>
          <w:rFonts w:ascii="Arial" w:hAnsi="Arial" w:cs="Arial"/>
          <w:b/>
          <w:bCs/>
          <w:sz w:val="36"/>
          <w:szCs w:val="36"/>
        </w:rPr>
        <w:t>Session</w:t>
      </w:r>
      <w:r w:rsidRPr="007B1BEA">
        <w:rPr>
          <w:rFonts w:ascii="Arial" w:hAnsi="Arial" w:cs="Arial"/>
          <w:sz w:val="36"/>
          <w:szCs w:val="36"/>
        </w:rPr>
        <w:t xml:space="preserve">: </w:t>
      </w:r>
      <w:r>
        <w:rPr>
          <w:rFonts w:ascii="Arial" w:hAnsi="Arial" w:cs="Arial"/>
          <w:sz w:val="36"/>
          <w:szCs w:val="36"/>
        </w:rPr>
        <w:t>February</w:t>
      </w:r>
      <w:r w:rsidRPr="007B1BEA">
        <w:rPr>
          <w:rFonts w:ascii="Arial" w:hAnsi="Arial" w:cs="Arial"/>
          <w:sz w:val="36"/>
          <w:szCs w:val="36"/>
        </w:rPr>
        <w:t xml:space="preserve"> </w:t>
      </w:r>
      <w:r w:rsidRPr="00466ED9">
        <w:rPr>
          <w:rFonts w:ascii="Arial" w:hAnsi="Arial" w:cs="Arial"/>
          <w:sz w:val="36"/>
          <w:szCs w:val="36"/>
        </w:rPr>
        <w:t>202</w:t>
      </w:r>
      <w:r>
        <w:rPr>
          <w:rFonts w:ascii="Arial" w:hAnsi="Arial" w:cs="Arial"/>
          <w:sz w:val="36"/>
          <w:szCs w:val="36"/>
        </w:rPr>
        <w:t>6</w:t>
      </w:r>
      <w:r w:rsidRPr="00466ED9">
        <w:rPr>
          <w:rFonts w:ascii="Arial" w:hAnsi="Arial" w:cs="Arial"/>
          <w:sz w:val="36"/>
          <w:szCs w:val="36"/>
        </w:rPr>
        <w:t xml:space="preserve"> </w:t>
      </w:r>
    </w:p>
    <w:p w14:paraId="3EFCB862" w14:textId="77777777" w:rsidR="00352084" w:rsidRDefault="00352084" w:rsidP="00B77050">
      <w:pPr>
        <w:spacing w:before="120" w:after="120" w:line="360" w:lineRule="auto"/>
        <w:jc w:val="both"/>
        <w:rPr>
          <w:rFonts w:ascii="Arial" w:eastAsia="Times New Roman" w:hAnsi="Arial" w:cs="Arial"/>
          <w:b/>
          <w:bCs/>
          <w:kern w:val="0"/>
          <w:sz w:val="28"/>
          <w:szCs w:val="28"/>
          <w:lang w:eastAsia="en-GB"/>
          <w14:ligatures w14:val="none"/>
        </w:rPr>
      </w:pPr>
    </w:p>
    <w:p w14:paraId="23E56B3B" w14:textId="77777777" w:rsidR="00720175" w:rsidRDefault="00720175">
      <w:pPr>
        <w:rPr>
          <w:rFonts w:ascii="Arial" w:eastAsia="Times New Roman" w:hAnsi="Arial" w:cs="Arial"/>
          <w:b/>
          <w:bCs/>
          <w:kern w:val="0"/>
          <w:sz w:val="28"/>
          <w:szCs w:val="28"/>
          <w:lang w:eastAsia="en-GB"/>
          <w14:ligatures w14:val="none"/>
        </w:rPr>
      </w:pPr>
      <w:r>
        <w:rPr>
          <w:rFonts w:ascii="Arial" w:eastAsia="Times New Roman" w:hAnsi="Arial" w:cs="Arial"/>
          <w:b/>
          <w:bCs/>
          <w:kern w:val="0"/>
          <w:sz w:val="28"/>
          <w:szCs w:val="28"/>
          <w:lang w:eastAsia="en-GB"/>
          <w14:ligatures w14:val="none"/>
        </w:rPr>
        <w:br w:type="page"/>
      </w:r>
    </w:p>
    <w:p w14:paraId="545DDB89" w14:textId="04614D76" w:rsidR="00A844D3" w:rsidRPr="00A844D3" w:rsidRDefault="00A844D3" w:rsidP="00B77050">
      <w:pPr>
        <w:spacing w:before="120" w:after="120" w:line="360" w:lineRule="auto"/>
        <w:jc w:val="both"/>
        <w:rPr>
          <w:rFonts w:ascii="Arial" w:eastAsia="Times New Roman" w:hAnsi="Arial" w:cs="Arial"/>
          <w:b/>
          <w:bCs/>
          <w:kern w:val="0"/>
          <w:sz w:val="28"/>
          <w:szCs w:val="28"/>
          <w:lang w:eastAsia="en-GB"/>
          <w14:ligatures w14:val="none"/>
        </w:rPr>
      </w:pPr>
      <w:r w:rsidRPr="0027711A">
        <w:rPr>
          <w:rFonts w:ascii="Arial" w:eastAsia="Times New Roman" w:hAnsi="Arial" w:cs="Arial"/>
          <w:b/>
          <w:bCs/>
          <w:kern w:val="0"/>
          <w:sz w:val="28"/>
          <w:szCs w:val="28"/>
          <w:lang w:eastAsia="en-GB"/>
          <w14:ligatures w14:val="none"/>
        </w:rPr>
        <w:lastRenderedPageBreak/>
        <w:t xml:space="preserve">1. </w:t>
      </w:r>
      <w:r w:rsidR="0027711A" w:rsidRPr="0027711A">
        <w:rPr>
          <w:rFonts w:ascii="Arial" w:eastAsia="Times New Roman" w:hAnsi="Arial" w:cs="Arial"/>
          <w:b/>
          <w:bCs/>
          <w:kern w:val="0"/>
          <w:sz w:val="28"/>
          <w:szCs w:val="28"/>
          <w:lang w:eastAsia="en-GB"/>
          <w14:ligatures w14:val="none"/>
        </w:rPr>
        <w:t>Introduction</w:t>
      </w:r>
    </w:p>
    <w:p w14:paraId="2FBBEAD7" w14:textId="77777777" w:rsidR="00A844D3" w:rsidRPr="00A844D3" w:rsidRDefault="00A844D3" w:rsidP="00B77050">
      <w:pPr>
        <w:spacing w:after="0" w:line="360" w:lineRule="auto"/>
        <w:jc w:val="both"/>
        <w:rPr>
          <w:rFonts w:ascii="Arial" w:eastAsia="Times New Roman" w:hAnsi="Arial" w:cs="Arial"/>
          <w:kern w:val="0"/>
          <w:sz w:val="24"/>
          <w:szCs w:val="24"/>
          <w:lang w:eastAsia="en-GB"/>
          <w14:ligatures w14:val="none"/>
        </w:rPr>
      </w:pPr>
      <w:r w:rsidRPr="00A844D3">
        <w:rPr>
          <w:rFonts w:ascii="Arial" w:eastAsia="Times New Roman" w:hAnsi="Arial" w:cs="Arial"/>
          <w:kern w:val="0"/>
          <w:sz w:val="24"/>
          <w:szCs w:val="24"/>
          <w:lang w:eastAsia="en-GB"/>
          <w14:ligatures w14:val="none"/>
        </w:rPr>
        <w:t>The contemporary technology-based work environment increasingly relies on innovation to remain competitive and keep pace with rapid digitalisation. The development of automation and artificial intelligence is changing the nature of jobs and demanding creative, problem-solving employees. Human Resource Management is thus crucial in creating jobs and hiring people capable of facilitating organisational innovation. From a Strategic Human Resource Management (SHRM) perspective, aligning recruitment with the innovation strategy helps organisations develop valuable capabilities (Kapoor, 2024). On the same note, the Resource-Based View (RBV) proposes that an organisation's resources are crucial, including its talented and innovative employees (</w:t>
      </w:r>
      <w:proofErr w:type="spellStart"/>
      <w:r w:rsidRPr="00A844D3">
        <w:rPr>
          <w:rFonts w:ascii="Arial" w:eastAsia="Times New Roman" w:hAnsi="Arial" w:cs="Arial"/>
          <w:kern w:val="0"/>
          <w:sz w:val="24"/>
          <w:szCs w:val="24"/>
          <w:lang w:eastAsia="en-GB"/>
          <w14:ligatures w14:val="none"/>
        </w:rPr>
        <w:t>Valaei</w:t>
      </w:r>
      <w:proofErr w:type="spellEnd"/>
      <w:r w:rsidRPr="00A844D3">
        <w:rPr>
          <w:rFonts w:ascii="Arial" w:eastAsia="Times New Roman" w:hAnsi="Arial" w:cs="Arial"/>
          <w:kern w:val="0"/>
          <w:sz w:val="24"/>
          <w:szCs w:val="24"/>
          <w:lang w:eastAsia="en-GB"/>
          <w14:ligatures w14:val="none"/>
        </w:rPr>
        <w:t xml:space="preserve"> </w:t>
      </w:r>
      <w:r w:rsidRPr="00A844D3">
        <w:rPr>
          <w:rFonts w:ascii="Arial" w:eastAsia="Times New Roman" w:hAnsi="Arial" w:cs="Arial"/>
          <w:i/>
          <w:iCs/>
          <w:kern w:val="0"/>
          <w:sz w:val="24"/>
          <w:szCs w:val="24"/>
          <w:lang w:eastAsia="en-GB"/>
          <w14:ligatures w14:val="none"/>
        </w:rPr>
        <w:t>et al.</w:t>
      </w:r>
      <w:r w:rsidRPr="00A844D3">
        <w:rPr>
          <w:rFonts w:ascii="Arial" w:eastAsia="Times New Roman" w:hAnsi="Arial" w:cs="Arial"/>
          <w:kern w:val="0"/>
          <w:sz w:val="24"/>
          <w:szCs w:val="24"/>
          <w:lang w:eastAsia="en-GB"/>
          <w14:ligatures w14:val="none"/>
        </w:rPr>
        <w:t>, 2022). This report formulates a job description and personal specification of an Innovation Support Officer at the UWTSD Student Union.</w:t>
      </w:r>
    </w:p>
    <w:p w14:paraId="572D0C4D" w14:textId="77777777" w:rsidR="00A844D3" w:rsidRPr="00A844D3" w:rsidRDefault="00A844D3" w:rsidP="00B77050">
      <w:pPr>
        <w:spacing w:before="240" w:after="120" w:line="360" w:lineRule="auto"/>
        <w:jc w:val="both"/>
        <w:outlineLvl w:val="0"/>
        <w:rPr>
          <w:rFonts w:ascii="Arial" w:eastAsia="Times New Roman" w:hAnsi="Arial" w:cs="Arial"/>
          <w:b/>
          <w:bCs/>
          <w:kern w:val="36"/>
          <w:sz w:val="28"/>
          <w:szCs w:val="28"/>
          <w:lang w:eastAsia="en-GB"/>
          <w14:ligatures w14:val="none"/>
        </w:rPr>
      </w:pPr>
      <w:r w:rsidRPr="00A844D3">
        <w:rPr>
          <w:rFonts w:ascii="Arial" w:eastAsia="Times New Roman" w:hAnsi="Arial" w:cs="Arial"/>
          <w:b/>
          <w:bCs/>
          <w:kern w:val="36"/>
          <w:sz w:val="28"/>
          <w:szCs w:val="28"/>
          <w:lang w:eastAsia="en-GB"/>
          <w14:ligatures w14:val="none"/>
        </w:rPr>
        <w:t>2. Innovation and Creativity in HRM</w:t>
      </w:r>
    </w:p>
    <w:p w14:paraId="763DC9C6" w14:textId="77777777" w:rsidR="00A844D3" w:rsidRPr="00A844D3" w:rsidRDefault="00A844D3" w:rsidP="00B77050">
      <w:pPr>
        <w:spacing w:after="0" w:line="360" w:lineRule="auto"/>
        <w:jc w:val="both"/>
        <w:rPr>
          <w:rFonts w:ascii="Arial" w:eastAsia="Times New Roman" w:hAnsi="Arial" w:cs="Arial"/>
          <w:kern w:val="0"/>
          <w:sz w:val="24"/>
          <w:szCs w:val="24"/>
          <w:lang w:eastAsia="en-GB"/>
          <w14:ligatures w14:val="none"/>
        </w:rPr>
      </w:pPr>
      <w:r w:rsidRPr="00A844D3">
        <w:rPr>
          <w:rFonts w:ascii="Arial" w:eastAsia="Times New Roman" w:hAnsi="Arial" w:cs="Arial"/>
          <w:kern w:val="0"/>
          <w:sz w:val="24"/>
          <w:szCs w:val="24"/>
          <w:lang w:eastAsia="en-GB"/>
          <w14:ligatures w14:val="none"/>
        </w:rPr>
        <w:t>Human Resource Management is increasingly concerned with innovation-oriented recruitment to enable organisations to adapt to ever-changing technology and environmental conditions (</w:t>
      </w:r>
      <w:proofErr w:type="spellStart"/>
      <w:r w:rsidRPr="00A844D3">
        <w:rPr>
          <w:rFonts w:ascii="Arial" w:eastAsia="Times New Roman" w:hAnsi="Arial" w:cs="Arial"/>
          <w:kern w:val="0"/>
          <w:sz w:val="24"/>
          <w:szCs w:val="24"/>
          <w:lang w:eastAsia="en-GB"/>
          <w14:ligatures w14:val="none"/>
        </w:rPr>
        <w:t>Hrexecutive</w:t>
      </w:r>
      <w:proofErr w:type="spellEnd"/>
      <w:r w:rsidRPr="00A844D3">
        <w:rPr>
          <w:rFonts w:ascii="Arial" w:eastAsia="Times New Roman" w:hAnsi="Arial" w:cs="Arial"/>
          <w:kern w:val="0"/>
          <w:sz w:val="24"/>
          <w:szCs w:val="24"/>
          <w:lang w:eastAsia="en-GB"/>
          <w14:ligatures w14:val="none"/>
        </w:rPr>
        <w:t>, 2025). Hiring workers who think creatively, have digital knowledge, and problem-solving skills will help organisations to come up with new ideas, enhance their services and stay competitive. Recruitment strategies created by HR departments thus aim to find candidates who can help drive innovation and organisational development. The AMO Model (Ability-Motivation-Opportunity) is considered one of the significant frameworks for explaining employee innovation (LinkedIn, 2025). This model presumes that employees have the ability (skills and knowledge), motivation (incentives and encouragement), and opportunity (a supportive work environment) to generate and apply new ideas, thereby increasing the likelihood of innovation. Training, performance rewards, and the structure of work HR practices create these conditions.</w:t>
      </w:r>
    </w:p>
    <w:p w14:paraId="3B72AF09" w14:textId="77777777" w:rsidR="00A844D3" w:rsidRDefault="00A844D3" w:rsidP="00A844D3">
      <w:pPr>
        <w:spacing w:after="0" w:line="360" w:lineRule="auto"/>
        <w:jc w:val="both"/>
        <w:rPr>
          <w:rFonts w:ascii="Arial" w:eastAsia="Times New Roman" w:hAnsi="Arial" w:cs="Arial"/>
          <w:kern w:val="0"/>
          <w:sz w:val="24"/>
          <w:szCs w:val="24"/>
          <w:lang w:eastAsia="en-GB"/>
          <w14:ligatures w14:val="none"/>
        </w:rPr>
      </w:pPr>
      <w:r w:rsidRPr="00A844D3">
        <w:rPr>
          <w:rFonts w:ascii="Arial" w:eastAsia="Times New Roman" w:hAnsi="Arial" w:cs="Arial"/>
          <w:kern w:val="0"/>
          <w:sz w:val="24"/>
          <w:szCs w:val="24"/>
          <w:lang w:eastAsia="en-GB"/>
          <w14:ligatures w14:val="none"/>
        </w:rPr>
        <w:t>According to the Resource-Based View, human capital may also contribute to sustainable competitive advantage (</w:t>
      </w:r>
      <w:proofErr w:type="spellStart"/>
      <w:r w:rsidRPr="00A844D3">
        <w:rPr>
          <w:rFonts w:ascii="Arial" w:eastAsia="Times New Roman" w:hAnsi="Arial" w:cs="Arial"/>
          <w:kern w:val="0"/>
          <w:sz w:val="24"/>
          <w:szCs w:val="24"/>
          <w:lang w:eastAsia="en-GB"/>
          <w14:ligatures w14:val="none"/>
        </w:rPr>
        <w:t>Hrtutorial</w:t>
      </w:r>
      <w:proofErr w:type="spellEnd"/>
      <w:r w:rsidRPr="00A844D3">
        <w:rPr>
          <w:rFonts w:ascii="Arial" w:eastAsia="Times New Roman" w:hAnsi="Arial" w:cs="Arial"/>
          <w:kern w:val="0"/>
          <w:sz w:val="24"/>
          <w:szCs w:val="24"/>
          <w:lang w:eastAsia="en-GB"/>
          <w14:ligatures w14:val="none"/>
        </w:rPr>
        <w:t xml:space="preserve">, 2025). Qualified and creative employees are excellent organisational assets that are hard for competitors to replicate. Besides that, models of Innovation Management also point to the importance </w:t>
      </w:r>
      <w:r w:rsidRPr="00A844D3">
        <w:rPr>
          <w:rFonts w:ascii="Arial" w:eastAsia="Times New Roman" w:hAnsi="Arial" w:cs="Arial"/>
          <w:kern w:val="0"/>
          <w:sz w:val="24"/>
          <w:szCs w:val="24"/>
          <w:lang w:eastAsia="en-GB"/>
          <w14:ligatures w14:val="none"/>
        </w:rPr>
        <w:lastRenderedPageBreak/>
        <w:t>of innovation, teamwork and digital capability to the success of organisations. HR hence emphasises hiring people with major innovation competencies.</w:t>
      </w:r>
    </w:p>
    <w:p w14:paraId="3B5863C0" w14:textId="77777777" w:rsidR="0027711A" w:rsidRPr="00A844D3" w:rsidRDefault="0027711A" w:rsidP="00A844D3">
      <w:pPr>
        <w:spacing w:after="0" w:line="360" w:lineRule="auto"/>
        <w:jc w:val="both"/>
        <w:rPr>
          <w:rFonts w:ascii="Arial" w:eastAsia="Times New Roman" w:hAnsi="Arial" w:cs="Arial"/>
          <w:kern w:val="0"/>
          <w:sz w:val="24"/>
          <w:szCs w:val="24"/>
          <w:lang w:eastAsia="en-GB"/>
          <w14:ligatures w14:val="none"/>
        </w:rPr>
      </w:pPr>
    </w:p>
    <w:p w14:paraId="39B1BAB8" w14:textId="77777777" w:rsidR="00A844D3" w:rsidRDefault="00A844D3" w:rsidP="00B77050">
      <w:pPr>
        <w:spacing w:after="0" w:line="360" w:lineRule="auto"/>
        <w:jc w:val="both"/>
        <w:rPr>
          <w:rFonts w:ascii="Arial" w:eastAsia="Times New Roman" w:hAnsi="Arial" w:cs="Arial"/>
          <w:b/>
          <w:bCs/>
          <w:kern w:val="0"/>
          <w:sz w:val="28"/>
          <w:szCs w:val="28"/>
          <w:lang w:eastAsia="en-GB"/>
          <w14:ligatures w14:val="none"/>
        </w:rPr>
      </w:pPr>
      <w:r w:rsidRPr="00A844D3">
        <w:rPr>
          <w:rFonts w:ascii="Arial" w:eastAsia="Times New Roman" w:hAnsi="Arial" w:cs="Arial"/>
          <w:b/>
          <w:bCs/>
          <w:kern w:val="0"/>
          <w:sz w:val="28"/>
          <w:szCs w:val="28"/>
          <w:lang w:eastAsia="en-GB"/>
          <w14:ligatures w14:val="none"/>
        </w:rPr>
        <w:t>3. Job Analysis for Innovation Support Officer</w:t>
      </w:r>
    </w:p>
    <w:p w14:paraId="72550580" w14:textId="77777777" w:rsidR="00A844D3" w:rsidRDefault="00A844D3" w:rsidP="00B77050">
      <w:pPr>
        <w:spacing w:after="0" w:line="360" w:lineRule="auto"/>
        <w:jc w:val="both"/>
        <w:rPr>
          <w:rFonts w:ascii="Arial" w:eastAsia="Times New Roman" w:hAnsi="Arial" w:cs="Arial"/>
          <w:kern w:val="0"/>
          <w:sz w:val="24"/>
          <w:szCs w:val="24"/>
          <w:lang w:eastAsia="en-GB"/>
          <w14:ligatures w14:val="none"/>
        </w:rPr>
      </w:pPr>
      <w:r w:rsidRPr="00A844D3">
        <w:rPr>
          <w:rFonts w:ascii="Arial" w:eastAsia="Times New Roman" w:hAnsi="Arial" w:cs="Arial"/>
          <w:kern w:val="0"/>
          <w:sz w:val="24"/>
          <w:szCs w:val="24"/>
          <w:lang w:eastAsia="en-GB"/>
          <w14:ligatures w14:val="none"/>
        </w:rPr>
        <w:t>Job analysis is a major HR process used to design an effective job by determining the tasks, responsibilities, and skills required for the job (</w:t>
      </w:r>
      <w:proofErr w:type="spellStart"/>
      <w:r w:rsidRPr="00A844D3">
        <w:rPr>
          <w:rFonts w:ascii="Arial" w:eastAsia="Times New Roman" w:hAnsi="Arial" w:cs="Arial"/>
          <w:kern w:val="0"/>
          <w:sz w:val="24"/>
          <w:szCs w:val="24"/>
          <w:lang w:eastAsia="en-GB"/>
          <w14:ligatures w14:val="none"/>
        </w:rPr>
        <w:t>Upgrad</w:t>
      </w:r>
      <w:proofErr w:type="spellEnd"/>
      <w:r w:rsidRPr="00A844D3">
        <w:rPr>
          <w:rFonts w:ascii="Arial" w:eastAsia="Times New Roman" w:hAnsi="Arial" w:cs="Arial"/>
          <w:kern w:val="0"/>
          <w:sz w:val="24"/>
          <w:szCs w:val="24"/>
          <w:lang w:eastAsia="en-GB"/>
          <w14:ligatures w14:val="none"/>
        </w:rPr>
        <w:t>, 2025). Job analysis helps HR managers understand a job's requirements and the skills needed to perform it effectively. The information assists organisations in drafting effective job descriptions and person specifications that inform the recruitment and selection process. The job characteristics theory formulated by Hackman and Oldham is one of the theories that explain job design (</w:t>
      </w:r>
      <w:proofErr w:type="spellStart"/>
      <w:r w:rsidRPr="00A844D3">
        <w:rPr>
          <w:rFonts w:ascii="Arial" w:eastAsia="Times New Roman" w:hAnsi="Arial" w:cs="Arial"/>
          <w:kern w:val="0"/>
          <w:sz w:val="24"/>
          <w:szCs w:val="24"/>
          <w:lang w:eastAsia="en-GB"/>
          <w14:ligatures w14:val="none"/>
        </w:rPr>
        <w:t>Humaans</w:t>
      </w:r>
      <w:proofErr w:type="spellEnd"/>
      <w:r w:rsidRPr="00A844D3">
        <w:rPr>
          <w:rFonts w:ascii="Arial" w:eastAsia="Times New Roman" w:hAnsi="Arial" w:cs="Arial"/>
          <w:kern w:val="0"/>
          <w:sz w:val="24"/>
          <w:szCs w:val="24"/>
          <w:lang w:eastAsia="en-GB"/>
          <w14:ligatures w14:val="none"/>
        </w:rPr>
        <w:t>, 2025). The model identifies five dimensions that play a role in motivating and performance of employees: skill variety, task identity, task significance, autonomy, and feedback. Occupations with these attributes are more likely to motivate employees and stimulate higher engagement. The positions that involve innovation, including the Innovation Support Officer, demand high skill variety, autonomy and creativity in particular. The employees in these positions are required to work on various projects, develop innovations, and collaborate with others to enhance organisational services (</w:t>
      </w:r>
      <w:proofErr w:type="spellStart"/>
      <w:r w:rsidRPr="00A844D3">
        <w:rPr>
          <w:rFonts w:ascii="Arial" w:eastAsia="Times New Roman" w:hAnsi="Arial" w:cs="Arial"/>
          <w:kern w:val="0"/>
          <w:sz w:val="24"/>
          <w:szCs w:val="24"/>
          <w:lang w:eastAsia="en-GB"/>
          <w14:ligatures w14:val="none"/>
        </w:rPr>
        <w:t>Braineet</w:t>
      </w:r>
      <w:proofErr w:type="spellEnd"/>
      <w:r w:rsidRPr="00A844D3">
        <w:rPr>
          <w:rFonts w:ascii="Arial" w:eastAsia="Times New Roman" w:hAnsi="Arial" w:cs="Arial"/>
          <w:kern w:val="0"/>
          <w:sz w:val="24"/>
          <w:szCs w:val="24"/>
          <w:lang w:eastAsia="en-GB"/>
          <w14:ligatures w14:val="none"/>
        </w:rPr>
        <w:t>, 2u024). Autonomy enables employees to test novel solutions, whereas feedback helps them refine their ideas and achieve better results.</w:t>
      </w:r>
    </w:p>
    <w:p w14:paraId="1D6BAAA5" w14:textId="77777777" w:rsidR="00B77050" w:rsidRPr="00A844D3" w:rsidRDefault="00B77050" w:rsidP="00B77050">
      <w:pPr>
        <w:spacing w:after="0" w:line="360" w:lineRule="auto"/>
        <w:jc w:val="both"/>
        <w:rPr>
          <w:rFonts w:ascii="Arial" w:eastAsia="Times New Roman" w:hAnsi="Arial" w:cs="Arial"/>
          <w:kern w:val="0"/>
          <w:sz w:val="24"/>
          <w:szCs w:val="24"/>
          <w:lang w:eastAsia="en-GB"/>
          <w14:ligatures w14:val="none"/>
        </w:rPr>
      </w:pPr>
    </w:p>
    <w:p w14:paraId="42C0E57A" w14:textId="77777777" w:rsidR="00A844D3" w:rsidRDefault="00A844D3" w:rsidP="00B77050">
      <w:pPr>
        <w:spacing w:after="0" w:line="360" w:lineRule="auto"/>
        <w:jc w:val="both"/>
        <w:rPr>
          <w:rFonts w:ascii="Arial" w:eastAsia="Times New Roman" w:hAnsi="Arial" w:cs="Arial"/>
          <w:b/>
          <w:bCs/>
          <w:kern w:val="0"/>
          <w:sz w:val="28"/>
          <w:szCs w:val="28"/>
          <w:lang w:eastAsia="en-GB"/>
          <w14:ligatures w14:val="none"/>
        </w:rPr>
      </w:pPr>
      <w:r w:rsidRPr="00A844D3">
        <w:rPr>
          <w:rFonts w:ascii="Arial" w:eastAsia="Times New Roman" w:hAnsi="Arial" w:cs="Arial"/>
          <w:b/>
          <w:bCs/>
          <w:kern w:val="0"/>
          <w:sz w:val="28"/>
          <w:szCs w:val="28"/>
          <w:lang w:eastAsia="en-GB"/>
          <w14:ligatures w14:val="none"/>
        </w:rPr>
        <w:t>4. Job Description – Innovation Support Officer</w:t>
      </w:r>
    </w:p>
    <w:p w14:paraId="5DA04475" w14:textId="686F196A" w:rsidR="00AA4A7D" w:rsidRPr="00A844D3" w:rsidRDefault="00AA4A7D" w:rsidP="00B77050">
      <w:pPr>
        <w:spacing w:after="0" w:line="360" w:lineRule="auto"/>
        <w:jc w:val="both"/>
        <w:rPr>
          <w:rFonts w:ascii="Arial" w:eastAsia="Times New Roman" w:hAnsi="Arial" w:cs="Arial"/>
          <w:kern w:val="0"/>
          <w:sz w:val="28"/>
          <w:szCs w:val="28"/>
          <w:lang w:eastAsia="en-GB"/>
          <w14:ligatures w14:val="none"/>
        </w:rPr>
      </w:pPr>
      <w:r>
        <w:rPr>
          <w:rFonts w:ascii="Times New Roman" w:eastAsia="Times New Roman" w:hAnsi="Times New Roman" w:cs="Times New Roman"/>
          <w:noProof/>
          <w:sz w:val="24"/>
          <w:szCs w:val="24"/>
        </w:rPr>
        <w:drawing>
          <wp:inline distT="114300" distB="114300" distL="114300" distR="114300" wp14:anchorId="092EDA58" wp14:editId="62F768D4">
            <wp:extent cx="6012180" cy="2924175"/>
            <wp:effectExtent l="0" t="0" r="7620" b="9525"/>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cstate="email">
                      <a:extLst>
                        <a:ext uri="{28A0092B-C50C-407E-A947-70E740481C1C}">
                          <a14:useLocalDpi xmlns:a14="http://schemas.microsoft.com/office/drawing/2010/main"/>
                        </a:ext>
                      </a:extLst>
                    </a:blip>
                    <a:srcRect/>
                    <a:stretch>
                      <a:fillRect/>
                    </a:stretch>
                  </pic:blipFill>
                  <pic:spPr>
                    <a:xfrm>
                      <a:off x="0" y="0"/>
                      <a:ext cx="6033012" cy="2934307"/>
                    </a:xfrm>
                    <a:prstGeom prst="rect">
                      <a:avLst/>
                    </a:prstGeom>
                    <a:ln/>
                  </pic:spPr>
                </pic:pic>
              </a:graphicData>
            </a:graphic>
          </wp:inline>
        </w:drawing>
      </w:r>
    </w:p>
    <w:p w14:paraId="7D305B66" w14:textId="77777777" w:rsidR="00A844D3" w:rsidRDefault="00A844D3" w:rsidP="00B77050">
      <w:pPr>
        <w:spacing w:after="0" w:line="360" w:lineRule="auto"/>
        <w:jc w:val="both"/>
        <w:rPr>
          <w:rFonts w:ascii="Arial" w:eastAsia="Times New Roman" w:hAnsi="Arial" w:cs="Arial"/>
          <w:kern w:val="0"/>
          <w:sz w:val="24"/>
          <w:szCs w:val="24"/>
          <w:lang w:eastAsia="en-GB"/>
          <w14:ligatures w14:val="none"/>
        </w:rPr>
      </w:pPr>
      <w:r w:rsidRPr="00A844D3">
        <w:rPr>
          <w:rFonts w:ascii="Arial" w:eastAsia="Times New Roman" w:hAnsi="Arial" w:cs="Arial"/>
          <w:kern w:val="0"/>
          <w:sz w:val="24"/>
          <w:szCs w:val="24"/>
          <w:lang w:eastAsia="en-GB"/>
          <w14:ligatures w14:val="none"/>
        </w:rPr>
        <w:lastRenderedPageBreak/>
        <w:t>A job description is a significant Human Resource Management document that explicitly outlines the duties, responsibilities, and expectations of a particular position within an organisation (</w:t>
      </w:r>
      <w:proofErr w:type="spellStart"/>
      <w:r w:rsidRPr="00A844D3">
        <w:rPr>
          <w:rFonts w:ascii="Arial" w:eastAsia="Times New Roman" w:hAnsi="Arial" w:cs="Arial"/>
          <w:kern w:val="0"/>
          <w:sz w:val="24"/>
          <w:szCs w:val="24"/>
          <w:lang w:eastAsia="en-GB"/>
          <w14:ligatures w14:val="none"/>
        </w:rPr>
        <w:t>Orangehrm</w:t>
      </w:r>
      <w:proofErr w:type="spellEnd"/>
      <w:r w:rsidRPr="00A844D3">
        <w:rPr>
          <w:rFonts w:ascii="Arial" w:eastAsia="Times New Roman" w:hAnsi="Arial" w:cs="Arial"/>
          <w:kern w:val="0"/>
          <w:sz w:val="24"/>
          <w:szCs w:val="24"/>
          <w:lang w:eastAsia="en-GB"/>
          <w14:ligatures w14:val="none"/>
        </w:rPr>
        <w:t>, 2024). It helps ensure that employers and employees understand the position's aim and the tasks required to accomplish organisational objectives. In a position that involves innovation, a concise job description will be a major criterion for attracting individuals who are creative, digitally aware, and problem-solvers. The innovation support officer will be positioned in a student union as an officer to the innovation manager. The primary aim of the position is to assist in innovation projects that will enhance student involvement and advance the quality of services delivered by the Student Union. The position also contributes to developing new ideas and solutions to enable the organisation to keep pace with technological changes and student needs. The innovation support officer will support innovation projects and help develop creative solutions to organisational issues. The position will involve identifying new digital tools that could enhance interactions and services with students. Moreover, the officer will help conduct innovation workshops, conduct research on innovative practices, and gather data to assess the results of the innovation efforts. The job is in a hybrid working condition, which needs cooperation, adaptability, and excellent communication (</w:t>
      </w:r>
      <w:proofErr w:type="spellStart"/>
      <w:r w:rsidRPr="00A844D3">
        <w:rPr>
          <w:rFonts w:ascii="Arial" w:eastAsia="Times New Roman" w:hAnsi="Arial" w:cs="Arial"/>
          <w:kern w:val="0"/>
          <w:sz w:val="24"/>
          <w:szCs w:val="24"/>
          <w:lang w:eastAsia="en-GB"/>
          <w14:ligatures w14:val="none"/>
        </w:rPr>
        <w:t>Acceptmission</w:t>
      </w:r>
      <w:proofErr w:type="spellEnd"/>
      <w:r w:rsidRPr="00A844D3">
        <w:rPr>
          <w:rFonts w:ascii="Arial" w:eastAsia="Times New Roman" w:hAnsi="Arial" w:cs="Arial"/>
          <w:kern w:val="0"/>
          <w:sz w:val="24"/>
          <w:szCs w:val="24"/>
          <w:lang w:eastAsia="en-GB"/>
          <w14:ligatures w14:val="none"/>
        </w:rPr>
        <w:t>, 2025).</w:t>
      </w:r>
    </w:p>
    <w:p w14:paraId="23D29A7C" w14:textId="77777777" w:rsidR="00B77050" w:rsidRPr="00A844D3" w:rsidRDefault="00B77050" w:rsidP="00B77050">
      <w:pPr>
        <w:spacing w:after="0" w:line="360" w:lineRule="auto"/>
        <w:jc w:val="both"/>
        <w:rPr>
          <w:rFonts w:ascii="Arial" w:eastAsia="Times New Roman" w:hAnsi="Arial" w:cs="Arial"/>
          <w:kern w:val="0"/>
          <w:sz w:val="24"/>
          <w:szCs w:val="24"/>
          <w:lang w:eastAsia="en-GB"/>
          <w14:ligatures w14:val="none"/>
        </w:rPr>
      </w:pPr>
    </w:p>
    <w:p w14:paraId="432F4F57" w14:textId="77777777" w:rsidR="00A844D3" w:rsidRDefault="00A844D3" w:rsidP="00A844D3">
      <w:pPr>
        <w:spacing w:after="0" w:line="360" w:lineRule="auto"/>
        <w:jc w:val="both"/>
        <w:rPr>
          <w:rFonts w:ascii="Arial" w:eastAsia="Times New Roman" w:hAnsi="Arial" w:cs="Arial"/>
          <w:b/>
          <w:bCs/>
          <w:kern w:val="0"/>
          <w:sz w:val="28"/>
          <w:szCs w:val="28"/>
          <w:lang w:eastAsia="en-GB"/>
          <w14:ligatures w14:val="none"/>
        </w:rPr>
      </w:pPr>
      <w:r w:rsidRPr="00A844D3">
        <w:rPr>
          <w:rFonts w:ascii="Arial" w:eastAsia="Times New Roman" w:hAnsi="Arial" w:cs="Arial"/>
          <w:b/>
          <w:bCs/>
          <w:kern w:val="0"/>
          <w:sz w:val="28"/>
          <w:szCs w:val="28"/>
          <w:lang w:eastAsia="en-GB"/>
          <w14:ligatures w14:val="none"/>
        </w:rPr>
        <w:t>5. Person Specification (Innovation Competencies)</w:t>
      </w:r>
    </w:p>
    <w:p w14:paraId="5E27C158" w14:textId="77777777" w:rsidR="00F014B9" w:rsidRDefault="00F7229B" w:rsidP="00A844D3">
      <w:pPr>
        <w:spacing w:after="0" w:line="360" w:lineRule="auto"/>
        <w:jc w:val="both"/>
        <w:rPr>
          <w:rFonts w:ascii="Arial" w:eastAsia="Times New Roman" w:hAnsi="Arial" w:cs="Arial"/>
          <w:kern w:val="0"/>
          <w:sz w:val="28"/>
          <w:szCs w:val="28"/>
          <w:lang w:eastAsia="en-GB"/>
          <w14:ligatures w14:val="none"/>
        </w:rPr>
      </w:pPr>
      <w:r w:rsidRPr="00237140">
        <w:rPr>
          <w:rFonts w:ascii="Times New Roman" w:eastAsia="Times New Roman" w:hAnsi="Times New Roman" w:cs="Times New Roman"/>
          <w:noProof/>
          <w:sz w:val="24"/>
          <w:szCs w:val="24"/>
          <w:lang w:val="en-US"/>
        </w:rPr>
        <w:drawing>
          <wp:inline distT="0" distB="0" distL="0" distR="0" wp14:anchorId="7547598E" wp14:editId="5C49DD70">
            <wp:extent cx="5731510" cy="3225811"/>
            <wp:effectExtent l="0" t="0" r="2540" b="0"/>
            <wp:docPr id="134234372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9" cstate="email">
                      <a:extLst>
                        <a:ext uri="{28A0092B-C50C-407E-A947-70E740481C1C}">
                          <a14:useLocalDpi xmlns:a14="http://schemas.microsoft.com/office/drawing/2010/main"/>
                        </a:ext>
                      </a:extLst>
                    </a:blip>
                    <a:srcRect/>
                    <a:stretch>
                      <a:fillRect/>
                    </a:stretch>
                  </pic:blipFill>
                  <pic:spPr bwMode="auto">
                    <a:xfrm>
                      <a:off x="0" y="0"/>
                      <a:ext cx="5731510" cy="3225811"/>
                    </a:xfrm>
                    <a:prstGeom prst="rect">
                      <a:avLst/>
                    </a:prstGeom>
                    <a:noFill/>
                    <a:ln>
                      <a:noFill/>
                    </a:ln>
                  </pic:spPr>
                </pic:pic>
              </a:graphicData>
            </a:graphic>
          </wp:inline>
        </w:drawing>
      </w:r>
    </w:p>
    <w:p w14:paraId="09039D0B" w14:textId="1D6F9EB2" w:rsidR="00A844D3" w:rsidRPr="00F014B9" w:rsidRDefault="00A844D3" w:rsidP="00A844D3">
      <w:pPr>
        <w:spacing w:after="0" w:line="360" w:lineRule="auto"/>
        <w:jc w:val="both"/>
        <w:rPr>
          <w:rFonts w:ascii="Arial" w:eastAsia="Times New Roman" w:hAnsi="Arial" w:cs="Arial"/>
          <w:kern w:val="0"/>
          <w:sz w:val="28"/>
          <w:szCs w:val="28"/>
          <w:lang w:eastAsia="en-GB"/>
          <w14:ligatures w14:val="none"/>
        </w:rPr>
      </w:pPr>
      <w:r w:rsidRPr="00A844D3">
        <w:rPr>
          <w:rFonts w:ascii="Arial" w:eastAsia="Times New Roman" w:hAnsi="Arial" w:cs="Arial"/>
          <w:kern w:val="0"/>
          <w:sz w:val="24"/>
          <w:szCs w:val="24"/>
          <w:lang w:eastAsia="en-GB"/>
          <w14:ligatures w14:val="none"/>
        </w:rPr>
        <w:lastRenderedPageBreak/>
        <w:t xml:space="preserve">Improving certain key skills can enhance the ability to deliver high-quality, efficient services, thereby influencing a large number of customers to retain their business with the company. This can help in gaining loyal customers. Critical thinking, problem-solving, communication, technical skills, teamwork, and other skills are among the major skills an innovation support officer should develop. Education and the exploitation of a wide range of resources containing relevant and reliable data can help improve critical thinking skills. This can help you broaden your personal perspectives. In addition, analysing all current market data and customer demands can help the officer align market gaps to drive customer satisfaction. This can lead to the development of problem-solving skills. Becoming aware of all relevant factors can help identify potential consequences and challenges, enabling the development of appropriate strategies or plans to eliminate or reduce the issues. This can help in generating innovative solutions (Kallet, 2014). </w:t>
      </w:r>
    </w:p>
    <w:p w14:paraId="4B6772BA" w14:textId="77777777" w:rsidR="00B77050" w:rsidRDefault="00A844D3" w:rsidP="00A844D3">
      <w:pPr>
        <w:spacing w:after="0" w:line="360" w:lineRule="auto"/>
        <w:jc w:val="both"/>
        <w:rPr>
          <w:rFonts w:ascii="Arial" w:eastAsia="Times New Roman" w:hAnsi="Arial" w:cs="Arial"/>
          <w:kern w:val="0"/>
          <w:sz w:val="24"/>
          <w:szCs w:val="24"/>
          <w:lang w:eastAsia="en-GB"/>
          <w14:ligatures w14:val="none"/>
        </w:rPr>
      </w:pPr>
      <w:r w:rsidRPr="00A844D3">
        <w:rPr>
          <w:rFonts w:ascii="Arial" w:eastAsia="Times New Roman" w:hAnsi="Arial" w:cs="Arial"/>
          <w:kern w:val="0"/>
          <w:sz w:val="24"/>
          <w:szCs w:val="24"/>
          <w:lang w:eastAsia="en-GB"/>
          <w14:ligatures w14:val="none"/>
        </w:rPr>
        <w:t xml:space="preserve">Communication skills can help share ideas and improve collaboration, fostering teamwork. This can help produce innovative services and resolve conflicts within the team. Also, this can help in building a large network (Schmidt </w:t>
      </w:r>
      <w:r w:rsidRPr="00A844D3">
        <w:rPr>
          <w:rFonts w:ascii="Arial" w:eastAsia="Times New Roman" w:hAnsi="Arial" w:cs="Arial"/>
          <w:i/>
          <w:iCs/>
          <w:kern w:val="0"/>
          <w:sz w:val="24"/>
          <w:szCs w:val="24"/>
          <w:lang w:eastAsia="en-GB"/>
          <w14:ligatures w14:val="none"/>
        </w:rPr>
        <w:t xml:space="preserve">et al. </w:t>
      </w:r>
      <w:r w:rsidRPr="00A844D3">
        <w:rPr>
          <w:rFonts w:ascii="Arial" w:eastAsia="Times New Roman" w:hAnsi="Arial" w:cs="Arial"/>
          <w:kern w:val="0"/>
          <w:sz w:val="24"/>
          <w:szCs w:val="24"/>
          <w:lang w:eastAsia="en-GB"/>
          <w14:ligatures w14:val="none"/>
        </w:rPr>
        <w:t>2023). Developing technical knowledge and skills can help operate modern digital equipment. This is effective in driving advancement and innovations in performance (</w:t>
      </w:r>
      <w:proofErr w:type="spellStart"/>
      <w:r w:rsidRPr="00A844D3">
        <w:rPr>
          <w:rFonts w:ascii="Arial" w:eastAsia="Times New Roman" w:hAnsi="Arial" w:cs="Arial"/>
          <w:kern w:val="0"/>
          <w:sz w:val="24"/>
          <w:szCs w:val="24"/>
          <w:lang w:eastAsia="en-GB"/>
          <w14:ligatures w14:val="none"/>
        </w:rPr>
        <w:t>Manafe</w:t>
      </w:r>
      <w:proofErr w:type="spellEnd"/>
      <w:r w:rsidRPr="00A844D3">
        <w:rPr>
          <w:rFonts w:ascii="Arial" w:eastAsia="Times New Roman" w:hAnsi="Arial" w:cs="Arial"/>
          <w:kern w:val="0"/>
          <w:sz w:val="24"/>
          <w:szCs w:val="24"/>
          <w:lang w:eastAsia="en-GB"/>
          <w14:ligatures w14:val="none"/>
        </w:rPr>
        <w:t xml:space="preserve"> </w:t>
      </w:r>
      <w:r w:rsidRPr="00A844D3">
        <w:rPr>
          <w:rFonts w:ascii="Arial" w:eastAsia="Times New Roman" w:hAnsi="Arial" w:cs="Arial"/>
          <w:i/>
          <w:iCs/>
          <w:kern w:val="0"/>
          <w:sz w:val="24"/>
          <w:szCs w:val="24"/>
          <w:lang w:eastAsia="en-GB"/>
          <w14:ligatures w14:val="none"/>
        </w:rPr>
        <w:t xml:space="preserve">et al. </w:t>
      </w:r>
      <w:r w:rsidRPr="00A844D3">
        <w:rPr>
          <w:rFonts w:ascii="Arial" w:eastAsia="Times New Roman" w:hAnsi="Arial" w:cs="Arial"/>
          <w:kern w:val="0"/>
          <w:sz w:val="24"/>
          <w:szCs w:val="24"/>
          <w:lang w:eastAsia="en-GB"/>
          <w14:ligatures w14:val="none"/>
        </w:rPr>
        <w:t xml:space="preserve">2024). The competency-based HR model defines the appropriate and efficient behaviours of an HR professional with improved skills, expertise, and abilities. This includes the recruitment and employee management strategies. This helps generate innovative, strategic ideas while maintaining key ethical factors. This structure emphasises advanced technologies and modern tools to drive performance improvements (Emese and Ágota, 2022). </w:t>
      </w:r>
    </w:p>
    <w:p w14:paraId="70FA3CC2" w14:textId="28CBA63A" w:rsidR="00A844D3" w:rsidRDefault="00A844D3" w:rsidP="00A844D3">
      <w:pPr>
        <w:spacing w:after="0" w:line="360" w:lineRule="auto"/>
        <w:jc w:val="both"/>
        <w:rPr>
          <w:rFonts w:ascii="Arial" w:eastAsia="Times New Roman" w:hAnsi="Arial" w:cs="Arial"/>
          <w:b/>
          <w:bCs/>
          <w:kern w:val="0"/>
          <w:sz w:val="28"/>
          <w:szCs w:val="28"/>
          <w:lang w:eastAsia="en-GB"/>
          <w14:ligatures w14:val="none"/>
        </w:rPr>
      </w:pPr>
      <w:r w:rsidRPr="00A844D3">
        <w:rPr>
          <w:rFonts w:ascii="Arial" w:eastAsia="Times New Roman" w:hAnsi="Arial" w:cs="Arial"/>
          <w:b/>
          <w:bCs/>
          <w:kern w:val="0"/>
          <w:sz w:val="28"/>
          <w:szCs w:val="28"/>
          <w:lang w:eastAsia="en-GB"/>
          <w14:ligatures w14:val="none"/>
        </w:rPr>
        <w:t>6. Recruitment Strategy for Innovative Talent</w:t>
      </w:r>
    </w:p>
    <w:p w14:paraId="060E12DD" w14:textId="64F653D1" w:rsidR="001E7CB6" w:rsidRPr="00A844D3" w:rsidRDefault="001E7CB6" w:rsidP="00A844D3">
      <w:pPr>
        <w:spacing w:after="0" w:line="360" w:lineRule="auto"/>
        <w:jc w:val="both"/>
        <w:rPr>
          <w:rFonts w:ascii="Arial" w:eastAsia="Times New Roman" w:hAnsi="Arial" w:cs="Arial"/>
          <w:kern w:val="0"/>
          <w:sz w:val="24"/>
          <w:szCs w:val="24"/>
          <w:lang w:eastAsia="en-GB"/>
          <w14:ligatures w14:val="none"/>
        </w:rPr>
      </w:pPr>
      <w:r w:rsidRPr="00237140">
        <w:rPr>
          <w:rFonts w:ascii="Times New Roman" w:eastAsia="Times New Roman" w:hAnsi="Times New Roman" w:cs="Times New Roman"/>
          <w:noProof/>
          <w:sz w:val="24"/>
          <w:szCs w:val="24"/>
          <w:lang w:val="en-US"/>
        </w:rPr>
        <w:drawing>
          <wp:inline distT="0" distB="0" distL="0" distR="0" wp14:anchorId="58FA6738" wp14:editId="4D40F64E">
            <wp:extent cx="5728731" cy="2109788"/>
            <wp:effectExtent l="0" t="0" r="5715" b="5080"/>
            <wp:docPr id="41849635"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10" cstate="email">
                      <a:extLst>
                        <a:ext uri="{28A0092B-C50C-407E-A947-70E740481C1C}">
                          <a14:useLocalDpi xmlns:a14="http://schemas.microsoft.com/office/drawing/2010/main"/>
                        </a:ext>
                      </a:extLst>
                    </a:blip>
                    <a:srcRect/>
                    <a:stretch>
                      <a:fillRect/>
                    </a:stretch>
                  </pic:blipFill>
                  <pic:spPr bwMode="auto">
                    <a:xfrm>
                      <a:off x="0" y="0"/>
                      <a:ext cx="5774722" cy="2126726"/>
                    </a:xfrm>
                    <a:prstGeom prst="rect">
                      <a:avLst/>
                    </a:prstGeom>
                    <a:noFill/>
                    <a:ln>
                      <a:noFill/>
                    </a:ln>
                  </pic:spPr>
                </pic:pic>
              </a:graphicData>
            </a:graphic>
          </wp:inline>
        </w:drawing>
      </w:r>
    </w:p>
    <w:p w14:paraId="4AF9CDAB" w14:textId="77777777" w:rsidR="00A844D3" w:rsidRDefault="00A844D3" w:rsidP="00A844D3">
      <w:pPr>
        <w:spacing w:after="0" w:line="360" w:lineRule="auto"/>
        <w:jc w:val="both"/>
        <w:rPr>
          <w:rFonts w:ascii="Arial" w:eastAsia="Times New Roman" w:hAnsi="Arial" w:cs="Arial"/>
          <w:kern w:val="0"/>
          <w:sz w:val="24"/>
          <w:szCs w:val="24"/>
          <w:lang w:eastAsia="en-GB"/>
          <w14:ligatures w14:val="none"/>
        </w:rPr>
      </w:pPr>
      <w:r w:rsidRPr="00A844D3">
        <w:rPr>
          <w:rFonts w:ascii="Arial" w:eastAsia="Times New Roman" w:hAnsi="Arial" w:cs="Arial"/>
          <w:kern w:val="0"/>
          <w:sz w:val="24"/>
          <w:szCs w:val="24"/>
          <w:lang w:eastAsia="en-GB"/>
          <w14:ligatures w14:val="none"/>
        </w:rPr>
        <w:lastRenderedPageBreak/>
        <w:t xml:space="preserve">HR must follow key phases to identify and select innovative talent. HR needs to create a positive brand value and proposition to define a brand's clear purpose and mission. HR can utilise different digital platforms to reach and cover a wide range of applicants. Proper branding can help attract and retain talent. Improving organisational culture, supporting and promoting diversity, and fostering a flexible and positive work environment can help attract talent (Mihalcea, 2017). The employer bartending theory is effective in promoting the brand value to attract and influence talent. This can help in reaching a wide talent pool (Theurer </w:t>
      </w:r>
      <w:r w:rsidRPr="00A844D3">
        <w:rPr>
          <w:rFonts w:ascii="Arial" w:eastAsia="Times New Roman" w:hAnsi="Arial" w:cs="Arial"/>
          <w:i/>
          <w:iCs/>
          <w:kern w:val="0"/>
          <w:sz w:val="24"/>
          <w:szCs w:val="24"/>
          <w:lang w:eastAsia="en-GB"/>
          <w14:ligatures w14:val="none"/>
        </w:rPr>
        <w:t xml:space="preserve">et al. </w:t>
      </w:r>
      <w:r w:rsidRPr="00A844D3">
        <w:rPr>
          <w:rFonts w:ascii="Arial" w:eastAsia="Times New Roman" w:hAnsi="Arial" w:cs="Arial"/>
          <w:kern w:val="0"/>
          <w:sz w:val="24"/>
          <w:szCs w:val="24"/>
          <w:lang w:eastAsia="en-GB"/>
          <w14:ligatures w14:val="none"/>
        </w:rPr>
        <w:t>2018). The talent management model includes the following approaches: attracting talent, developing their abilities, motivating them to improve performance, and retaining them within the brand. This helps in generating high-quality organisational performance (</w:t>
      </w:r>
      <w:proofErr w:type="spellStart"/>
      <w:r w:rsidRPr="00A844D3">
        <w:rPr>
          <w:rFonts w:ascii="Arial" w:eastAsia="Times New Roman" w:hAnsi="Arial" w:cs="Arial"/>
          <w:kern w:val="0"/>
          <w:sz w:val="24"/>
          <w:szCs w:val="24"/>
          <w:lang w:eastAsia="en-GB"/>
          <w14:ligatures w14:val="none"/>
        </w:rPr>
        <w:t>Anlesinya</w:t>
      </w:r>
      <w:proofErr w:type="spellEnd"/>
      <w:r w:rsidRPr="00A844D3">
        <w:rPr>
          <w:rFonts w:ascii="Arial" w:eastAsia="Times New Roman" w:hAnsi="Arial" w:cs="Arial"/>
          <w:kern w:val="0"/>
          <w:sz w:val="24"/>
          <w:szCs w:val="24"/>
          <w:lang w:eastAsia="en-GB"/>
          <w14:ligatures w14:val="none"/>
        </w:rPr>
        <w:t xml:space="preserve"> and Amponsah-Tawiah, 2020). The e-recruitment model is effective in utilising various digital platforms, including LinkedIn, to analyse personal data and compare skills, experience, performance, etc. (Okolie and Irabor, 2017).</w:t>
      </w:r>
    </w:p>
    <w:p w14:paraId="3578FE58" w14:textId="77777777" w:rsidR="00B77050" w:rsidRPr="00A844D3" w:rsidRDefault="00B77050" w:rsidP="00A844D3">
      <w:pPr>
        <w:spacing w:after="0" w:line="360" w:lineRule="auto"/>
        <w:jc w:val="both"/>
        <w:rPr>
          <w:rFonts w:ascii="Arial" w:eastAsia="Times New Roman" w:hAnsi="Arial" w:cs="Arial"/>
          <w:kern w:val="0"/>
          <w:sz w:val="24"/>
          <w:szCs w:val="24"/>
          <w:lang w:eastAsia="en-GB"/>
          <w14:ligatures w14:val="none"/>
        </w:rPr>
      </w:pPr>
    </w:p>
    <w:p w14:paraId="6C54083D" w14:textId="77777777" w:rsidR="00A844D3" w:rsidRPr="00A844D3" w:rsidRDefault="00A844D3" w:rsidP="00A844D3">
      <w:pPr>
        <w:spacing w:after="0" w:line="360" w:lineRule="auto"/>
        <w:jc w:val="both"/>
        <w:rPr>
          <w:rFonts w:ascii="Arial" w:eastAsia="Times New Roman" w:hAnsi="Arial" w:cs="Arial"/>
          <w:kern w:val="0"/>
          <w:sz w:val="28"/>
          <w:szCs w:val="28"/>
          <w:lang w:eastAsia="en-GB"/>
          <w14:ligatures w14:val="none"/>
        </w:rPr>
      </w:pPr>
      <w:r w:rsidRPr="00A844D3">
        <w:rPr>
          <w:rFonts w:ascii="Arial" w:eastAsia="Times New Roman" w:hAnsi="Arial" w:cs="Arial"/>
          <w:b/>
          <w:bCs/>
          <w:kern w:val="0"/>
          <w:sz w:val="28"/>
          <w:szCs w:val="28"/>
          <w:lang w:eastAsia="en-GB"/>
          <w14:ligatures w14:val="none"/>
        </w:rPr>
        <w:t>7. Conclusion</w:t>
      </w:r>
    </w:p>
    <w:p w14:paraId="6ECCF44F" w14:textId="77777777" w:rsidR="00A844D3" w:rsidRDefault="00A844D3" w:rsidP="00A844D3">
      <w:pPr>
        <w:spacing w:after="0" w:line="360" w:lineRule="auto"/>
        <w:jc w:val="both"/>
        <w:rPr>
          <w:rFonts w:ascii="Arial" w:eastAsia="Times New Roman" w:hAnsi="Arial" w:cs="Arial"/>
          <w:kern w:val="0"/>
          <w:sz w:val="24"/>
          <w:szCs w:val="24"/>
          <w:lang w:eastAsia="en-GB"/>
          <w14:ligatures w14:val="none"/>
        </w:rPr>
      </w:pPr>
      <w:r w:rsidRPr="00A844D3">
        <w:rPr>
          <w:rFonts w:ascii="Arial" w:eastAsia="Times New Roman" w:hAnsi="Arial" w:cs="Arial"/>
          <w:kern w:val="0"/>
          <w:sz w:val="24"/>
          <w:szCs w:val="24"/>
          <w:lang w:eastAsia="en-GB"/>
          <w14:ligatures w14:val="none"/>
        </w:rPr>
        <w:t xml:space="preserve">HR plays an effective role in fostering a positive, flexible work environment that motivates and boosts employee engagement. HR helps improve strategic management and recruit efficient, suitable talent. Implementing the innovation culture theory can help in improving collaboration and teamwork through open discussion. These can help in driving high-quality performance. Effective training programs can help develop employees' knowledge and efficiency (Diaz-Fernandez </w:t>
      </w:r>
      <w:r w:rsidRPr="00A844D3">
        <w:rPr>
          <w:rFonts w:ascii="Arial" w:eastAsia="Times New Roman" w:hAnsi="Arial" w:cs="Arial"/>
          <w:i/>
          <w:iCs/>
          <w:kern w:val="0"/>
          <w:sz w:val="24"/>
          <w:szCs w:val="24"/>
          <w:lang w:eastAsia="en-GB"/>
          <w14:ligatures w14:val="none"/>
        </w:rPr>
        <w:t xml:space="preserve">et al., </w:t>
      </w:r>
      <w:r w:rsidRPr="00A844D3">
        <w:rPr>
          <w:rFonts w:ascii="Arial" w:eastAsia="Times New Roman" w:hAnsi="Arial" w:cs="Arial"/>
          <w:kern w:val="0"/>
          <w:sz w:val="24"/>
          <w:szCs w:val="24"/>
          <w:lang w:eastAsia="en-GB"/>
          <w14:ligatures w14:val="none"/>
        </w:rPr>
        <w:t xml:space="preserve">2015). </w:t>
      </w:r>
    </w:p>
    <w:p w14:paraId="226CE325" w14:textId="77777777" w:rsidR="003D0E5B" w:rsidRDefault="003D0E5B" w:rsidP="00A844D3">
      <w:pPr>
        <w:spacing w:after="0" w:line="360" w:lineRule="auto"/>
        <w:jc w:val="both"/>
        <w:rPr>
          <w:rFonts w:ascii="Arial" w:eastAsia="Times New Roman" w:hAnsi="Arial" w:cs="Arial"/>
          <w:kern w:val="0"/>
          <w:sz w:val="24"/>
          <w:szCs w:val="24"/>
          <w:lang w:eastAsia="en-GB"/>
          <w14:ligatures w14:val="none"/>
        </w:rPr>
      </w:pPr>
    </w:p>
    <w:p w14:paraId="6F86D99E" w14:textId="77777777" w:rsidR="003D0E5B" w:rsidRDefault="003D0E5B" w:rsidP="00A844D3">
      <w:pPr>
        <w:spacing w:after="0" w:line="360" w:lineRule="auto"/>
        <w:jc w:val="both"/>
        <w:rPr>
          <w:rFonts w:ascii="Arial" w:eastAsia="Times New Roman" w:hAnsi="Arial" w:cs="Arial"/>
          <w:kern w:val="0"/>
          <w:sz w:val="24"/>
          <w:szCs w:val="24"/>
          <w:lang w:eastAsia="en-GB"/>
          <w14:ligatures w14:val="none"/>
        </w:rPr>
      </w:pPr>
    </w:p>
    <w:p w14:paraId="6B772AF0" w14:textId="77777777" w:rsidR="003D0E5B" w:rsidRDefault="003D0E5B" w:rsidP="00A844D3">
      <w:pPr>
        <w:spacing w:after="0" w:line="360" w:lineRule="auto"/>
        <w:jc w:val="both"/>
        <w:rPr>
          <w:rFonts w:ascii="Arial" w:eastAsia="Times New Roman" w:hAnsi="Arial" w:cs="Arial"/>
          <w:kern w:val="0"/>
          <w:sz w:val="24"/>
          <w:szCs w:val="24"/>
          <w:lang w:eastAsia="en-GB"/>
          <w14:ligatures w14:val="none"/>
        </w:rPr>
      </w:pPr>
    </w:p>
    <w:p w14:paraId="70FC24D4" w14:textId="77777777" w:rsidR="003D0E5B" w:rsidRDefault="003D0E5B" w:rsidP="00A844D3">
      <w:pPr>
        <w:spacing w:after="0" w:line="360" w:lineRule="auto"/>
        <w:jc w:val="both"/>
        <w:rPr>
          <w:rFonts w:ascii="Arial" w:eastAsia="Times New Roman" w:hAnsi="Arial" w:cs="Arial"/>
          <w:kern w:val="0"/>
          <w:sz w:val="24"/>
          <w:szCs w:val="24"/>
          <w:lang w:eastAsia="en-GB"/>
          <w14:ligatures w14:val="none"/>
        </w:rPr>
      </w:pPr>
    </w:p>
    <w:p w14:paraId="56B03BD9" w14:textId="77777777" w:rsidR="003D0E5B" w:rsidRDefault="003D0E5B" w:rsidP="00A844D3">
      <w:pPr>
        <w:spacing w:after="0" w:line="360" w:lineRule="auto"/>
        <w:jc w:val="both"/>
        <w:rPr>
          <w:rFonts w:ascii="Arial" w:eastAsia="Times New Roman" w:hAnsi="Arial" w:cs="Arial"/>
          <w:kern w:val="0"/>
          <w:sz w:val="24"/>
          <w:szCs w:val="24"/>
          <w:lang w:eastAsia="en-GB"/>
          <w14:ligatures w14:val="none"/>
        </w:rPr>
      </w:pPr>
    </w:p>
    <w:p w14:paraId="68B6A351" w14:textId="77777777" w:rsidR="003D0E5B" w:rsidRDefault="003D0E5B" w:rsidP="00A844D3">
      <w:pPr>
        <w:spacing w:after="0" w:line="360" w:lineRule="auto"/>
        <w:jc w:val="both"/>
        <w:rPr>
          <w:rFonts w:ascii="Arial" w:eastAsia="Times New Roman" w:hAnsi="Arial" w:cs="Arial"/>
          <w:kern w:val="0"/>
          <w:sz w:val="24"/>
          <w:szCs w:val="24"/>
          <w:lang w:eastAsia="en-GB"/>
          <w14:ligatures w14:val="none"/>
        </w:rPr>
      </w:pPr>
    </w:p>
    <w:p w14:paraId="564D25A8" w14:textId="77777777" w:rsidR="003D0E5B" w:rsidRDefault="003D0E5B" w:rsidP="00A844D3">
      <w:pPr>
        <w:spacing w:after="0" w:line="360" w:lineRule="auto"/>
        <w:jc w:val="both"/>
        <w:rPr>
          <w:rFonts w:ascii="Arial" w:eastAsia="Times New Roman" w:hAnsi="Arial" w:cs="Arial"/>
          <w:kern w:val="0"/>
          <w:sz w:val="24"/>
          <w:szCs w:val="24"/>
          <w:lang w:eastAsia="en-GB"/>
          <w14:ligatures w14:val="none"/>
        </w:rPr>
      </w:pPr>
    </w:p>
    <w:p w14:paraId="6DAEA43A" w14:textId="77777777" w:rsidR="003D0E5B" w:rsidRDefault="003D0E5B" w:rsidP="00A844D3">
      <w:pPr>
        <w:spacing w:after="0" w:line="360" w:lineRule="auto"/>
        <w:jc w:val="both"/>
        <w:rPr>
          <w:rFonts w:ascii="Arial" w:eastAsia="Times New Roman" w:hAnsi="Arial" w:cs="Arial"/>
          <w:kern w:val="0"/>
          <w:sz w:val="24"/>
          <w:szCs w:val="24"/>
          <w:lang w:eastAsia="en-GB"/>
          <w14:ligatures w14:val="none"/>
        </w:rPr>
      </w:pPr>
    </w:p>
    <w:p w14:paraId="100A674A" w14:textId="77777777" w:rsidR="003D0E5B" w:rsidRDefault="003D0E5B" w:rsidP="00A844D3">
      <w:pPr>
        <w:spacing w:after="0" w:line="360" w:lineRule="auto"/>
        <w:jc w:val="both"/>
        <w:rPr>
          <w:rFonts w:ascii="Arial" w:eastAsia="Times New Roman" w:hAnsi="Arial" w:cs="Arial"/>
          <w:kern w:val="0"/>
          <w:sz w:val="24"/>
          <w:szCs w:val="24"/>
          <w:lang w:eastAsia="en-GB"/>
          <w14:ligatures w14:val="none"/>
        </w:rPr>
      </w:pPr>
    </w:p>
    <w:p w14:paraId="22601AA7" w14:textId="77777777" w:rsidR="003D0E5B" w:rsidRDefault="003D0E5B" w:rsidP="00A844D3">
      <w:pPr>
        <w:spacing w:after="0" w:line="360" w:lineRule="auto"/>
        <w:jc w:val="both"/>
        <w:rPr>
          <w:rFonts w:ascii="Arial" w:eastAsia="Times New Roman" w:hAnsi="Arial" w:cs="Arial"/>
          <w:kern w:val="0"/>
          <w:sz w:val="24"/>
          <w:szCs w:val="24"/>
          <w:lang w:eastAsia="en-GB"/>
          <w14:ligatures w14:val="none"/>
        </w:rPr>
      </w:pPr>
    </w:p>
    <w:p w14:paraId="17993A24" w14:textId="77777777" w:rsidR="00F014B9" w:rsidRDefault="00F014B9" w:rsidP="005077DD">
      <w:pPr>
        <w:spacing w:line="360" w:lineRule="auto"/>
        <w:rPr>
          <w:rFonts w:ascii="Arial" w:eastAsia="Times New Roman" w:hAnsi="Arial" w:cs="Arial"/>
          <w:b/>
          <w:bCs/>
          <w:sz w:val="24"/>
          <w:szCs w:val="24"/>
        </w:rPr>
      </w:pPr>
    </w:p>
    <w:p w14:paraId="01E6E176" w14:textId="36312D07" w:rsidR="003D0E5B" w:rsidRPr="003D0E5B" w:rsidRDefault="003D0E5B" w:rsidP="005077DD">
      <w:pPr>
        <w:spacing w:line="360" w:lineRule="auto"/>
        <w:rPr>
          <w:rFonts w:ascii="Arial" w:eastAsia="Times New Roman" w:hAnsi="Arial" w:cs="Arial"/>
          <w:b/>
          <w:bCs/>
          <w:sz w:val="24"/>
          <w:szCs w:val="24"/>
        </w:rPr>
      </w:pPr>
      <w:r w:rsidRPr="003D0E5B">
        <w:rPr>
          <w:rFonts w:ascii="Arial" w:eastAsia="Times New Roman" w:hAnsi="Arial" w:cs="Arial"/>
          <w:b/>
          <w:bCs/>
          <w:sz w:val="24"/>
          <w:szCs w:val="24"/>
        </w:rPr>
        <w:lastRenderedPageBreak/>
        <w:t>Reference List</w:t>
      </w:r>
    </w:p>
    <w:p w14:paraId="11641634" w14:textId="77777777" w:rsidR="003D0E5B" w:rsidRPr="003D0E5B" w:rsidRDefault="003D0E5B" w:rsidP="005077DD">
      <w:pPr>
        <w:spacing w:line="360" w:lineRule="auto"/>
        <w:rPr>
          <w:rFonts w:ascii="Arial" w:eastAsia="Times New Roman" w:hAnsi="Arial" w:cs="Arial"/>
          <w:color w:val="222222"/>
          <w:sz w:val="24"/>
          <w:szCs w:val="24"/>
          <w:highlight w:val="white"/>
        </w:rPr>
      </w:pPr>
      <w:proofErr w:type="spellStart"/>
      <w:r w:rsidRPr="003D0E5B">
        <w:rPr>
          <w:rFonts w:ascii="Arial" w:eastAsia="Times New Roman" w:hAnsi="Arial" w:cs="Arial"/>
          <w:color w:val="222222"/>
          <w:sz w:val="24"/>
          <w:szCs w:val="24"/>
          <w:highlight w:val="white"/>
        </w:rPr>
        <w:t>Acceptmission</w:t>
      </w:r>
      <w:proofErr w:type="spellEnd"/>
      <w:r w:rsidRPr="003D0E5B">
        <w:rPr>
          <w:rFonts w:ascii="Arial" w:eastAsia="Times New Roman" w:hAnsi="Arial" w:cs="Arial"/>
          <w:color w:val="222222"/>
          <w:sz w:val="24"/>
          <w:szCs w:val="24"/>
          <w:highlight w:val="white"/>
        </w:rPr>
        <w:t xml:space="preserve">, (2025) </w:t>
      </w:r>
      <w:r w:rsidRPr="003D0E5B">
        <w:rPr>
          <w:rFonts w:ascii="Arial" w:eastAsia="Times New Roman" w:hAnsi="Arial" w:cs="Arial"/>
          <w:i/>
          <w:iCs/>
          <w:color w:val="222222"/>
          <w:sz w:val="24"/>
          <w:szCs w:val="24"/>
          <w:highlight w:val="white"/>
        </w:rPr>
        <w:t>The roles and responsibilities of the innovation manager</w:t>
      </w:r>
      <w:r w:rsidRPr="003D0E5B">
        <w:rPr>
          <w:rFonts w:ascii="Arial" w:eastAsia="Times New Roman" w:hAnsi="Arial" w:cs="Arial"/>
          <w:color w:val="222222"/>
          <w:sz w:val="24"/>
          <w:szCs w:val="24"/>
          <w:highlight w:val="white"/>
        </w:rPr>
        <w:t xml:space="preserve">. Available at: https://www.acceptmission.com/blog/innovation-manager/ (Accessed: 13 March 2026). </w:t>
      </w:r>
    </w:p>
    <w:p w14:paraId="47B4946C" w14:textId="77777777" w:rsidR="003D0E5B" w:rsidRPr="003D0E5B" w:rsidRDefault="003D0E5B" w:rsidP="005077DD">
      <w:pPr>
        <w:spacing w:line="360" w:lineRule="auto"/>
        <w:rPr>
          <w:rFonts w:ascii="Arial" w:eastAsia="Times New Roman" w:hAnsi="Arial" w:cs="Arial"/>
          <w:color w:val="222222"/>
          <w:sz w:val="24"/>
          <w:szCs w:val="24"/>
          <w:highlight w:val="white"/>
        </w:rPr>
      </w:pPr>
      <w:proofErr w:type="spellStart"/>
      <w:r w:rsidRPr="003D0E5B">
        <w:rPr>
          <w:rFonts w:ascii="Arial" w:eastAsia="Times New Roman" w:hAnsi="Arial" w:cs="Arial"/>
          <w:color w:val="222222"/>
          <w:sz w:val="24"/>
          <w:szCs w:val="24"/>
          <w:highlight w:val="white"/>
        </w:rPr>
        <w:t>Anlesinya</w:t>
      </w:r>
      <w:proofErr w:type="spellEnd"/>
      <w:r w:rsidRPr="003D0E5B">
        <w:rPr>
          <w:rFonts w:ascii="Arial" w:eastAsia="Times New Roman" w:hAnsi="Arial" w:cs="Arial"/>
          <w:color w:val="222222"/>
          <w:sz w:val="24"/>
          <w:szCs w:val="24"/>
          <w:highlight w:val="white"/>
        </w:rPr>
        <w:t xml:space="preserve">, A. and Amponsah-Tawiah, K., (2020). Towards a responsible talent management model. </w:t>
      </w:r>
      <w:r w:rsidRPr="003D0E5B">
        <w:rPr>
          <w:rFonts w:ascii="Arial" w:eastAsia="Times New Roman" w:hAnsi="Arial" w:cs="Arial"/>
          <w:i/>
          <w:iCs/>
          <w:color w:val="222222"/>
          <w:sz w:val="24"/>
          <w:szCs w:val="24"/>
          <w:highlight w:val="white"/>
        </w:rPr>
        <w:t>European Journal of Training and Development</w:t>
      </w:r>
      <w:r w:rsidRPr="003D0E5B">
        <w:rPr>
          <w:rFonts w:ascii="Arial" w:eastAsia="Times New Roman" w:hAnsi="Arial" w:cs="Arial"/>
          <w:color w:val="222222"/>
          <w:sz w:val="24"/>
          <w:szCs w:val="24"/>
          <w:highlight w:val="white"/>
        </w:rPr>
        <w:t xml:space="preserve">, </w:t>
      </w:r>
      <w:r w:rsidRPr="003D0E5B">
        <w:rPr>
          <w:rFonts w:ascii="Arial" w:eastAsia="Times New Roman" w:hAnsi="Arial" w:cs="Arial"/>
          <w:i/>
          <w:iCs/>
          <w:color w:val="222222"/>
          <w:sz w:val="24"/>
          <w:szCs w:val="24"/>
          <w:highlight w:val="white"/>
        </w:rPr>
        <w:t>44</w:t>
      </w:r>
      <w:r w:rsidRPr="003D0E5B">
        <w:rPr>
          <w:rFonts w:ascii="Arial" w:eastAsia="Times New Roman" w:hAnsi="Arial" w:cs="Arial"/>
          <w:color w:val="222222"/>
          <w:sz w:val="24"/>
          <w:szCs w:val="24"/>
          <w:highlight w:val="white"/>
        </w:rPr>
        <w:t xml:space="preserve">(2-3), pp.279-303. </w:t>
      </w:r>
      <w:hyperlink r:id="rId11">
        <w:r w:rsidRPr="003D0E5B">
          <w:rPr>
            <w:rFonts w:ascii="Arial" w:eastAsia="Times New Roman" w:hAnsi="Arial" w:cs="Arial"/>
            <w:color w:val="1155CC"/>
            <w:sz w:val="24"/>
            <w:szCs w:val="24"/>
            <w:highlight w:val="white"/>
            <w:u w:val="single"/>
          </w:rPr>
          <w:t>https://www.researchgate.net/publication/338692615_Towards_a_responsible_talent_management_model</w:t>
        </w:r>
      </w:hyperlink>
      <w:r w:rsidRPr="003D0E5B">
        <w:rPr>
          <w:rFonts w:ascii="Arial" w:eastAsia="Times New Roman" w:hAnsi="Arial" w:cs="Arial"/>
          <w:color w:val="222222"/>
          <w:sz w:val="24"/>
          <w:szCs w:val="24"/>
          <w:highlight w:val="white"/>
        </w:rPr>
        <w:t xml:space="preserve"> </w:t>
      </w:r>
    </w:p>
    <w:p w14:paraId="75AEC14F" w14:textId="77777777" w:rsidR="003D0E5B" w:rsidRPr="003D0E5B" w:rsidRDefault="003D0E5B" w:rsidP="005077DD">
      <w:pPr>
        <w:spacing w:line="360" w:lineRule="auto"/>
        <w:rPr>
          <w:rFonts w:ascii="Arial" w:eastAsia="Times New Roman" w:hAnsi="Arial" w:cs="Arial"/>
          <w:color w:val="222222"/>
          <w:sz w:val="24"/>
          <w:szCs w:val="24"/>
          <w:highlight w:val="white"/>
        </w:rPr>
      </w:pPr>
      <w:proofErr w:type="spellStart"/>
      <w:r w:rsidRPr="003D0E5B">
        <w:rPr>
          <w:rFonts w:ascii="Arial" w:eastAsia="Times New Roman" w:hAnsi="Arial" w:cs="Arial"/>
          <w:color w:val="222222"/>
          <w:sz w:val="24"/>
          <w:szCs w:val="24"/>
          <w:highlight w:val="white"/>
        </w:rPr>
        <w:t>Braineet</w:t>
      </w:r>
      <w:proofErr w:type="spellEnd"/>
      <w:r w:rsidRPr="003D0E5B">
        <w:rPr>
          <w:rFonts w:ascii="Arial" w:eastAsia="Times New Roman" w:hAnsi="Arial" w:cs="Arial"/>
          <w:color w:val="222222"/>
          <w:sz w:val="24"/>
          <w:szCs w:val="24"/>
          <w:highlight w:val="white"/>
        </w:rPr>
        <w:t xml:space="preserve">, (2024) </w:t>
      </w:r>
      <w:r w:rsidRPr="003D0E5B">
        <w:rPr>
          <w:rFonts w:ascii="Arial" w:eastAsia="Times New Roman" w:hAnsi="Arial" w:cs="Arial"/>
          <w:i/>
          <w:iCs/>
          <w:color w:val="222222"/>
          <w:sz w:val="24"/>
          <w:szCs w:val="24"/>
          <w:highlight w:val="white"/>
        </w:rPr>
        <w:t>16 techniques to encourage innovation in the workplace</w:t>
      </w:r>
      <w:r w:rsidRPr="003D0E5B">
        <w:rPr>
          <w:rFonts w:ascii="Arial" w:eastAsia="Times New Roman" w:hAnsi="Arial" w:cs="Arial"/>
          <w:color w:val="222222"/>
          <w:sz w:val="24"/>
          <w:szCs w:val="24"/>
          <w:highlight w:val="white"/>
        </w:rPr>
        <w:t xml:space="preserve">, </w:t>
      </w:r>
      <w:proofErr w:type="spellStart"/>
      <w:r w:rsidRPr="003D0E5B">
        <w:rPr>
          <w:rFonts w:ascii="Arial" w:eastAsia="Times New Roman" w:hAnsi="Arial" w:cs="Arial"/>
          <w:i/>
          <w:iCs/>
          <w:color w:val="222222"/>
          <w:sz w:val="24"/>
          <w:szCs w:val="24"/>
          <w:highlight w:val="white"/>
        </w:rPr>
        <w:t>Braineet</w:t>
      </w:r>
      <w:proofErr w:type="spellEnd"/>
      <w:r w:rsidRPr="003D0E5B">
        <w:rPr>
          <w:rFonts w:ascii="Arial" w:eastAsia="Times New Roman" w:hAnsi="Arial" w:cs="Arial"/>
          <w:color w:val="222222"/>
          <w:sz w:val="24"/>
          <w:szCs w:val="24"/>
          <w:highlight w:val="white"/>
        </w:rPr>
        <w:t xml:space="preserve">. Available at: https://www.braineet.com/blog/encouraging-workplace-innovation#:~:text=Find%20and%20motivate%20intrapreneurs,as%20a%20valuable%20innovation%20resource. (Accessed: 13 March 2026). </w:t>
      </w:r>
    </w:p>
    <w:p w14:paraId="4C3AD7E1" w14:textId="77777777" w:rsidR="003D0E5B" w:rsidRPr="003D0E5B" w:rsidRDefault="003D0E5B" w:rsidP="005077DD">
      <w:pPr>
        <w:spacing w:line="360" w:lineRule="auto"/>
        <w:rPr>
          <w:rFonts w:ascii="Arial" w:eastAsia="Times New Roman" w:hAnsi="Arial" w:cs="Arial"/>
          <w:color w:val="222222"/>
          <w:sz w:val="24"/>
          <w:szCs w:val="24"/>
          <w:highlight w:val="white"/>
        </w:rPr>
      </w:pPr>
      <w:r w:rsidRPr="003D0E5B">
        <w:rPr>
          <w:rFonts w:ascii="Arial" w:eastAsia="Times New Roman" w:hAnsi="Arial" w:cs="Arial"/>
          <w:color w:val="222222"/>
          <w:sz w:val="24"/>
          <w:szCs w:val="24"/>
          <w:highlight w:val="white"/>
        </w:rPr>
        <w:t xml:space="preserve">Chen, C.C., Lee, Y.H., Huang, T.C. and Ko, S.F., (2019). Effects of stress interviews on selection/recruitment function of employment interviews. </w:t>
      </w:r>
      <w:r w:rsidRPr="003D0E5B">
        <w:rPr>
          <w:rFonts w:ascii="Arial" w:eastAsia="Times New Roman" w:hAnsi="Arial" w:cs="Arial"/>
          <w:i/>
          <w:iCs/>
          <w:color w:val="222222"/>
          <w:sz w:val="24"/>
          <w:szCs w:val="24"/>
          <w:highlight w:val="white"/>
        </w:rPr>
        <w:t>Asia Pacific Journal of Human Resources</w:t>
      </w:r>
      <w:r w:rsidRPr="003D0E5B">
        <w:rPr>
          <w:rFonts w:ascii="Arial" w:eastAsia="Times New Roman" w:hAnsi="Arial" w:cs="Arial"/>
          <w:color w:val="222222"/>
          <w:sz w:val="24"/>
          <w:szCs w:val="24"/>
          <w:highlight w:val="white"/>
        </w:rPr>
        <w:t xml:space="preserve">, </w:t>
      </w:r>
      <w:r w:rsidRPr="003D0E5B">
        <w:rPr>
          <w:rFonts w:ascii="Arial" w:eastAsia="Times New Roman" w:hAnsi="Arial" w:cs="Arial"/>
          <w:i/>
          <w:iCs/>
          <w:color w:val="222222"/>
          <w:sz w:val="24"/>
          <w:szCs w:val="24"/>
          <w:highlight w:val="white"/>
        </w:rPr>
        <w:t>57</w:t>
      </w:r>
      <w:r w:rsidRPr="003D0E5B">
        <w:rPr>
          <w:rFonts w:ascii="Arial" w:eastAsia="Times New Roman" w:hAnsi="Arial" w:cs="Arial"/>
          <w:color w:val="222222"/>
          <w:sz w:val="24"/>
          <w:szCs w:val="24"/>
          <w:highlight w:val="white"/>
        </w:rPr>
        <w:t xml:space="preserve">(1), pp.40-56. </w:t>
      </w:r>
      <w:hyperlink r:id="rId12">
        <w:r w:rsidRPr="003D0E5B">
          <w:rPr>
            <w:rFonts w:ascii="Arial" w:eastAsia="Times New Roman" w:hAnsi="Arial" w:cs="Arial"/>
            <w:color w:val="1155CC"/>
            <w:sz w:val="24"/>
            <w:szCs w:val="24"/>
            <w:highlight w:val="white"/>
            <w:u w:val="single"/>
          </w:rPr>
          <w:t>https://www.researchgate.net/publication/320872110_Effects_of_stress_interviews_on_selectionrecruitment_function_of_employment_interviews</w:t>
        </w:r>
      </w:hyperlink>
      <w:r w:rsidRPr="003D0E5B">
        <w:rPr>
          <w:rFonts w:ascii="Arial" w:eastAsia="Times New Roman" w:hAnsi="Arial" w:cs="Arial"/>
          <w:color w:val="222222"/>
          <w:sz w:val="24"/>
          <w:szCs w:val="24"/>
          <w:highlight w:val="white"/>
        </w:rPr>
        <w:t xml:space="preserve"> </w:t>
      </w:r>
    </w:p>
    <w:p w14:paraId="0878A709" w14:textId="77777777" w:rsidR="003D0E5B" w:rsidRPr="003D0E5B" w:rsidRDefault="003D0E5B" w:rsidP="005077DD">
      <w:pPr>
        <w:spacing w:line="360" w:lineRule="auto"/>
        <w:rPr>
          <w:rFonts w:ascii="Arial" w:eastAsia="Times New Roman" w:hAnsi="Arial" w:cs="Arial"/>
          <w:sz w:val="24"/>
          <w:szCs w:val="24"/>
        </w:rPr>
      </w:pPr>
      <w:proofErr w:type="spellStart"/>
      <w:r w:rsidRPr="003D0E5B">
        <w:rPr>
          <w:rFonts w:ascii="Arial" w:eastAsia="Times New Roman" w:hAnsi="Arial" w:cs="Arial"/>
          <w:sz w:val="24"/>
          <w:szCs w:val="24"/>
        </w:rPr>
        <w:t>Comidor</w:t>
      </w:r>
      <w:proofErr w:type="spellEnd"/>
      <w:r w:rsidRPr="003D0E5B">
        <w:rPr>
          <w:rFonts w:ascii="Arial" w:eastAsia="Times New Roman" w:hAnsi="Arial" w:cs="Arial"/>
          <w:sz w:val="24"/>
          <w:szCs w:val="24"/>
        </w:rPr>
        <w:t xml:space="preserve">, (2024) </w:t>
      </w:r>
      <w:r w:rsidRPr="003D0E5B">
        <w:rPr>
          <w:rFonts w:ascii="Arial" w:eastAsia="Times New Roman" w:hAnsi="Arial" w:cs="Arial"/>
          <w:i/>
          <w:iCs/>
          <w:sz w:val="24"/>
          <w:szCs w:val="24"/>
        </w:rPr>
        <w:t>Tech revolution: Transforming workplaces in 2024 and Beyond</w:t>
      </w:r>
      <w:r w:rsidRPr="003D0E5B">
        <w:rPr>
          <w:rFonts w:ascii="Arial" w:eastAsia="Times New Roman" w:hAnsi="Arial" w:cs="Arial"/>
          <w:sz w:val="24"/>
          <w:szCs w:val="24"/>
        </w:rPr>
        <w:t xml:space="preserve">, </w:t>
      </w:r>
      <w:proofErr w:type="spellStart"/>
      <w:r w:rsidRPr="003D0E5B">
        <w:rPr>
          <w:rFonts w:ascii="Arial" w:eastAsia="Times New Roman" w:hAnsi="Arial" w:cs="Arial"/>
          <w:i/>
          <w:iCs/>
          <w:sz w:val="24"/>
          <w:szCs w:val="24"/>
        </w:rPr>
        <w:t>Comidor</w:t>
      </w:r>
      <w:proofErr w:type="spellEnd"/>
      <w:r w:rsidRPr="003D0E5B">
        <w:rPr>
          <w:rFonts w:ascii="Arial" w:eastAsia="Times New Roman" w:hAnsi="Arial" w:cs="Arial"/>
          <w:i/>
          <w:iCs/>
          <w:sz w:val="24"/>
          <w:szCs w:val="24"/>
        </w:rPr>
        <w:t xml:space="preserve"> Low-code Automation Platform</w:t>
      </w:r>
      <w:r w:rsidRPr="003D0E5B">
        <w:rPr>
          <w:rFonts w:ascii="Arial" w:eastAsia="Times New Roman" w:hAnsi="Arial" w:cs="Arial"/>
          <w:sz w:val="24"/>
          <w:szCs w:val="24"/>
        </w:rPr>
        <w:t xml:space="preserve">. Available at: https://www.comidor.com/blog/productivity/technology-in-the-workplace/#:~:text=Need%20for%20digital%20literacy,employees%20and%20gain%20tech%20competence. (Accessed: 13 March 2026). </w:t>
      </w:r>
    </w:p>
    <w:p w14:paraId="17ACC503" w14:textId="77777777" w:rsidR="003D0E5B" w:rsidRPr="003D0E5B" w:rsidRDefault="003D0E5B" w:rsidP="005077DD">
      <w:pPr>
        <w:spacing w:line="360" w:lineRule="auto"/>
        <w:rPr>
          <w:rFonts w:ascii="Arial" w:eastAsia="Times New Roman" w:hAnsi="Arial" w:cs="Arial"/>
          <w:color w:val="222222"/>
          <w:sz w:val="24"/>
          <w:szCs w:val="24"/>
          <w:highlight w:val="white"/>
        </w:rPr>
      </w:pPr>
      <w:r w:rsidRPr="003D0E5B">
        <w:rPr>
          <w:rFonts w:ascii="Arial" w:eastAsia="Times New Roman" w:hAnsi="Arial" w:cs="Arial"/>
          <w:color w:val="222222"/>
          <w:sz w:val="24"/>
          <w:szCs w:val="24"/>
          <w:highlight w:val="white"/>
        </w:rPr>
        <w:t xml:space="preserve">Diaz-Fernandez, M., </w:t>
      </w:r>
      <w:proofErr w:type="spellStart"/>
      <w:r w:rsidRPr="003D0E5B">
        <w:rPr>
          <w:rFonts w:ascii="Arial" w:eastAsia="Times New Roman" w:hAnsi="Arial" w:cs="Arial"/>
          <w:color w:val="222222"/>
          <w:sz w:val="24"/>
          <w:szCs w:val="24"/>
          <w:highlight w:val="white"/>
        </w:rPr>
        <w:t>Bornay-Barrachina</w:t>
      </w:r>
      <w:proofErr w:type="spellEnd"/>
      <w:r w:rsidRPr="003D0E5B">
        <w:rPr>
          <w:rFonts w:ascii="Arial" w:eastAsia="Times New Roman" w:hAnsi="Arial" w:cs="Arial"/>
          <w:color w:val="222222"/>
          <w:sz w:val="24"/>
          <w:szCs w:val="24"/>
          <w:highlight w:val="white"/>
        </w:rPr>
        <w:t xml:space="preserve">, M. and Lopez-Cabrales, A., (2015), April. Innovation and firm performance: the role of human resource management practices. In </w:t>
      </w:r>
      <w:r w:rsidRPr="003D0E5B">
        <w:rPr>
          <w:rFonts w:ascii="Arial" w:eastAsia="Times New Roman" w:hAnsi="Arial" w:cs="Arial"/>
          <w:i/>
          <w:iCs/>
          <w:color w:val="222222"/>
          <w:sz w:val="24"/>
          <w:szCs w:val="24"/>
          <w:highlight w:val="white"/>
        </w:rPr>
        <w:t>Evidence-based HRM: A global forum for empirical scholarship</w:t>
      </w:r>
      <w:r w:rsidRPr="003D0E5B">
        <w:rPr>
          <w:rFonts w:ascii="Arial" w:eastAsia="Times New Roman" w:hAnsi="Arial" w:cs="Arial"/>
          <w:color w:val="222222"/>
          <w:sz w:val="24"/>
          <w:szCs w:val="24"/>
          <w:highlight w:val="white"/>
        </w:rPr>
        <w:t xml:space="preserve"> (Vol. 3, No. 1, pp. 64-80). Emerald Group Publishing Limited. </w:t>
      </w:r>
      <w:hyperlink r:id="rId13">
        <w:r w:rsidRPr="003D0E5B">
          <w:rPr>
            <w:rFonts w:ascii="Arial" w:eastAsia="Times New Roman" w:hAnsi="Arial" w:cs="Arial"/>
            <w:color w:val="1155CC"/>
            <w:sz w:val="24"/>
            <w:szCs w:val="24"/>
            <w:highlight w:val="white"/>
            <w:u w:val="single"/>
          </w:rPr>
          <w:t>https://www.researchgate.net/publication/275240609_Innovation_and_firm_performance_the_role_of_human_resource_management_practices</w:t>
        </w:r>
      </w:hyperlink>
      <w:r w:rsidRPr="003D0E5B">
        <w:rPr>
          <w:rFonts w:ascii="Arial" w:eastAsia="Times New Roman" w:hAnsi="Arial" w:cs="Arial"/>
          <w:color w:val="222222"/>
          <w:sz w:val="24"/>
          <w:szCs w:val="24"/>
          <w:highlight w:val="white"/>
        </w:rPr>
        <w:t xml:space="preserve"> </w:t>
      </w:r>
    </w:p>
    <w:p w14:paraId="5A0EB52B" w14:textId="77777777" w:rsidR="003D0E5B" w:rsidRPr="003D0E5B" w:rsidRDefault="003D0E5B" w:rsidP="005077DD">
      <w:pPr>
        <w:spacing w:line="360" w:lineRule="auto"/>
        <w:rPr>
          <w:rFonts w:ascii="Arial" w:eastAsia="Times New Roman" w:hAnsi="Arial" w:cs="Arial"/>
          <w:color w:val="222222"/>
          <w:sz w:val="24"/>
          <w:szCs w:val="24"/>
          <w:highlight w:val="white"/>
        </w:rPr>
      </w:pPr>
      <w:r w:rsidRPr="003D0E5B">
        <w:rPr>
          <w:rFonts w:ascii="Arial" w:eastAsia="Times New Roman" w:hAnsi="Arial" w:cs="Arial"/>
          <w:color w:val="222222"/>
          <w:sz w:val="24"/>
          <w:szCs w:val="24"/>
          <w:highlight w:val="white"/>
        </w:rPr>
        <w:t xml:space="preserve">Emese, B. and Ágota, D., (2022). Competency-based Human Resource Management in the Public Service from Educational Perspective. </w:t>
      </w:r>
      <w:r w:rsidRPr="003D0E5B">
        <w:rPr>
          <w:rFonts w:ascii="Arial" w:eastAsia="Times New Roman" w:hAnsi="Arial" w:cs="Arial"/>
          <w:i/>
          <w:iCs/>
          <w:color w:val="222222"/>
          <w:sz w:val="24"/>
          <w:szCs w:val="24"/>
          <w:highlight w:val="white"/>
        </w:rPr>
        <w:t>Pro Publico Bono–</w:t>
      </w:r>
      <w:r w:rsidRPr="003D0E5B">
        <w:rPr>
          <w:rFonts w:ascii="Arial" w:eastAsia="Times New Roman" w:hAnsi="Arial" w:cs="Arial"/>
          <w:i/>
          <w:iCs/>
          <w:color w:val="222222"/>
          <w:sz w:val="24"/>
          <w:szCs w:val="24"/>
          <w:highlight w:val="white"/>
        </w:rPr>
        <w:lastRenderedPageBreak/>
        <w:t>Public Administration</w:t>
      </w:r>
      <w:r w:rsidRPr="003D0E5B">
        <w:rPr>
          <w:rFonts w:ascii="Arial" w:eastAsia="Times New Roman" w:hAnsi="Arial" w:cs="Arial"/>
          <w:color w:val="222222"/>
          <w:sz w:val="24"/>
          <w:szCs w:val="24"/>
          <w:highlight w:val="white"/>
        </w:rPr>
        <w:t xml:space="preserve">, </w:t>
      </w:r>
      <w:r w:rsidRPr="003D0E5B">
        <w:rPr>
          <w:rFonts w:ascii="Arial" w:eastAsia="Times New Roman" w:hAnsi="Arial" w:cs="Arial"/>
          <w:i/>
          <w:iCs/>
          <w:color w:val="222222"/>
          <w:sz w:val="24"/>
          <w:szCs w:val="24"/>
          <w:highlight w:val="white"/>
        </w:rPr>
        <w:t>10</w:t>
      </w:r>
      <w:r w:rsidRPr="003D0E5B">
        <w:rPr>
          <w:rFonts w:ascii="Arial" w:eastAsia="Times New Roman" w:hAnsi="Arial" w:cs="Arial"/>
          <w:color w:val="222222"/>
          <w:sz w:val="24"/>
          <w:szCs w:val="24"/>
          <w:highlight w:val="white"/>
        </w:rPr>
        <w:t xml:space="preserve">(4), pp.20-41. </w:t>
      </w:r>
      <w:hyperlink r:id="rId14">
        <w:r w:rsidRPr="003D0E5B">
          <w:rPr>
            <w:rFonts w:ascii="Arial" w:eastAsia="Times New Roman" w:hAnsi="Arial" w:cs="Arial"/>
            <w:color w:val="1155CC"/>
            <w:sz w:val="24"/>
            <w:szCs w:val="24"/>
            <w:highlight w:val="white"/>
            <w:u w:val="single"/>
          </w:rPr>
          <w:t>https://www.researchgate.net/publication/369874575_Competency-based_Human_Resource_Management_in_the_Public_Service_from_Educational_Perspective</w:t>
        </w:r>
      </w:hyperlink>
      <w:r w:rsidRPr="003D0E5B">
        <w:rPr>
          <w:rFonts w:ascii="Arial" w:eastAsia="Times New Roman" w:hAnsi="Arial" w:cs="Arial"/>
          <w:color w:val="222222"/>
          <w:sz w:val="24"/>
          <w:szCs w:val="24"/>
          <w:highlight w:val="white"/>
        </w:rPr>
        <w:t xml:space="preserve"> </w:t>
      </w:r>
    </w:p>
    <w:p w14:paraId="01490B7D" w14:textId="77777777" w:rsidR="003D0E5B" w:rsidRPr="003D0E5B" w:rsidRDefault="003D0E5B" w:rsidP="005077DD">
      <w:pPr>
        <w:spacing w:line="360" w:lineRule="auto"/>
        <w:rPr>
          <w:rFonts w:ascii="Arial" w:eastAsia="Times New Roman" w:hAnsi="Arial" w:cs="Arial"/>
          <w:color w:val="222222"/>
          <w:sz w:val="24"/>
          <w:szCs w:val="24"/>
          <w:highlight w:val="white"/>
        </w:rPr>
      </w:pPr>
      <w:proofErr w:type="spellStart"/>
      <w:r w:rsidRPr="003D0E5B">
        <w:rPr>
          <w:rFonts w:ascii="Arial" w:eastAsia="Times New Roman" w:hAnsi="Arial" w:cs="Arial"/>
          <w:color w:val="222222"/>
          <w:sz w:val="24"/>
          <w:szCs w:val="24"/>
          <w:highlight w:val="white"/>
        </w:rPr>
        <w:t>Hrexecutive</w:t>
      </w:r>
      <w:proofErr w:type="spellEnd"/>
      <w:r w:rsidRPr="003D0E5B">
        <w:rPr>
          <w:rFonts w:ascii="Arial" w:eastAsia="Times New Roman" w:hAnsi="Arial" w:cs="Arial"/>
          <w:color w:val="222222"/>
          <w:sz w:val="24"/>
          <w:szCs w:val="24"/>
          <w:highlight w:val="white"/>
        </w:rPr>
        <w:t xml:space="preserve">, (2025) </w:t>
      </w:r>
      <w:r w:rsidRPr="003D0E5B">
        <w:rPr>
          <w:rFonts w:ascii="Arial" w:eastAsia="Times New Roman" w:hAnsi="Arial" w:cs="Arial"/>
          <w:i/>
          <w:iCs/>
          <w:color w:val="222222"/>
          <w:sz w:val="24"/>
          <w:szCs w:val="24"/>
          <w:highlight w:val="white"/>
        </w:rPr>
        <w:t>HR Executive</w:t>
      </w:r>
      <w:r w:rsidRPr="003D0E5B">
        <w:rPr>
          <w:rFonts w:ascii="Arial" w:eastAsia="Times New Roman" w:hAnsi="Arial" w:cs="Arial"/>
          <w:color w:val="222222"/>
          <w:sz w:val="24"/>
          <w:szCs w:val="24"/>
          <w:highlight w:val="white"/>
        </w:rPr>
        <w:t xml:space="preserve">. Available at: https://hrexecutive.com/technology-in-human-resource-management/ (Accessed: 13 March 2026). </w:t>
      </w:r>
    </w:p>
    <w:p w14:paraId="6A4A7E38" w14:textId="77777777" w:rsidR="003D0E5B" w:rsidRPr="003D0E5B" w:rsidRDefault="003D0E5B" w:rsidP="005077DD">
      <w:pPr>
        <w:spacing w:line="360" w:lineRule="auto"/>
        <w:rPr>
          <w:rFonts w:ascii="Arial" w:eastAsia="Times New Roman" w:hAnsi="Arial" w:cs="Arial"/>
          <w:color w:val="222222"/>
          <w:sz w:val="24"/>
          <w:szCs w:val="24"/>
          <w:highlight w:val="white"/>
        </w:rPr>
      </w:pPr>
      <w:proofErr w:type="spellStart"/>
      <w:r w:rsidRPr="003D0E5B">
        <w:rPr>
          <w:rFonts w:ascii="Arial" w:eastAsia="Times New Roman" w:hAnsi="Arial" w:cs="Arial"/>
          <w:color w:val="222222"/>
          <w:sz w:val="24"/>
          <w:szCs w:val="24"/>
          <w:highlight w:val="white"/>
        </w:rPr>
        <w:t>Hrtutorial</w:t>
      </w:r>
      <w:proofErr w:type="spellEnd"/>
      <w:r w:rsidRPr="003D0E5B">
        <w:rPr>
          <w:rFonts w:ascii="Arial" w:eastAsia="Times New Roman" w:hAnsi="Arial" w:cs="Arial"/>
          <w:color w:val="222222"/>
          <w:sz w:val="24"/>
          <w:szCs w:val="24"/>
          <w:highlight w:val="white"/>
        </w:rPr>
        <w:t xml:space="preserve">, (2025) </w:t>
      </w:r>
      <w:r w:rsidRPr="003D0E5B">
        <w:rPr>
          <w:rFonts w:ascii="Arial" w:eastAsia="Times New Roman" w:hAnsi="Arial" w:cs="Arial"/>
          <w:i/>
          <w:iCs/>
          <w:color w:val="222222"/>
          <w:sz w:val="24"/>
          <w:szCs w:val="24"/>
          <w:highlight w:val="white"/>
        </w:rPr>
        <w:t>HR Tutorial</w:t>
      </w:r>
      <w:r w:rsidRPr="003D0E5B">
        <w:rPr>
          <w:rFonts w:ascii="Arial" w:eastAsia="Times New Roman" w:hAnsi="Arial" w:cs="Arial"/>
          <w:color w:val="222222"/>
          <w:sz w:val="24"/>
          <w:szCs w:val="24"/>
          <w:highlight w:val="white"/>
        </w:rPr>
        <w:t xml:space="preserve">. Available at: https://hrtutorial.com/hrm/hr-model/resource-based-view-hrm/#:~:text=Key%20Principles%20of%20the%20RBV,and%20developing%20high%2Dpotential%20employees. (Accessed: 13 March 2026). </w:t>
      </w:r>
    </w:p>
    <w:p w14:paraId="46D912F2" w14:textId="77777777" w:rsidR="003D0E5B" w:rsidRPr="003D0E5B" w:rsidRDefault="003D0E5B" w:rsidP="005077DD">
      <w:pPr>
        <w:spacing w:line="360" w:lineRule="auto"/>
        <w:rPr>
          <w:rFonts w:ascii="Arial" w:eastAsia="Times New Roman" w:hAnsi="Arial" w:cs="Arial"/>
          <w:color w:val="222222"/>
          <w:sz w:val="24"/>
          <w:szCs w:val="24"/>
          <w:highlight w:val="white"/>
        </w:rPr>
      </w:pPr>
      <w:proofErr w:type="spellStart"/>
      <w:r w:rsidRPr="003D0E5B">
        <w:rPr>
          <w:rFonts w:ascii="Arial" w:eastAsia="Times New Roman" w:hAnsi="Arial" w:cs="Arial"/>
          <w:color w:val="222222"/>
          <w:sz w:val="24"/>
          <w:szCs w:val="24"/>
          <w:highlight w:val="white"/>
        </w:rPr>
        <w:t>Humaans</w:t>
      </w:r>
      <w:proofErr w:type="spellEnd"/>
      <w:r w:rsidRPr="003D0E5B">
        <w:rPr>
          <w:rFonts w:ascii="Arial" w:eastAsia="Times New Roman" w:hAnsi="Arial" w:cs="Arial"/>
          <w:color w:val="222222"/>
          <w:sz w:val="24"/>
          <w:szCs w:val="24"/>
          <w:highlight w:val="white"/>
        </w:rPr>
        <w:t xml:space="preserve">, (2025) </w:t>
      </w:r>
      <w:proofErr w:type="spellStart"/>
      <w:r w:rsidRPr="003D0E5B">
        <w:rPr>
          <w:rFonts w:ascii="Arial" w:eastAsia="Times New Roman" w:hAnsi="Arial" w:cs="Arial"/>
          <w:i/>
          <w:iCs/>
          <w:color w:val="222222"/>
          <w:sz w:val="24"/>
          <w:szCs w:val="24"/>
          <w:highlight w:val="white"/>
        </w:rPr>
        <w:t>Humaans</w:t>
      </w:r>
      <w:proofErr w:type="spellEnd"/>
      <w:r w:rsidRPr="003D0E5B">
        <w:rPr>
          <w:rFonts w:ascii="Arial" w:eastAsia="Times New Roman" w:hAnsi="Arial" w:cs="Arial"/>
          <w:color w:val="222222"/>
          <w:sz w:val="24"/>
          <w:szCs w:val="24"/>
          <w:highlight w:val="white"/>
        </w:rPr>
        <w:t xml:space="preserve">. Available at: https://humaans.io/hr-glossary/hackman-and-oldham-model (Accessed: 13 March 2026). </w:t>
      </w:r>
    </w:p>
    <w:p w14:paraId="10B8A2BC" w14:textId="77777777" w:rsidR="003D0E5B" w:rsidRPr="003D0E5B" w:rsidRDefault="003D0E5B" w:rsidP="005077DD">
      <w:pPr>
        <w:spacing w:line="360" w:lineRule="auto"/>
        <w:rPr>
          <w:rFonts w:ascii="Arial" w:eastAsia="Times New Roman" w:hAnsi="Arial" w:cs="Arial"/>
          <w:color w:val="222222"/>
          <w:sz w:val="24"/>
          <w:szCs w:val="24"/>
          <w:highlight w:val="white"/>
        </w:rPr>
      </w:pPr>
      <w:r w:rsidRPr="003D0E5B">
        <w:rPr>
          <w:rFonts w:ascii="Arial" w:eastAsia="Times New Roman" w:hAnsi="Arial" w:cs="Arial"/>
          <w:color w:val="222222"/>
          <w:sz w:val="24"/>
          <w:szCs w:val="24"/>
          <w:highlight w:val="white"/>
        </w:rPr>
        <w:t xml:space="preserve">Kallet, M., (2014). </w:t>
      </w:r>
      <w:r w:rsidRPr="003D0E5B">
        <w:rPr>
          <w:rFonts w:ascii="Arial" w:eastAsia="Times New Roman" w:hAnsi="Arial" w:cs="Arial"/>
          <w:i/>
          <w:iCs/>
          <w:color w:val="222222"/>
          <w:sz w:val="24"/>
          <w:szCs w:val="24"/>
          <w:highlight w:val="white"/>
        </w:rPr>
        <w:t>Think smarter: Critical thinking to improve problem-solving and decision-making skills</w:t>
      </w:r>
      <w:r w:rsidRPr="003D0E5B">
        <w:rPr>
          <w:rFonts w:ascii="Arial" w:eastAsia="Times New Roman" w:hAnsi="Arial" w:cs="Arial"/>
          <w:color w:val="222222"/>
          <w:sz w:val="24"/>
          <w:szCs w:val="24"/>
          <w:highlight w:val="white"/>
        </w:rPr>
        <w:t xml:space="preserve">. John Wiley &amp; Sons. </w:t>
      </w:r>
    </w:p>
    <w:p w14:paraId="1647D174" w14:textId="77777777" w:rsidR="003D0E5B" w:rsidRPr="003D0E5B" w:rsidRDefault="003D0E5B" w:rsidP="005077DD">
      <w:pPr>
        <w:spacing w:line="360" w:lineRule="auto"/>
        <w:rPr>
          <w:rFonts w:ascii="Arial" w:eastAsia="Times New Roman" w:hAnsi="Arial" w:cs="Arial"/>
          <w:color w:val="222222"/>
          <w:sz w:val="24"/>
          <w:szCs w:val="24"/>
          <w:highlight w:val="white"/>
        </w:rPr>
      </w:pPr>
      <w:r w:rsidRPr="003D0E5B">
        <w:rPr>
          <w:rFonts w:ascii="Arial" w:eastAsia="Times New Roman" w:hAnsi="Arial" w:cs="Arial"/>
          <w:color w:val="222222"/>
          <w:sz w:val="24"/>
          <w:szCs w:val="24"/>
          <w:highlight w:val="white"/>
        </w:rPr>
        <w:t xml:space="preserve">Kapoor, R., (2024). Strategic human resource management practices and organizational innovation: evidence from small and medium enterprises in India. </w:t>
      </w:r>
      <w:r w:rsidRPr="003D0E5B">
        <w:rPr>
          <w:rFonts w:ascii="Arial" w:eastAsia="Times New Roman" w:hAnsi="Arial" w:cs="Arial"/>
          <w:i/>
          <w:iCs/>
          <w:color w:val="222222"/>
          <w:sz w:val="24"/>
          <w:szCs w:val="24"/>
          <w:highlight w:val="white"/>
        </w:rPr>
        <w:t>International Journal of Strategic Management</w:t>
      </w:r>
      <w:r w:rsidRPr="003D0E5B">
        <w:rPr>
          <w:rFonts w:ascii="Arial" w:eastAsia="Times New Roman" w:hAnsi="Arial" w:cs="Arial"/>
          <w:color w:val="222222"/>
          <w:sz w:val="24"/>
          <w:szCs w:val="24"/>
          <w:highlight w:val="white"/>
        </w:rPr>
        <w:t xml:space="preserve">, </w:t>
      </w:r>
      <w:r w:rsidRPr="003D0E5B">
        <w:rPr>
          <w:rFonts w:ascii="Arial" w:eastAsia="Times New Roman" w:hAnsi="Arial" w:cs="Arial"/>
          <w:i/>
          <w:iCs/>
          <w:color w:val="222222"/>
          <w:sz w:val="24"/>
          <w:szCs w:val="24"/>
          <w:highlight w:val="white"/>
        </w:rPr>
        <w:t>3</w:t>
      </w:r>
      <w:r w:rsidRPr="003D0E5B">
        <w:rPr>
          <w:rFonts w:ascii="Arial" w:eastAsia="Times New Roman" w:hAnsi="Arial" w:cs="Arial"/>
          <w:color w:val="222222"/>
          <w:sz w:val="24"/>
          <w:szCs w:val="24"/>
          <w:highlight w:val="white"/>
        </w:rPr>
        <w:t>(1), pp.30-40.</w:t>
      </w:r>
      <w:hyperlink r:id="rId15">
        <w:r w:rsidRPr="003D0E5B">
          <w:rPr>
            <w:rFonts w:ascii="Arial" w:eastAsia="Times New Roman" w:hAnsi="Arial" w:cs="Arial"/>
            <w:color w:val="1155CC"/>
            <w:sz w:val="24"/>
            <w:szCs w:val="24"/>
            <w:highlight w:val="white"/>
            <w:u w:val="single"/>
          </w:rPr>
          <w:t>https://pdfs.semanticscholar.org/d51f/6552fd99f5c973cbbdae81af20eec9635734.pdf</w:t>
        </w:r>
      </w:hyperlink>
    </w:p>
    <w:p w14:paraId="5C3B09BC" w14:textId="77777777" w:rsidR="003D0E5B" w:rsidRPr="003D0E5B" w:rsidRDefault="003D0E5B" w:rsidP="005077DD">
      <w:pPr>
        <w:spacing w:line="360" w:lineRule="auto"/>
        <w:rPr>
          <w:rFonts w:ascii="Arial" w:eastAsia="Times New Roman" w:hAnsi="Arial" w:cs="Arial"/>
          <w:color w:val="222222"/>
          <w:sz w:val="24"/>
          <w:szCs w:val="24"/>
          <w:highlight w:val="white"/>
        </w:rPr>
      </w:pPr>
      <w:proofErr w:type="spellStart"/>
      <w:r w:rsidRPr="003D0E5B">
        <w:rPr>
          <w:rFonts w:ascii="Arial" w:eastAsia="Times New Roman" w:hAnsi="Arial" w:cs="Arial"/>
          <w:color w:val="222222"/>
          <w:sz w:val="24"/>
          <w:szCs w:val="24"/>
          <w:highlight w:val="white"/>
        </w:rPr>
        <w:t>Linkedin</w:t>
      </w:r>
      <w:proofErr w:type="spellEnd"/>
      <w:r w:rsidRPr="003D0E5B">
        <w:rPr>
          <w:rFonts w:ascii="Arial" w:eastAsia="Times New Roman" w:hAnsi="Arial" w:cs="Arial"/>
          <w:color w:val="222222"/>
          <w:sz w:val="24"/>
          <w:szCs w:val="24"/>
          <w:highlight w:val="white"/>
        </w:rPr>
        <w:t xml:space="preserve">, (2025) </w:t>
      </w:r>
      <w:r w:rsidRPr="003D0E5B">
        <w:rPr>
          <w:rFonts w:ascii="Arial" w:eastAsia="Times New Roman" w:hAnsi="Arial" w:cs="Arial"/>
          <w:i/>
          <w:iCs/>
          <w:color w:val="222222"/>
          <w:sz w:val="24"/>
          <w:szCs w:val="24"/>
          <w:highlight w:val="white"/>
        </w:rPr>
        <w:t>The AMO Framework: A modern blueprint for high performance in the Workplace</w:t>
      </w:r>
      <w:r w:rsidRPr="003D0E5B">
        <w:rPr>
          <w:rFonts w:ascii="Arial" w:eastAsia="Times New Roman" w:hAnsi="Arial" w:cs="Arial"/>
          <w:color w:val="222222"/>
          <w:sz w:val="24"/>
          <w:szCs w:val="24"/>
          <w:highlight w:val="white"/>
        </w:rPr>
        <w:t xml:space="preserve">, </w:t>
      </w:r>
      <w:r w:rsidRPr="003D0E5B">
        <w:rPr>
          <w:rFonts w:ascii="Arial" w:eastAsia="Times New Roman" w:hAnsi="Arial" w:cs="Arial"/>
          <w:i/>
          <w:iCs/>
          <w:color w:val="222222"/>
          <w:sz w:val="24"/>
          <w:szCs w:val="24"/>
          <w:highlight w:val="white"/>
        </w:rPr>
        <w:t>LinkedIn</w:t>
      </w:r>
      <w:r w:rsidRPr="003D0E5B">
        <w:rPr>
          <w:rFonts w:ascii="Arial" w:eastAsia="Times New Roman" w:hAnsi="Arial" w:cs="Arial"/>
          <w:color w:val="222222"/>
          <w:sz w:val="24"/>
          <w:szCs w:val="24"/>
          <w:highlight w:val="white"/>
        </w:rPr>
        <w:t xml:space="preserve">. Available at: https://www.linkedin.com/pulse/amo-framework-modern-blueprint-high-performance-arthika-sundarrajan--cdhze#:~:text=The%20AMO%20Framework%20reminds%20us,are%20allowed%20to%20perform%20(Opportunity) (Accessed: 13 March 2026). </w:t>
      </w:r>
    </w:p>
    <w:p w14:paraId="5FF14CC8" w14:textId="77777777" w:rsidR="003D0E5B" w:rsidRPr="003D0E5B" w:rsidRDefault="003D0E5B" w:rsidP="005077DD">
      <w:pPr>
        <w:spacing w:line="360" w:lineRule="auto"/>
        <w:rPr>
          <w:rFonts w:ascii="Arial" w:eastAsia="Times New Roman" w:hAnsi="Arial" w:cs="Arial"/>
          <w:color w:val="222222"/>
          <w:sz w:val="24"/>
          <w:szCs w:val="24"/>
          <w:highlight w:val="white"/>
        </w:rPr>
      </w:pPr>
      <w:proofErr w:type="spellStart"/>
      <w:r w:rsidRPr="003D0E5B">
        <w:rPr>
          <w:rFonts w:ascii="Arial" w:eastAsia="Times New Roman" w:hAnsi="Arial" w:cs="Arial"/>
          <w:color w:val="222222"/>
          <w:sz w:val="24"/>
          <w:szCs w:val="24"/>
          <w:highlight w:val="white"/>
        </w:rPr>
        <w:t>Manafe</w:t>
      </w:r>
      <w:proofErr w:type="spellEnd"/>
      <w:r w:rsidRPr="003D0E5B">
        <w:rPr>
          <w:rFonts w:ascii="Arial" w:eastAsia="Times New Roman" w:hAnsi="Arial" w:cs="Arial"/>
          <w:color w:val="222222"/>
          <w:sz w:val="24"/>
          <w:szCs w:val="24"/>
          <w:highlight w:val="white"/>
        </w:rPr>
        <w:t xml:space="preserve">, M.W.N., Rizani, A. and </w:t>
      </w:r>
      <w:proofErr w:type="spellStart"/>
      <w:r w:rsidRPr="003D0E5B">
        <w:rPr>
          <w:rFonts w:ascii="Arial" w:eastAsia="Times New Roman" w:hAnsi="Arial" w:cs="Arial"/>
          <w:color w:val="222222"/>
          <w:sz w:val="24"/>
          <w:szCs w:val="24"/>
          <w:highlight w:val="white"/>
        </w:rPr>
        <w:t>Purnawati</w:t>
      </w:r>
      <w:proofErr w:type="spellEnd"/>
      <w:r w:rsidRPr="003D0E5B">
        <w:rPr>
          <w:rFonts w:ascii="Arial" w:eastAsia="Times New Roman" w:hAnsi="Arial" w:cs="Arial"/>
          <w:color w:val="222222"/>
          <w:sz w:val="24"/>
          <w:szCs w:val="24"/>
          <w:highlight w:val="white"/>
        </w:rPr>
        <w:t xml:space="preserve">, E., (2024). Analysis of the influence of technical expertise, market orientation, social capital, and innovation on the performance of micro and small businesses in the technology sector. </w:t>
      </w:r>
      <w:r w:rsidRPr="003D0E5B">
        <w:rPr>
          <w:rFonts w:ascii="Arial" w:eastAsia="Times New Roman" w:hAnsi="Arial" w:cs="Arial"/>
          <w:i/>
          <w:iCs/>
          <w:color w:val="222222"/>
          <w:sz w:val="24"/>
          <w:szCs w:val="24"/>
          <w:highlight w:val="white"/>
        </w:rPr>
        <w:t>International Journal of Business, Law, and Education</w:t>
      </w:r>
      <w:r w:rsidRPr="003D0E5B">
        <w:rPr>
          <w:rFonts w:ascii="Arial" w:eastAsia="Times New Roman" w:hAnsi="Arial" w:cs="Arial"/>
          <w:color w:val="222222"/>
          <w:sz w:val="24"/>
          <w:szCs w:val="24"/>
          <w:highlight w:val="white"/>
        </w:rPr>
        <w:t xml:space="preserve">, </w:t>
      </w:r>
      <w:r w:rsidRPr="003D0E5B">
        <w:rPr>
          <w:rFonts w:ascii="Arial" w:eastAsia="Times New Roman" w:hAnsi="Arial" w:cs="Arial"/>
          <w:i/>
          <w:iCs/>
          <w:color w:val="222222"/>
          <w:sz w:val="24"/>
          <w:szCs w:val="24"/>
          <w:highlight w:val="white"/>
        </w:rPr>
        <w:t>5</w:t>
      </w:r>
      <w:r w:rsidRPr="003D0E5B">
        <w:rPr>
          <w:rFonts w:ascii="Arial" w:eastAsia="Times New Roman" w:hAnsi="Arial" w:cs="Arial"/>
          <w:color w:val="222222"/>
          <w:sz w:val="24"/>
          <w:szCs w:val="24"/>
          <w:highlight w:val="white"/>
        </w:rPr>
        <w:t xml:space="preserve">(1), pp.983-995. </w:t>
      </w:r>
      <w:hyperlink r:id="rId16">
        <w:r w:rsidRPr="003D0E5B">
          <w:rPr>
            <w:rFonts w:ascii="Arial" w:eastAsia="Times New Roman" w:hAnsi="Arial" w:cs="Arial"/>
            <w:color w:val="1155CC"/>
            <w:sz w:val="24"/>
            <w:szCs w:val="24"/>
            <w:highlight w:val="white"/>
            <w:u w:val="single"/>
          </w:rPr>
          <w:t>https://www.researchgate.net/publication/379254649_Analysis_of_the_Influence_of_Technical_Expertise_Market_Orientation_Social_Capital_and_Innovation_on_the_Performance_of_Micro_and_Small_Businesses_in_the_Technology_Sector</w:t>
        </w:r>
      </w:hyperlink>
      <w:r w:rsidRPr="003D0E5B">
        <w:rPr>
          <w:rFonts w:ascii="Arial" w:eastAsia="Times New Roman" w:hAnsi="Arial" w:cs="Arial"/>
          <w:color w:val="222222"/>
          <w:sz w:val="24"/>
          <w:szCs w:val="24"/>
          <w:highlight w:val="white"/>
        </w:rPr>
        <w:t xml:space="preserve"> </w:t>
      </w:r>
    </w:p>
    <w:p w14:paraId="471B8C8B" w14:textId="77777777" w:rsidR="003D0E5B" w:rsidRPr="003D0E5B" w:rsidRDefault="003D0E5B" w:rsidP="005077DD">
      <w:pPr>
        <w:spacing w:line="360" w:lineRule="auto"/>
        <w:rPr>
          <w:rFonts w:ascii="Arial" w:eastAsia="Times New Roman" w:hAnsi="Arial" w:cs="Arial"/>
          <w:color w:val="222222"/>
          <w:sz w:val="24"/>
          <w:szCs w:val="24"/>
          <w:highlight w:val="white"/>
        </w:rPr>
      </w:pPr>
      <w:r w:rsidRPr="003D0E5B">
        <w:rPr>
          <w:rFonts w:ascii="Arial" w:eastAsia="Times New Roman" w:hAnsi="Arial" w:cs="Arial"/>
          <w:color w:val="222222"/>
          <w:sz w:val="24"/>
          <w:szCs w:val="24"/>
          <w:highlight w:val="white"/>
        </w:rPr>
        <w:lastRenderedPageBreak/>
        <w:t xml:space="preserve">Mihalcea, A., (2017). Employer branding and talent management in the digital age. </w:t>
      </w:r>
      <w:r w:rsidRPr="003D0E5B">
        <w:rPr>
          <w:rFonts w:ascii="Arial" w:eastAsia="Times New Roman" w:hAnsi="Arial" w:cs="Arial"/>
          <w:i/>
          <w:iCs/>
          <w:color w:val="222222"/>
          <w:sz w:val="24"/>
          <w:szCs w:val="24"/>
          <w:highlight w:val="white"/>
        </w:rPr>
        <w:t>Management Dynamics in the Knowledge Economy</w:t>
      </w:r>
      <w:r w:rsidRPr="003D0E5B">
        <w:rPr>
          <w:rFonts w:ascii="Arial" w:eastAsia="Times New Roman" w:hAnsi="Arial" w:cs="Arial"/>
          <w:color w:val="222222"/>
          <w:sz w:val="24"/>
          <w:szCs w:val="24"/>
          <w:highlight w:val="white"/>
        </w:rPr>
        <w:t xml:space="preserve">, </w:t>
      </w:r>
      <w:r w:rsidRPr="003D0E5B">
        <w:rPr>
          <w:rFonts w:ascii="Arial" w:eastAsia="Times New Roman" w:hAnsi="Arial" w:cs="Arial"/>
          <w:i/>
          <w:iCs/>
          <w:color w:val="222222"/>
          <w:sz w:val="24"/>
          <w:szCs w:val="24"/>
          <w:highlight w:val="white"/>
        </w:rPr>
        <w:t>5</w:t>
      </w:r>
      <w:r w:rsidRPr="003D0E5B">
        <w:rPr>
          <w:rFonts w:ascii="Arial" w:eastAsia="Times New Roman" w:hAnsi="Arial" w:cs="Arial"/>
          <w:color w:val="222222"/>
          <w:sz w:val="24"/>
          <w:szCs w:val="24"/>
          <w:highlight w:val="white"/>
        </w:rPr>
        <w:t xml:space="preserve">(2), pp.289-306. </w:t>
      </w:r>
      <w:hyperlink r:id="rId17">
        <w:r w:rsidRPr="003D0E5B">
          <w:rPr>
            <w:rFonts w:ascii="Arial" w:eastAsia="Times New Roman" w:hAnsi="Arial" w:cs="Arial"/>
            <w:color w:val="1155CC"/>
            <w:sz w:val="24"/>
            <w:szCs w:val="24"/>
            <w:highlight w:val="white"/>
            <w:u w:val="single"/>
          </w:rPr>
          <w:t>https://savearchive.zbw.eu/bitstream/11159/1509/1/1009600192.pdf</w:t>
        </w:r>
      </w:hyperlink>
      <w:r w:rsidRPr="003D0E5B">
        <w:rPr>
          <w:rFonts w:ascii="Arial" w:eastAsia="Times New Roman" w:hAnsi="Arial" w:cs="Arial"/>
          <w:color w:val="222222"/>
          <w:sz w:val="24"/>
          <w:szCs w:val="24"/>
          <w:highlight w:val="white"/>
        </w:rPr>
        <w:t xml:space="preserve"> </w:t>
      </w:r>
    </w:p>
    <w:p w14:paraId="06EB7BF4" w14:textId="77777777" w:rsidR="003D0E5B" w:rsidRPr="003D0E5B" w:rsidRDefault="003D0E5B" w:rsidP="005077DD">
      <w:pPr>
        <w:spacing w:line="360" w:lineRule="auto"/>
        <w:rPr>
          <w:rFonts w:ascii="Arial" w:eastAsia="Times New Roman" w:hAnsi="Arial" w:cs="Arial"/>
          <w:color w:val="222222"/>
          <w:sz w:val="24"/>
          <w:szCs w:val="24"/>
          <w:highlight w:val="white"/>
        </w:rPr>
      </w:pPr>
      <w:r w:rsidRPr="003D0E5B">
        <w:rPr>
          <w:rFonts w:ascii="Arial" w:eastAsia="Times New Roman" w:hAnsi="Arial" w:cs="Arial"/>
          <w:color w:val="222222"/>
          <w:sz w:val="24"/>
          <w:szCs w:val="24"/>
          <w:highlight w:val="white"/>
        </w:rPr>
        <w:t xml:space="preserve">Okolie, U.C. and Irabor, I.E., (2017). E-recruitment: practices, opportunities and challenges. </w:t>
      </w:r>
      <w:r w:rsidRPr="003D0E5B">
        <w:rPr>
          <w:rFonts w:ascii="Arial" w:eastAsia="Times New Roman" w:hAnsi="Arial" w:cs="Arial"/>
          <w:i/>
          <w:iCs/>
          <w:color w:val="222222"/>
          <w:sz w:val="24"/>
          <w:szCs w:val="24"/>
          <w:highlight w:val="white"/>
        </w:rPr>
        <w:t>European journal of business and management</w:t>
      </w:r>
      <w:r w:rsidRPr="003D0E5B">
        <w:rPr>
          <w:rFonts w:ascii="Arial" w:eastAsia="Times New Roman" w:hAnsi="Arial" w:cs="Arial"/>
          <w:color w:val="222222"/>
          <w:sz w:val="24"/>
          <w:szCs w:val="24"/>
          <w:highlight w:val="white"/>
        </w:rPr>
        <w:t xml:space="preserve">, </w:t>
      </w:r>
      <w:r w:rsidRPr="003D0E5B">
        <w:rPr>
          <w:rFonts w:ascii="Arial" w:eastAsia="Times New Roman" w:hAnsi="Arial" w:cs="Arial"/>
          <w:i/>
          <w:iCs/>
          <w:color w:val="222222"/>
          <w:sz w:val="24"/>
          <w:szCs w:val="24"/>
          <w:highlight w:val="white"/>
        </w:rPr>
        <w:t>9</w:t>
      </w:r>
      <w:r w:rsidRPr="003D0E5B">
        <w:rPr>
          <w:rFonts w:ascii="Arial" w:eastAsia="Times New Roman" w:hAnsi="Arial" w:cs="Arial"/>
          <w:color w:val="222222"/>
          <w:sz w:val="24"/>
          <w:szCs w:val="24"/>
          <w:highlight w:val="white"/>
        </w:rPr>
        <w:t xml:space="preserve">(11), pp.116-122. </w:t>
      </w:r>
      <w:hyperlink r:id="rId18">
        <w:r w:rsidRPr="003D0E5B">
          <w:rPr>
            <w:rFonts w:ascii="Arial" w:eastAsia="Times New Roman" w:hAnsi="Arial" w:cs="Arial"/>
            <w:color w:val="1155CC"/>
            <w:sz w:val="24"/>
            <w:szCs w:val="24"/>
            <w:highlight w:val="white"/>
            <w:u w:val="single"/>
          </w:rPr>
          <w:t>https://d1wqtxts1xzle7.cloudfront.net/116323618/37411-libre.pdf?1719231622=&amp;response-content-disposition=inline%3B+filename%3DE_Recruitment_Practices_Opportunities_an.pdf&amp;Expires=1773398245&amp;Signature=fB19Itr2y4QgATDrFhy1DCExY5ZmLYVk9esfktURzxS8aSe7X8dBca6bKu8acq2sFdaRrjC6zN~zmX25PFwnlX5dMXzmDgWhf2b7XyrG-ePnwyV-EahSl4EUdj9BReU~LSudfBk3HzqbyiV0Kl~VXCjqzR1f4Gsy2i9057~~H59XJ1UX5dIU~h5nSFjsJJzXbf6vSsRJ-YkTd68XfHRHFsrLRIL5ZkKBGVz3OMnCH69ouXJNpWKCudoP6s-J8JSfb3SAf7pQVTF6qvHaaLJGko0IU6v88W7I3I9qqE8SoEjFG5b0oW2DB~HIRmbD1R8lhpYijCBWH1OHSj00MpfTBg__&amp;Key-Pair-Id=APKAJLOHF5GGSLRBV4ZA</w:t>
        </w:r>
      </w:hyperlink>
      <w:r w:rsidRPr="003D0E5B">
        <w:rPr>
          <w:rFonts w:ascii="Arial" w:eastAsia="Times New Roman" w:hAnsi="Arial" w:cs="Arial"/>
          <w:color w:val="222222"/>
          <w:sz w:val="24"/>
          <w:szCs w:val="24"/>
          <w:highlight w:val="white"/>
        </w:rPr>
        <w:t xml:space="preserve"> </w:t>
      </w:r>
    </w:p>
    <w:p w14:paraId="12FEEFBF" w14:textId="77777777" w:rsidR="003D0E5B" w:rsidRPr="003D0E5B" w:rsidRDefault="003D0E5B" w:rsidP="005077DD">
      <w:pPr>
        <w:spacing w:line="360" w:lineRule="auto"/>
        <w:rPr>
          <w:rFonts w:ascii="Arial" w:eastAsia="Times New Roman" w:hAnsi="Arial" w:cs="Arial"/>
          <w:color w:val="222222"/>
          <w:sz w:val="24"/>
          <w:szCs w:val="24"/>
          <w:highlight w:val="white"/>
        </w:rPr>
      </w:pPr>
      <w:proofErr w:type="spellStart"/>
      <w:r w:rsidRPr="003D0E5B">
        <w:rPr>
          <w:rFonts w:ascii="Arial" w:eastAsia="Times New Roman" w:hAnsi="Arial" w:cs="Arial"/>
          <w:color w:val="222222"/>
          <w:sz w:val="24"/>
          <w:szCs w:val="24"/>
          <w:highlight w:val="white"/>
        </w:rPr>
        <w:t>Orangehrm</w:t>
      </w:r>
      <w:proofErr w:type="spellEnd"/>
      <w:r w:rsidRPr="003D0E5B">
        <w:rPr>
          <w:rFonts w:ascii="Arial" w:eastAsia="Times New Roman" w:hAnsi="Arial" w:cs="Arial"/>
          <w:color w:val="222222"/>
          <w:sz w:val="24"/>
          <w:szCs w:val="24"/>
          <w:highlight w:val="white"/>
        </w:rPr>
        <w:t xml:space="preserve">, (2024) </w:t>
      </w:r>
      <w:r w:rsidRPr="003D0E5B">
        <w:rPr>
          <w:rFonts w:ascii="Arial" w:eastAsia="Times New Roman" w:hAnsi="Arial" w:cs="Arial"/>
          <w:i/>
          <w:iCs/>
          <w:color w:val="222222"/>
          <w:sz w:val="24"/>
          <w:szCs w:val="24"/>
          <w:highlight w:val="white"/>
        </w:rPr>
        <w:t>Job description importance: ORANGEHRM blog</w:t>
      </w:r>
      <w:r w:rsidRPr="003D0E5B">
        <w:rPr>
          <w:rFonts w:ascii="Arial" w:eastAsia="Times New Roman" w:hAnsi="Arial" w:cs="Arial"/>
          <w:color w:val="222222"/>
          <w:sz w:val="24"/>
          <w:szCs w:val="24"/>
          <w:highlight w:val="white"/>
        </w:rPr>
        <w:t xml:space="preserve">, </w:t>
      </w:r>
      <w:proofErr w:type="spellStart"/>
      <w:r w:rsidRPr="003D0E5B">
        <w:rPr>
          <w:rFonts w:ascii="Arial" w:eastAsia="Times New Roman" w:hAnsi="Arial" w:cs="Arial"/>
          <w:i/>
          <w:iCs/>
          <w:color w:val="222222"/>
          <w:sz w:val="24"/>
          <w:szCs w:val="24"/>
          <w:highlight w:val="white"/>
        </w:rPr>
        <w:t>OrangeHRM</w:t>
      </w:r>
      <w:proofErr w:type="spellEnd"/>
      <w:r w:rsidRPr="003D0E5B">
        <w:rPr>
          <w:rFonts w:ascii="Arial" w:eastAsia="Times New Roman" w:hAnsi="Arial" w:cs="Arial"/>
          <w:color w:val="222222"/>
          <w:sz w:val="24"/>
          <w:szCs w:val="24"/>
          <w:highlight w:val="white"/>
        </w:rPr>
        <w:t xml:space="preserve">. Available at: https://orangehrm.com/en/resources/blog/why-a-clear-job-description-is-important#:~:text=A%20job%20description%20is%20a,workforce%20analysis%20and%20employee%20management. (Accessed: 13 March 2026). </w:t>
      </w:r>
    </w:p>
    <w:p w14:paraId="59403D64" w14:textId="77777777" w:rsidR="003D0E5B" w:rsidRPr="003D0E5B" w:rsidRDefault="003D0E5B" w:rsidP="005077DD">
      <w:pPr>
        <w:spacing w:line="360" w:lineRule="auto"/>
        <w:rPr>
          <w:rFonts w:ascii="Arial" w:eastAsia="Times New Roman" w:hAnsi="Arial" w:cs="Arial"/>
          <w:color w:val="222222"/>
          <w:sz w:val="24"/>
          <w:szCs w:val="24"/>
          <w:highlight w:val="white"/>
        </w:rPr>
      </w:pPr>
      <w:r w:rsidRPr="003D0E5B">
        <w:rPr>
          <w:rFonts w:ascii="Arial" w:eastAsia="Times New Roman" w:hAnsi="Arial" w:cs="Arial"/>
          <w:color w:val="222222"/>
          <w:sz w:val="24"/>
          <w:szCs w:val="24"/>
          <w:highlight w:val="white"/>
        </w:rPr>
        <w:t xml:space="preserve">Schmidt, J.M., Porter, J.T., Rivera-Amill, V. and Appleyard, C.B., (2023). Promoting crucial team building, collaboration, and communication skills in graduate students through interactive retreats. </w:t>
      </w:r>
      <w:r w:rsidRPr="003D0E5B">
        <w:rPr>
          <w:rFonts w:ascii="Arial" w:eastAsia="Times New Roman" w:hAnsi="Arial" w:cs="Arial"/>
          <w:i/>
          <w:iCs/>
          <w:color w:val="222222"/>
          <w:sz w:val="24"/>
          <w:szCs w:val="24"/>
          <w:highlight w:val="white"/>
        </w:rPr>
        <w:t>Advances in Physiology Education</w:t>
      </w:r>
      <w:r w:rsidRPr="003D0E5B">
        <w:rPr>
          <w:rFonts w:ascii="Arial" w:eastAsia="Times New Roman" w:hAnsi="Arial" w:cs="Arial"/>
          <w:color w:val="222222"/>
          <w:sz w:val="24"/>
          <w:szCs w:val="24"/>
          <w:highlight w:val="white"/>
        </w:rPr>
        <w:t xml:space="preserve">. </w:t>
      </w:r>
      <w:hyperlink r:id="rId19">
        <w:r w:rsidRPr="003D0E5B">
          <w:rPr>
            <w:rFonts w:ascii="Arial" w:eastAsia="Times New Roman" w:hAnsi="Arial" w:cs="Arial"/>
            <w:color w:val="1155CC"/>
            <w:sz w:val="24"/>
            <w:szCs w:val="24"/>
            <w:highlight w:val="white"/>
            <w:u w:val="single"/>
          </w:rPr>
          <w:t>https://www.researchgate.net/publication/352649868_Promoting_Team_Building_Collaboration_and_Communication_Skills_in_Graduate_Students_through_Interactive_Scientific_Retreats</w:t>
        </w:r>
      </w:hyperlink>
      <w:r w:rsidRPr="003D0E5B">
        <w:rPr>
          <w:rFonts w:ascii="Arial" w:eastAsia="Times New Roman" w:hAnsi="Arial" w:cs="Arial"/>
          <w:color w:val="222222"/>
          <w:sz w:val="24"/>
          <w:szCs w:val="24"/>
          <w:highlight w:val="white"/>
        </w:rPr>
        <w:t xml:space="preserve"> </w:t>
      </w:r>
    </w:p>
    <w:p w14:paraId="107FF85A" w14:textId="77777777" w:rsidR="003D0E5B" w:rsidRPr="003D0E5B" w:rsidRDefault="003D0E5B" w:rsidP="005077DD">
      <w:pPr>
        <w:spacing w:line="360" w:lineRule="auto"/>
        <w:rPr>
          <w:rFonts w:ascii="Arial" w:eastAsia="Times New Roman" w:hAnsi="Arial" w:cs="Arial"/>
          <w:color w:val="222222"/>
          <w:sz w:val="24"/>
          <w:szCs w:val="24"/>
          <w:highlight w:val="white"/>
        </w:rPr>
      </w:pPr>
      <w:r w:rsidRPr="003D0E5B">
        <w:rPr>
          <w:rFonts w:ascii="Arial" w:eastAsia="Times New Roman" w:hAnsi="Arial" w:cs="Arial"/>
          <w:color w:val="222222"/>
          <w:sz w:val="24"/>
          <w:szCs w:val="24"/>
          <w:highlight w:val="white"/>
        </w:rPr>
        <w:t xml:space="preserve">Theurer, C.P., Tumasjan, A., </w:t>
      </w:r>
      <w:proofErr w:type="spellStart"/>
      <w:r w:rsidRPr="003D0E5B">
        <w:rPr>
          <w:rFonts w:ascii="Arial" w:eastAsia="Times New Roman" w:hAnsi="Arial" w:cs="Arial"/>
          <w:color w:val="222222"/>
          <w:sz w:val="24"/>
          <w:szCs w:val="24"/>
          <w:highlight w:val="white"/>
        </w:rPr>
        <w:t>Welpe</w:t>
      </w:r>
      <w:proofErr w:type="spellEnd"/>
      <w:r w:rsidRPr="003D0E5B">
        <w:rPr>
          <w:rFonts w:ascii="Arial" w:eastAsia="Times New Roman" w:hAnsi="Arial" w:cs="Arial"/>
          <w:color w:val="222222"/>
          <w:sz w:val="24"/>
          <w:szCs w:val="24"/>
          <w:highlight w:val="white"/>
        </w:rPr>
        <w:t>, I.M. and Lievens, F., (2018). Employer branding: a brand equity</w:t>
      </w:r>
      <w:r w:rsidRPr="003D0E5B">
        <w:rPr>
          <w:rFonts w:ascii="Cambria Math" w:eastAsia="Times New Roman" w:hAnsi="Cambria Math" w:cs="Cambria Math"/>
          <w:color w:val="222222"/>
          <w:sz w:val="24"/>
          <w:szCs w:val="24"/>
          <w:highlight w:val="white"/>
        </w:rPr>
        <w:t>‐</w:t>
      </w:r>
      <w:r w:rsidRPr="003D0E5B">
        <w:rPr>
          <w:rFonts w:ascii="Arial" w:eastAsia="Times New Roman" w:hAnsi="Arial" w:cs="Arial"/>
          <w:color w:val="222222"/>
          <w:sz w:val="24"/>
          <w:szCs w:val="24"/>
          <w:highlight w:val="white"/>
        </w:rPr>
        <w:t xml:space="preserve">based literature review and research agenda. </w:t>
      </w:r>
      <w:r w:rsidRPr="003D0E5B">
        <w:rPr>
          <w:rFonts w:ascii="Arial" w:eastAsia="Times New Roman" w:hAnsi="Arial" w:cs="Arial"/>
          <w:i/>
          <w:iCs/>
          <w:color w:val="222222"/>
          <w:sz w:val="24"/>
          <w:szCs w:val="24"/>
          <w:highlight w:val="white"/>
        </w:rPr>
        <w:t>International Journal of Management Reviews</w:t>
      </w:r>
      <w:r w:rsidRPr="003D0E5B">
        <w:rPr>
          <w:rFonts w:ascii="Arial" w:eastAsia="Times New Roman" w:hAnsi="Arial" w:cs="Arial"/>
          <w:color w:val="222222"/>
          <w:sz w:val="24"/>
          <w:szCs w:val="24"/>
          <w:highlight w:val="white"/>
        </w:rPr>
        <w:t xml:space="preserve">, </w:t>
      </w:r>
      <w:r w:rsidRPr="003D0E5B">
        <w:rPr>
          <w:rFonts w:ascii="Arial" w:eastAsia="Times New Roman" w:hAnsi="Arial" w:cs="Arial"/>
          <w:i/>
          <w:iCs/>
          <w:color w:val="222222"/>
          <w:sz w:val="24"/>
          <w:szCs w:val="24"/>
          <w:highlight w:val="white"/>
        </w:rPr>
        <w:t>20</w:t>
      </w:r>
      <w:r w:rsidRPr="003D0E5B">
        <w:rPr>
          <w:rFonts w:ascii="Arial" w:eastAsia="Times New Roman" w:hAnsi="Arial" w:cs="Arial"/>
          <w:color w:val="222222"/>
          <w:sz w:val="24"/>
          <w:szCs w:val="24"/>
          <w:highlight w:val="white"/>
        </w:rPr>
        <w:t xml:space="preserve">(1), pp.155-179. </w:t>
      </w:r>
      <w:hyperlink r:id="rId20">
        <w:r w:rsidRPr="003D0E5B">
          <w:rPr>
            <w:rFonts w:ascii="Arial" w:eastAsia="Times New Roman" w:hAnsi="Arial" w:cs="Arial"/>
            <w:color w:val="1155CC"/>
            <w:sz w:val="24"/>
            <w:szCs w:val="24"/>
            <w:highlight w:val="white"/>
            <w:u w:val="single"/>
          </w:rPr>
          <w:t>https://ink.library.smu.edu.sg/cgi/viewcontent.cgi?article=6773&amp;context=lkcsb_research</w:t>
        </w:r>
      </w:hyperlink>
      <w:r w:rsidRPr="003D0E5B">
        <w:rPr>
          <w:rFonts w:ascii="Arial" w:eastAsia="Times New Roman" w:hAnsi="Arial" w:cs="Arial"/>
          <w:color w:val="222222"/>
          <w:sz w:val="24"/>
          <w:szCs w:val="24"/>
          <w:highlight w:val="white"/>
        </w:rPr>
        <w:t xml:space="preserve"> </w:t>
      </w:r>
    </w:p>
    <w:p w14:paraId="18675210" w14:textId="77777777" w:rsidR="003D0E5B" w:rsidRPr="003D0E5B" w:rsidRDefault="003D0E5B" w:rsidP="005077DD">
      <w:pPr>
        <w:spacing w:line="360" w:lineRule="auto"/>
        <w:rPr>
          <w:rFonts w:ascii="Arial" w:eastAsia="Times New Roman" w:hAnsi="Arial" w:cs="Arial"/>
          <w:color w:val="222222"/>
          <w:sz w:val="24"/>
          <w:szCs w:val="24"/>
          <w:highlight w:val="white"/>
        </w:rPr>
      </w:pPr>
      <w:proofErr w:type="spellStart"/>
      <w:r w:rsidRPr="003D0E5B">
        <w:rPr>
          <w:rFonts w:ascii="Arial" w:eastAsia="Times New Roman" w:hAnsi="Arial" w:cs="Arial"/>
          <w:color w:val="222222"/>
          <w:sz w:val="24"/>
          <w:szCs w:val="24"/>
          <w:highlight w:val="white"/>
        </w:rPr>
        <w:lastRenderedPageBreak/>
        <w:t>Upgrad</w:t>
      </w:r>
      <w:proofErr w:type="spellEnd"/>
      <w:r w:rsidRPr="003D0E5B">
        <w:rPr>
          <w:rFonts w:ascii="Arial" w:eastAsia="Times New Roman" w:hAnsi="Arial" w:cs="Arial"/>
          <w:color w:val="222222"/>
          <w:sz w:val="24"/>
          <w:szCs w:val="24"/>
          <w:highlight w:val="white"/>
        </w:rPr>
        <w:t xml:space="preserve">, (2025) </w:t>
      </w:r>
      <w:r w:rsidRPr="003D0E5B">
        <w:rPr>
          <w:rFonts w:ascii="Arial" w:eastAsia="Times New Roman" w:hAnsi="Arial" w:cs="Arial"/>
          <w:i/>
          <w:iCs/>
          <w:color w:val="222222"/>
          <w:sz w:val="24"/>
          <w:szCs w:val="24"/>
          <w:highlight w:val="white"/>
        </w:rPr>
        <w:t>Job Analysis in HRM: Process, tools and Techniques</w:t>
      </w:r>
      <w:r w:rsidRPr="003D0E5B">
        <w:rPr>
          <w:rFonts w:ascii="Arial" w:eastAsia="Times New Roman" w:hAnsi="Arial" w:cs="Arial"/>
          <w:color w:val="222222"/>
          <w:sz w:val="24"/>
          <w:szCs w:val="24"/>
          <w:highlight w:val="white"/>
        </w:rPr>
        <w:t xml:space="preserve">, </w:t>
      </w:r>
      <w:proofErr w:type="spellStart"/>
      <w:r w:rsidRPr="003D0E5B">
        <w:rPr>
          <w:rFonts w:ascii="Arial" w:eastAsia="Times New Roman" w:hAnsi="Arial" w:cs="Arial"/>
          <w:i/>
          <w:iCs/>
          <w:color w:val="222222"/>
          <w:sz w:val="24"/>
          <w:szCs w:val="24"/>
          <w:highlight w:val="white"/>
        </w:rPr>
        <w:t>upGrad</w:t>
      </w:r>
      <w:proofErr w:type="spellEnd"/>
      <w:r w:rsidRPr="003D0E5B">
        <w:rPr>
          <w:rFonts w:ascii="Arial" w:eastAsia="Times New Roman" w:hAnsi="Arial" w:cs="Arial"/>
          <w:i/>
          <w:iCs/>
          <w:color w:val="222222"/>
          <w:sz w:val="24"/>
          <w:szCs w:val="24"/>
          <w:highlight w:val="white"/>
        </w:rPr>
        <w:t xml:space="preserve"> blog</w:t>
      </w:r>
      <w:r w:rsidRPr="003D0E5B">
        <w:rPr>
          <w:rFonts w:ascii="Arial" w:eastAsia="Times New Roman" w:hAnsi="Arial" w:cs="Arial"/>
          <w:color w:val="222222"/>
          <w:sz w:val="24"/>
          <w:szCs w:val="24"/>
          <w:highlight w:val="white"/>
        </w:rPr>
        <w:t xml:space="preserve">. Available at: https://www.upgrad.com/blog/job-analysis-in-hrm/ (Accessed: 13 March 2026). </w:t>
      </w:r>
    </w:p>
    <w:p w14:paraId="4EC40096" w14:textId="77777777" w:rsidR="003D0E5B" w:rsidRPr="003D0E5B" w:rsidRDefault="003D0E5B" w:rsidP="005077DD">
      <w:pPr>
        <w:spacing w:line="360" w:lineRule="auto"/>
        <w:rPr>
          <w:rFonts w:ascii="Arial" w:eastAsia="Times New Roman" w:hAnsi="Arial" w:cs="Arial"/>
          <w:color w:val="222222"/>
          <w:sz w:val="24"/>
          <w:szCs w:val="24"/>
          <w:highlight w:val="white"/>
        </w:rPr>
      </w:pPr>
      <w:proofErr w:type="spellStart"/>
      <w:r w:rsidRPr="003D0E5B">
        <w:rPr>
          <w:rFonts w:ascii="Arial" w:eastAsia="Times New Roman" w:hAnsi="Arial" w:cs="Arial"/>
          <w:color w:val="222222"/>
          <w:sz w:val="24"/>
          <w:szCs w:val="24"/>
          <w:highlight w:val="white"/>
        </w:rPr>
        <w:t>Valaei</w:t>
      </w:r>
      <w:proofErr w:type="spellEnd"/>
      <w:r w:rsidRPr="003D0E5B">
        <w:rPr>
          <w:rFonts w:ascii="Arial" w:eastAsia="Times New Roman" w:hAnsi="Arial" w:cs="Arial"/>
          <w:color w:val="222222"/>
          <w:sz w:val="24"/>
          <w:szCs w:val="24"/>
          <w:highlight w:val="white"/>
        </w:rPr>
        <w:t xml:space="preserve">, N., Rezaei, S., </w:t>
      </w:r>
      <w:proofErr w:type="spellStart"/>
      <w:r w:rsidRPr="003D0E5B">
        <w:rPr>
          <w:rFonts w:ascii="Arial" w:eastAsia="Times New Roman" w:hAnsi="Arial" w:cs="Arial"/>
          <w:color w:val="222222"/>
          <w:sz w:val="24"/>
          <w:szCs w:val="24"/>
          <w:highlight w:val="white"/>
        </w:rPr>
        <w:t>Bressolles</w:t>
      </w:r>
      <w:proofErr w:type="spellEnd"/>
      <w:r w:rsidRPr="003D0E5B">
        <w:rPr>
          <w:rFonts w:ascii="Arial" w:eastAsia="Times New Roman" w:hAnsi="Arial" w:cs="Arial"/>
          <w:color w:val="222222"/>
          <w:sz w:val="24"/>
          <w:szCs w:val="24"/>
          <w:highlight w:val="white"/>
        </w:rPr>
        <w:t xml:space="preserve">, G. and Dent, M.M., (2022). Indispensable components of creativity, innovation, and FMCG companies' competitive performance: a resource-based view (RBV) of the firm. </w:t>
      </w:r>
      <w:r w:rsidRPr="003D0E5B">
        <w:rPr>
          <w:rFonts w:ascii="Arial" w:eastAsia="Times New Roman" w:hAnsi="Arial" w:cs="Arial"/>
          <w:i/>
          <w:iCs/>
          <w:color w:val="222222"/>
          <w:sz w:val="24"/>
          <w:szCs w:val="24"/>
          <w:highlight w:val="white"/>
        </w:rPr>
        <w:t>Asia-Pacific Journal of Business Administration</w:t>
      </w:r>
      <w:r w:rsidRPr="003D0E5B">
        <w:rPr>
          <w:rFonts w:ascii="Arial" w:eastAsia="Times New Roman" w:hAnsi="Arial" w:cs="Arial"/>
          <w:color w:val="222222"/>
          <w:sz w:val="24"/>
          <w:szCs w:val="24"/>
          <w:highlight w:val="white"/>
        </w:rPr>
        <w:t xml:space="preserve">, </w:t>
      </w:r>
      <w:r w:rsidRPr="003D0E5B">
        <w:rPr>
          <w:rFonts w:ascii="Arial" w:eastAsia="Times New Roman" w:hAnsi="Arial" w:cs="Arial"/>
          <w:i/>
          <w:iCs/>
          <w:color w:val="222222"/>
          <w:sz w:val="24"/>
          <w:szCs w:val="24"/>
          <w:highlight w:val="white"/>
        </w:rPr>
        <w:t>14</w:t>
      </w:r>
      <w:r w:rsidRPr="003D0E5B">
        <w:rPr>
          <w:rFonts w:ascii="Arial" w:eastAsia="Times New Roman" w:hAnsi="Arial" w:cs="Arial"/>
          <w:color w:val="222222"/>
          <w:sz w:val="24"/>
          <w:szCs w:val="24"/>
          <w:highlight w:val="white"/>
        </w:rPr>
        <w:t>(1), pp.1-26.</w:t>
      </w:r>
      <w:hyperlink r:id="rId21">
        <w:r w:rsidRPr="003D0E5B">
          <w:rPr>
            <w:rFonts w:ascii="Arial" w:eastAsia="Times New Roman" w:hAnsi="Arial" w:cs="Arial"/>
            <w:color w:val="1155CC"/>
            <w:sz w:val="24"/>
            <w:szCs w:val="24"/>
            <w:highlight w:val="white"/>
            <w:u w:val="single"/>
          </w:rPr>
          <w:t>https://www.emerald.com/apjba/article-abstract/14/1/1/39196/Indispensable-components-of-creativity-innovation?redirectedFrom=fulltext</w:t>
        </w:r>
      </w:hyperlink>
    </w:p>
    <w:p w14:paraId="49F97413" w14:textId="77777777" w:rsidR="003D0E5B" w:rsidRPr="00A844D3" w:rsidRDefault="003D0E5B" w:rsidP="005077DD">
      <w:pPr>
        <w:spacing w:after="0" w:line="360" w:lineRule="auto"/>
        <w:rPr>
          <w:rFonts w:ascii="Arial" w:eastAsia="Times New Roman" w:hAnsi="Arial" w:cs="Arial"/>
          <w:kern w:val="0"/>
          <w:sz w:val="24"/>
          <w:szCs w:val="24"/>
          <w:lang w:eastAsia="en-GB"/>
          <w14:ligatures w14:val="none"/>
        </w:rPr>
      </w:pPr>
    </w:p>
    <w:p w14:paraId="6D3D5338" w14:textId="77777777" w:rsidR="00484876" w:rsidRPr="003D0E5B" w:rsidRDefault="00484876" w:rsidP="005077DD">
      <w:pPr>
        <w:spacing w:line="360" w:lineRule="auto"/>
        <w:rPr>
          <w:rFonts w:ascii="Arial" w:hAnsi="Arial" w:cs="Arial"/>
          <w:sz w:val="24"/>
          <w:szCs w:val="24"/>
          <w:lang w:val="en-US"/>
        </w:rPr>
      </w:pPr>
    </w:p>
    <w:sectPr w:rsidR="00484876" w:rsidRPr="003D0E5B">
      <w:headerReference w:type="even" r:id="rId22"/>
      <w:headerReference w:type="default" r:id="rId23"/>
      <w:footerReference w:type="even" r:id="rId24"/>
      <w:footerReference w:type="default" r:id="rId25"/>
      <w:headerReference w:type="first" r:id="rId26"/>
      <w:footerReference w:type="firs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6470649" w14:textId="77777777" w:rsidR="003832BC" w:rsidRDefault="003832BC" w:rsidP="00847E4D">
      <w:pPr>
        <w:spacing w:after="0" w:line="240" w:lineRule="auto"/>
      </w:pPr>
      <w:r>
        <w:separator/>
      </w:r>
    </w:p>
  </w:endnote>
  <w:endnote w:type="continuationSeparator" w:id="0">
    <w:p w14:paraId="01517A15" w14:textId="77777777" w:rsidR="003832BC" w:rsidRDefault="003832BC" w:rsidP="00847E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109609" w14:textId="77777777" w:rsidR="00847E4D" w:rsidRDefault="00847E4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72847992"/>
      <w:docPartObj>
        <w:docPartGallery w:val="Page Numbers (Bottom of Page)"/>
        <w:docPartUnique/>
      </w:docPartObj>
    </w:sdtPr>
    <w:sdtEndPr>
      <w:rPr>
        <w:noProof/>
      </w:rPr>
    </w:sdtEndPr>
    <w:sdtContent>
      <w:p w14:paraId="2754072F" w14:textId="358AF4D9" w:rsidR="00847E4D" w:rsidRDefault="00847E4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1B4DAAB" w14:textId="77777777" w:rsidR="00847E4D" w:rsidRDefault="00847E4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213A955" w14:textId="77777777" w:rsidR="00847E4D" w:rsidRDefault="00847E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AD4E32" w14:textId="77777777" w:rsidR="003832BC" w:rsidRDefault="003832BC" w:rsidP="00847E4D">
      <w:pPr>
        <w:spacing w:after="0" w:line="240" w:lineRule="auto"/>
      </w:pPr>
      <w:r>
        <w:separator/>
      </w:r>
    </w:p>
  </w:footnote>
  <w:footnote w:type="continuationSeparator" w:id="0">
    <w:p w14:paraId="30F8FE47" w14:textId="77777777" w:rsidR="003832BC" w:rsidRDefault="003832BC" w:rsidP="00847E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D49096" w14:textId="77777777" w:rsidR="00847E4D" w:rsidRDefault="00847E4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513A68" w14:textId="77777777" w:rsidR="00847E4D" w:rsidRDefault="00847E4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6B8818E" w14:textId="77777777" w:rsidR="00847E4D" w:rsidRDefault="00847E4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1E6790"/>
    <w:multiLevelType w:val="multilevel"/>
    <w:tmpl w:val="9B1E77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71F16BD4"/>
    <w:multiLevelType w:val="multilevel"/>
    <w:tmpl w:val="DB4463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40343114">
    <w:abstractNumId w:val="1"/>
  </w:num>
  <w:num w:numId="2" w16cid:durableId="9552592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5D35"/>
    <w:rsid w:val="001E112F"/>
    <w:rsid w:val="001E7CB6"/>
    <w:rsid w:val="0027711A"/>
    <w:rsid w:val="003405FC"/>
    <w:rsid w:val="00352084"/>
    <w:rsid w:val="003832BC"/>
    <w:rsid w:val="003C4617"/>
    <w:rsid w:val="003D0E5B"/>
    <w:rsid w:val="00484876"/>
    <w:rsid w:val="004B7EF8"/>
    <w:rsid w:val="005077DD"/>
    <w:rsid w:val="00562B7F"/>
    <w:rsid w:val="005E700A"/>
    <w:rsid w:val="00720175"/>
    <w:rsid w:val="00730F3D"/>
    <w:rsid w:val="00847E4D"/>
    <w:rsid w:val="00A42C75"/>
    <w:rsid w:val="00A51C31"/>
    <w:rsid w:val="00A844D3"/>
    <w:rsid w:val="00AA4A7D"/>
    <w:rsid w:val="00B74504"/>
    <w:rsid w:val="00B77050"/>
    <w:rsid w:val="00C65D35"/>
    <w:rsid w:val="00EC5B12"/>
    <w:rsid w:val="00F014B9"/>
    <w:rsid w:val="00F722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C45194"/>
  <w15:chartTrackingRefBased/>
  <w15:docId w15:val="{4F5AC336-816B-4059-A66F-0E88CDCDFA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65D35"/>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C65D35"/>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C65D35"/>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C65D3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C65D3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C65D3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65D3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65D3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65D3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65D35"/>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C65D35"/>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C65D35"/>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C65D35"/>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C65D3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C65D3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65D3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65D3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65D35"/>
    <w:rPr>
      <w:rFonts w:eastAsiaTheme="majorEastAsia" w:cstheme="majorBidi"/>
      <w:color w:val="272727" w:themeColor="text1" w:themeTint="D8"/>
    </w:rPr>
  </w:style>
  <w:style w:type="paragraph" w:styleId="Title">
    <w:name w:val="Title"/>
    <w:basedOn w:val="Normal"/>
    <w:next w:val="Normal"/>
    <w:link w:val="TitleChar"/>
    <w:uiPriority w:val="10"/>
    <w:qFormat/>
    <w:rsid w:val="00C65D3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65D3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65D3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65D3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65D35"/>
    <w:pPr>
      <w:spacing w:before="160"/>
      <w:jc w:val="center"/>
    </w:pPr>
    <w:rPr>
      <w:i/>
      <w:iCs/>
      <w:color w:val="404040" w:themeColor="text1" w:themeTint="BF"/>
    </w:rPr>
  </w:style>
  <w:style w:type="character" w:customStyle="1" w:styleId="QuoteChar">
    <w:name w:val="Quote Char"/>
    <w:basedOn w:val="DefaultParagraphFont"/>
    <w:link w:val="Quote"/>
    <w:uiPriority w:val="29"/>
    <w:rsid w:val="00C65D35"/>
    <w:rPr>
      <w:i/>
      <w:iCs/>
      <w:color w:val="404040" w:themeColor="text1" w:themeTint="BF"/>
    </w:rPr>
  </w:style>
  <w:style w:type="paragraph" w:styleId="ListParagraph">
    <w:name w:val="List Paragraph"/>
    <w:basedOn w:val="Normal"/>
    <w:uiPriority w:val="34"/>
    <w:qFormat/>
    <w:rsid w:val="00C65D35"/>
    <w:pPr>
      <w:ind w:left="720"/>
      <w:contextualSpacing/>
    </w:pPr>
  </w:style>
  <w:style w:type="character" w:styleId="IntenseEmphasis">
    <w:name w:val="Intense Emphasis"/>
    <w:basedOn w:val="DefaultParagraphFont"/>
    <w:uiPriority w:val="21"/>
    <w:qFormat/>
    <w:rsid w:val="00C65D35"/>
    <w:rPr>
      <w:i/>
      <w:iCs/>
      <w:color w:val="2F5496" w:themeColor="accent1" w:themeShade="BF"/>
    </w:rPr>
  </w:style>
  <w:style w:type="paragraph" w:styleId="IntenseQuote">
    <w:name w:val="Intense Quote"/>
    <w:basedOn w:val="Normal"/>
    <w:next w:val="Normal"/>
    <w:link w:val="IntenseQuoteChar"/>
    <w:uiPriority w:val="30"/>
    <w:qFormat/>
    <w:rsid w:val="00C65D3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65D35"/>
    <w:rPr>
      <w:i/>
      <w:iCs/>
      <w:color w:val="2F5496" w:themeColor="accent1" w:themeShade="BF"/>
    </w:rPr>
  </w:style>
  <w:style w:type="character" w:styleId="IntenseReference">
    <w:name w:val="Intense Reference"/>
    <w:basedOn w:val="DefaultParagraphFont"/>
    <w:uiPriority w:val="32"/>
    <w:qFormat/>
    <w:rsid w:val="00C65D35"/>
    <w:rPr>
      <w:b/>
      <w:bCs/>
      <w:smallCaps/>
      <w:color w:val="2F5496" w:themeColor="accent1" w:themeShade="BF"/>
      <w:spacing w:val="5"/>
    </w:rPr>
  </w:style>
  <w:style w:type="paragraph" w:styleId="Header">
    <w:name w:val="header"/>
    <w:basedOn w:val="Normal"/>
    <w:link w:val="HeaderChar"/>
    <w:uiPriority w:val="99"/>
    <w:unhideWhenUsed/>
    <w:rsid w:val="00847E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7E4D"/>
  </w:style>
  <w:style w:type="paragraph" w:styleId="Footer">
    <w:name w:val="footer"/>
    <w:basedOn w:val="Normal"/>
    <w:link w:val="FooterChar"/>
    <w:uiPriority w:val="99"/>
    <w:unhideWhenUsed/>
    <w:rsid w:val="00847E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7E4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researchgate.net/publication/275240609_Innovation_and_firm_performance_the_role_of_human_resource_management_practices" TargetMode="External"/><Relationship Id="rId18" Type="http://schemas.openxmlformats.org/officeDocument/2006/relationships/hyperlink" Target="https://d1wqtxts1xzle7.cloudfront.net/116323618/37411-libre.pdf?1719231622=&amp;response-content-disposition=inline%3B+filename%3DE_Recruitment_Practices_Opportunities_an.pdf&amp;Expires=1773398245&amp;Signature=fB19Itr2y4QgATDrFhy1DCExY5ZmLYVk9esfktURzxS8aSe7X8dBca6bKu8acq2sFdaRrjC6zN~zmX25PFwnlX5dMXzmDgWhf2b7XyrG-ePnwyV-EahSl4EUdj9BReU~LSudfBk3HzqbyiV0Kl~VXCjqzR1f4Gsy2i9057~~H59XJ1UX5dIU~h5nSFjsJJzXbf6vSsRJ-YkTd68XfHRHFsrLRIL5ZkKBGVz3OMnCH69ouXJNpWKCudoP6s-J8JSfb3SAf7pQVTF6qvHaaLJGko0IU6v88W7I3I9qqE8SoEjFG5b0oW2DB~HIRmbD1R8lhpYijCBWH1OHSj00MpfTBg__&amp;Key-Pair-Id=APKAJLOHF5GGSLRBV4ZA" TargetMode="External"/><Relationship Id="rId26" Type="http://schemas.openxmlformats.org/officeDocument/2006/relationships/header" Target="header3.xml"/><Relationship Id="rId3" Type="http://schemas.openxmlformats.org/officeDocument/2006/relationships/settings" Target="settings.xml"/><Relationship Id="rId21" Type="http://schemas.openxmlformats.org/officeDocument/2006/relationships/hyperlink" Target="https://www.emerald.com/apjba/article-abstract/14/1/1/39196/Indispensable-components-of-creativity-innovation?redirectedFrom=fulltext" TargetMode="External"/><Relationship Id="rId7" Type="http://schemas.openxmlformats.org/officeDocument/2006/relationships/image" Target="media/image1.png"/><Relationship Id="rId12" Type="http://schemas.openxmlformats.org/officeDocument/2006/relationships/hyperlink" Target="https://www.researchgate.net/publication/320872110_Effects_of_stress_interviews_on_selectionrecruitment_function_of_employment_interviews" TargetMode="External"/><Relationship Id="rId17" Type="http://schemas.openxmlformats.org/officeDocument/2006/relationships/hyperlink" Target="https://savearchive.zbw.eu/bitstream/11159/1509/1/1009600192.pdf" TargetMode="External"/><Relationship Id="rId25" Type="http://schemas.openxmlformats.org/officeDocument/2006/relationships/footer" Target="footer2.xml"/><Relationship Id="rId2" Type="http://schemas.openxmlformats.org/officeDocument/2006/relationships/styles" Target="styles.xml"/><Relationship Id="rId16" Type="http://schemas.openxmlformats.org/officeDocument/2006/relationships/hyperlink" Target="https://www.researchgate.net/publication/379254649_Analysis_of_the_Influence_of_Technical_Expertise_Market_Orientation_Social_Capital_and_Innovation_on_the_Performance_of_Micro_and_Small_Businesses_in_the_Technology_Sector" TargetMode="External"/><Relationship Id="rId20" Type="http://schemas.openxmlformats.org/officeDocument/2006/relationships/hyperlink" Target="https://ink.library.smu.edu.sg/cgi/viewcontent.cgi?article=6773&amp;context=lkcsb_research"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researchgate.net/publication/338692615_Towards_a_responsible_talent_management_model" TargetMode="External"/><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pdfs.semanticscholar.org/d51f/6552fd99f5c973cbbdae81af20eec9635734.pdf" TargetMode="External"/><Relationship Id="rId23" Type="http://schemas.openxmlformats.org/officeDocument/2006/relationships/header" Target="header2.xml"/><Relationship Id="rId28"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hyperlink" Target="https://www.researchgate.net/publication/352649868_Promoting_Team_Building_Collaboration_and_Communication_Skills_in_Graduate_Students_through_Interactive_Scientific_Retreats"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researchgate.net/publication/369874575_Competency-based_Human_Resource_Management_in_the_Public_Service_from_Educational_Perspective" TargetMode="External"/><Relationship Id="rId22" Type="http://schemas.openxmlformats.org/officeDocument/2006/relationships/header" Target="header1.xml"/><Relationship Id="rId27"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TotalTime>
  <Pages>10</Pages>
  <Words>2636</Words>
  <Characters>15030</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Vasile Jitari</dc:creator>
  <cp:keywords/>
  <dc:description/>
  <cp:lastModifiedBy>Vasile Jitari</cp:lastModifiedBy>
  <cp:revision>19</cp:revision>
  <cp:lastPrinted>2026-04-02T07:11:00Z</cp:lastPrinted>
  <dcterms:created xsi:type="dcterms:W3CDTF">2026-04-02T06:52:00Z</dcterms:created>
  <dcterms:modified xsi:type="dcterms:W3CDTF">2026-04-07T15:16:00Z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575c07ea-e1c5-4a6b-8bb5-ad159bb2e508</vt:lpwstr>
  </property>
</Properties>
</file>