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C890F" w14:textId="77777777" w:rsidR="00C75CC8" w:rsidRPr="00476B5C" w:rsidRDefault="00C75CC8" w:rsidP="00C75CC8">
      <w:pPr>
        <w:spacing w:before="120" w:after="120" w:line="240" w:lineRule="auto"/>
        <w:jc w:val="center"/>
        <w:rPr>
          <w:rFonts w:eastAsia="Aptos" w:cs="Arial"/>
          <w:color w:val="000000"/>
        </w:rPr>
      </w:pPr>
      <w:r w:rsidRPr="00476B5C">
        <w:rPr>
          <w:rFonts w:eastAsia="Aptos" w:cs="Arial"/>
          <w:noProof/>
          <w:color w:val="000000"/>
        </w:rPr>
        <w:drawing>
          <wp:inline distT="0" distB="0" distL="0" distR="0" wp14:anchorId="64F820E4" wp14:editId="1E12C1F7">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67C2C9E8" w14:textId="77777777" w:rsidR="00C75CC8" w:rsidRPr="00476B5C" w:rsidRDefault="00C75CC8" w:rsidP="00C75CC8">
      <w:pPr>
        <w:spacing w:before="120" w:after="120" w:line="240" w:lineRule="auto"/>
        <w:rPr>
          <w:rFonts w:eastAsia="Aptos" w:cs="Arial"/>
          <w:color w:val="000000"/>
        </w:rPr>
      </w:pPr>
    </w:p>
    <w:p w14:paraId="36C8B1BB" w14:textId="77777777" w:rsidR="00C75CC8" w:rsidRPr="00476B5C" w:rsidRDefault="00C75CC8" w:rsidP="00C75CC8">
      <w:pPr>
        <w:spacing w:before="120" w:after="120" w:line="240" w:lineRule="auto"/>
        <w:rPr>
          <w:rFonts w:eastAsia="Aptos" w:cs="Arial"/>
          <w:color w:val="000000"/>
        </w:rPr>
      </w:pPr>
    </w:p>
    <w:p w14:paraId="4C5734B7" w14:textId="2D723C06"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Student Name:</w:t>
      </w:r>
      <w:r w:rsidR="00DB6C0F">
        <w:rPr>
          <w:rFonts w:eastAsia="Aptos" w:cs="Arial"/>
          <w:b/>
          <w:bCs/>
          <w:color w:val="000000"/>
        </w:rPr>
        <w:t xml:space="preserve"> Naitiksinh Pareshbhai Parmar</w:t>
      </w:r>
    </w:p>
    <w:p w14:paraId="488E2BE5" w14:textId="77777777" w:rsidR="00C75CC8" w:rsidRPr="00476B5C" w:rsidRDefault="00C75CC8" w:rsidP="00C75CC8">
      <w:pPr>
        <w:spacing w:before="120" w:after="120" w:line="240" w:lineRule="auto"/>
        <w:jc w:val="center"/>
        <w:rPr>
          <w:rFonts w:eastAsia="Aptos" w:cs="Arial"/>
          <w:b/>
          <w:bCs/>
          <w:color w:val="000000"/>
        </w:rPr>
      </w:pPr>
    </w:p>
    <w:p w14:paraId="1136BAC0" w14:textId="47201395"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Student ID:</w:t>
      </w:r>
      <w:r w:rsidR="00DB6C0F">
        <w:rPr>
          <w:rFonts w:eastAsia="Aptos" w:cs="Arial"/>
          <w:b/>
          <w:bCs/>
          <w:color w:val="000000"/>
        </w:rPr>
        <w:t xml:space="preserve"> 2525945</w:t>
      </w:r>
    </w:p>
    <w:p w14:paraId="7BA700F5" w14:textId="77777777" w:rsidR="00C75CC8" w:rsidRPr="00476B5C" w:rsidRDefault="00C75CC8" w:rsidP="00C75CC8">
      <w:pPr>
        <w:spacing w:before="120" w:after="120" w:line="240" w:lineRule="auto"/>
        <w:jc w:val="center"/>
        <w:rPr>
          <w:rFonts w:eastAsia="Aptos" w:cs="Arial"/>
          <w:color w:val="000000"/>
        </w:rPr>
      </w:pPr>
    </w:p>
    <w:p w14:paraId="50DCB376" w14:textId="77777777" w:rsidR="00C75CC8" w:rsidRPr="00476B5C" w:rsidRDefault="00C75CC8" w:rsidP="00C75CC8">
      <w:pPr>
        <w:spacing w:before="120" w:after="120" w:line="240" w:lineRule="auto"/>
        <w:jc w:val="center"/>
        <w:rPr>
          <w:rFonts w:eastAsia="Aptos" w:cs="Arial"/>
          <w:color w:val="000000"/>
        </w:rPr>
      </w:pPr>
    </w:p>
    <w:p w14:paraId="3DDD8478" w14:textId="77777777"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Module Name: International Business Concepts</w:t>
      </w:r>
    </w:p>
    <w:p w14:paraId="762FB7D2" w14:textId="77777777" w:rsidR="00C75CC8" w:rsidRPr="00476B5C" w:rsidRDefault="00C75CC8" w:rsidP="00C75CC8">
      <w:pPr>
        <w:spacing w:before="120" w:after="120" w:line="240" w:lineRule="auto"/>
        <w:jc w:val="center"/>
        <w:rPr>
          <w:rFonts w:eastAsia="Aptos" w:cs="Arial"/>
          <w:b/>
          <w:bCs/>
          <w:color w:val="000000"/>
        </w:rPr>
      </w:pPr>
    </w:p>
    <w:p w14:paraId="1FABF764" w14:textId="77777777"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Module Code: LCMB7034</w:t>
      </w:r>
    </w:p>
    <w:p w14:paraId="233E73CC" w14:textId="77777777" w:rsidR="00C75CC8" w:rsidRPr="00476B5C" w:rsidRDefault="00C75CC8" w:rsidP="00C75CC8">
      <w:pPr>
        <w:spacing w:before="120" w:after="120" w:line="240" w:lineRule="auto"/>
        <w:jc w:val="center"/>
        <w:rPr>
          <w:rFonts w:eastAsia="Aptos" w:cs="Arial"/>
          <w:b/>
          <w:bCs/>
          <w:color w:val="000000"/>
        </w:rPr>
      </w:pPr>
    </w:p>
    <w:p w14:paraId="2DED22FD" w14:textId="77777777" w:rsidR="00C75CC8" w:rsidRPr="00476B5C" w:rsidRDefault="00C75CC8" w:rsidP="00C75CC8">
      <w:pPr>
        <w:spacing w:before="120" w:after="120" w:line="240" w:lineRule="auto"/>
        <w:rPr>
          <w:rFonts w:eastAsia="Aptos" w:cs="Arial"/>
          <w:b/>
          <w:bCs/>
          <w:color w:val="000000"/>
        </w:rPr>
      </w:pPr>
    </w:p>
    <w:p w14:paraId="7D64217E" w14:textId="77777777" w:rsidR="00C75CC8" w:rsidRPr="00476B5C" w:rsidRDefault="00C75CC8" w:rsidP="00C75CC8">
      <w:pPr>
        <w:spacing w:before="120" w:after="120" w:line="240" w:lineRule="auto"/>
        <w:jc w:val="center"/>
        <w:rPr>
          <w:rFonts w:eastAsia="Aptos" w:cs="Arial"/>
          <w:b/>
          <w:bCs/>
          <w:color w:val="000000"/>
        </w:rPr>
      </w:pPr>
    </w:p>
    <w:p w14:paraId="2F675729" w14:textId="01F91312" w:rsidR="00C75CC8" w:rsidRPr="00476B5C" w:rsidRDefault="00C75CC8" w:rsidP="004B4691">
      <w:pPr>
        <w:spacing w:before="120" w:after="120" w:line="240" w:lineRule="auto"/>
        <w:jc w:val="center"/>
        <w:rPr>
          <w:rFonts w:eastAsia="Aptos" w:cs="Arial"/>
          <w:b/>
          <w:bCs/>
          <w:color w:val="000000"/>
        </w:rPr>
      </w:pPr>
      <w:r w:rsidRPr="00476B5C">
        <w:rPr>
          <w:rFonts w:eastAsia="Aptos" w:cs="Arial"/>
          <w:b/>
          <w:bCs/>
          <w:color w:val="000000"/>
        </w:rPr>
        <w:t>Lecturer’s Name:</w:t>
      </w:r>
      <w:r w:rsidRPr="00476B5C">
        <w:t xml:space="preserve"> </w:t>
      </w:r>
      <w:r w:rsidR="00DB6C0F">
        <w:t>Charles oham</w:t>
      </w:r>
    </w:p>
    <w:p w14:paraId="2A877A7D" w14:textId="77777777" w:rsidR="00C75CC8" w:rsidRPr="00476B5C" w:rsidRDefault="00C75CC8" w:rsidP="00C75CC8">
      <w:pPr>
        <w:spacing w:before="120" w:after="120" w:line="240" w:lineRule="auto"/>
        <w:jc w:val="center"/>
        <w:rPr>
          <w:rFonts w:eastAsia="Aptos" w:cs="Arial"/>
          <w:b/>
          <w:bCs/>
          <w:color w:val="000000"/>
        </w:rPr>
      </w:pPr>
    </w:p>
    <w:p w14:paraId="2A72E8E6" w14:textId="77777777" w:rsidR="00C75CC8" w:rsidRPr="00476B5C" w:rsidRDefault="00C75CC8" w:rsidP="00C75CC8">
      <w:pPr>
        <w:spacing w:before="120" w:after="120" w:line="240" w:lineRule="auto"/>
        <w:rPr>
          <w:rFonts w:eastAsia="Aptos" w:cs="Arial"/>
          <w:b/>
          <w:bCs/>
          <w:color w:val="000000"/>
        </w:rPr>
      </w:pPr>
    </w:p>
    <w:p w14:paraId="155D9114" w14:textId="05667FAD"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 xml:space="preserve">Work Count: </w:t>
      </w:r>
      <w:r w:rsidR="005761B1">
        <w:rPr>
          <w:rFonts w:eastAsia="Aptos" w:cs="Arial"/>
          <w:b/>
          <w:bCs/>
          <w:color w:val="000000"/>
        </w:rPr>
        <w:t>5488</w:t>
      </w:r>
    </w:p>
    <w:p w14:paraId="5164A44F" w14:textId="77777777" w:rsidR="00C75CC8" w:rsidRPr="00476B5C" w:rsidRDefault="00C75CC8" w:rsidP="00C75CC8">
      <w:pPr>
        <w:spacing w:before="120" w:after="120"/>
        <w:rPr>
          <w:rFonts w:eastAsia="Aptos" w:cs="Arial"/>
          <w:b/>
          <w:bCs/>
          <w:color w:val="000000"/>
        </w:rPr>
      </w:pPr>
    </w:p>
    <w:p w14:paraId="1D005C11" w14:textId="77777777" w:rsidR="00C75CC8" w:rsidRPr="00476B5C" w:rsidRDefault="00C75CC8" w:rsidP="00C75CC8">
      <w:pPr>
        <w:spacing w:before="120" w:after="120"/>
        <w:jc w:val="center"/>
        <w:rPr>
          <w:rFonts w:eastAsia="Aptos" w:cs="Arial"/>
          <w:b/>
          <w:bCs/>
          <w:color w:val="000000"/>
        </w:rPr>
      </w:pPr>
      <w:r w:rsidRPr="00476B5C">
        <w:rPr>
          <w:rFonts w:eastAsia="Aptos" w:cs="Arial"/>
          <w:b/>
          <w:bCs/>
          <w:color w:val="000000"/>
        </w:rPr>
        <w:t>Term 2</w:t>
      </w:r>
    </w:p>
    <w:p w14:paraId="31D8CB33" w14:textId="77777777" w:rsidR="00C75CC8" w:rsidRPr="00476B5C" w:rsidRDefault="00C75CC8" w:rsidP="00C75CC8"/>
    <w:p w14:paraId="384FADE3" w14:textId="708F042A" w:rsidR="001A52EE" w:rsidRPr="00476B5C" w:rsidRDefault="001A52EE" w:rsidP="00C75CC8"/>
    <w:p w14:paraId="399FB33F" w14:textId="77777777" w:rsidR="001A52EE" w:rsidRPr="00476B5C" w:rsidRDefault="001A52EE">
      <w:pPr>
        <w:spacing w:line="278" w:lineRule="auto"/>
        <w:jc w:val="left"/>
      </w:pPr>
      <w:r w:rsidRPr="00476B5C">
        <w:br w:type="page"/>
      </w:r>
    </w:p>
    <w:p w14:paraId="7AF10A3C" w14:textId="483CB204" w:rsidR="00EB4888" w:rsidRDefault="0076077B">
      <w:pPr>
        <w:rPr>
          <w:b/>
          <w:bCs/>
          <w:sz w:val="28"/>
          <w:szCs w:val="28"/>
        </w:rPr>
      </w:pPr>
      <w:r w:rsidRPr="00476B5C">
        <w:rPr>
          <w:b/>
          <w:bCs/>
          <w:sz w:val="28"/>
          <w:szCs w:val="28"/>
        </w:rPr>
        <w:lastRenderedPageBreak/>
        <w:t>Table of Contents</w:t>
      </w:r>
    </w:p>
    <w:p w14:paraId="21041CAD" w14:textId="007B32E3" w:rsidR="00E5422E" w:rsidRDefault="005761B1">
      <w:pPr>
        <w:pStyle w:val="TOC1"/>
        <w:tabs>
          <w:tab w:val="right" w:leader="dot" w:pos="9350"/>
        </w:tabs>
        <w:rPr>
          <w:rFonts w:asciiTheme="minorHAnsi" w:eastAsiaTheme="minorEastAsia" w:hAnsiTheme="minorHAnsi"/>
          <w:noProof/>
          <w:color w:val="auto"/>
          <w:kern w:val="0"/>
          <w:sz w:val="22"/>
          <w:szCs w:val="22"/>
          <w:lang w:val="en-US" w:bidi="si-LK"/>
          <w14:ligatures w14:val="none"/>
        </w:rPr>
      </w:pPr>
      <w:r>
        <w:rPr>
          <w:b/>
          <w:bCs/>
          <w:sz w:val="28"/>
          <w:szCs w:val="28"/>
        </w:rPr>
        <w:fldChar w:fldCharType="begin"/>
      </w:r>
      <w:r>
        <w:rPr>
          <w:b/>
          <w:bCs/>
          <w:sz w:val="28"/>
          <w:szCs w:val="28"/>
        </w:rPr>
        <w:instrText xml:space="preserve"> TOC \o "1-3" \h \z \u </w:instrText>
      </w:r>
      <w:r>
        <w:rPr>
          <w:b/>
          <w:bCs/>
          <w:sz w:val="28"/>
          <w:szCs w:val="28"/>
        </w:rPr>
        <w:fldChar w:fldCharType="separate"/>
      </w:r>
      <w:hyperlink w:anchor="_Toc237450188" w:history="1">
        <w:r w:rsidR="00E5422E" w:rsidRPr="00BC7829">
          <w:rPr>
            <w:rStyle w:val="Hyperlink"/>
            <w:noProof/>
          </w:rPr>
          <w:t>Section 1: International Market Entry Strategy for Walmart in New Zealand</w:t>
        </w:r>
        <w:r w:rsidR="00E5422E">
          <w:rPr>
            <w:noProof/>
            <w:webHidden/>
          </w:rPr>
          <w:tab/>
        </w:r>
        <w:r w:rsidR="00E5422E">
          <w:rPr>
            <w:noProof/>
            <w:webHidden/>
          </w:rPr>
          <w:fldChar w:fldCharType="begin"/>
        </w:r>
        <w:r w:rsidR="00E5422E">
          <w:rPr>
            <w:noProof/>
            <w:webHidden/>
          </w:rPr>
          <w:instrText xml:space="preserve"> PAGEREF _Toc237450188 \h </w:instrText>
        </w:r>
        <w:r w:rsidR="00E5422E">
          <w:rPr>
            <w:noProof/>
            <w:webHidden/>
          </w:rPr>
        </w:r>
        <w:r w:rsidR="00E5422E">
          <w:rPr>
            <w:noProof/>
            <w:webHidden/>
          </w:rPr>
          <w:fldChar w:fldCharType="separate"/>
        </w:r>
        <w:r w:rsidR="00E5422E">
          <w:rPr>
            <w:noProof/>
            <w:webHidden/>
          </w:rPr>
          <w:t>8</w:t>
        </w:r>
        <w:r w:rsidR="00E5422E">
          <w:rPr>
            <w:noProof/>
            <w:webHidden/>
          </w:rPr>
          <w:fldChar w:fldCharType="end"/>
        </w:r>
      </w:hyperlink>
    </w:p>
    <w:p w14:paraId="35CCE6ED" w14:textId="2FE440A9"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89" w:history="1">
        <w:r w:rsidRPr="00BC7829">
          <w:rPr>
            <w:rStyle w:val="Hyperlink"/>
            <w:noProof/>
          </w:rPr>
          <w:t>1.0 Introduction</w:t>
        </w:r>
        <w:r>
          <w:rPr>
            <w:noProof/>
            <w:webHidden/>
          </w:rPr>
          <w:tab/>
        </w:r>
        <w:r>
          <w:rPr>
            <w:noProof/>
            <w:webHidden/>
          </w:rPr>
          <w:fldChar w:fldCharType="begin"/>
        </w:r>
        <w:r>
          <w:rPr>
            <w:noProof/>
            <w:webHidden/>
          </w:rPr>
          <w:instrText xml:space="preserve"> PAGEREF _Toc237450189 \h </w:instrText>
        </w:r>
        <w:r>
          <w:rPr>
            <w:noProof/>
            <w:webHidden/>
          </w:rPr>
        </w:r>
        <w:r>
          <w:rPr>
            <w:noProof/>
            <w:webHidden/>
          </w:rPr>
          <w:fldChar w:fldCharType="separate"/>
        </w:r>
        <w:r>
          <w:rPr>
            <w:noProof/>
            <w:webHidden/>
          </w:rPr>
          <w:t>8</w:t>
        </w:r>
        <w:r>
          <w:rPr>
            <w:noProof/>
            <w:webHidden/>
          </w:rPr>
          <w:fldChar w:fldCharType="end"/>
        </w:r>
      </w:hyperlink>
    </w:p>
    <w:p w14:paraId="10C3CFEB" w14:textId="2F7C789B"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0" w:history="1">
        <w:r w:rsidRPr="00BC7829">
          <w:rPr>
            <w:rStyle w:val="Hyperlink"/>
            <w:noProof/>
          </w:rPr>
          <w:t>1.1 Background and Strategic Context</w:t>
        </w:r>
        <w:r>
          <w:rPr>
            <w:noProof/>
            <w:webHidden/>
          </w:rPr>
          <w:tab/>
        </w:r>
        <w:r>
          <w:rPr>
            <w:noProof/>
            <w:webHidden/>
          </w:rPr>
          <w:fldChar w:fldCharType="begin"/>
        </w:r>
        <w:r>
          <w:rPr>
            <w:noProof/>
            <w:webHidden/>
          </w:rPr>
          <w:instrText xml:space="preserve"> PAGEREF _Toc237450190 \h </w:instrText>
        </w:r>
        <w:r>
          <w:rPr>
            <w:noProof/>
            <w:webHidden/>
          </w:rPr>
        </w:r>
        <w:r>
          <w:rPr>
            <w:noProof/>
            <w:webHidden/>
          </w:rPr>
          <w:fldChar w:fldCharType="separate"/>
        </w:r>
        <w:r>
          <w:rPr>
            <w:noProof/>
            <w:webHidden/>
          </w:rPr>
          <w:t>8</w:t>
        </w:r>
        <w:r>
          <w:rPr>
            <w:noProof/>
            <w:webHidden/>
          </w:rPr>
          <w:fldChar w:fldCharType="end"/>
        </w:r>
      </w:hyperlink>
    </w:p>
    <w:p w14:paraId="430C183A" w14:textId="73F00F08"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1" w:history="1">
        <w:r w:rsidRPr="00BC7829">
          <w:rPr>
            <w:rStyle w:val="Hyperlink"/>
            <w:noProof/>
          </w:rPr>
          <w:t>1.2 Selection of New Zealand as the Target Market</w:t>
        </w:r>
        <w:r>
          <w:rPr>
            <w:noProof/>
            <w:webHidden/>
          </w:rPr>
          <w:tab/>
        </w:r>
        <w:r>
          <w:rPr>
            <w:noProof/>
            <w:webHidden/>
          </w:rPr>
          <w:fldChar w:fldCharType="begin"/>
        </w:r>
        <w:r>
          <w:rPr>
            <w:noProof/>
            <w:webHidden/>
          </w:rPr>
          <w:instrText xml:space="preserve"> PAGEREF _Toc237450191 \h </w:instrText>
        </w:r>
        <w:r>
          <w:rPr>
            <w:noProof/>
            <w:webHidden/>
          </w:rPr>
        </w:r>
        <w:r>
          <w:rPr>
            <w:noProof/>
            <w:webHidden/>
          </w:rPr>
          <w:fldChar w:fldCharType="separate"/>
        </w:r>
        <w:r>
          <w:rPr>
            <w:noProof/>
            <w:webHidden/>
          </w:rPr>
          <w:t>8</w:t>
        </w:r>
        <w:r>
          <w:rPr>
            <w:noProof/>
            <w:webHidden/>
          </w:rPr>
          <w:fldChar w:fldCharType="end"/>
        </w:r>
      </w:hyperlink>
    </w:p>
    <w:p w14:paraId="420A4934" w14:textId="001A9E4A"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2" w:history="1">
        <w:r w:rsidRPr="00BC7829">
          <w:rPr>
            <w:rStyle w:val="Hyperlink"/>
            <w:noProof/>
          </w:rPr>
          <w:t>1.3 Scope, Evidence Base and Cut-Off Date</w:t>
        </w:r>
        <w:r>
          <w:rPr>
            <w:noProof/>
            <w:webHidden/>
          </w:rPr>
          <w:tab/>
        </w:r>
        <w:r>
          <w:rPr>
            <w:noProof/>
            <w:webHidden/>
          </w:rPr>
          <w:fldChar w:fldCharType="begin"/>
        </w:r>
        <w:r>
          <w:rPr>
            <w:noProof/>
            <w:webHidden/>
          </w:rPr>
          <w:instrText xml:space="preserve"> PAGEREF _Toc237450192 \h </w:instrText>
        </w:r>
        <w:r>
          <w:rPr>
            <w:noProof/>
            <w:webHidden/>
          </w:rPr>
        </w:r>
        <w:r>
          <w:rPr>
            <w:noProof/>
            <w:webHidden/>
          </w:rPr>
          <w:fldChar w:fldCharType="separate"/>
        </w:r>
        <w:r>
          <w:rPr>
            <w:noProof/>
            <w:webHidden/>
          </w:rPr>
          <w:t>9</w:t>
        </w:r>
        <w:r>
          <w:rPr>
            <w:noProof/>
            <w:webHidden/>
          </w:rPr>
          <w:fldChar w:fldCharType="end"/>
        </w:r>
      </w:hyperlink>
    </w:p>
    <w:p w14:paraId="1FA72B75" w14:textId="13834C1D"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3" w:history="1">
        <w:r w:rsidRPr="00BC7829">
          <w:rPr>
            <w:rStyle w:val="Hyperlink"/>
            <w:noProof/>
          </w:rPr>
          <w:t>2.0 Organisational Classification and Global Strategy</w:t>
        </w:r>
        <w:r>
          <w:rPr>
            <w:noProof/>
            <w:webHidden/>
          </w:rPr>
          <w:tab/>
        </w:r>
        <w:r>
          <w:rPr>
            <w:noProof/>
            <w:webHidden/>
          </w:rPr>
          <w:fldChar w:fldCharType="begin"/>
        </w:r>
        <w:r>
          <w:rPr>
            <w:noProof/>
            <w:webHidden/>
          </w:rPr>
          <w:instrText xml:space="preserve"> PAGEREF _Toc237450193 \h </w:instrText>
        </w:r>
        <w:r>
          <w:rPr>
            <w:noProof/>
            <w:webHidden/>
          </w:rPr>
        </w:r>
        <w:r>
          <w:rPr>
            <w:noProof/>
            <w:webHidden/>
          </w:rPr>
          <w:fldChar w:fldCharType="separate"/>
        </w:r>
        <w:r>
          <w:rPr>
            <w:noProof/>
            <w:webHidden/>
          </w:rPr>
          <w:t>9</w:t>
        </w:r>
        <w:r>
          <w:rPr>
            <w:noProof/>
            <w:webHidden/>
          </w:rPr>
          <w:fldChar w:fldCharType="end"/>
        </w:r>
      </w:hyperlink>
    </w:p>
    <w:p w14:paraId="6B3AD9A1" w14:textId="412D397A"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4" w:history="1">
        <w:r w:rsidRPr="00BC7829">
          <w:rPr>
            <w:rStyle w:val="Hyperlink"/>
            <w:noProof/>
          </w:rPr>
          <w:t>2.1 Walmart as a Multinational Corporation</w:t>
        </w:r>
        <w:r>
          <w:rPr>
            <w:noProof/>
            <w:webHidden/>
          </w:rPr>
          <w:tab/>
        </w:r>
        <w:r>
          <w:rPr>
            <w:noProof/>
            <w:webHidden/>
          </w:rPr>
          <w:fldChar w:fldCharType="begin"/>
        </w:r>
        <w:r>
          <w:rPr>
            <w:noProof/>
            <w:webHidden/>
          </w:rPr>
          <w:instrText xml:space="preserve"> PAGEREF _Toc237450194 \h </w:instrText>
        </w:r>
        <w:r>
          <w:rPr>
            <w:noProof/>
            <w:webHidden/>
          </w:rPr>
        </w:r>
        <w:r>
          <w:rPr>
            <w:noProof/>
            <w:webHidden/>
          </w:rPr>
          <w:fldChar w:fldCharType="separate"/>
        </w:r>
        <w:r>
          <w:rPr>
            <w:noProof/>
            <w:webHidden/>
          </w:rPr>
          <w:t>9</w:t>
        </w:r>
        <w:r>
          <w:rPr>
            <w:noProof/>
            <w:webHidden/>
          </w:rPr>
          <w:fldChar w:fldCharType="end"/>
        </w:r>
      </w:hyperlink>
    </w:p>
    <w:p w14:paraId="4BBBE32F" w14:textId="59A9F870"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5" w:history="1">
        <w:r w:rsidRPr="00BC7829">
          <w:rPr>
            <w:rStyle w:val="Hyperlink"/>
            <w:noProof/>
          </w:rPr>
          <w:t>2.2 Classification Using Bartlett and Ghoshal’s Model</w:t>
        </w:r>
        <w:r>
          <w:rPr>
            <w:noProof/>
            <w:webHidden/>
          </w:rPr>
          <w:tab/>
        </w:r>
        <w:r>
          <w:rPr>
            <w:noProof/>
            <w:webHidden/>
          </w:rPr>
          <w:fldChar w:fldCharType="begin"/>
        </w:r>
        <w:r>
          <w:rPr>
            <w:noProof/>
            <w:webHidden/>
          </w:rPr>
          <w:instrText xml:space="preserve"> PAGEREF _Toc237450195 \h </w:instrText>
        </w:r>
        <w:r>
          <w:rPr>
            <w:noProof/>
            <w:webHidden/>
          </w:rPr>
        </w:r>
        <w:r>
          <w:rPr>
            <w:noProof/>
            <w:webHidden/>
          </w:rPr>
          <w:fldChar w:fldCharType="separate"/>
        </w:r>
        <w:r>
          <w:rPr>
            <w:noProof/>
            <w:webHidden/>
          </w:rPr>
          <w:t>10</w:t>
        </w:r>
        <w:r>
          <w:rPr>
            <w:noProof/>
            <w:webHidden/>
          </w:rPr>
          <w:fldChar w:fldCharType="end"/>
        </w:r>
      </w:hyperlink>
    </w:p>
    <w:p w14:paraId="020758EC" w14:textId="4674D3F8"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6" w:history="1">
        <w:r w:rsidRPr="00BC7829">
          <w:rPr>
            <w:rStyle w:val="Hyperlink"/>
            <w:noProof/>
          </w:rPr>
          <w:t>2.2.1 Global Integration and Cost-Efficiency Pressures</w:t>
        </w:r>
        <w:r>
          <w:rPr>
            <w:noProof/>
            <w:webHidden/>
          </w:rPr>
          <w:tab/>
        </w:r>
        <w:r>
          <w:rPr>
            <w:noProof/>
            <w:webHidden/>
          </w:rPr>
          <w:fldChar w:fldCharType="begin"/>
        </w:r>
        <w:r>
          <w:rPr>
            <w:noProof/>
            <w:webHidden/>
          </w:rPr>
          <w:instrText xml:space="preserve"> PAGEREF _Toc237450196 \h </w:instrText>
        </w:r>
        <w:r>
          <w:rPr>
            <w:noProof/>
            <w:webHidden/>
          </w:rPr>
        </w:r>
        <w:r>
          <w:rPr>
            <w:noProof/>
            <w:webHidden/>
          </w:rPr>
          <w:fldChar w:fldCharType="separate"/>
        </w:r>
        <w:r>
          <w:rPr>
            <w:noProof/>
            <w:webHidden/>
          </w:rPr>
          <w:t>10</w:t>
        </w:r>
        <w:r>
          <w:rPr>
            <w:noProof/>
            <w:webHidden/>
          </w:rPr>
          <w:fldChar w:fldCharType="end"/>
        </w:r>
      </w:hyperlink>
    </w:p>
    <w:p w14:paraId="6EEAF6DA" w14:textId="1FD371E9"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7" w:history="1">
        <w:r w:rsidRPr="00BC7829">
          <w:rPr>
            <w:rStyle w:val="Hyperlink"/>
            <w:noProof/>
          </w:rPr>
          <w:t>2.2.2 Local Responsiveness and Market Adaptation</w:t>
        </w:r>
        <w:r>
          <w:rPr>
            <w:noProof/>
            <w:webHidden/>
          </w:rPr>
          <w:tab/>
        </w:r>
        <w:r>
          <w:rPr>
            <w:noProof/>
            <w:webHidden/>
          </w:rPr>
          <w:fldChar w:fldCharType="begin"/>
        </w:r>
        <w:r>
          <w:rPr>
            <w:noProof/>
            <w:webHidden/>
          </w:rPr>
          <w:instrText xml:space="preserve"> PAGEREF _Toc237450197 \h </w:instrText>
        </w:r>
        <w:r>
          <w:rPr>
            <w:noProof/>
            <w:webHidden/>
          </w:rPr>
        </w:r>
        <w:r>
          <w:rPr>
            <w:noProof/>
            <w:webHidden/>
          </w:rPr>
          <w:fldChar w:fldCharType="separate"/>
        </w:r>
        <w:r>
          <w:rPr>
            <w:noProof/>
            <w:webHidden/>
          </w:rPr>
          <w:t>11</w:t>
        </w:r>
        <w:r>
          <w:rPr>
            <w:noProof/>
            <w:webHidden/>
          </w:rPr>
          <w:fldChar w:fldCharType="end"/>
        </w:r>
      </w:hyperlink>
    </w:p>
    <w:p w14:paraId="470CEDFA" w14:textId="64651321"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8" w:history="1">
        <w:r w:rsidRPr="00BC7829">
          <w:rPr>
            <w:rStyle w:val="Hyperlink"/>
            <w:noProof/>
          </w:rPr>
          <w:t>2.2.3 Strategic Categorisation</w:t>
        </w:r>
        <w:r>
          <w:rPr>
            <w:noProof/>
            <w:webHidden/>
          </w:rPr>
          <w:tab/>
        </w:r>
        <w:r>
          <w:rPr>
            <w:noProof/>
            <w:webHidden/>
          </w:rPr>
          <w:fldChar w:fldCharType="begin"/>
        </w:r>
        <w:r>
          <w:rPr>
            <w:noProof/>
            <w:webHidden/>
          </w:rPr>
          <w:instrText xml:space="preserve"> PAGEREF _Toc237450198 \h </w:instrText>
        </w:r>
        <w:r>
          <w:rPr>
            <w:noProof/>
            <w:webHidden/>
          </w:rPr>
        </w:r>
        <w:r>
          <w:rPr>
            <w:noProof/>
            <w:webHidden/>
          </w:rPr>
          <w:fldChar w:fldCharType="separate"/>
        </w:r>
        <w:r>
          <w:rPr>
            <w:noProof/>
            <w:webHidden/>
          </w:rPr>
          <w:t>11</w:t>
        </w:r>
        <w:r>
          <w:rPr>
            <w:noProof/>
            <w:webHidden/>
          </w:rPr>
          <w:fldChar w:fldCharType="end"/>
        </w:r>
      </w:hyperlink>
    </w:p>
    <w:p w14:paraId="56126610" w14:textId="38E886D2"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199" w:history="1">
        <w:r w:rsidRPr="00BC7829">
          <w:rPr>
            <w:rStyle w:val="Hyperlink"/>
            <w:noProof/>
          </w:rPr>
          <w:t>2.3 Global Configuration and Value Creation</w:t>
        </w:r>
        <w:r>
          <w:rPr>
            <w:noProof/>
            <w:webHidden/>
          </w:rPr>
          <w:tab/>
        </w:r>
        <w:r>
          <w:rPr>
            <w:noProof/>
            <w:webHidden/>
          </w:rPr>
          <w:fldChar w:fldCharType="begin"/>
        </w:r>
        <w:r>
          <w:rPr>
            <w:noProof/>
            <w:webHidden/>
          </w:rPr>
          <w:instrText xml:space="preserve"> PAGEREF _Toc237450199 \h </w:instrText>
        </w:r>
        <w:r>
          <w:rPr>
            <w:noProof/>
            <w:webHidden/>
          </w:rPr>
        </w:r>
        <w:r>
          <w:rPr>
            <w:noProof/>
            <w:webHidden/>
          </w:rPr>
          <w:fldChar w:fldCharType="separate"/>
        </w:r>
        <w:r>
          <w:rPr>
            <w:noProof/>
            <w:webHidden/>
          </w:rPr>
          <w:t>11</w:t>
        </w:r>
        <w:r>
          <w:rPr>
            <w:noProof/>
            <w:webHidden/>
          </w:rPr>
          <w:fldChar w:fldCharType="end"/>
        </w:r>
      </w:hyperlink>
    </w:p>
    <w:p w14:paraId="1AE25047" w14:textId="0873FA68"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0" w:history="1">
        <w:r w:rsidRPr="00BC7829">
          <w:rPr>
            <w:rStyle w:val="Hyperlink"/>
            <w:noProof/>
          </w:rPr>
          <w:t>2.3.1 Geographic Footprint and Operational Network</w:t>
        </w:r>
        <w:r>
          <w:rPr>
            <w:noProof/>
            <w:webHidden/>
          </w:rPr>
          <w:tab/>
        </w:r>
        <w:r>
          <w:rPr>
            <w:noProof/>
            <w:webHidden/>
          </w:rPr>
          <w:fldChar w:fldCharType="begin"/>
        </w:r>
        <w:r>
          <w:rPr>
            <w:noProof/>
            <w:webHidden/>
          </w:rPr>
          <w:instrText xml:space="preserve"> PAGEREF _Toc237450200 \h </w:instrText>
        </w:r>
        <w:r>
          <w:rPr>
            <w:noProof/>
            <w:webHidden/>
          </w:rPr>
        </w:r>
        <w:r>
          <w:rPr>
            <w:noProof/>
            <w:webHidden/>
          </w:rPr>
          <w:fldChar w:fldCharType="separate"/>
        </w:r>
        <w:r>
          <w:rPr>
            <w:noProof/>
            <w:webHidden/>
          </w:rPr>
          <w:t>11</w:t>
        </w:r>
        <w:r>
          <w:rPr>
            <w:noProof/>
            <w:webHidden/>
          </w:rPr>
          <w:fldChar w:fldCharType="end"/>
        </w:r>
      </w:hyperlink>
    </w:p>
    <w:p w14:paraId="772E6CCF" w14:textId="35355EB3"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1" w:history="1">
        <w:r w:rsidRPr="00BC7829">
          <w:rPr>
            <w:rStyle w:val="Hyperlink"/>
            <w:noProof/>
          </w:rPr>
          <w:t>2.3.2 Sources of International Competitive Advantage</w:t>
        </w:r>
        <w:r>
          <w:rPr>
            <w:noProof/>
            <w:webHidden/>
          </w:rPr>
          <w:tab/>
        </w:r>
        <w:r>
          <w:rPr>
            <w:noProof/>
            <w:webHidden/>
          </w:rPr>
          <w:fldChar w:fldCharType="begin"/>
        </w:r>
        <w:r>
          <w:rPr>
            <w:noProof/>
            <w:webHidden/>
          </w:rPr>
          <w:instrText xml:space="preserve"> PAGEREF _Toc237450201 \h </w:instrText>
        </w:r>
        <w:r>
          <w:rPr>
            <w:noProof/>
            <w:webHidden/>
          </w:rPr>
        </w:r>
        <w:r>
          <w:rPr>
            <w:noProof/>
            <w:webHidden/>
          </w:rPr>
          <w:fldChar w:fldCharType="separate"/>
        </w:r>
        <w:r>
          <w:rPr>
            <w:noProof/>
            <w:webHidden/>
          </w:rPr>
          <w:t>12</w:t>
        </w:r>
        <w:r>
          <w:rPr>
            <w:noProof/>
            <w:webHidden/>
          </w:rPr>
          <w:fldChar w:fldCharType="end"/>
        </w:r>
      </w:hyperlink>
    </w:p>
    <w:p w14:paraId="4B114A2B" w14:textId="0F69F0D2"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2" w:history="1">
        <w:r w:rsidRPr="00BC7829">
          <w:rPr>
            <w:rStyle w:val="Hyperlink"/>
            <w:noProof/>
          </w:rPr>
          <w:t>2.3.3 Strategic Limitations and Lessons for New Zealand</w:t>
        </w:r>
        <w:r>
          <w:rPr>
            <w:noProof/>
            <w:webHidden/>
          </w:rPr>
          <w:tab/>
        </w:r>
        <w:r>
          <w:rPr>
            <w:noProof/>
            <w:webHidden/>
          </w:rPr>
          <w:fldChar w:fldCharType="begin"/>
        </w:r>
        <w:r>
          <w:rPr>
            <w:noProof/>
            <w:webHidden/>
          </w:rPr>
          <w:instrText xml:space="preserve"> PAGEREF _Toc237450202 \h </w:instrText>
        </w:r>
        <w:r>
          <w:rPr>
            <w:noProof/>
            <w:webHidden/>
          </w:rPr>
        </w:r>
        <w:r>
          <w:rPr>
            <w:noProof/>
            <w:webHidden/>
          </w:rPr>
          <w:fldChar w:fldCharType="separate"/>
        </w:r>
        <w:r>
          <w:rPr>
            <w:noProof/>
            <w:webHidden/>
          </w:rPr>
          <w:t>13</w:t>
        </w:r>
        <w:r>
          <w:rPr>
            <w:noProof/>
            <w:webHidden/>
          </w:rPr>
          <w:fldChar w:fldCharType="end"/>
        </w:r>
      </w:hyperlink>
    </w:p>
    <w:p w14:paraId="71572EF5" w14:textId="69CDEA4F"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3" w:history="1">
        <w:r w:rsidRPr="00BC7829">
          <w:rPr>
            <w:rStyle w:val="Hyperlink"/>
            <w:noProof/>
          </w:rPr>
          <w:t>3.0 Macro-Environmental Appraisal and Market</w:t>
        </w:r>
        <w:r>
          <w:rPr>
            <w:noProof/>
            <w:webHidden/>
          </w:rPr>
          <w:tab/>
        </w:r>
        <w:r>
          <w:rPr>
            <w:noProof/>
            <w:webHidden/>
          </w:rPr>
          <w:fldChar w:fldCharType="begin"/>
        </w:r>
        <w:r>
          <w:rPr>
            <w:noProof/>
            <w:webHidden/>
          </w:rPr>
          <w:instrText xml:space="preserve"> PAGEREF _Toc237450203 \h </w:instrText>
        </w:r>
        <w:r>
          <w:rPr>
            <w:noProof/>
            <w:webHidden/>
          </w:rPr>
        </w:r>
        <w:r>
          <w:rPr>
            <w:noProof/>
            <w:webHidden/>
          </w:rPr>
          <w:fldChar w:fldCharType="separate"/>
        </w:r>
        <w:r>
          <w:rPr>
            <w:noProof/>
            <w:webHidden/>
          </w:rPr>
          <w:t>13</w:t>
        </w:r>
        <w:r>
          <w:rPr>
            <w:noProof/>
            <w:webHidden/>
          </w:rPr>
          <w:fldChar w:fldCharType="end"/>
        </w:r>
      </w:hyperlink>
    </w:p>
    <w:p w14:paraId="38B156F4" w14:textId="68091EB3"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4" w:history="1">
        <w:r w:rsidRPr="00BC7829">
          <w:rPr>
            <w:rStyle w:val="Hyperlink"/>
            <w:noProof/>
          </w:rPr>
          <w:t>3.1 Political and Institutional Environment</w:t>
        </w:r>
        <w:r>
          <w:rPr>
            <w:noProof/>
            <w:webHidden/>
          </w:rPr>
          <w:tab/>
        </w:r>
        <w:r>
          <w:rPr>
            <w:noProof/>
            <w:webHidden/>
          </w:rPr>
          <w:fldChar w:fldCharType="begin"/>
        </w:r>
        <w:r>
          <w:rPr>
            <w:noProof/>
            <w:webHidden/>
          </w:rPr>
          <w:instrText xml:space="preserve"> PAGEREF _Toc237450204 \h </w:instrText>
        </w:r>
        <w:r>
          <w:rPr>
            <w:noProof/>
            <w:webHidden/>
          </w:rPr>
        </w:r>
        <w:r>
          <w:rPr>
            <w:noProof/>
            <w:webHidden/>
          </w:rPr>
          <w:fldChar w:fldCharType="separate"/>
        </w:r>
        <w:r>
          <w:rPr>
            <w:noProof/>
            <w:webHidden/>
          </w:rPr>
          <w:t>13</w:t>
        </w:r>
        <w:r>
          <w:rPr>
            <w:noProof/>
            <w:webHidden/>
          </w:rPr>
          <w:fldChar w:fldCharType="end"/>
        </w:r>
      </w:hyperlink>
    </w:p>
    <w:p w14:paraId="0661A27D" w14:textId="1F077151"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5" w:history="1">
        <w:r w:rsidRPr="00BC7829">
          <w:rPr>
            <w:rStyle w:val="Hyperlink"/>
            <w:noProof/>
          </w:rPr>
          <w:t>3.1.1 Political Stability and Policy Predictability</w:t>
        </w:r>
        <w:r>
          <w:rPr>
            <w:noProof/>
            <w:webHidden/>
          </w:rPr>
          <w:tab/>
        </w:r>
        <w:r>
          <w:rPr>
            <w:noProof/>
            <w:webHidden/>
          </w:rPr>
          <w:fldChar w:fldCharType="begin"/>
        </w:r>
        <w:r>
          <w:rPr>
            <w:noProof/>
            <w:webHidden/>
          </w:rPr>
          <w:instrText xml:space="preserve"> PAGEREF _Toc237450205 \h </w:instrText>
        </w:r>
        <w:r>
          <w:rPr>
            <w:noProof/>
            <w:webHidden/>
          </w:rPr>
        </w:r>
        <w:r>
          <w:rPr>
            <w:noProof/>
            <w:webHidden/>
          </w:rPr>
          <w:fldChar w:fldCharType="separate"/>
        </w:r>
        <w:r>
          <w:rPr>
            <w:noProof/>
            <w:webHidden/>
          </w:rPr>
          <w:t>13</w:t>
        </w:r>
        <w:r>
          <w:rPr>
            <w:noProof/>
            <w:webHidden/>
          </w:rPr>
          <w:fldChar w:fldCharType="end"/>
        </w:r>
      </w:hyperlink>
    </w:p>
    <w:p w14:paraId="6AA352B3" w14:textId="72652FD2"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6" w:history="1">
        <w:r w:rsidRPr="00BC7829">
          <w:rPr>
            <w:rStyle w:val="Hyperlink"/>
            <w:noProof/>
          </w:rPr>
          <w:t>3.1.2 Foreign Investment Policy and Regulatory Scrutiny</w:t>
        </w:r>
        <w:r>
          <w:rPr>
            <w:noProof/>
            <w:webHidden/>
          </w:rPr>
          <w:tab/>
        </w:r>
        <w:r>
          <w:rPr>
            <w:noProof/>
            <w:webHidden/>
          </w:rPr>
          <w:fldChar w:fldCharType="begin"/>
        </w:r>
        <w:r>
          <w:rPr>
            <w:noProof/>
            <w:webHidden/>
          </w:rPr>
          <w:instrText xml:space="preserve"> PAGEREF _Toc237450206 \h </w:instrText>
        </w:r>
        <w:r>
          <w:rPr>
            <w:noProof/>
            <w:webHidden/>
          </w:rPr>
        </w:r>
        <w:r>
          <w:rPr>
            <w:noProof/>
            <w:webHidden/>
          </w:rPr>
          <w:fldChar w:fldCharType="separate"/>
        </w:r>
        <w:r>
          <w:rPr>
            <w:noProof/>
            <w:webHidden/>
          </w:rPr>
          <w:t>14</w:t>
        </w:r>
        <w:r>
          <w:rPr>
            <w:noProof/>
            <w:webHidden/>
          </w:rPr>
          <w:fldChar w:fldCharType="end"/>
        </w:r>
      </w:hyperlink>
    </w:p>
    <w:p w14:paraId="16A88D33" w14:textId="65682ED9"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7" w:history="1">
        <w:r w:rsidRPr="00BC7829">
          <w:rPr>
            <w:rStyle w:val="Hyperlink"/>
            <w:noProof/>
          </w:rPr>
          <w:t>3.1.3 Government Policy Toward Retail Competition</w:t>
        </w:r>
        <w:r>
          <w:rPr>
            <w:noProof/>
            <w:webHidden/>
          </w:rPr>
          <w:tab/>
        </w:r>
        <w:r>
          <w:rPr>
            <w:noProof/>
            <w:webHidden/>
          </w:rPr>
          <w:fldChar w:fldCharType="begin"/>
        </w:r>
        <w:r>
          <w:rPr>
            <w:noProof/>
            <w:webHidden/>
          </w:rPr>
          <w:instrText xml:space="preserve"> PAGEREF _Toc237450207 \h </w:instrText>
        </w:r>
        <w:r>
          <w:rPr>
            <w:noProof/>
            <w:webHidden/>
          </w:rPr>
        </w:r>
        <w:r>
          <w:rPr>
            <w:noProof/>
            <w:webHidden/>
          </w:rPr>
          <w:fldChar w:fldCharType="separate"/>
        </w:r>
        <w:r>
          <w:rPr>
            <w:noProof/>
            <w:webHidden/>
          </w:rPr>
          <w:t>14</w:t>
        </w:r>
        <w:r>
          <w:rPr>
            <w:noProof/>
            <w:webHidden/>
          </w:rPr>
          <w:fldChar w:fldCharType="end"/>
        </w:r>
      </w:hyperlink>
    </w:p>
    <w:p w14:paraId="5B3D8DC8" w14:textId="68A28D7A"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8" w:history="1">
        <w:r w:rsidRPr="00BC7829">
          <w:rPr>
            <w:rStyle w:val="Hyperlink"/>
            <w:noProof/>
          </w:rPr>
          <w:t>3.1.4 Political Opportunities and Risks for Walmart</w:t>
        </w:r>
        <w:r>
          <w:rPr>
            <w:noProof/>
            <w:webHidden/>
          </w:rPr>
          <w:tab/>
        </w:r>
        <w:r>
          <w:rPr>
            <w:noProof/>
            <w:webHidden/>
          </w:rPr>
          <w:fldChar w:fldCharType="begin"/>
        </w:r>
        <w:r>
          <w:rPr>
            <w:noProof/>
            <w:webHidden/>
          </w:rPr>
          <w:instrText xml:space="preserve"> PAGEREF _Toc237450208 \h </w:instrText>
        </w:r>
        <w:r>
          <w:rPr>
            <w:noProof/>
            <w:webHidden/>
          </w:rPr>
        </w:r>
        <w:r>
          <w:rPr>
            <w:noProof/>
            <w:webHidden/>
          </w:rPr>
          <w:fldChar w:fldCharType="separate"/>
        </w:r>
        <w:r>
          <w:rPr>
            <w:noProof/>
            <w:webHidden/>
          </w:rPr>
          <w:t>16</w:t>
        </w:r>
        <w:r>
          <w:rPr>
            <w:noProof/>
            <w:webHidden/>
          </w:rPr>
          <w:fldChar w:fldCharType="end"/>
        </w:r>
      </w:hyperlink>
    </w:p>
    <w:p w14:paraId="63750A98" w14:textId="2F0BFDD8"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09" w:history="1">
        <w:r w:rsidRPr="00BC7829">
          <w:rPr>
            <w:rStyle w:val="Hyperlink"/>
            <w:noProof/>
          </w:rPr>
          <w:t>3.2 Economic Environment and Commercial Viability</w:t>
        </w:r>
        <w:r>
          <w:rPr>
            <w:noProof/>
            <w:webHidden/>
          </w:rPr>
          <w:tab/>
        </w:r>
        <w:r>
          <w:rPr>
            <w:noProof/>
            <w:webHidden/>
          </w:rPr>
          <w:fldChar w:fldCharType="begin"/>
        </w:r>
        <w:r>
          <w:rPr>
            <w:noProof/>
            <w:webHidden/>
          </w:rPr>
          <w:instrText xml:space="preserve"> PAGEREF _Toc237450209 \h </w:instrText>
        </w:r>
        <w:r>
          <w:rPr>
            <w:noProof/>
            <w:webHidden/>
          </w:rPr>
        </w:r>
        <w:r>
          <w:rPr>
            <w:noProof/>
            <w:webHidden/>
          </w:rPr>
          <w:fldChar w:fldCharType="separate"/>
        </w:r>
        <w:r>
          <w:rPr>
            <w:noProof/>
            <w:webHidden/>
          </w:rPr>
          <w:t>16</w:t>
        </w:r>
        <w:r>
          <w:rPr>
            <w:noProof/>
            <w:webHidden/>
          </w:rPr>
          <w:fldChar w:fldCharType="end"/>
        </w:r>
      </w:hyperlink>
    </w:p>
    <w:p w14:paraId="1C245A5D" w14:textId="54242F6F"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0" w:history="1">
        <w:r w:rsidRPr="00BC7829">
          <w:rPr>
            <w:rStyle w:val="Hyperlink"/>
            <w:noProof/>
          </w:rPr>
          <w:t>3.2.1 Market Size, Income and Consumer Spending</w:t>
        </w:r>
        <w:r>
          <w:rPr>
            <w:noProof/>
            <w:webHidden/>
          </w:rPr>
          <w:tab/>
        </w:r>
        <w:r>
          <w:rPr>
            <w:noProof/>
            <w:webHidden/>
          </w:rPr>
          <w:fldChar w:fldCharType="begin"/>
        </w:r>
        <w:r>
          <w:rPr>
            <w:noProof/>
            <w:webHidden/>
          </w:rPr>
          <w:instrText xml:space="preserve"> PAGEREF _Toc237450210 \h </w:instrText>
        </w:r>
        <w:r>
          <w:rPr>
            <w:noProof/>
            <w:webHidden/>
          </w:rPr>
        </w:r>
        <w:r>
          <w:rPr>
            <w:noProof/>
            <w:webHidden/>
          </w:rPr>
          <w:fldChar w:fldCharType="separate"/>
        </w:r>
        <w:r>
          <w:rPr>
            <w:noProof/>
            <w:webHidden/>
          </w:rPr>
          <w:t>16</w:t>
        </w:r>
        <w:r>
          <w:rPr>
            <w:noProof/>
            <w:webHidden/>
          </w:rPr>
          <w:fldChar w:fldCharType="end"/>
        </w:r>
      </w:hyperlink>
    </w:p>
    <w:p w14:paraId="39AB5FE7" w14:textId="5F4B84A7"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1" w:history="1">
        <w:r w:rsidRPr="00BC7829">
          <w:rPr>
            <w:rStyle w:val="Hyperlink"/>
            <w:noProof/>
          </w:rPr>
          <w:t>3.2.2 Retail Industry Structure and Competitive Intensity</w:t>
        </w:r>
        <w:r>
          <w:rPr>
            <w:noProof/>
            <w:webHidden/>
          </w:rPr>
          <w:tab/>
        </w:r>
        <w:r>
          <w:rPr>
            <w:noProof/>
            <w:webHidden/>
          </w:rPr>
          <w:fldChar w:fldCharType="begin"/>
        </w:r>
        <w:r>
          <w:rPr>
            <w:noProof/>
            <w:webHidden/>
          </w:rPr>
          <w:instrText xml:space="preserve"> PAGEREF _Toc237450211 \h </w:instrText>
        </w:r>
        <w:r>
          <w:rPr>
            <w:noProof/>
            <w:webHidden/>
          </w:rPr>
        </w:r>
        <w:r>
          <w:rPr>
            <w:noProof/>
            <w:webHidden/>
          </w:rPr>
          <w:fldChar w:fldCharType="separate"/>
        </w:r>
        <w:r>
          <w:rPr>
            <w:noProof/>
            <w:webHidden/>
          </w:rPr>
          <w:t>17</w:t>
        </w:r>
        <w:r>
          <w:rPr>
            <w:noProof/>
            <w:webHidden/>
          </w:rPr>
          <w:fldChar w:fldCharType="end"/>
        </w:r>
      </w:hyperlink>
    </w:p>
    <w:p w14:paraId="7E8AEAA5" w14:textId="7370C63A"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2" w:history="1">
        <w:r w:rsidRPr="00BC7829">
          <w:rPr>
            <w:rStyle w:val="Hyperlink"/>
            <w:noProof/>
          </w:rPr>
          <w:t>3.2.3 Cost Structure and Price-Leadership Feasibility</w:t>
        </w:r>
        <w:r>
          <w:rPr>
            <w:noProof/>
            <w:webHidden/>
          </w:rPr>
          <w:tab/>
        </w:r>
        <w:r>
          <w:rPr>
            <w:noProof/>
            <w:webHidden/>
          </w:rPr>
          <w:fldChar w:fldCharType="begin"/>
        </w:r>
        <w:r>
          <w:rPr>
            <w:noProof/>
            <w:webHidden/>
          </w:rPr>
          <w:instrText xml:space="preserve"> PAGEREF _Toc237450212 \h </w:instrText>
        </w:r>
        <w:r>
          <w:rPr>
            <w:noProof/>
            <w:webHidden/>
          </w:rPr>
        </w:r>
        <w:r>
          <w:rPr>
            <w:noProof/>
            <w:webHidden/>
          </w:rPr>
          <w:fldChar w:fldCharType="separate"/>
        </w:r>
        <w:r>
          <w:rPr>
            <w:noProof/>
            <w:webHidden/>
          </w:rPr>
          <w:t>18</w:t>
        </w:r>
        <w:r>
          <w:rPr>
            <w:noProof/>
            <w:webHidden/>
          </w:rPr>
          <w:fldChar w:fldCharType="end"/>
        </w:r>
      </w:hyperlink>
    </w:p>
    <w:p w14:paraId="3258B1F4" w14:textId="1757C06D"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3" w:history="1">
        <w:r w:rsidRPr="00BC7829">
          <w:rPr>
            <w:rStyle w:val="Hyperlink"/>
            <w:noProof/>
          </w:rPr>
          <w:t>3.2.4 Geography, Logistics and Supply-Chain Economics</w:t>
        </w:r>
        <w:r>
          <w:rPr>
            <w:noProof/>
            <w:webHidden/>
          </w:rPr>
          <w:tab/>
        </w:r>
        <w:r>
          <w:rPr>
            <w:noProof/>
            <w:webHidden/>
          </w:rPr>
          <w:fldChar w:fldCharType="begin"/>
        </w:r>
        <w:r>
          <w:rPr>
            <w:noProof/>
            <w:webHidden/>
          </w:rPr>
          <w:instrText xml:space="preserve"> PAGEREF _Toc237450213 \h </w:instrText>
        </w:r>
        <w:r>
          <w:rPr>
            <w:noProof/>
            <w:webHidden/>
          </w:rPr>
        </w:r>
        <w:r>
          <w:rPr>
            <w:noProof/>
            <w:webHidden/>
          </w:rPr>
          <w:fldChar w:fldCharType="separate"/>
        </w:r>
        <w:r>
          <w:rPr>
            <w:noProof/>
            <w:webHidden/>
          </w:rPr>
          <w:t>18</w:t>
        </w:r>
        <w:r>
          <w:rPr>
            <w:noProof/>
            <w:webHidden/>
          </w:rPr>
          <w:fldChar w:fldCharType="end"/>
        </w:r>
      </w:hyperlink>
    </w:p>
    <w:p w14:paraId="0FAFBAC8" w14:textId="7E928760"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4" w:history="1">
        <w:r w:rsidRPr="00BC7829">
          <w:rPr>
            <w:rStyle w:val="Hyperlink"/>
            <w:noProof/>
          </w:rPr>
          <w:t>3.2.5 Currency and Macroeconomic Risks</w:t>
        </w:r>
        <w:r>
          <w:rPr>
            <w:noProof/>
            <w:webHidden/>
          </w:rPr>
          <w:tab/>
        </w:r>
        <w:r>
          <w:rPr>
            <w:noProof/>
            <w:webHidden/>
          </w:rPr>
          <w:fldChar w:fldCharType="begin"/>
        </w:r>
        <w:r>
          <w:rPr>
            <w:noProof/>
            <w:webHidden/>
          </w:rPr>
          <w:instrText xml:space="preserve"> PAGEREF _Toc237450214 \h </w:instrText>
        </w:r>
        <w:r>
          <w:rPr>
            <w:noProof/>
            <w:webHidden/>
          </w:rPr>
        </w:r>
        <w:r>
          <w:rPr>
            <w:noProof/>
            <w:webHidden/>
          </w:rPr>
          <w:fldChar w:fldCharType="separate"/>
        </w:r>
        <w:r>
          <w:rPr>
            <w:noProof/>
            <w:webHidden/>
          </w:rPr>
          <w:t>19</w:t>
        </w:r>
        <w:r>
          <w:rPr>
            <w:noProof/>
            <w:webHidden/>
          </w:rPr>
          <w:fldChar w:fldCharType="end"/>
        </w:r>
      </w:hyperlink>
    </w:p>
    <w:p w14:paraId="639D35AA" w14:textId="53B853D1"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5" w:history="1">
        <w:r w:rsidRPr="00BC7829">
          <w:rPr>
            <w:rStyle w:val="Hyperlink"/>
            <w:noProof/>
          </w:rPr>
          <w:t>3.3 Legal and Regulatory Environment</w:t>
        </w:r>
        <w:r>
          <w:rPr>
            <w:noProof/>
            <w:webHidden/>
          </w:rPr>
          <w:tab/>
        </w:r>
        <w:r>
          <w:rPr>
            <w:noProof/>
            <w:webHidden/>
          </w:rPr>
          <w:fldChar w:fldCharType="begin"/>
        </w:r>
        <w:r>
          <w:rPr>
            <w:noProof/>
            <w:webHidden/>
          </w:rPr>
          <w:instrText xml:space="preserve"> PAGEREF _Toc237450215 \h </w:instrText>
        </w:r>
        <w:r>
          <w:rPr>
            <w:noProof/>
            <w:webHidden/>
          </w:rPr>
        </w:r>
        <w:r>
          <w:rPr>
            <w:noProof/>
            <w:webHidden/>
          </w:rPr>
          <w:fldChar w:fldCharType="separate"/>
        </w:r>
        <w:r>
          <w:rPr>
            <w:noProof/>
            <w:webHidden/>
          </w:rPr>
          <w:t>20</w:t>
        </w:r>
        <w:r>
          <w:rPr>
            <w:noProof/>
            <w:webHidden/>
          </w:rPr>
          <w:fldChar w:fldCharType="end"/>
        </w:r>
      </w:hyperlink>
    </w:p>
    <w:p w14:paraId="21209EA4" w14:textId="45C0FE83"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6" w:history="1">
        <w:r w:rsidRPr="00BC7829">
          <w:rPr>
            <w:rStyle w:val="Hyperlink"/>
            <w:noProof/>
          </w:rPr>
          <w:t>3.3.1 Competition and Commerce Regulation</w:t>
        </w:r>
        <w:r>
          <w:rPr>
            <w:noProof/>
            <w:webHidden/>
          </w:rPr>
          <w:tab/>
        </w:r>
        <w:r>
          <w:rPr>
            <w:noProof/>
            <w:webHidden/>
          </w:rPr>
          <w:fldChar w:fldCharType="begin"/>
        </w:r>
        <w:r>
          <w:rPr>
            <w:noProof/>
            <w:webHidden/>
          </w:rPr>
          <w:instrText xml:space="preserve"> PAGEREF _Toc237450216 \h </w:instrText>
        </w:r>
        <w:r>
          <w:rPr>
            <w:noProof/>
            <w:webHidden/>
          </w:rPr>
        </w:r>
        <w:r>
          <w:rPr>
            <w:noProof/>
            <w:webHidden/>
          </w:rPr>
          <w:fldChar w:fldCharType="separate"/>
        </w:r>
        <w:r>
          <w:rPr>
            <w:noProof/>
            <w:webHidden/>
          </w:rPr>
          <w:t>20</w:t>
        </w:r>
        <w:r>
          <w:rPr>
            <w:noProof/>
            <w:webHidden/>
          </w:rPr>
          <w:fldChar w:fldCharType="end"/>
        </w:r>
      </w:hyperlink>
    </w:p>
    <w:p w14:paraId="7B72B1EC" w14:textId="1E32DD77"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7" w:history="1">
        <w:r w:rsidRPr="00BC7829">
          <w:rPr>
            <w:rStyle w:val="Hyperlink"/>
            <w:noProof/>
          </w:rPr>
          <w:t>3.3.2 Employment and Workplace Regulation</w:t>
        </w:r>
        <w:r>
          <w:rPr>
            <w:noProof/>
            <w:webHidden/>
          </w:rPr>
          <w:tab/>
        </w:r>
        <w:r>
          <w:rPr>
            <w:noProof/>
            <w:webHidden/>
          </w:rPr>
          <w:fldChar w:fldCharType="begin"/>
        </w:r>
        <w:r>
          <w:rPr>
            <w:noProof/>
            <w:webHidden/>
          </w:rPr>
          <w:instrText xml:space="preserve"> PAGEREF _Toc237450217 \h </w:instrText>
        </w:r>
        <w:r>
          <w:rPr>
            <w:noProof/>
            <w:webHidden/>
          </w:rPr>
        </w:r>
        <w:r>
          <w:rPr>
            <w:noProof/>
            <w:webHidden/>
          </w:rPr>
          <w:fldChar w:fldCharType="separate"/>
        </w:r>
        <w:r>
          <w:rPr>
            <w:noProof/>
            <w:webHidden/>
          </w:rPr>
          <w:t>20</w:t>
        </w:r>
        <w:r>
          <w:rPr>
            <w:noProof/>
            <w:webHidden/>
          </w:rPr>
          <w:fldChar w:fldCharType="end"/>
        </w:r>
      </w:hyperlink>
    </w:p>
    <w:p w14:paraId="7A209B59" w14:textId="3E0DC04F"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8" w:history="1">
        <w:r w:rsidRPr="00BC7829">
          <w:rPr>
            <w:rStyle w:val="Hyperlink"/>
            <w:noProof/>
          </w:rPr>
          <w:t>3.3.3 Consumer Protection and Product Standards</w:t>
        </w:r>
        <w:r>
          <w:rPr>
            <w:noProof/>
            <w:webHidden/>
          </w:rPr>
          <w:tab/>
        </w:r>
        <w:r>
          <w:rPr>
            <w:noProof/>
            <w:webHidden/>
          </w:rPr>
          <w:fldChar w:fldCharType="begin"/>
        </w:r>
        <w:r>
          <w:rPr>
            <w:noProof/>
            <w:webHidden/>
          </w:rPr>
          <w:instrText xml:space="preserve"> PAGEREF _Toc237450218 \h </w:instrText>
        </w:r>
        <w:r>
          <w:rPr>
            <w:noProof/>
            <w:webHidden/>
          </w:rPr>
        </w:r>
        <w:r>
          <w:rPr>
            <w:noProof/>
            <w:webHidden/>
          </w:rPr>
          <w:fldChar w:fldCharType="separate"/>
        </w:r>
        <w:r>
          <w:rPr>
            <w:noProof/>
            <w:webHidden/>
          </w:rPr>
          <w:t>21</w:t>
        </w:r>
        <w:r>
          <w:rPr>
            <w:noProof/>
            <w:webHidden/>
          </w:rPr>
          <w:fldChar w:fldCharType="end"/>
        </w:r>
      </w:hyperlink>
    </w:p>
    <w:p w14:paraId="4FF4A5D5" w14:textId="1BBFB4A0"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19" w:history="1">
        <w:r w:rsidRPr="00BC7829">
          <w:rPr>
            <w:rStyle w:val="Hyperlink"/>
            <w:noProof/>
          </w:rPr>
          <w:t>3.3.4 Environmental and Sustainability Requirements</w:t>
        </w:r>
        <w:r>
          <w:rPr>
            <w:noProof/>
            <w:webHidden/>
          </w:rPr>
          <w:tab/>
        </w:r>
        <w:r>
          <w:rPr>
            <w:noProof/>
            <w:webHidden/>
          </w:rPr>
          <w:fldChar w:fldCharType="begin"/>
        </w:r>
        <w:r>
          <w:rPr>
            <w:noProof/>
            <w:webHidden/>
          </w:rPr>
          <w:instrText xml:space="preserve"> PAGEREF _Toc237450219 \h </w:instrText>
        </w:r>
        <w:r>
          <w:rPr>
            <w:noProof/>
            <w:webHidden/>
          </w:rPr>
        </w:r>
        <w:r>
          <w:rPr>
            <w:noProof/>
            <w:webHidden/>
          </w:rPr>
          <w:fldChar w:fldCharType="separate"/>
        </w:r>
        <w:r>
          <w:rPr>
            <w:noProof/>
            <w:webHidden/>
          </w:rPr>
          <w:t>22</w:t>
        </w:r>
        <w:r>
          <w:rPr>
            <w:noProof/>
            <w:webHidden/>
          </w:rPr>
          <w:fldChar w:fldCharType="end"/>
        </w:r>
      </w:hyperlink>
    </w:p>
    <w:p w14:paraId="778AC9FF" w14:textId="510A4235"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0" w:history="1">
        <w:r w:rsidRPr="00BC7829">
          <w:rPr>
            <w:rStyle w:val="Hyperlink"/>
            <w:noProof/>
          </w:rPr>
          <w:t>3.3.5 Māori Rights and Stakeholder Responsibilities</w:t>
        </w:r>
        <w:r>
          <w:rPr>
            <w:noProof/>
            <w:webHidden/>
          </w:rPr>
          <w:tab/>
        </w:r>
        <w:r>
          <w:rPr>
            <w:noProof/>
            <w:webHidden/>
          </w:rPr>
          <w:fldChar w:fldCharType="begin"/>
        </w:r>
        <w:r>
          <w:rPr>
            <w:noProof/>
            <w:webHidden/>
          </w:rPr>
          <w:instrText xml:space="preserve"> PAGEREF _Toc237450220 \h </w:instrText>
        </w:r>
        <w:r>
          <w:rPr>
            <w:noProof/>
            <w:webHidden/>
          </w:rPr>
        </w:r>
        <w:r>
          <w:rPr>
            <w:noProof/>
            <w:webHidden/>
          </w:rPr>
          <w:fldChar w:fldCharType="separate"/>
        </w:r>
        <w:r>
          <w:rPr>
            <w:noProof/>
            <w:webHidden/>
          </w:rPr>
          <w:t>23</w:t>
        </w:r>
        <w:r>
          <w:rPr>
            <w:noProof/>
            <w:webHidden/>
          </w:rPr>
          <w:fldChar w:fldCharType="end"/>
        </w:r>
      </w:hyperlink>
    </w:p>
    <w:p w14:paraId="227431E0" w14:textId="4FB369B2"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1" w:history="1">
        <w:r w:rsidRPr="00BC7829">
          <w:rPr>
            <w:rStyle w:val="Hyperlink"/>
            <w:noProof/>
          </w:rPr>
          <w:t>3.4 Cultural and Consumer Environment</w:t>
        </w:r>
        <w:r>
          <w:rPr>
            <w:noProof/>
            <w:webHidden/>
          </w:rPr>
          <w:tab/>
        </w:r>
        <w:r>
          <w:rPr>
            <w:noProof/>
            <w:webHidden/>
          </w:rPr>
          <w:fldChar w:fldCharType="begin"/>
        </w:r>
        <w:r>
          <w:rPr>
            <w:noProof/>
            <w:webHidden/>
          </w:rPr>
          <w:instrText xml:space="preserve"> PAGEREF _Toc237450221 \h </w:instrText>
        </w:r>
        <w:r>
          <w:rPr>
            <w:noProof/>
            <w:webHidden/>
          </w:rPr>
        </w:r>
        <w:r>
          <w:rPr>
            <w:noProof/>
            <w:webHidden/>
          </w:rPr>
          <w:fldChar w:fldCharType="separate"/>
        </w:r>
        <w:r>
          <w:rPr>
            <w:noProof/>
            <w:webHidden/>
          </w:rPr>
          <w:t>23</w:t>
        </w:r>
        <w:r>
          <w:rPr>
            <w:noProof/>
            <w:webHidden/>
          </w:rPr>
          <w:fldChar w:fldCharType="end"/>
        </w:r>
      </w:hyperlink>
    </w:p>
    <w:p w14:paraId="5EAA2A20" w14:textId="63F1CD13"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2" w:history="1">
        <w:r w:rsidRPr="00BC7829">
          <w:rPr>
            <w:rStyle w:val="Hyperlink"/>
            <w:noProof/>
          </w:rPr>
          <w:t>3.4.1 New Zealand Consumer Values and Shopping Behaviour</w:t>
        </w:r>
        <w:r>
          <w:rPr>
            <w:noProof/>
            <w:webHidden/>
          </w:rPr>
          <w:tab/>
        </w:r>
        <w:r>
          <w:rPr>
            <w:noProof/>
            <w:webHidden/>
          </w:rPr>
          <w:fldChar w:fldCharType="begin"/>
        </w:r>
        <w:r>
          <w:rPr>
            <w:noProof/>
            <w:webHidden/>
          </w:rPr>
          <w:instrText xml:space="preserve"> PAGEREF _Toc237450222 \h </w:instrText>
        </w:r>
        <w:r>
          <w:rPr>
            <w:noProof/>
            <w:webHidden/>
          </w:rPr>
        </w:r>
        <w:r>
          <w:rPr>
            <w:noProof/>
            <w:webHidden/>
          </w:rPr>
          <w:fldChar w:fldCharType="separate"/>
        </w:r>
        <w:r>
          <w:rPr>
            <w:noProof/>
            <w:webHidden/>
          </w:rPr>
          <w:t>23</w:t>
        </w:r>
        <w:r>
          <w:rPr>
            <w:noProof/>
            <w:webHidden/>
          </w:rPr>
          <w:fldChar w:fldCharType="end"/>
        </w:r>
      </w:hyperlink>
    </w:p>
    <w:p w14:paraId="411EFFF7" w14:textId="5AD3D0CB"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3" w:history="1">
        <w:r w:rsidRPr="00BC7829">
          <w:rPr>
            <w:rStyle w:val="Hyperlink"/>
            <w:noProof/>
          </w:rPr>
          <w:t>3.4.2 Cultural Distance from Walmart’s US Model</w:t>
        </w:r>
        <w:r>
          <w:rPr>
            <w:noProof/>
            <w:webHidden/>
          </w:rPr>
          <w:tab/>
        </w:r>
        <w:r>
          <w:rPr>
            <w:noProof/>
            <w:webHidden/>
          </w:rPr>
          <w:fldChar w:fldCharType="begin"/>
        </w:r>
        <w:r>
          <w:rPr>
            <w:noProof/>
            <w:webHidden/>
          </w:rPr>
          <w:instrText xml:space="preserve"> PAGEREF _Toc237450223 \h </w:instrText>
        </w:r>
        <w:r>
          <w:rPr>
            <w:noProof/>
            <w:webHidden/>
          </w:rPr>
        </w:r>
        <w:r>
          <w:rPr>
            <w:noProof/>
            <w:webHidden/>
          </w:rPr>
          <w:fldChar w:fldCharType="separate"/>
        </w:r>
        <w:r>
          <w:rPr>
            <w:noProof/>
            <w:webHidden/>
          </w:rPr>
          <w:t>24</w:t>
        </w:r>
        <w:r>
          <w:rPr>
            <w:noProof/>
            <w:webHidden/>
          </w:rPr>
          <w:fldChar w:fldCharType="end"/>
        </w:r>
      </w:hyperlink>
    </w:p>
    <w:p w14:paraId="5D4E879C" w14:textId="5C458349"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4" w:history="1">
        <w:r w:rsidRPr="00BC7829">
          <w:rPr>
            <w:rStyle w:val="Hyperlink"/>
            <w:noProof/>
          </w:rPr>
          <w:t>3.4.3 Attitudes Toward Foreign Retailers and Local Businesses</w:t>
        </w:r>
        <w:r>
          <w:rPr>
            <w:noProof/>
            <w:webHidden/>
          </w:rPr>
          <w:tab/>
        </w:r>
        <w:r>
          <w:rPr>
            <w:noProof/>
            <w:webHidden/>
          </w:rPr>
          <w:fldChar w:fldCharType="begin"/>
        </w:r>
        <w:r>
          <w:rPr>
            <w:noProof/>
            <w:webHidden/>
          </w:rPr>
          <w:instrText xml:space="preserve"> PAGEREF _Toc237450224 \h </w:instrText>
        </w:r>
        <w:r>
          <w:rPr>
            <w:noProof/>
            <w:webHidden/>
          </w:rPr>
        </w:r>
        <w:r>
          <w:rPr>
            <w:noProof/>
            <w:webHidden/>
          </w:rPr>
          <w:fldChar w:fldCharType="separate"/>
        </w:r>
        <w:r>
          <w:rPr>
            <w:noProof/>
            <w:webHidden/>
          </w:rPr>
          <w:t>24</w:t>
        </w:r>
        <w:r>
          <w:rPr>
            <w:noProof/>
            <w:webHidden/>
          </w:rPr>
          <w:fldChar w:fldCharType="end"/>
        </w:r>
      </w:hyperlink>
    </w:p>
    <w:p w14:paraId="28B5668E" w14:textId="1DE46E45"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5" w:history="1">
        <w:r w:rsidRPr="00BC7829">
          <w:rPr>
            <w:rStyle w:val="Hyperlink"/>
            <w:noProof/>
          </w:rPr>
          <w:t>3.4.4 Localisation Requirements</w:t>
        </w:r>
        <w:r>
          <w:rPr>
            <w:noProof/>
            <w:webHidden/>
          </w:rPr>
          <w:tab/>
        </w:r>
        <w:r>
          <w:rPr>
            <w:noProof/>
            <w:webHidden/>
          </w:rPr>
          <w:fldChar w:fldCharType="begin"/>
        </w:r>
        <w:r>
          <w:rPr>
            <w:noProof/>
            <w:webHidden/>
          </w:rPr>
          <w:instrText xml:space="preserve"> PAGEREF _Toc237450225 \h </w:instrText>
        </w:r>
        <w:r>
          <w:rPr>
            <w:noProof/>
            <w:webHidden/>
          </w:rPr>
        </w:r>
        <w:r>
          <w:rPr>
            <w:noProof/>
            <w:webHidden/>
          </w:rPr>
          <w:fldChar w:fldCharType="separate"/>
        </w:r>
        <w:r>
          <w:rPr>
            <w:noProof/>
            <w:webHidden/>
          </w:rPr>
          <w:t>24</w:t>
        </w:r>
        <w:r>
          <w:rPr>
            <w:noProof/>
            <w:webHidden/>
          </w:rPr>
          <w:fldChar w:fldCharType="end"/>
        </w:r>
      </w:hyperlink>
    </w:p>
    <w:p w14:paraId="522C2B3A" w14:textId="246027D0"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6" w:history="1">
        <w:r w:rsidRPr="00BC7829">
          <w:rPr>
            <w:rStyle w:val="Hyperlink"/>
            <w:noProof/>
          </w:rPr>
          <w:t>3.5 Overall Market Attractiveness</w:t>
        </w:r>
        <w:r>
          <w:rPr>
            <w:noProof/>
            <w:webHidden/>
          </w:rPr>
          <w:tab/>
        </w:r>
        <w:r>
          <w:rPr>
            <w:noProof/>
            <w:webHidden/>
          </w:rPr>
          <w:fldChar w:fldCharType="begin"/>
        </w:r>
        <w:r>
          <w:rPr>
            <w:noProof/>
            <w:webHidden/>
          </w:rPr>
          <w:instrText xml:space="preserve"> PAGEREF _Toc237450226 \h </w:instrText>
        </w:r>
        <w:r>
          <w:rPr>
            <w:noProof/>
            <w:webHidden/>
          </w:rPr>
        </w:r>
        <w:r>
          <w:rPr>
            <w:noProof/>
            <w:webHidden/>
          </w:rPr>
          <w:fldChar w:fldCharType="separate"/>
        </w:r>
        <w:r>
          <w:rPr>
            <w:noProof/>
            <w:webHidden/>
          </w:rPr>
          <w:t>25</w:t>
        </w:r>
        <w:r>
          <w:rPr>
            <w:noProof/>
            <w:webHidden/>
          </w:rPr>
          <w:fldChar w:fldCharType="end"/>
        </w:r>
      </w:hyperlink>
    </w:p>
    <w:p w14:paraId="03834184" w14:textId="5AA7B0F9"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7" w:history="1">
        <w:r w:rsidRPr="00BC7829">
          <w:rPr>
            <w:rStyle w:val="Hyperlink"/>
            <w:noProof/>
          </w:rPr>
          <w:t>3.5.1 Opportunity–Risk Assessment</w:t>
        </w:r>
        <w:r>
          <w:rPr>
            <w:noProof/>
            <w:webHidden/>
          </w:rPr>
          <w:tab/>
        </w:r>
        <w:r>
          <w:rPr>
            <w:noProof/>
            <w:webHidden/>
          </w:rPr>
          <w:fldChar w:fldCharType="begin"/>
        </w:r>
        <w:r>
          <w:rPr>
            <w:noProof/>
            <w:webHidden/>
          </w:rPr>
          <w:instrText xml:space="preserve"> PAGEREF _Toc237450227 \h </w:instrText>
        </w:r>
        <w:r>
          <w:rPr>
            <w:noProof/>
            <w:webHidden/>
          </w:rPr>
        </w:r>
        <w:r>
          <w:rPr>
            <w:noProof/>
            <w:webHidden/>
          </w:rPr>
          <w:fldChar w:fldCharType="separate"/>
        </w:r>
        <w:r>
          <w:rPr>
            <w:noProof/>
            <w:webHidden/>
          </w:rPr>
          <w:t>25</w:t>
        </w:r>
        <w:r>
          <w:rPr>
            <w:noProof/>
            <w:webHidden/>
          </w:rPr>
          <w:fldChar w:fldCharType="end"/>
        </w:r>
      </w:hyperlink>
    </w:p>
    <w:p w14:paraId="5D751894" w14:textId="19981E93"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8" w:history="1">
        <w:r w:rsidRPr="00BC7829">
          <w:rPr>
            <w:rStyle w:val="Hyperlink"/>
            <w:noProof/>
          </w:rPr>
          <w:t>3.5.2 Strategic Implications for Walmart</w:t>
        </w:r>
        <w:r>
          <w:rPr>
            <w:noProof/>
            <w:webHidden/>
          </w:rPr>
          <w:tab/>
        </w:r>
        <w:r>
          <w:rPr>
            <w:noProof/>
            <w:webHidden/>
          </w:rPr>
          <w:fldChar w:fldCharType="begin"/>
        </w:r>
        <w:r>
          <w:rPr>
            <w:noProof/>
            <w:webHidden/>
          </w:rPr>
          <w:instrText xml:space="preserve"> PAGEREF _Toc237450228 \h </w:instrText>
        </w:r>
        <w:r>
          <w:rPr>
            <w:noProof/>
            <w:webHidden/>
          </w:rPr>
        </w:r>
        <w:r>
          <w:rPr>
            <w:noProof/>
            <w:webHidden/>
          </w:rPr>
          <w:fldChar w:fldCharType="separate"/>
        </w:r>
        <w:r>
          <w:rPr>
            <w:noProof/>
            <w:webHidden/>
          </w:rPr>
          <w:t>26</w:t>
        </w:r>
        <w:r>
          <w:rPr>
            <w:noProof/>
            <w:webHidden/>
          </w:rPr>
          <w:fldChar w:fldCharType="end"/>
        </w:r>
      </w:hyperlink>
    </w:p>
    <w:p w14:paraId="703CC55F" w14:textId="51D63121"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29" w:history="1">
        <w:r w:rsidRPr="00BC7829">
          <w:rPr>
            <w:rStyle w:val="Hyperlink"/>
            <w:noProof/>
          </w:rPr>
          <w:t>4.0 Dunning’s OLI Analysis of Walmart’s New Zealand Entry</w:t>
        </w:r>
        <w:r>
          <w:rPr>
            <w:noProof/>
            <w:webHidden/>
          </w:rPr>
          <w:tab/>
        </w:r>
        <w:r>
          <w:rPr>
            <w:noProof/>
            <w:webHidden/>
          </w:rPr>
          <w:fldChar w:fldCharType="begin"/>
        </w:r>
        <w:r>
          <w:rPr>
            <w:noProof/>
            <w:webHidden/>
          </w:rPr>
          <w:instrText xml:space="preserve"> PAGEREF _Toc237450229 \h </w:instrText>
        </w:r>
        <w:r>
          <w:rPr>
            <w:noProof/>
            <w:webHidden/>
          </w:rPr>
        </w:r>
        <w:r>
          <w:rPr>
            <w:noProof/>
            <w:webHidden/>
          </w:rPr>
          <w:fldChar w:fldCharType="separate"/>
        </w:r>
        <w:r>
          <w:rPr>
            <w:noProof/>
            <w:webHidden/>
          </w:rPr>
          <w:t>27</w:t>
        </w:r>
        <w:r>
          <w:rPr>
            <w:noProof/>
            <w:webHidden/>
          </w:rPr>
          <w:fldChar w:fldCharType="end"/>
        </w:r>
      </w:hyperlink>
    </w:p>
    <w:p w14:paraId="666CC505" w14:textId="0DEAFB8F"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0" w:history="1">
        <w:r w:rsidRPr="00BC7829">
          <w:rPr>
            <w:rStyle w:val="Hyperlink"/>
            <w:noProof/>
          </w:rPr>
          <w:t>4.1 Ownership Advantages</w:t>
        </w:r>
        <w:r>
          <w:rPr>
            <w:noProof/>
            <w:webHidden/>
          </w:rPr>
          <w:tab/>
        </w:r>
        <w:r>
          <w:rPr>
            <w:noProof/>
            <w:webHidden/>
          </w:rPr>
          <w:fldChar w:fldCharType="begin"/>
        </w:r>
        <w:r>
          <w:rPr>
            <w:noProof/>
            <w:webHidden/>
          </w:rPr>
          <w:instrText xml:space="preserve"> PAGEREF _Toc237450230 \h </w:instrText>
        </w:r>
        <w:r>
          <w:rPr>
            <w:noProof/>
            <w:webHidden/>
          </w:rPr>
        </w:r>
        <w:r>
          <w:rPr>
            <w:noProof/>
            <w:webHidden/>
          </w:rPr>
          <w:fldChar w:fldCharType="separate"/>
        </w:r>
        <w:r>
          <w:rPr>
            <w:noProof/>
            <w:webHidden/>
          </w:rPr>
          <w:t>27</w:t>
        </w:r>
        <w:r>
          <w:rPr>
            <w:noProof/>
            <w:webHidden/>
          </w:rPr>
          <w:fldChar w:fldCharType="end"/>
        </w:r>
      </w:hyperlink>
    </w:p>
    <w:p w14:paraId="75CF463A" w14:textId="27F3961D"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1" w:history="1">
        <w:r w:rsidRPr="00BC7829">
          <w:rPr>
            <w:rStyle w:val="Hyperlink"/>
            <w:noProof/>
          </w:rPr>
          <w:t>4.1.1 Tangible and Intangible Resources</w:t>
        </w:r>
        <w:r>
          <w:rPr>
            <w:noProof/>
            <w:webHidden/>
          </w:rPr>
          <w:tab/>
        </w:r>
        <w:r>
          <w:rPr>
            <w:noProof/>
            <w:webHidden/>
          </w:rPr>
          <w:fldChar w:fldCharType="begin"/>
        </w:r>
        <w:r>
          <w:rPr>
            <w:noProof/>
            <w:webHidden/>
          </w:rPr>
          <w:instrText xml:space="preserve"> PAGEREF _Toc237450231 \h </w:instrText>
        </w:r>
        <w:r>
          <w:rPr>
            <w:noProof/>
            <w:webHidden/>
          </w:rPr>
        </w:r>
        <w:r>
          <w:rPr>
            <w:noProof/>
            <w:webHidden/>
          </w:rPr>
          <w:fldChar w:fldCharType="separate"/>
        </w:r>
        <w:r>
          <w:rPr>
            <w:noProof/>
            <w:webHidden/>
          </w:rPr>
          <w:t>27</w:t>
        </w:r>
        <w:r>
          <w:rPr>
            <w:noProof/>
            <w:webHidden/>
          </w:rPr>
          <w:fldChar w:fldCharType="end"/>
        </w:r>
      </w:hyperlink>
    </w:p>
    <w:p w14:paraId="2BC6111D" w14:textId="341EFF8A"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2" w:history="1">
        <w:r w:rsidRPr="00BC7829">
          <w:rPr>
            <w:rStyle w:val="Hyperlink"/>
            <w:noProof/>
          </w:rPr>
          <w:t>4.1.2 Transferability to New Zealand</w:t>
        </w:r>
        <w:r>
          <w:rPr>
            <w:noProof/>
            <w:webHidden/>
          </w:rPr>
          <w:tab/>
        </w:r>
        <w:r>
          <w:rPr>
            <w:noProof/>
            <w:webHidden/>
          </w:rPr>
          <w:fldChar w:fldCharType="begin"/>
        </w:r>
        <w:r>
          <w:rPr>
            <w:noProof/>
            <w:webHidden/>
          </w:rPr>
          <w:instrText xml:space="preserve"> PAGEREF _Toc237450232 \h </w:instrText>
        </w:r>
        <w:r>
          <w:rPr>
            <w:noProof/>
            <w:webHidden/>
          </w:rPr>
        </w:r>
        <w:r>
          <w:rPr>
            <w:noProof/>
            <w:webHidden/>
          </w:rPr>
          <w:fldChar w:fldCharType="separate"/>
        </w:r>
        <w:r>
          <w:rPr>
            <w:noProof/>
            <w:webHidden/>
          </w:rPr>
          <w:t>28</w:t>
        </w:r>
        <w:r>
          <w:rPr>
            <w:noProof/>
            <w:webHidden/>
          </w:rPr>
          <w:fldChar w:fldCharType="end"/>
        </w:r>
      </w:hyperlink>
    </w:p>
    <w:p w14:paraId="688B4AB1" w14:textId="56BD868D"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3" w:history="1">
        <w:r w:rsidRPr="00BC7829">
          <w:rPr>
            <w:rStyle w:val="Hyperlink"/>
            <w:noProof/>
          </w:rPr>
          <w:t>4.2 Location Advantages and Disadvantages</w:t>
        </w:r>
        <w:r>
          <w:rPr>
            <w:noProof/>
            <w:webHidden/>
          </w:rPr>
          <w:tab/>
        </w:r>
        <w:r>
          <w:rPr>
            <w:noProof/>
            <w:webHidden/>
          </w:rPr>
          <w:fldChar w:fldCharType="begin"/>
        </w:r>
        <w:r>
          <w:rPr>
            <w:noProof/>
            <w:webHidden/>
          </w:rPr>
          <w:instrText xml:space="preserve"> PAGEREF _Toc237450233 \h </w:instrText>
        </w:r>
        <w:r>
          <w:rPr>
            <w:noProof/>
            <w:webHidden/>
          </w:rPr>
        </w:r>
        <w:r>
          <w:rPr>
            <w:noProof/>
            <w:webHidden/>
          </w:rPr>
          <w:fldChar w:fldCharType="separate"/>
        </w:r>
        <w:r>
          <w:rPr>
            <w:noProof/>
            <w:webHidden/>
          </w:rPr>
          <w:t>29</w:t>
        </w:r>
        <w:r>
          <w:rPr>
            <w:noProof/>
            <w:webHidden/>
          </w:rPr>
          <w:fldChar w:fldCharType="end"/>
        </w:r>
      </w:hyperlink>
    </w:p>
    <w:p w14:paraId="42BD5B3E" w14:textId="27DCB54D"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4" w:history="1">
        <w:r w:rsidRPr="00BC7829">
          <w:rPr>
            <w:rStyle w:val="Hyperlink"/>
            <w:noProof/>
          </w:rPr>
          <w:t>4.2.1 Market and Institutional Advantages</w:t>
        </w:r>
        <w:r>
          <w:rPr>
            <w:noProof/>
            <w:webHidden/>
          </w:rPr>
          <w:tab/>
        </w:r>
        <w:r>
          <w:rPr>
            <w:noProof/>
            <w:webHidden/>
          </w:rPr>
          <w:fldChar w:fldCharType="begin"/>
        </w:r>
        <w:r>
          <w:rPr>
            <w:noProof/>
            <w:webHidden/>
          </w:rPr>
          <w:instrText xml:space="preserve"> PAGEREF _Toc237450234 \h </w:instrText>
        </w:r>
        <w:r>
          <w:rPr>
            <w:noProof/>
            <w:webHidden/>
          </w:rPr>
        </w:r>
        <w:r>
          <w:rPr>
            <w:noProof/>
            <w:webHidden/>
          </w:rPr>
          <w:fldChar w:fldCharType="separate"/>
        </w:r>
        <w:r>
          <w:rPr>
            <w:noProof/>
            <w:webHidden/>
          </w:rPr>
          <w:t>29</w:t>
        </w:r>
        <w:r>
          <w:rPr>
            <w:noProof/>
            <w:webHidden/>
          </w:rPr>
          <w:fldChar w:fldCharType="end"/>
        </w:r>
      </w:hyperlink>
    </w:p>
    <w:p w14:paraId="7562256C" w14:textId="15D4B999"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5" w:history="1">
        <w:r w:rsidRPr="00BC7829">
          <w:rPr>
            <w:rStyle w:val="Hyperlink"/>
            <w:noProof/>
          </w:rPr>
          <w:t>4.2.2 Structural Location Disadvantages</w:t>
        </w:r>
        <w:r>
          <w:rPr>
            <w:noProof/>
            <w:webHidden/>
          </w:rPr>
          <w:tab/>
        </w:r>
        <w:r>
          <w:rPr>
            <w:noProof/>
            <w:webHidden/>
          </w:rPr>
          <w:fldChar w:fldCharType="begin"/>
        </w:r>
        <w:r>
          <w:rPr>
            <w:noProof/>
            <w:webHidden/>
          </w:rPr>
          <w:instrText xml:space="preserve"> PAGEREF _Toc237450235 \h </w:instrText>
        </w:r>
        <w:r>
          <w:rPr>
            <w:noProof/>
            <w:webHidden/>
          </w:rPr>
        </w:r>
        <w:r>
          <w:rPr>
            <w:noProof/>
            <w:webHidden/>
          </w:rPr>
          <w:fldChar w:fldCharType="separate"/>
        </w:r>
        <w:r>
          <w:rPr>
            <w:noProof/>
            <w:webHidden/>
          </w:rPr>
          <w:t>29</w:t>
        </w:r>
        <w:r>
          <w:rPr>
            <w:noProof/>
            <w:webHidden/>
          </w:rPr>
          <w:fldChar w:fldCharType="end"/>
        </w:r>
      </w:hyperlink>
    </w:p>
    <w:p w14:paraId="5142A083" w14:textId="76102C2E"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6" w:history="1">
        <w:r w:rsidRPr="00BC7829">
          <w:rPr>
            <w:rStyle w:val="Hyperlink"/>
            <w:noProof/>
          </w:rPr>
          <w:t>4.2.3 Net Location Attractiveness</w:t>
        </w:r>
        <w:r>
          <w:rPr>
            <w:noProof/>
            <w:webHidden/>
          </w:rPr>
          <w:tab/>
        </w:r>
        <w:r>
          <w:rPr>
            <w:noProof/>
            <w:webHidden/>
          </w:rPr>
          <w:fldChar w:fldCharType="begin"/>
        </w:r>
        <w:r>
          <w:rPr>
            <w:noProof/>
            <w:webHidden/>
          </w:rPr>
          <w:instrText xml:space="preserve"> PAGEREF _Toc237450236 \h </w:instrText>
        </w:r>
        <w:r>
          <w:rPr>
            <w:noProof/>
            <w:webHidden/>
          </w:rPr>
        </w:r>
        <w:r>
          <w:rPr>
            <w:noProof/>
            <w:webHidden/>
          </w:rPr>
          <w:fldChar w:fldCharType="separate"/>
        </w:r>
        <w:r>
          <w:rPr>
            <w:noProof/>
            <w:webHidden/>
          </w:rPr>
          <w:t>30</w:t>
        </w:r>
        <w:r>
          <w:rPr>
            <w:noProof/>
            <w:webHidden/>
          </w:rPr>
          <w:fldChar w:fldCharType="end"/>
        </w:r>
      </w:hyperlink>
    </w:p>
    <w:p w14:paraId="04149A3C" w14:textId="2D179351"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7" w:history="1">
        <w:r w:rsidRPr="00BC7829">
          <w:rPr>
            <w:rStyle w:val="Hyperlink"/>
            <w:noProof/>
          </w:rPr>
          <w:t>4.3 Internalisation Advantages</w:t>
        </w:r>
        <w:r>
          <w:rPr>
            <w:noProof/>
            <w:webHidden/>
          </w:rPr>
          <w:tab/>
        </w:r>
        <w:r>
          <w:rPr>
            <w:noProof/>
            <w:webHidden/>
          </w:rPr>
          <w:fldChar w:fldCharType="begin"/>
        </w:r>
        <w:r>
          <w:rPr>
            <w:noProof/>
            <w:webHidden/>
          </w:rPr>
          <w:instrText xml:space="preserve"> PAGEREF _Toc237450237 \h </w:instrText>
        </w:r>
        <w:r>
          <w:rPr>
            <w:noProof/>
            <w:webHidden/>
          </w:rPr>
        </w:r>
        <w:r>
          <w:rPr>
            <w:noProof/>
            <w:webHidden/>
          </w:rPr>
          <w:fldChar w:fldCharType="separate"/>
        </w:r>
        <w:r>
          <w:rPr>
            <w:noProof/>
            <w:webHidden/>
          </w:rPr>
          <w:t>30</w:t>
        </w:r>
        <w:r>
          <w:rPr>
            <w:noProof/>
            <w:webHidden/>
          </w:rPr>
          <w:fldChar w:fldCharType="end"/>
        </w:r>
      </w:hyperlink>
    </w:p>
    <w:p w14:paraId="256D9EB4" w14:textId="3F203C70"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8" w:history="1">
        <w:r w:rsidRPr="00BC7829">
          <w:rPr>
            <w:rStyle w:val="Hyperlink"/>
            <w:noProof/>
          </w:rPr>
          <w:t>4.3.1 Value of Maintaining Internal Control</w:t>
        </w:r>
        <w:r>
          <w:rPr>
            <w:noProof/>
            <w:webHidden/>
          </w:rPr>
          <w:tab/>
        </w:r>
        <w:r>
          <w:rPr>
            <w:noProof/>
            <w:webHidden/>
          </w:rPr>
          <w:fldChar w:fldCharType="begin"/>
        </w:r>
        <w:r>
          <w:rPr>
            <w:noProof/>
            <w:webHidden/>
          </w:rPr>
          <w:instrText xml:space="preserve"> PAGEREF _Toc237450238 \h </w:instrText>
        </w:r>
        <w:r>
          <w:rPr>
            <w:noProof/>
            <w:webHidden/>
          </w:rPr>
        </w:r>
        <w:r>
          <w:rPr>
            <w:noProof/>
            <w:webHidden/>
          </w:rPr>
          <w:fldChar w:fldCharType="separate"/>
        </w:r>
        <w:r>
          <w:rPr>
            <w:noProof/>
            <w:webHidden/>
          </w:rPr>
          <w:t>30</w:t>
        </w:r>
        <w:r>
          <w:rPr>
            <w:noProof/>
            <w:webHidden/>
          </w:rPr>
          <w:fldChar w:fldCharType="end"/>
        </w:r>
      </w:hyperlink>
    </w:p>
    <w:p w14:paraId="796E2DFD" w14:textId="2EC1049B"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39" w:history="1">
        <w:r w:rsidRPr="00BC7829">
          <w:rPr>
            <w:rStyle w:val="Hyperlink"/>
            <w:noProof/>
          </w:rPr>
          <w:t>4.3.2 Limits of Full Internalisation</w:t>
        </w:r>
        <w:r>
          <w:rPr>
            <w:noProof/>
            <w:webHidden/>
          </w:rPr>
          <w:tab/>
        </w:r>
        <w:r>
          <w:rPr>
            <w:noProof/>
            <w:webHidden/>
          </w:rPr>
          <w:fldChar w:fldCharType="begin"/>
        </w:r>
        <w:r>
          <w:rPr>
            <w:noProof/>
            <w:webHidden/>
          </w:rPr>
          <w:instrText xml:space="preserve"> PAGEREF _Toc237450239 \h </w:instrText>
        </w:r>
        <w:r>
          <w:rPr>
            <w:noProof/>
            <w:webHidden/>
          </w:rPr>
        </w:r>
        <w:r>
          <w:rPr>
            <w:noProof/>
            <w:webHidden/>
          </w:rPr>
          <w:fldChar w:fldCharType="separate"/>
        </w:r>
        <w:r>
          <w:rPr>
            <w:noProof/>
            <w:webHidden/>
          </w:rPr>
          <w:t>31</w:t>
        </w:r>
        <w:r>
          <w:rPr>
            <w:noProof/>
            <w:webHidden/>
          </w:rPr>
          <w:fldChar w:fldCharType="end"/>
        </w:r>
      </w:hyperlink>
    </w:p>
    <w:p w14:paraId="12E73182" w14:textId="77E8E998"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0" w:history="1">
        <w:r w:rsidRPr="00BC7829">
          <w:rPr>
            <w:rStyle w:val="Hyperlink"/>
            <w:noProof/>
          </w:rPr>
          <w:t>4.4 OLI Synthesis and Entry Implications</w:t>
        </w:r>
        <w:r>
          <w:rPr>
            <w:noProof/>
            <w:webHidden/>
          </w:rPr>
          <w:tab/>
        </w:r>
        <w:r>
          <w:rPr>
            <w:noProof/>
            <w:webHidden/>
          </w:rPr>
          <w:fldChar w:fldCharType="begin"/>
        </w:r>
        <w:r>
          <w:rPr>
            <w:noProof/>
            <w:webHidden/>
          </w:rPr>
          <w:instrText xml:space="preserve"> PAGEREF _Toc237450240 \h </w:instrText>
        </w:r>
        <w:r>
          <w:rPr>
            <w:noProof/>
            <w:webHidden/>
          </w:rPr>
        </w:r>
        <w:r>
          <w:rPr>
            <w:noProof/>
            <w:webHidden/>
          </w:rPr>
          <w:fldChar w:fldCharType="separate"/>
        </w:r>
        <w:r>
          <w:rPr>
            <w:noProof/>
            <w:webHidden/>
          </w:rPr>
          <w:t>31</w:t>
        </w:r>
        <w:r>
          <w:rPr>
            <w:noProof/>
            <w:webHidden/>
          </w:rPr>
          <w:fldChar w:fldCharType="end"/>
        </w:r>
      </w:hyperlink>
    </w:p>
    <w:p w14:paraId="4A62FF99" w14:textId="08DF241A"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1" w:history="1">
        <w:r w:rsidRPr="00BC7829">
          <w:rPr>
            <w:rStyle w:val="Hyperlink"/>
            <w:noProof/>
          </w:rPr>
          <w:t>5.0 Entry-Mode Strategy and Strategic Synthesis</w:t>
        </w:r>
        <w:r>
          <w:rPr>
            <w:noProof/>
            <w:webHidden/>
          </w:rPr>
          <w:tab/>
        </w:r>
        <w:r>
          <w:rPr>
            <w:noProof/>
            <w:webHidden/>
          </w:rPr>
          <w:fldChar w:fldCharType="begin"/>
        </w:r>
        <w:r>
          <w:rPr>
            <w:noProof/>
            <w:webHidden/>
          </w:rPr>
          <w:instrText xml:space="preserve"> PAGEREF _Toc237450241 \h </w:instrText>
        </w:r>
        <w:r>
          <w:rPr>
            <w:noProof/>
            <w:webHidden/>
          </w:rPr>
        </w:r>
        <w:r>
          <w:rPr>
            <w:noProof/>
            <w:webHidden/>
          </w:rPr>
          <w:fldChar w:fldCharType="separate"/>
        </w:r>
        <w:r>
          <w:rPr>
            <w:noProof/>
            <w:webHidden/>
          </w:rPr>
          <w:t>32</w:t>
        </w:r>
        <w:r>
          <w:rPr>
            <w:noProof/>
            <w:webHidden/>
          </w:rPr>
          <w:fldChar w:fldCharType="end"/>
        </w:r>
      </w:hyperlink>
    </w:p>
    <w:p w14:paraId="52F47356" w14:textId="654988F8"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2" w:history="1">
        <w:r w:rsidRPr="00BC7829">
          <w:rPr>
            <w:rStyle w:val="Hyperlink"/>
            <w:noProof/>
          </w:rPr>
          <w:t>5.1 Walmart’s Historical Entry-Mode Patterns</w:t>
        </w:r>
        <w:r>
          <w:rPr>
            <w:noProof/>
            <w:webHidden/>
          </w:rPr>
          <w:tab/>
        </w:r>
        <w:r>
          <w:rPr>
            <w:noProof/>
            <w:webHidden/>
          </w:rPr>
          <w:fldChar w:fldCharType="begin"/>
        </w:r>
        <w:r>
          <w:rPr>
            <w:noProof/>
            <w:webHidden/>
          </w:rPr>
          <w:instrText xml:space="preserve"> PAGEREF _Toc237450242 \h </w:instrText>
        </w:r>
        <w:r>
          <w:rPr>
            <w:noProof/>
            <w:webHidden/>
          </w:rPr>
        </w:r>
        <w:r>
          <w:rPr>
            <w:noProof/>
            <w:webHidden/>
          </w:rPr>
          <w:fldChar w:fldCharType="separate"/>
        </w:r>
        <w:r>
          <w:rPr>
            <w:noProof/>
            <w:webHidden/>
          </w:rPr>
          <w:t>32</w:t>
        </w:r>
        <w:r>
          <w:rPr>
            <w:noProof/>
            <w:webHidden/>
          </w:rPr>
          <w:fldChar w:fldCharType="end"/>
        </w:r>
      </w:hyperlink>
    </w:p>
    <w:p w14:paraId="06F99385" w14:textId="560C79A6"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3" w:history="1">
        <w:r w:rsidRPr="00BC7829">
          <w:rPr>
            <w:rStyle w:val="Hyperlink"/>
            <w:noProof/>
          </w:rPr>
          <w:t>5.1.1 Greenfield and Wholly Owned Expansion</w:t>
        </w:r>
        <w:r>
          <w:rPr>
            <w:noProof/>
            <w:webHidden/>
          </w:rPr>
          <w:tab/>
        </w:r>
        <w:r>
          <w:rPr>
            <w:noProof/>
            <w:webHidden/>
          </w:rPr>
          <w:fldChar w:fldCharType="begin"/>
        </w:r>
        <w:r>
          <w:rPr>
            <w:noProof/>
            <w:webHidden/>
          </w:rPr>
          <w:instrText xml:space="preserve"> PAGEREF _Toc237450243 \h </w:instrText>
        </w:r>
        <w:r>
          <w:rPr>
            <w:noProof/>
            <w:webHidden/>
          </w:rPr>
        </w:r>
        <w:r>
          <w:rPr>
            <w:noProof/>
            <w:webHidden/>
          </w:rPr>
          <w:fldChar w:fldCharType="separate"/>
        </w:r>
        <w:r>
          <w:rPr>
            <w:noProof/>
            <w:webHidden/>
          </w:rPr>
          <w:t>32</w:t>
        </w:r>
        <w:r>
          <w:rPr>
            <w:noProof/>
            <w:webHidden/>
          </w:rPr>
          <w:fldChar w:fldCharType="end"/>
        </w:r>
      </w:hyperlink>
    </w:p>
    <w:p w14:paraId="2F9D10A9" w14:textId="62BFD9A7"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4" w:history="1">
        <w:r w:rsidRPr="00BC7829">
          <w:rPr>
            <w:rStyle w:val="Hyperlink"/>
            <w:noProof/>
          </w:rPr>
          <w:t>5.1.2 Acquisitions and Joint Ventures</w:t>
        </w:r>
        <w:r>
          <w:rPr>
            <w:noProof/>
            <w:webHidden/>
          </w:rPr>
          <w:tab/>
        </w:r>
        <w:r>
          <w:rPr>
            <w:noProof/>
            <w:webHidden/>
          </w:rPr>
          <w:fldChar w:fldCharType="begin"/>
        </w:r>
        <w:r>
          <w:rPr>
            <w:noProof/>
            <w:webHidden/>
          </w:rPr>
          <w:instrText xml:space="preserve"> PAGEREF _Toc237450244 \h </w:instrText>
        </w:r>
        <w:r>
          <w:rPr>
            <w:noProof/>
            <w:webHidden/>
          </w:rPr>
        </w:r>
        <w:r>
          <w:rPr>
            <w:noProof/>
            <w:webHidden/>
          </w:rPr>
          <w:fldChar w:fldCharType="separate"/>
        </w:r>
        <w:r>
          <w:rPr>
            <w:noProof/>
            <w:webHidden/>
          </w:rPr>
          <w:t>32</w:t>
        </w:r>
        <w:r>
          <w:rPr>
            <w:noProof/>
            <w:webHidden/>
          </w:rPr>
          <w:fldChar w:fldCharType="end"/>
        </w:r>
      </w:hyperlink>
    </w:p>
    <w:p w14:paraId="3794F7D7" w14:textId="75F46B81"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5" w:history="1">
        <w:r w:rsidRPr="00BC7829">
          <w:rPr>
            <w:rStyle w:val="Hyperlink"/>
            <w:noProof/>
          </w:rPr>
          <w:t>5.1.3 Divestments and Market Withdrawal Lessons</w:t>
        </w:r>
        <w:r>
          <w:rPr>
            <w:noProof/>
            <w:webHidden/>
          </w:rPr>
          <w:tab/>
        </w:r>
        <w:r>
          <w:rPr>
            <w:noProof/>
            <w:webHidden/>
          </w:rPr>
          <w:fldChar w:fldCharType="begin"/>
        </w:r>
        <w:r>
          <w:rPr>
            <w:noProof/>
            <w:webHidden/>
          </w:rPr>
          <w:instrText xml:space="preserve"> PAGEREF _Toc237450245 \h </w:instrText>
        </w:r>
        <w:r>
          <w:rPr>
            <w:noProof/>
            <w:webHidden/>
          </w:rPr>
        </w:r>
        <w:r>
          <w:rPr>
            <w:noProof/>
            <w:webHidden/>
          </w:rPr>
          <w:fldChar w:fldCharType="separate"/>
        </w:r>
        <w:r>
          <w:rPr>
            <w:noProof/>
            <w:webHidden/>
          </w:rPr>
          <w:t>33</w:t>
        </w:r>
        <w:r>
          <w:rPr>
            <w:noProof/>
            <w:webHidden/>
          </w:rPr>
          <w:fldChar w:fldCharType="end"/>
        </w:r>
      </w:hyperlink>
    </w:p>
    <w:p w14:paraId="68F4C1C7" w14:textId="35C5767A"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6" w:history="1">
        <w:r w:rsidRPr="00BC7829">
          <w:rPr>
            <w:rStyle w:val="Hyperlink"/>
            <w:noProof/>
          </w:rPr>
          <w:t>5.2 Suitability of the Historical Modes for New Zealand</w:t>
        </w:r>
        <w:r>
          <w:rPr>
            <w:noProof/>
            <w:webHidden/>
          </w:rPr>
          <w:tab/>
        </w:r>
        <w:r>
          <w:rPr>
            <w:noProof/>
            <w:webHidden/>
          </w:rPr>
          <w:fldChar w:fldCharType="begin"/>
        </w:r>
        <w:r>
          <w:rPr>
            <w:noProof/>
            <w:webHidden/>
          </w:rPr>
          <w:instrText xml:space="preserve"> PAGEREF _Toc237450246 \h </w:instrText>
        </w:r>
        <w:r>
          <w:rPr>
            <w:noProof/>
            <w:webHidden/>
          </w:rPr>
        </w:r>
        <w:r>
          <w:rPr>
            <w:noProof/>
            <w:webHidden/>
          </w:rPr>
          <w:fldChar w:fldCharType="separate"/>
        </w:r>
        <w:r>
          <w:rPr>
            <w:noProof/>
            <w:webHidden/>
          </w:rPr>
          <w:t>34</w:t>
        </w:r>
        <w:r>
          <w:rPr>
            <w:noProof/>
            <w:webHidden/>
          </w:rPr>
          <w:fldChar w:fldCharType="end"/>
        </w:r>
      </w:hyperlink>
    </w:p>
    <w:p w14:paraId="10BAE4DC" w14:textId="74902F65"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7" w:history="1">
        <w:r w:rsidRPr="00BC7829">
          <w:rPr>
            <w:rStyle w:val="Hyperlink"/>
            <w:noProof/>
          </w:rPr>
          <w:t>5.2.1 Greenfield Investment Assessment</w:t>
        </w:r>
        <w:r>
          <w:rPr>
            <w:noProof/>
            <w:webHidden/>
          </w:rPr>
          <w:tab/>
        </w:r>
        <w:r>
          <w:rPr>
            <w:noProof/>
            <w:webHidden/>
          </w:rPr>
          <w:fldChar w:fldCharType="begin"/>
        </w:r>
        <w:r>
          <w:rPr>
            <w:noProof/>
            <w:webHidden/>
          </w:rPr>
          <w:instrText xml:space="preserve"> PAGEREF _Toc237450247 \h </w:instrText>
        </w:r>
        <w:r>
          <w:rPr>
            <w:noProof/>
            <w:webHidden/>
          </w:rPr>
        </w:r>
        <w:r>
          <w:rPr>
            <w:noProof/>
            <w:webHidden/>
          </w:rPr>
          <w:fldChar w:fldCharType="separate"/>
        </w:r>
        <w:r>
          <w:rPr>
            <w:noProof/>
            <w:webHidden/>
          </w:rPr>
          <w:t>34</w:t>
        </w:r>
        <w:r>
          <w:rPr>
            <w:noProof/>
            <w:webHidden/>
          </w:rPr>
          <w:fldChar w:fldCharType="end"/>
        </w:r>
      </w:hyperlink>
    </w:p>
    <w:p w14:paraId="6CEA7F2C" w14:textId="610D5082"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8" w:history="1">
        <w:r w:rsidRPr="00BC7829">
          <w:rPr>
            <w:rStyle w:val="Hyperlink"/>
            <w:noProof/>
          </w:rPr>
          <w:t>5.2.2 Acquisition Assessment</w:t>
        </w:r>
        <w:r>
          <w:rPr>
            <w:noProof/>
            <w:webHidden/>
          </w:rPr>
          <w:tab/>
        </w:r>
        <w:r>
          <w:rPr>
            <w:noProof/>
            <w:webHidden/>
          </w:rPr>
          <w:fldChar w:fldCharType="begin"/>
        </w:r>
        <w:r>
          <w:rPr>
            <w:noProof/>
            <w:webHidden/>
          </w:rPr>
          <w:instrText xml:space="preserve"> PAGEREF _Toc237450248 \h </w:instrText>
        </w:r>
        <w:r>
          <w:rPr>
            <w:noProof/>
            <w:webHidden/>
          </w:rPr>
        </w:r>
        <w:r>
          <w:rPr>
            <w:noProof/>
            <w:webHidden/>
          </w:rPr>
          <w:fldChar w:fldCharType="separate"/>
        </w:r>
        <w:r>
          <w:rPr>
            <w:noProof/>
            <w:webHidden/>
          </w:rPr>
          <w:t>35</w:t>
        </w:r>
        <w:r>
          <w:rPr>
            <w:noProof/>
            <w:webHidden/>
          </w:rPr>
          <w:fldChar w:fldCharType="end"/>
        </w:r>
      </w:hyperlink>
    </w:p>
    <w:p w14:paraId="7B1D9E1C" w14:textId="06FA4BE0"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49" w:history="1">
        <w:r w:rsidRPr="00BC7829">
          <w:rPr>
            <w:rStyle w:val="Hyperlink"/>
            <w:noProof/>
          </w:rPr>
          <w:t>5.2.3 Joint Venture or Strategic Partnership Assessment</w:t>
        </w:r>
        <w:r>
          <w:rPr>
            <w:noProof/>
            <w:webHidden/>
          </w:rPr>
          <w:tab/>
        </w:r>
        <w:r>
          <w:rPr>
            <w:noProof/>
            <w:webHidden/>
          </w:rPr>
          <w:fldChar w:fldCharType="begin"/>
        </w:r>
        <w:r>
          <w:rPr>
            <w:noProof/>
            <w:webHidden/>
          </w:rPr>
          <w:instrText xml:space="preserve"> PAGEREF _Toc237450249 \h </w:instrText>
        </w:r>
        <w:r>
          <w:rPr>
            <w:noProof/>
            <w:webHidden/>
          </w:rPr>
        </w:r>
        <w:r>
          <w:rPr>
            <w:noProof/>
            <w:webHidden/>
          </w:rPr>
          <w:fldChar w:fldCharType="separate"/>
        </w:r>
        <w:r>
          <w:rPr>
            <w:noProof/>
            <w:webHidden/>
          </w:rPr>
          <w:t>35</w:t>
        </w:r>
        <w:r>
          <w:rPr>
            <w:noProof/>
            <w:webHidden/>
          </w:rPr>
          <w:fldChar w:fldCharType="end"/>
        </w:r>
      </w:hyperlink>
    </w:p>
    <w:p w14:paraId="3A47A45D" w14:textId="3BCC33C5"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0" w:history="1">
        <w:r w:rsidRPr="00BC7829">
          <w:rPr>
            <w:rStyle w:val="Hyperlink"/>
            <w:noProof/>
          </w:rPr>
          <w:t>5.2.4 Digital-First or Phased Entry Assessment</w:t>
        </w:r>
        <w:r>
          <w:rPr>
            <w:noProof/>
            <w:webHidden/>
          </w:rPr>
          <w:tab/>
        </w:r>
        <w:r>
          <w:rPr>
            <w:noProof/>
            <w:webHidden/>
          </w:rPr>
          <w:fldChar w:fldCharType="begin"/>
        </w:r>
        <w:r>
          <w:rPr>
            <w:noProof/>
            <w:webHidden/>
          </w:rPr>
          <w:instrText xml:space="preserve"> PAGEREF _Toc237450250 \h </w:instrText>
        </w:r>
        <w:r>
          <w:rPr>
            <w:noProof/>
            <w:webHidden/>
          </w:rPr>
        </w:r>
        <w:r>
          <w:rPr>
            <w:noProof/>
            <w:webHidden/>
          </w:rPr>
          <w:fldChar w:fldCharType="separate"/>
        </w:r>
        <w:r>
          <w:rPr>
            <w:noProof/>
            <w:webHidden/>
          </w:rPr>
          <w:t>36</w:t>
        </w:r>
        <w:r>
          <w:rPr>
            <w:noProof/>
            <w:webHidden/>
          </w:rPr>
          <w:fldChar w:fldCharType="end"/>
        </w:r>
      </w:hyperlink>
    </w:p>
    <w:p w14:paraId="697957ED" w14:textId="4B925E84"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1" w:history="1">
        <w:r w:rsidRPr="00BC7829">
          <w:rPr>
            <w:rStyle w:val="Hyperlink"/>
            <w:noProof/>
          </w:rPr>
          <w:t>5.3 Comparative Entry-Mode Evaluation</w:t>
        </w:r>
        <w:r>
          <w:rPr>
            <w:noProof/>
            <w:webHidden/>
          </w:rPr>
          <w:tab/>
        </w:r>
        <w:r>
          <w:rPr>
            <w:noProof/>
            <w:webHidden/>
          </w:rPr>
          <w:fldChar w:fldCharType="begin"/>
        </w:r>
        <w:r>
          <w:rPr>
            <w:noProof/>
            <w:webHidden/>
          </w:rPr>
          <w:instrText xml:space="preserve"> PAGEREF _Toc237450251 \h </w:instrText>
        </w:r>
        <w:r>
          <w:rPr>
            <w:noProof/>
            <w:webHidden/>
          </w:rPr>
        </w:r>
        <w:r>
          <w:rPr>
            <w:noProof/>
            <w:webHidden/>
          </w:rPr>
          <w:fldChar w:fldCharType="separate"/>
        </w:r>
        <w:r>
          <w:rPr>
            <w:noProof/>
            <w:webHidden/>
          </w:rPr>
          <w:t>36</w:t>
        </w:r>
        <w:r>
          <w:rPr>
            <w:noProof/>
            <w:webHidden/>
          </w:rPr>
          <w:fldChar w:fldCharType="end"/>
        </w:r>
      </w:hyperlink>
    </w:p>
    <w:p w14:paraId="6F2F1EA0" w14:textId="3842A208"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2" w:history="1">
        <w:r w:rsidRPr="00BC7829">
          <w:rPr>
            <w:rStyle w:val="Hyperlink"/>
            <w:noProof/>
          </w:rPr>
          <w:t>5.4 Final Recommendation and Implementation Priorities</w:t>
        </w:r>
        <w:r>
          <w:rPr>
            <w:noProof/>
            <w:webHidden/>
          </w:rPr>
          <w:tab/>
        </w:r>
        <w:r>
          <w:rPr>
            <w:noProof/>
            <w:webHidden/>
          </w:rPr>
          <w:fldChar w:fldCharType="begin"/>
        </w:r>
        <w:r>
          <w:rPr>
            <w:noProof/>
            <w:webHidden/>
          </w:rPr>
          <w:instrText xml:space="preserve"> PAGEREF _Toc237450252 \h </w:instrText>
        </w:r>
        <w:r>
          <w:rPr>
            <w:noProof/>
            <w:webHidden/>
          </w:rPr>
        </w:r>
        <w:r>
          <w:rPr>
            <w:noProof/>
            <w:webHidden/>
          </w:rPr>
          <w:fldChar w:fldCharType="separate"/>
        </w:r>
        <w:r>
          <w:rPr>
            <w:noProof/>
            <w:webHidden/>
          </w:rPr>
          <w:t>37</w:t>
        </w:r>
        <w:r>
          <w:rPr>
            <w:noProof/>
            <w:webHidden/>
          </w:rPr>
          <w:fldChar w:fldCharType="end"/>
        </w:r>
      </w:hyperlink>
    </w:p>
    <w:p w14:paraId="7DB6BFCE" w14:textId="14B4692F"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3" w:history="1">
        <w:r w:rsidRPr="00BC7829">
          <w:rPr>
            <w:rStyle w:val="Hyperlink"/>
            <w:noProof/>
          </w:rPr>
          <w:t>5.4.1 Recommended Entry Mode</w:t>
        </w:r>
        <w:r>
          <w:rPr>
            <w:noProof/>
            <w:webHidden/>
          </w:rPr>
          <w:tab/>
        </w:r>
        <w:r>
          <w:rPr>
            <w:noProof/>
            <w:webHidden/>
          </w:rPr>
          <w:fldChar w:fldCharType="begin"/>
        </w:r>
        <w:r>
          <w:rPr>
            <w:noProof/>
            <w:webHidden/>
          </w:rPr>
          <w:instrText xml:space="preserve"> PAGEREF _Toc237450253 \h </w:instrText>
        </w:r>
        <w:r>
          <w:rPr>
            <w:noProof/>
            <w:webHidden/>
          </w:rPr>
        </w:r>
        <w:r>
          <w:rPr>
            <w:noProof/>
            <w:webHidden/>
          </w:rPr>
          <w:fldChar w:fldCharType="separate"/>
        </w:r>
        <w:r>
          <w:rPr>
            <w:noProof/>
            <w:webHidden/>
          </w:rPr>
          <w:t>37</w:t>
        </w:r>
        <w:r>
          <w:rPr>
            <w:noProof/>
            <w:webHidden/>
          </w:rPr>
          <w:fldChar w:fldCharType="end"/>
        </w:r>
      </w:hyperlink>
    </w:p>
    <w:p w14:paraId="66E94063" w14:textId="16D08A85"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4" w:history="1">
        <w:r w:rsidRPr="00BC7829">
          <w:rPr>
            <w:rStyle w:val="Hyperlink"/>
            <w:noProof/>
          </w:rPr>
          <w:t>5.4.2 Phased Implementation</w:t>
        </w:r>
        <w:r>
          <w:rPr>
            <w:noProof/>
            <w:webHidden/>
          </w:rPr>
          <w:tab/>
        </w:r>
        <w:r>
          <w:rPr>
            <w:noProof/>
            <w:webHidden/>
          </w:rPr>
          <w:fldChar w:fldCharType="begin"/>
        </w:r>
        <w:r>
          <w:rPr>
            <w:noProof/>
            <w:webHidden/>
          </w:rPr>
          <w:instrText xml:space="preserve"> PAGEREF _Toc237450254 \h </w:instrText>
        </w:r>
        <w:r>
          <w:rPr>
            <w:noProof/>
            <w:webHidden/>
          </w:rPr>
        </w:r>
        <w:r>
          <w:rPr>
            <w:noProof/>
            <w:webHidden/>
          </w:rPr>
          <w:fldChar w:fldCharType="separate"/>
        </w:r>
        <w:r>
          <w:rPr>
            <w:noProof/>
            <w:webHidden/>
          </w:rPr>
          <w:t>37</w:t>
        </w:r>
        <w:r>
          <w:rPr>
            <w:noProof/>
            <w:webHidden/>
          </w:rPr>
          <w:fldChar w:fldCharType="end"/>
        </w:r>
      </w:hyperlink>
    </w:p>
    <w:p w14:paraId="1D580E3A" w14:textId="00263A61"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5" w:history="1">
        <w:r w:rsidRPr="00BC7829">
          <w:rPr>
            <w:rStyle w:val="Hyperlink"/>
            <w:noProof/>
          </w:rPr>
          <w:t>5.4.3 Risk-Mitigation Measures and Success Indicators</w:t>
        </w:r>
        <w:r>
          <w:rPr>
            <w:noProof/>
            <w:webHidden/>
          </w:rPr>
          <w:tab/>
        </w:r>
        <w:r>
          <w:rPr>
            <w:noProof/>
            <w:webHidden/>
          </w:rPr>
          <w:fldChar w:fldCharType="begin"/>
        </w:r>
        <w:r>
          <w:rPr>
            <w:noProof/>
            <w:webHidden/>
          </w:rPr>
          <w:instrText xml:space="preserve"> PAGEREF _Toc237450255 \h </w:instrText>
        </w:r>
        <w:r>
          <w:rPr>
            <w:noProof/>
            <w:webHidden/>
          </w:rPr>
        </w:r>
        <w:r>
          <w:rPr>
            <w:noProof/>
            <w:webHidden/>
          </w:rPr>
          <w:fldChar w:fldCharType="separate"/>
        </w:r>
        <w:r>
          <w:rPr>
            <w:noProof/>
            <w:webHidden/>
          </w:rPr>
          <w:t>38</w:t>
        </w:r>
        <w:r>
          <w:rPr>
            <w:noProof/>
            <w:webHidden/>
          </w:rPr>
          <w:fldChar w:fldCharType="end"/>
        </w:r>
      </w:hyperlink>
    </w:p>
    <w:p w14:paraId="56268F00" w14:textId="226A5D8B"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6" w:history="1">
        <w:r w:rsidRPr="00BC7829">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_Toc237450256 \h </w:instrText>
        </w:r>
        <w:r>
          <w:rPr>
            <w:noProof/>
            <w:webHidden/>
          </w:rPr>
        </w:r>
        <w:r>
          <w:rPr>
            <w:noProof/>
            <w:webHidden/>
          </w:rPr>
          <w:fldChar w:fldCharType="separate"/>
        </w:r>
        <w:r>
          <w:rPr>
            <w:noProof/>
            <w:webHidden/>
          </w:rPr>
          <w:t>38</w:t>
        </w:r>
        <w:r>
          <w:rPr>
            <w:noProof/>
            <w:webHidden/>
          </w:rPr>
          <w:fldChar w:fldCharType="end"/>
        </w:r>
      </w:hyperlink>
    </w:p>
    <w:p w14:paraId="2048DB3A" w14:textId="1F532631"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7" w:history="1">
        <w:r w:rsidRPr="00BC7829">
          <w:rPr>
            <w:rStyle w:val="Hyperlink"/>
            <w:noProof/>
          </w:rPr>
          <w:t>6.0 Gibbs’ Reflective Cycle</w:t>
        </w:r>
        <w:r>
          <w:rPr>
            <w:noProof/>
            <w:webHidden/>
          </w:rPr>
          <w:tab/>
        </w:r>
        <w:r>
          <w:rPr>
            <w:noProof/>
            <w:webHidden/>
          </w:rPr>
          <w:fldChar w:fldCharType="begin"/>
        </w:r>
        <w:r>
          <w:rPr>
            <w:noProof/>
            <w:webHidden/>
          </w:rPr>
          <w:instrText xml:space="preserve"> PAGEREF _Toc237450257 \h </w:instrText>
        </w:r>
        <w:r>
          <w:rPr>
            <w:noProof/>
            <w:webHidden/>
          </w:rPr>
        </w:r>
        <w:r>
          <w:rPr>
            <w:noProof/>
            <w:webHidden/>
          </w:rPr>
          <w:fldChar w:fldCharType="separate"/>
        </w:r>
        <w:r>
          <w:rPr>
            <w:noProof/>
            <w:webHidden/>
          </w:rPr>
          <w:t>38</w:t>
        </w:r>
        <w:r>
          <w:rPr>
            <w:noProof/>
            <w:webHidden/>
          </w:rPr>
          <w:fldChar w:fldCharType="end"/>
        </w:r>
      </w:hyperlink>
    </w:p>
    <w:p w14:paraId="260F0CF3" w14:textId="1EF667CD"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8" w:history="1">
        <w:r w:rsidRPr="00BC7829">
          <w:rPr>
            <w:rStyle w:val="Hyperlink"/>
            <w:noProof/>
          </w:rPr>
          <w:t>6.1 Description of the Experience</w:t>
        </w:r>
        <w:r>
          <w:rPr>
            <w:noProof/>
            <w:webHidden/>
          </w:rPr>
          <w:tab/>
        </w:r>
        <w:r>
          <w:rPr>
            <w:noProof/>
            <w:webHidden/>
          </w:rPr>
          <w:fldChar w:fldCharType="begin"/>
        </w:r>
        <w:r>
          <w:rPr>
            <w:noProof/>
            <w:webHidden/>
          </w:rPr>
          <w:instrText xml:space="preserve"> PAGEREF _Toc237450258 \h </w:instrText>
        </w:r>
        <w:r>
          <w:rPr>
            <w:noProof/>
            <w:webHidden/>
          </w:rPr>
        </w:r>
        <w:r>
          <w:rPr>
            <w:noProof/>
            <w:webHidden/>
          </w:rPr>
          <w:fldChar w:fldCharType="separate"/>
        </w:r>
        <w:r>
          <w:rPr>
            <w:noProof/>
            <w:webHidden/>
          </w:rPr>
          <w:t>38</w:t>
        </w:r>
        <w:r>
          <w:rPr>
            <w:noProof/>
            <w:webHidden/>
          </w:rPr>
          <w:fldChar w:fldCharType="end"/>
        </w:r>
      </w:hyperlink>
    </w:p>
    <w:p w14:paraId="2A7087B1" w14:textId="7DFD1059"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59" w:history="1">
        <w:r w:rsidRPr="00BC7829">
          <w:rPr>
            <w:rStyle w:val="Hyperlink"/>
            <w:noProof/>
          </w:rPr>
          <w:t>6.2 Feelings and Initial Assumptions</w:t>
        </w:r>
        <w:r>
          <w:rPr>
            <w:noProof/>
            <w:webHidden/>
          </w:rPr>
          <w:tab/>
        </w:r>
        <w:r>
          <w:rPr>
            <w:noProof/>
            <w:webHidden/>
          </w:rPr>
          <w:fldChar w:fldCharType="begin"/>
        </w:r>
        <w:r>
          <w:rPr>
            <w:noProof/>
            <w:webHidden/>
          </w:rPr>
          <w:instrText xml:space="preserve"> PAGEREF _Toc237450259 \h </w:instrText>
        </w:r>
        <w:r>
          <w:rPr>
            <w:noProof/>
            <w:webHidden/>
          </w:rPr>
        </w:r>
        <w:r>
          <w:rPr>
            <w:noProof/>
            <w:webHidden/>
          </w:rPr>
          <w:fldChar w:fldCharType="separate"/>
        </w:r>
        <w:r>
          <w:rPr>
            <w:noProof/>
            <w:webHidden/>
          </w:rPr>
          <w:t>39</w:t>
        </w:r>
        <w:r>
          <w:rPr>
            <w:noProof/>
            <w:webHidden/>
          </w:rPr>
          <w:fldChar w:fldCharType="end"/>
        </w:r>
      </w:hyperlink>
    </w:p>
    <w:p w14:paraId="3A125ABB" w14:textId="1A5D8024"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0" w:history="1">
        <w:r w:rsidRPr="00BC7829">
          <w:rPr>
            <w:rStyle w:val="Hyperlink"/>
            <w:noProof/>
          </w:rPr>
          <w:t>6.3 Evaluation of the Process</w:t>
        </w:r>
        <w:r>
          <w:rPr>
            <w:noProof/>
            <w:webHidden/>
          </w:rPr>
          <w:tab/>
        </w:r>
        <w:r>
          <w:rPr>
            <w:noProof/>
            <w:webHidden/>
          </w:rPr>
          <w:fldChar w:fldCharType="begin"/>
        </w:r>
        <w:r>
          <w:rPr>
            <w:noProof/>
            <w:webHidden/>
          </w:rPr>
          <w:instrText xml:space="preserve"> PAGEREF _Toc237450260 \h </w:instrText>
        </w:r>
        <w:r>
          <w:rPr>
            <w:noProof/>
            <w:webHidden/>
          </w:rPr>
        </w:r>
        <w:r>
          <w:rPr>
            <w:noProof/>
            <w:webHidden/>
          </w:rPr>
          <w:fldChar w:fldCharType="separate"/>
        </w:r>
        <w:r>
          <w:rPr>
            <w:noProof/>
            <w:webHidden/>
          </w:rPr>
          <w:t>39</w:t>
        </w:r>
        <w:r>
          <w:rPr>
            <w:noProof/>
            <w:webHidden/>
          </w:rPr>
          <w:fldChar w:fldCharType="end"/>
        </w:r>
      </w:hyperlink>
    </w:p>
    <w:p w14:paraId="6D2F9212" w14:textId="5FC193AD"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1" w:history="1">
        <w:r w:rsidRPr="00BC7829">
          <w:rPr>
            <w:rStyle w:val="Hyperlink"/>
            <w:noProof/>
          </w:rPr>
          <w:t>6.3.1 Effective Research Practices</w:t>
        </w:r>
        <w:r>
          <w:rPr>
            <w:noProof/>
            <w:webHidden/>
          </w:rPr>
          <w:tab/>
        </w:r>
        <w:r>
          <w:rPr>
            <w:noProof/>
            <w:webHidden/>
          </w:rPr>
          <w:fldChar w:fldCharType="begin"/>
        </w:r>
        <w:r>
          <w:rPr>
            <w:noProof/>
            <w:webHidden/>
          </w:rPr>
          <w:instrText xml:space="preserve"> PAGEREF _Toc237450261 \h </w:instrText>
        </w:r>
        <w:r>
          <w:rPr>
            <w:noProof/>
            <w:webHidden/>
          </w:rPr>
        </w:r>
        <w:r>
          <w:rPr>
            <w:noProof/>
            <w:webHidden/>
          </w:rPr>
          <w:fldChar w:fldCharType="separate"/>
        </w:r>
        <w:r>
          <w:rPr>
            <w:noProof/>
            <w:webHidden/>
          </w:rPr>
          <w:t>39</w:t>
        </w:r>
        <w:r>
          <w:rPr>
            <w:noProof/>
            <w:webHidden/>
          </w:rPr>
          <w:fldChar w:fldCharType="end"/>
        </w:r>
      </w:hyperlink>
    </w:p>
    <w:p w14:paraId="5503AA15" w14:textId="5EAC321D"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2" w:history="1">
        <w:r w:rsidRPr="00BC7829">
          <w:rPr>
            <w:rStyle w:val="Hyperlink"/>
            <w:noProof/>
          </w:rPr>
          <w:t>6.3.2 Weaknesses and Difficulties</w:t>
        </w:r>
        <w:r>
          <w:rPr>
            <w:noProof/>
            <w:webHidden/>
          </w:rPr>
          <w:tab/>
        </w:r>
        <w:r>
          <w:rPr>
            <w:noProof/>
            <w:webHidden/>
          </w:rPr>
          <w:fldChar w:fldCharType="begin"/>
        </w:r>
        <w:r>
          <w:rPr>
            <w:noProof/>
            <w:webHidden/>
          </w:rPr>
          <w:instrText xml:space="preserve"> PAGEREF _Toc237450262 \h </w:instrText>
        </w:r>
        <w:r>
          <w:rPr>
            <w:noProof/>
            <w:webHidden/>
          </w:rPr>
        </w:r>
        <w:r>
          <w:rPr>
            <w:noProof/>
            <w:webHidden/>
          </w:rPr>
          <w:fldChar w:fldCharType="separate"/>
        </w:r>
        <w:r>
          <w:rPr>
            <w:noProof/>
            <w:webHidden/>
          </w:rPr>
          <w:t>39</w:t>
        </w:r>
        <w:r>
          <w:rPr>
            <w:noProof/>
            <w:webHidden/>
          </w:rPr>
          <w:fldChar w:fldCharType="end"/>
        </w:r>
      </w:hyperlink>
    </w:p>
    <w:p w14:paraId="08A0D70D" w14:textId="673B40A5"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3" w:history="1">
        <w:r w:rsidRPr="00BC7829">
          <w:rPr>
            <w:rStyle w:val="Hyperlink"/>
            <w:noProof/>
          </w:rPr>
          <w:t>6.4 Analysis of Learning</w:t>
        </w:r>
        <w:r>
          <w:rPr>
            <w:noProof/>
            <w:webHidden/>
          </w:rPr>
          <w:tab/>
        </w:r>
        <w:r>
          <w:rPr>
            <w:noProof/>
            <w:webHidden/>
          </w:rPr>
          <w:fldChar w:fldCharType="begin"/>
        </w:r>
        <w:r>
          <w:rPr>
            <w:noProof/>
            <w:webHidden/>
          </w:rPr>
          <w:instrText xml:space="preserve"> PAGEREF _Toc237450263 \h </w:instrText>
        </w:r>
        <w:r>
          <w:rPr>
            <w:noProof/>
            <w:webHidden/>
          </w:rPr>
        </w:r>
        <w:r>
          <w:rPr>
            <w:noProof/>
            <w:webHidden/>
          </w:rPr>
          <w:fldChar w:fldCharType="separate"/>
        </w:r>
        <w:r>
          <w:rPr>
            <w:noProof/>
            <w:webHidden/>
          </w:rPr>
          <w:t>40</w:t>
        </w:r>
        <w:r>
          <w:rPr>
            <w:noProof/>
            <w:webHidden/>
          </w:rPr>
          <w:fldChar w:fldCharType="end"/>
        </w:r>
      </w:hyperlink>
    </w:p>
    <w:p w14:paraId="1D66C506" w14:textId="3DF6B137"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4" w:history="1">
        <w:r w:rsidRPr="00BC7829">
          <w:rPr>
            <w:rStyle w:val="Hyperlink"/>
            <w:noProof/>
          </w:rPr>
          <w:t>6.4.1 Application of Course Theories</w:t>
        </w:r>
        <w:r>
          <w:rPr>
            <w:noProof/>
            <w:webHidden/>
          </w:rPr>
          <w:tab/>
        </w:r>
        <w:r>
          <w:rPr>
            <w:noProof/>
            <w:webHidden/>
          </w:rPr>
          <w:fldChar w:fldCharType="begin"/>
        </w:r>
        <w:r>
          <w:rPr>
            <w:noProof/>
            <w:webHidden/>
          </w:rPr>
          <w:instrText xml:space="preserve"> PAGEREF _Toc237450264 \h </w:instrText>
        </w:r>
        <w:r>
          <w:rPr>
            <w:noProof/>
            <w:webHidden/>
          </w:rPr>
        </w:r>
        <w:r>
          <w:rPr>
            <w:noProof/>
            <w:webHidden/>
          </w:rPr>
          <w:fldChar w:fldCharType="separate"/>
        </w:r>
        <w:r>
          <w:rPr>
            <w:noProof/>
            <w:webHidden/>
          </w:rPr>
          <w:t>40</w:t>
        </w:r>
        <w:r>
          <w:rPr>
            <w:noProof/>
            <w:webHidden/>
          </w:rPr>
          <w:fldChar w:fldCharType="end"/>
        </w:r>
      </w:hyperlink>
    </w:p>
    <w:p w14:paraId="0AA12C9B" w14:textId="35A2A240"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5" w:history="1">
        <w:r w:rsidRPr="00BC7829">
          <w:rPr>
            <w:rStyle w:val="Hyperlink"/>
            <w:noProof/>
          </w:rPr>
          <w:t>6.4.2 Development of Critical Analysis</w:t>
        </w:r>
        <w:r>
          <w:rPr>
            <w:noProof/>
            <w:webHidden/>
          </w:rPr>
          <w:tab/>
        </w:r>
        <w:r>
          <w:rPr>
            <w:noProof/>
            <w:webHidden/>
          </w:rPr>
          <w:fldChar w:fldCharType="begin"/>
        </w:r>
        <w:r>
          <w:rPr>
            <w:noProof/>
            <w:webHidden/>
          </w:rPr>
          <w:instrText xml:space="preserve"> PAGEREF _Toc237450265 \h </w:instrText>
        </w:r>
        <w:r>
          <w:rPr>
            <w:noProof/>
            <w:webHidden/>
          </w:rPr>
        </w:r>
        <w:r>
          <w:rPr>
            <w:noProof/>
            <w:webHidden/>
          </w:rPr>
          <w:fldChar w:fldCharType="separate"/>
        </w:r>
        <w:r>
          <w:rPr>
            <w:noProof/>
            <w:webHidden/>
          </w:rPr>
          <w:t>40</w:t>
        </w:r>
        <w:r>
          <w:rPr>
            <w:noProof/>
            <w:webHidden/>
          </w:rPr>
          <w:fldChar w:fldCharType="end"/>
        </w:r>
      </w:hyperlink>
    </w:p>
    <w:p w14:paraId="6438FD57" w14:textId="2ADAA4A5" w:rsidR="00E5422E" w:rsidRDefault="00E5422E">
      <w:pPr>
        <w:pStyle w:val="TOC3"/>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6" w:history="1">
        <w:r w:rsidRPr="00BC7829">
          <w:rPr>
            <w:rStyle w:val="Hyperlink"/>
            <w:noProof/>
          </w:rPr>
          <w:t>6.4.3 Integration of Theory and Evidence</w:t>
        </w:r>
        <w:r>
          <w:rPr>
            <w:noProof/>
            <w:webHidden/>
          </w:rPr>
          <w:tab/>
        </w:r>
        <w:r>
          <w:rPr>
            <w:noProof/>
            <w:webHidden/>
          </w:rPr>
          <w:fldChar w:fldCharType="begin"/>
        </w:r>
        <w:r>
          <w:rPr>
            <w:noProof/>
            <w:webHidden/>
          </w:rPr>
          <w:instrText xml:space="preserve"> PAGEREF _Toc237450266 \h </w:instrText>
        </w:r>
        <w:r>
          <w:rPr>
            <w:noProof/>
            <w:webHidden/>
          </w:rPr>
        </w:r>
        <w:r>
          <w:rPr>
            <w:noProof/>
            <w:webHidden/>
          </w:rPr>
          <w:fldChar w:fldCharType="separate"/>
        </w:r>
        <w:r>
          <w:rPr>
            <w:noProof/>
            <w:webHidden/>
          </w:rPr>
          <w:t>41</w:t>
        </w:r>
        <w:r>
          <w:rPr>
            <w:noProof/>
            <w:webHidden/>
          </w:rPr>
          <w:fldChar w:fldCharType="end"/>
        </w:r>
      </w:hyperlink>
    </w:p>
    <w:p w14:paraId="795BD3EF" w14:textId="0CFB954F"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7" w:history="1">
        <w:r w:rsidRPr="00BC7829">
          <w:rPr>
            <w:rStyle w:val="Hyperlink"/>
            <w:noProof/>
          </w:rPr>
          <w:t>6.5 Conclusion of the Reflection</w:t>
        </w:r>
        <w:r>
          <w:rPr>
            <w:noProof/>
            <w:webHidden/>
          </w:rPr>
          <w:tab/>
        </w:r>
        <w:r>
          <w:rPr>
            <w:noProof/>
            <w:webHidden/>
          </w:rPr>
          <w:fldChar w:fldCharType="begin"/>
        </w:r>
        <w:r>
          <w:rPr>
            <w:noProof/>
            <w:webHidden/>
          </w:rPr>
          <w:instrText xml:space="preserve"> PAGEREF _Toc237450267 \h </w:instrText>
        </w:r>
        <w:r>
          <w:rPr>
            <w:noProof/>
            <w:webHidden/>
          </w:rPr>
        </w:r>
        <w:r>
          <w:rPr>
            <w:noProof/>
            <w:webHidden/>
          </w:rPr>
          <w:fldChar w:fldCharType="separate"/>
        </w:r>
        <w:r>
          <w:rPr>
            <w:noProof/>
            <w:webHidden/>
          </w:rPr>
          <w:t>41</w:t>
        </w:r>
        <w:r>
          <w:rPr>
            <w:noProof/>
            <w:webHidden/>
          </w:rPr>
          <w:fldChar w:fldCharType="end"/>
        </w:r>
      </w:hyperlink>
    </w:p>
    <w:p w14:paraId="52DE7627" w14:textId="3E17C73B" w:rsidR="00E5422E" w:rsidRDefault="00E5422E">
      <w:pPr>
        <w:pStyle w:val="TOC2"/>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8" w:history="1">
        <w:r w:rsidRPr="00BC7829">
          <w:rPr>
            <w:rStyle w:val="Hyperlink"/>
            <w:noProof/>
          </w:rPr>
          <w:t>6.6 Action Plan</w:t>
        </w:r>
        <w:r>
          <w:rPr>
            <w:noProof/>
            <w:webHidden/>
          </w:rPr>
          <w:tab/>
        </w:r>
        <w:r>
          <w:rPr>
            <w:noProof/>
            <w:webHidden/>
          </w:rPr>
          <w:fldChar w:fldCharType="begin"/>
        </w:r>
        <w:r>
          <w:rPr>
            <w:noProof/>
            <w:webHidden/>
          </w:rPr>
          <w:instrText xml:space="preserve"> PAGEREF _Toc237450268 \h </w:instrText>
        </w:r>
        <w:r>
          <w:rPr>
            <w:noProof/>
            <w:webHidden/>
          </w:rPr>
        </w:r>
        <w:r>
          <w:rPr>
            <w:noProof/>
            <w:webHidden/>
          </w:rPr>
          <w:fldChar w:fldCharType="separate"/>
        </w:r>
        <w:r>
          <w:rPr>
            <w:noProof/>
            <w:webHidden/>
          </w:rPr>
          <w:t>41</w:t>
        </w:r>
        <w:r>
          <w:rPr>
            <w:noProof/>
            <w:webHidden/>
          </w:rPr>
          <w:fldChar w:fldCharType="end"/>
        </w:r>
      </w:hyperlink>
    </w:p>
    <w:p w14:paraId="3B679999" w14:textId="4C1366AB" w:rsidR="00E5422E" w:rsidRDefault="00E5422E">
      <w:pPr>
        <w:pStyle w:val="TOC1"/>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69" w:history="1">
        <w:r w:rsidRPr="00BC7829">
          <w:rPr>
            <w:rStyle w:val="Hyperlink"/>
            <w:noProof/>
          </w:rPr>
          <w:t>References</w:t>
        </w:r>
        <w:r>
          <w:rPr>
            <w:noProof/>
            <w:webHidden/>
          </w:rPr>
          <w:tab/>
        </w:r>
        <w:r>
          <w:rPr>
            <w:noProof/>
            <w:webHidden/>
          </w:rPr>
          <w:fldChar w:fldCharType="begin"/>
        </w:r>
        <w:r>
          <w:rPr>
            <w:noProof/>
            <w:webHidden/>
          </w:rPr>
          <w:instrText xml:space="preserve"> PAGEREF _Toc237450269 \h </w:instrText>
        </w:r>
        <w:r>
          <w:rPr>
            <w:noProof/>
            <w:webHidden/>
          </w:rPr>
        </w:r>
        <w:r>
          <w:rPr>
            <w:noProof/>
            <w:webHidden/>
          </w:rPr>
          <w:fldChar w:fldCharType="separate"/>
        </w:r>
        <w:r>
          <w:rPr>
            <w:noProof/>
            <w:webHidden/>
          </w:rPr>
          <w:t>43</w:t>
        </w:r>
        <w:r>
          <w:rPr>
            <w:noProof/>
            <w:webHidden/>
          </w:rPr>
          <w:fldChar w:fldCharType="end"/>
        </w:r>
      </w:hyperlink>
    </w:p>
    <w:p w14:paraId="5B8616B2" w14:textId="328E87FF" w:rsidR="005761B1" w:rsidRPr="00476B5C" w:rsidRDefault="005761B1">
      <w:pPr>
        <w:rPr>
          <w:b/>
          <w:bCs/>
          <w:sz w:val="28"/>
          <w:szCs w:val="28"/>
        </w:rPr>
      </w:pPr>
      <w:r>
        <w:rPr>
          <w:b/>
          <w:bCs/>
          <w:sz w:val="28"/>
          <w:szCs w:val="28"/>
        </w:rPr>
        <w:fldChar w:fldCharType="end"/>
      </w:r>
    </w:p>
    <w:p w14:paraId="67D17B32" w14:textId="5683AED1" w:rsidR="003C646A" w:rsidRDefault="003C646A" w:rsidP="003C646A"/>
    <w:p w14:paraId="14D67985" w14:textId="77777777" w:rsidR="00A006F3" w:rsidRDefault="00A006F3" w:rsidP="003C646A"/>
    <w:p w14:paraId="56C8AEB8" w14:textId="77777777" w:rsidR="005414BF" w:rsidRDefault="005414BF" w:rsidP="003C646A">
      <w:pPr>
        <w:rPr>
          <w:b/>
          <w:bCs/>
          <w:sz w:val="28"/>
          <w:szCs w:val="28"/>
        </w:rPr>
      </w:pPr>
    </w:p>
    <w:p w14:paraId="1D458359" w14:textId="5C55F5F5" w:rsidR="005414BF" w:rsidRDefault="005414BF">
      <w:pPr>
        <w:spacing w:line="278" w:lineRule="auto"/>
        <w:jc w:val="left"/>
        <w:rPr>
          <w:b/>
          <w:bCs/>
          <w:sz w:val="28"/>
          <w:szCs w:val="28"/>
        </w:rPr>
      </w:pPr>
      <w:r>
        <w:rPr>
          <w:b/>
          <w:bCs/>
          <w:sz w:val="28"/>
          <w:szCs w:val="28"/>
        </w:rPr>
        <w:br w:type="page"/>
      </w:r>
    </w:p>
    <w:p w14:paraId="26E8F4D3" w14:textId="6D16184A" w:rsidR="003C646A" w:rsidRDefault="003C646A" w:rsidP="003C646A">
      <w:pPr>
        <w:rPr>
          <w:b/>
          <w:bCs/>
          <w:sz w:val="28"/>
          <w:szCs w:val="28"/>
        </w:rPr>
      </w:pPr>
      <w:r w:rsidRPr="003C646A">
        <w:rPr>
          <w:b/>
          <w:bCs/>
          <w:sz w:val="28"/>
          <w:szCs w:val="28"/>
        </w:rPr>
        <w:lastRenderedPageBreak/>
        <w:t>List of Tables</w:t>
      </w:r>
    </w:p>
    <w:p w14:paraId="30C9DCCF" w14:textId="6D5431DB" w:rsidR="00E5422E" w:rsidRDefault="005761B1">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r>
        <w:rPr>
          <w:b/>
          <w:bCs/>
          <w:sz w:val="28"/>
          <w:szCs w:val="28"/>
        </w:rPr>
        <w:fldChar w:fldCharType="begin"/>
      </w:r>
      <w:r>
        <w:rPr>
          <w:b/>
          <w:bCs/>
          <w:sz w:val="28"/>
          <w:szCs w:val="28"/>
        </w:rPr>
        <w:instrText xml:space="preserve"> TOC \h \z \c "Table" </w:instrText>
      </w:r>
      <w:r>
        <w:rPr>
          <w:b/>
          <w:bCs/>
          <w:sz w:val="28"/>
          <w:szCs w:val="28"/>
        </w:rPr>
        <w:fldChar w:fldCharType="separate"/>
      </w:r>
      <w:hyperlink w:anchor="_Toc237450270" w:history="1">
        <w:r w:rsidR="00E5422E" w:rsidRPr="00165D88">
          <w:rPr>
            <w:rStyle w:val="Hyperlink"/>
            <w:noProof/>
          </w:rPr>
          <w:t>Table 1</w:t>
        </w:r>
        <w:r w:rsidR="00E5422E" w:rsidRPr="00165D88">
          <w:rPr>
            <w:rStyle w:val="Hyperlink"/>
            <w:noProof/>
            <w:lang w:val="en-US"/>
          </w:rPr>
          <w:t>: Weighted Market Attractiveness Assessment for Walmart’s Entry</w:t>
        </w:r>
        <w:r w:rsidR="00E5422E">
          <w:rPr>
            <w:noProof/>
            <w:webHidden/>
          </w:rPr>
          <w:tab/>
        </w:r>
        <w:r w:rsidR="00E5422E">
          <w:rPr>
            <w:noProof/>
            <w:webHidden/>
          </w:rPr>
          <w:fldChar w:fldCharType="begin"/>
        </w:r>
        <w:r w:rsidR="00E5422E">
          <w:rPr>
            <w:noProof/>
            <w:webHidden/>
          </w:rPr>
          <w:instrText xml:space="preserve"> PAGEREF _Toc237450270 \h </w:instrText>
        </w:r>
        <w:r w:rsidR="00E5422E">
          <w:rPr>
            <w:noProof/>
            <w:webHidden/>
          </w:rPr>
        </w:r>
        <w:r w:rsidR="00E5422E">
          <w:rPr>
            <w:noProof/>
            <w:webHidden/>
          </w:rPr>
          <w:fldChar w:fldCharType="separate"/>
        </w:r>
        <w:r w:rsidR="00E5422E">
          <w:rPr>
            <w:noProof/>
            <w:webHidden/>
          </w:rPr>
          <w:t>26</w:t>
        </w:r>
        <w:r w:rsidR="00E5422E">
          <w:rPr>
            <w:noProof/>
            <w:webHidden/>
          </w:rPr>
          <w:fldChar w:fldCharType="end"/>
        </w:r>
      </w:hyperlink>
    </w:p>
    <w:p w14:paraId="4B28BE26" w14:textId="3680DD3A" w:rsidR="00E5422E" w:rsidRDefault="00E5422E">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1" w:history="1">
        <w:r w:rsidRPr="00165D88">
          <w:rPr>
            <w:rStyle w:val="Hyperlink"/>
            <w:noProof/>
          </w:rPr>
          <w:t>Table 2</w:t>
        </w:r>
        <w:r w:rsidRPr="00165D88">
          <w:rPr>
            <w:rStyle w:val="Hyperlink"/>
            <w:noProof/>
            <w:lang w:val="en-US"/>
          </w:rPr>
          <w:t>: Comparative Evaluation of Walmart’s New Zealand Entry Modes</w:t>
        </w:r>
        <w:r>
          <w:rPr>
            <w:noProof/>
            <w:webHidden/>
          </w:rPr>
          <w:tab/>
        </w:r>
        <w:r>
          <w:rPr>
            <w:noProof/>
            <w:webHidden/>
          </w:rPr>
          <w:fldChar w:fldCharType="begin"/>
        </w:r>
        <w:r>
          <w:rPr>
            <w:noProof/>
            <w:webHidden/>
          </w:rPr>
          <w:instrText xml:space="preserve"> PAGEREF _Toc237450271 \h </w:instrText>
        </w:r>
        <w:r>
          <w:rPr>
            <w:noProof/>
            <w:webHidden/>
          </w:rPr>
        </w:r>
        <w:r>
          <w:rPr>
            <w:noProof/>
            <w:webHidden/>
          </w:rPr>
          <w:fldChar w:fldCharType="separate"/>
        </w:r>
        <w:r>
          <w:rPr>
            <w:noProof/>
            <w:webHidden/>
          </w:rPr>
          <w:t>37</w:t>
        </w:r>
        <w:r>
          <w:rPr>
            <w:noProof/>
            <w:webHidden/>
          </w:rPr>
          <w:fldChar w:fldCharType="end"/>
        </w:r>
      </w:hyperlink>
    </w:p>
    <w:p w14:paraId="7513A68C" w14:textId="74FC78E2" w:rsidR="00E5422E" w:rsidRDefault="00E5422E">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2" w:history="1">
        <w:r w:rsidRPr="00165D88">
          <w:rPr>
            <w:rStyle w:val="Hyperlink"/>
            <w:noProof/>
          </w:rPr>
          <w:t>Table 3</w:t>
        </w:r>
        <w:r w:rsidRPr="00165D88">
          <w:rPr>
            <w:rStyle w:val="Hyperlink"/>
            <w:noProof/>
            <w:lang w:val="en-US"/>
          </w:rPr>
          <w:t>: Personal Research and Analytical Development Action Plan</w:t>
        </w:r>
        <w:r>
          <w:rPr>
            <w:noProof/>
            <w:webHidden/>
          </w:rPr>
          <w:tab/>
        </w:r>
        <w:r>
          <w:rPr>
            <w:noProof/>
            <w:webHidden/>
          </w:rPr>
          <w:fldChar w:fldCharType="begin"/>
        </w:r>
        <w:r>
          <w:rPr>
            <w:noProof/>
            <w:webHidden/>
          </w:rPr>
          <w:instrText xml:space="preserve"> PAGEREF _Toc237450272 \h </w:instrText>
        </w:r>
        <w:r>
          <w:rPr>
            <w:noProof/>
            <w:webHidden/>
          </w:rPr>
        </w:r>
        <w:r>
          <w:rPr>
            <w:noProof/>
            <w:webHidden/>
          </w:rPr>
          <w:fldChar w:fldCharType="separate"/>
        </w:r>
        <w:r>
          <w:rPr>
            <w:noProof/>
            <w:webHidden/>
          </w:rPr>
          <w:t>42</w:t>
        </w:r>
        <w:r>
          <w:rPr>
            <w:noProof/>
            <w:webHidden/>
          </w:rPr>
          <w:fldChar w:fldCharType="end"/>
        </w:r>
      </w:hyperlink>
    </w:p>
    <w:p w14:paraId="68D78B5E" w14:textId="5619A488" w:rsidR="003C646A" w:rsidRPr="003C646A" w:rsidRDefault="005761B1" w:rsidP="003C646A">
      <w:pPr>
        <w:rPr>
          <w:b/>
          <w:bCs/>
          <w:sz w:val="28"/>
          <w:szCs w:val="28"/>
        </w:rPr>
      </w:pPr>
      <w:r>
        <w:rPr>
          <w:b/>
          <w:bCs/>
          <w:sz w:val="28"/>
          <w:szCs w:val="28"/>
        </w:rPr>
        <w:fldChar w:fldCharType="end"/>
      </w:r>
    </w:p>
    <w:p w14:paraId="4E35620A" w14:textId="2680897C" w:rsidR="003C646A" w:rsidRDefault="003C646A" w:rsidP="003C646A">
      <w:pPr>
        <w:rPr>
          <w:rStyle w:val="Strong"/>
          <w:sz w:val="28"/>
          <w:szCs w:val="28"/>
        </w:rPr>
      </w:pPr>
      <w:r w:rsidRPr="003C646A">
        <w:rPr>
          <w:rStyle w:val="Strong"/>
          <w:sz w:val="28"/>
          <w:szCs w:val="28"/>
        </w:rPr>
        <w:t xml:space="preserve">List of Figures </w:t>
      </w:r>
    </w:p>
    <w:p w14:paraId="1C254EA6" w14:textId="22A5BFDE" w:rsidR="001A6BE6" w:rsidRDefault="005761B1">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r>
        <w:rPr>
          <w:rStyle w:val="Strong"/>
          <w:sz w:val="28"/>
          <w:szCs w:val="28"/>
        </w:rPr>
        <w:fldChar w:fldCharType="begin"/>
      </w:r>
      <w:r>
        <w:rPr>
          <w:rStyle w:val="Strong"/>
          <w:sz w:val="28"/>
          <w:szCs w:val="28"/>
        </w:rPr>
        <w:instrText xml:space="preserve"> TOC \h \z \c "Figure" </w:instrText>
      </w:r>
      <w:r>
        <w:rPr>
          <w:rStyle w:val="Strong"/>
          <w:sz w:val="28"/>
          <w:szCs w:val="28"/>
        </w:rPr>
        <w:fldChar w:fldCharType="separate"/>
      </w:r>
      <w:hyperlink w:anchor="_Toc237450273" w:history="1">
        <w:r w:rsidR="001A6BE6" w:rsidRPr="00F8259A">
          <w:rPr>
            <w:rStyle w:val="Hyperlink"/>
            <w:noProof/>
          </w:rPr>
          <w:t>Figure 1</w:t>
        </w:r>
        <w:r w:rsidR="001A6BE6" w:rsidRPr="00F8259A">
          <w:rPr>
            <w:rStyle w:val="Hyperlink"/>
            <w:noProof/>
            <w:lang w:val="en-US"/>
          </w:rPr>
          <w:t>: Walmart Logo</w:t>
        </w:r>
        <w:r w:rsidR="001A6BE6">
          <w:rPr>
            <w:noProof/>
            <w:webHidden/>
          </w:rPr>
          <w:tab/>
        </w:r>
        <w:r w:rsidR="001A6BE6">
          <w:rPr>
            <w:noProof/>
            <w:webHidden/>
          </w:rPr>
          <w:fldChar w:fldCharType="begin"/>
        </w:r>
        <w:r w:rsidR="001A6BE6">
          <w:rPr>
            <w:noProof/>
            <w:webHidden/>
          </w:rPr>
          <w:instrText xml:space="preserve"> PAGEREF _Toc237450273 \h </w:instrText>
        </w:r>
        <w:r w:rsidR="001A6BE6">
          <w:rPr>
            <w:noProof/>
            <w:webHidden/>
          </w:rPr>
        </w:r>
        <w:r w:rsidR="001A6BE6">
          <w:rPr>
            <w:noProof/>
            <w:webHidden/>
          </w:rPr>
          <w:fldChar w:fldCharType="separate"/>
        </w:r>
        <w:r w:rsidR="001A6BE6">
          <w:rPr>
            <w:noProof/>
            <w:webHidden/>
          </w:rPr>
          <w:t>8</w:t>
        </w:r>
        <w:r w:rsidR="001A6BE6">
          <w:rPr>
            <w:noProof/>
            <w:webHidden/>
          </w:rPr>
          <w:fldChar w:fldCharType="end"/>
        </w:r>
      </w:hyperlink>
    </w:p>
    <w:p w14:paraId="5E46EF8C" w14:textId="03E76338"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4" w:history="1">
        <w:r w:rsidRPr="00F8259A">
          <w:rPr>
            <w:rStyle w:val="Hyperlink"/>
            <w:noProof/>
          </w:rPr>
          <w:t>Figure 2</w:t>
        </w:r>
        <w:r w:rsidRPr="00F8259A">
          <w:rPr>
            <w:rStyle w:val="Hyperlink"/>
            <w:noProof/>
            <w:lang w:val="en-US"/>
          </w:rPr>
          <w:t>: Walmart’s Key Financial and Operational Performance Indicators</w:t>
        </w:r>
        <w:r>
          <w:rPr>
            <w:noProof/>
            <w:webHidden/>
          </w:rPr>
          <w:tab/>
        </w:r>
        <w:r>
          <w:rPr>
            <w:noProof/>
            <w:webHidden/>
          </w:rPr>
          <w:fldChar w:fldCharType="begin"/>
        </w:r>
        <w:r>
          <w:rPr>
            <w:noProof/>
            <w:webHidden/>
          </w:rPr>
          <w:instrText xml:space="preserve"> PAGEREF _Toc237450274 \h </w:instrText>
        </w:r>
        <w:r>
          <w:rPr>
            <w:noProof/>
            <w:webHidden/>
          </w:rPr>
        </w:r>
        <w:r>
          <w:rPr>
            <w:noProof/>
            <w:webHidden/>
          </w:rPr>
          <w:fldChar w:fldCharType="separate"/>
        </w:r>
        <w:r>
          <w:rPr>
            <w:noProof/>
            <w:webHidden/>
          </w:rPr>
          <w:t>9</w:t>
        </w:r>
        <w:r>
          <w:rPr>
            <w:noProof/>
            <w:webHidden/>
          </w:rPr>
          <w:fldChar w:fldCharType="end"/>
        </w:r>
      </w:hyperlink>
    </w:p>
    <w:p w14:paraId="6260C55E" w14:textId="0907F9FF"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5" w:history="1">
        <w:r w:rsidRPr="00F8259A">
          <w:rPr>
            <w:rStyle w:val="Hyperlink"/>
            <w:noProof/>
          </w:rPr>
          <w:t>Figure 3</w:t>
        </w:r>
        <w:r w:rsidRPr="00F8259A">
          <w:rPr>
            <w:rStyle w:val="Hyperlink"/>
            <w:noProof/>
            <w:lang w:val="en-US"/>
          </w:rPr>
          <w:t>: Bartlett and Ghoshal’s Typology of International Strategies</w:t>
        </w:r>
        <w:r>
          <w:rPr>
            <w:noProof/>
            <w:webHidden/>
          </w:rPr>
          <w:tab/>
        </w:r>
        <w:r>
          <w:rPr>
            <w:noProof/>
            <w:webHidden/>
          </w:rPr>
          <w:fldChar w:fldCharType="begin"/>
        </w:r>
        <w:r>
          <w:rPr>
            <w:noProof/>
            <w:webHidden/>
          </w:rPr>
          <w:instrText xml:space="preserve"> PAGEREF _Toc237450275 \h </w:instrText>
        </w:r>
        <w:r>
          <w:rPr>
            <w:noProof/>
            <w:webHidden/>
          </w:rPr>
        </w:r>
        <w:r>
          <w:rPr>
            <w:noProof/>
            <w:webHidden/>
          </w:rPr>
          <w:fldChar w:fldCharType="separate"/>
        </w:r>
        <w:r>
          <w:rPr>
            <w:noProof/>
            <w:webHidden/>
          </w:rPr>
          <w:t>10</w:t>
        </w:r>
        <w:r>
          <w:rPr>
            <w:noProof/>
            <w:webHidden/>
          </w:rPr>
          <w:fldChar w:fldCharType="end"/>
        </w:r>
      </w:hyperlink>
    </w:p>
    <w:p w14:paraId="35809C7D" w14:textId="0DBB6B49"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6" w:history="1">
        <w:r w:rsidRPr="00F8259A">
          <w:rPr>
            <w:rStyle w:val="Hyperlink"/>
            <w:noProof/>
          </w:rPr>
          <w:t>Figure 4</w:t>
        </w:r>
        <w:r w:rsidRPr="00F8259A">
          <w:rPr>
            <w:rStyle w:val="Hyperlink"/>
            <w:noProof/>
            <w:lang w:val="en-US"/>
          </w:rPr>
          <w:t>: Walmart’s Global Operational Presence</w:t>
        </w:r>
        <w:r>
          <w:rPr>
            <w:noProof/>
            <w:webHidden/>
          </w:rPr>
          <w:tab/>
        </w:r>
        <w:r>
          <w:rPr>
            <w:noProof/>
            <w:webHidden/>
          </w:rPr>
          <w:fldChar w:fldCharType="begin"/>
        </w:r>
        <w:r>
          <w:rPr>
            <w:noProof/>
            <w:webHidden/>
          </w:rPr>
          <w:instrText xml:space="preserve"> PAGEREF _Toc237450276 \h </w:instrText>
        </w:r>
        <w:r>
          <w:rPr>
            <w:noProof/>
            <w:webHidden/>
          </w:rPr>
        </w:r>
        <w:r>
          <w:rPr>
            <w:noProof/>
            <w:webHidden/>
          </w:rPr>
          <w:fldChar w:fldCharType="separate"/>
        </w:r>
        <w:r>
          <w:rPr>
            <w:noProof/>
            <w:webHidden/>
          </w:rPr>
          <w:t>11</w:t>
        </w:r>
        <w:r>
          <w:rPr>
            <w:noProof/>
            <w:webHidden/>
          </w:rPr>
          <w:fldChar w:fldCharType="end"/>
        </w:r>
      </w:hyperlink>
    </w:p>
    <w:p w14:paraId="22002C1F" w14:textId="6238AD82"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7" w:history="1">
        <w:r w:rsidRPr="00F8259A">
          <w:rPr>
            <w:rStyle w:val="Hyperlink"/>
            <w:noProof/>
          </w:rPr>
          <w:t>Figure 5</w:t>
        </w:r>
        <w:r w:rsidRPr="00F8259A">
          <w:rPr>
            <w:rStyle w:val="Hyperlink"/>
            <w:noProof/>
            <w:lang w:val="en-US"/>
          </w:rPr>
          <w:t>: Walmart’s Integrated Retail and Supply-Chain Information System</w:t>
        </w:r>
        <w:r>
          <w:rPr>
            <w:noProof/>
            <w:webHidden/>
          </w:rPr>
          <w:tab/>
        </w:r>
        <w:r>
          <w:rPr>
            <w:noProof/>
            <w:webHidden/>
          </w:rPr>
          <w:fldChar w:fldCharType="begin"/>
        </w:r>
        <w:r>
          <w:rPr>
            <w:noProof/>
            <w:webHidden/>
          </w:rPr>
          <w:instrText xml:space="preserve"> PAGEREF _Toc237450277 \h </w:instrText>
        </w:r>
        <w:r>
          <w:rPr>
            <w:noProof/>
            <w:webHidden/>
          </w:rPr>
        </w:r>
        <w:r>
          <w:rPr>
            <w:noProof/>
            <w:webHidden/>
          </w:rPr>
          <w:fldChar w:fldCharType="separate"/>
        </w:r>
        <w:r>
          <w:rPr>
            <w:noProof/>
            <w:webHidden/>
          </w:rPr>
          <w:t>13</w:t>
        </w:r>
        <w:r>
          <w:rPr>
            <w:noProof/>
            <w:webHidden/>
          </w:rPr>
          <w:fldChar w:fldCharType="end"/>
        </w:r>
      </w:hyperlink>
    </w:p>
    <w:p w14:paraId="7BA96A63" w14:textId="74F0FEA5"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8" w:history="1">
        <w:r w:rsidRPr="00F8259A">
          <w:rPr>
            <w:rStyle w:val="Hyperlink"/>
            <w:noProof/>
          </w:rPr>
          <w:t>Figure 6</w:t>
        </w:r>
        <w:r w:rsidRPr="00F8259A">
          <w:rPr>
            <w:rStyle w:val="Hyperlink"/>
            <w:noProof/>
            <w:lang w:val="en-US"/>
          </w:rPr>
          <w:t>: New Zealand’s Governance Performance Indicators, 2020–2024</w:t>
        </w:r>
        <w:r>
          <w:rPr>
            <w:noProof/>
            <w:webHidden/>
          </w:rPr>
          <w:tab/>
        </w:r>
        <w:r>
          <w:rPr>
            <w:noProof/>
            <w:webHidden/>
          </w:rPr>
          <w:fldChar w:fldCharType="begin"/>
        </w:r>
        <w:r>
          <w:rPr>
            <w:noProof/>
            <w:webHidden/>
          </w:rPr>
          <w:instrText xml:space="preserve"> PAGEREF _Toc237450278 \h </w:instrText>
        </w:r>
        <w:r>
          <w:rPr>
            <w:noProof/>
            <w:webHidden/>
          </w:rPr>
        </w:r>
        <w:r>
          <w:rPr>
            <w:noProof/>
            <w:webHidden/>
          </w:rPr>
          <w:fldChar w:fldCharType="separate"/>
        </w:r>
        <w:r>
          <w:rPr>
            <w:noProof/>
            <w:webHidden/>
          </w:rPr>
          <w:t>14</w:t>
        </w:r>
        <w:r>
          <w:rPr>
            <w:noProof/>
            <w:webHidden/>
          </w:rPr>
          <w:fldChar w:fldCharType="end"/>
        </w:r>
      </w:hyperlink>
    </w:p>
    <w:p w14:paraId="2D6362F5" w14:textId="023ABEBB"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79" w:history="1">
        <w:r w:rsidRPr="00F8259A">
          <w:rPr>
            <w:rStyle w:val="Hyperlink"/>
            <w:noProof/>
          </w:rPr>
          <w:t>Figure 7</w:t>
        </w:r>
        <w:r w:rsidRPr="00F8259A">
          <w:rPr>
            <w:rStyle w:val="Hyperlink"/>
            <w:noProof/>
            <w:lang w:val="en-US"/>
          </w:rPr>
          <w:t>: New Zealand Grocery Market Concentration</w:t>
        </w:r>
        <w:r>
          <w:rPr>
            <w:noProof/>
            <w:webHidden/>
          </w:rPr>
          <w:tab/>
        </w:r>
        <w:r>
          <w:rPr>
            <w:noProof/>
            <w:webHidden/>
          </w:rPr>
          <w:fldChar w:fldCharType="begin"/>
        </w:r>
        <w:r>
          <w:rPr>
            <w:noProof/>
            <w:webHidden/>
          </w:rPr>
          <w:instrText xml:space="preserve"> PAGEREF _Toc237450279 \h </w:instrText>
        </w:r>
        <w:r>
          <w:rPr>
            <w:noProof/>
            <w:webHidden/>
          </w:rPr>
        </w:r>
        <w:r>
          <w:rPr>
            <w:noProof/>
            <w:webHidden/>
          </w:rPr>
          <w:fldChar w:fldCharType="separate"/>
        </w:r>
        <w:r>
          <w:rPr>
            <w:noProof/>
            <w:webHidden/>
          </w:rPr>
          <w:t>15</w:t>
        </w:r>
        <w:r>
          <w:rPr>
            <w:noProof/>
            <w:webHidden/>
          </w:rPr>
          <w:fldChar w:fldCharType="end"/>
        </w:r>
      </w:hyperlink>
    </w:p>
    <w:p w14:paraId="58D828BE" w14:textId="267C0FAB"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0" w:history="1">
        <w:r w:rsidRPr="00F8259A">
          <w:rPr>
            <w:rStyle w:val="Hyperlink"/>
            <w:noProof/>
          </w:rPr>
          <w:t>Figure 8</w:t>
        </w:r>
        <w:r w:rsidRPr="00F8259A">
          <w:rPr>
            <w:rStyle w:val="Hyperlink"/>
            <w:noProof/>
            <w:lang w:val="en-US"/>
          </w:rPr>
          <w:t>: New Zealand Population Estimates</w:t>
        </w:r>
        <w:r>
          <w:rPr>
            <w:noProof/>
            <w:webHidden/>
          </w:rPr>
          <w:tab/>
        </w:r>
        <w:r>
          <w:rPr>
            <w:noProof/>
            <w:webHidden/>
          </w:rPr>
          <w:fldChar w:fldCharType="begin"/>
        </w:r>
        <w:r>
          <w:rPr>
            <w:noProof/>
            <w:webHidden/>
          </w:rPr>
          <w:instrText xml:space="preserve"> PAGEREF _Toc237450280 \h </w:instrText>
        </w:r>
        <w:r>
          <w:rPr>
            <w:noProof/>
            <w:webHidden/>
          </w:rPr>
        </w:r>
        <w:r>
          <w:rPr>
            <w:noProof/>
            <w:webHidden/>
          </w:rPr>
          <w:fldChar w:fldCharType="separate"/>
        </w:r>
        <w:r>
          <w:rPr>
            <w:noProof/>
            <w:webHidden/>
          </w:rPr>
          <w:t>16</w:t>
        </w:r>
        <w:r>
          <w:rPr>
            <w:noProof/>
            <w:webHidden/>
          </w:rPr>
          <w:fldChar w:fldCharType="end"/>
        </w:r>
      </w:hyperlink>
    </w:p>
    <w:p w14:paraId="779FF5C2" w14:textId="4CEDE481"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1" w:history="1">
        <w:r w:rsidRPr="00F8259A">
          <w:rPr>
            <w:rStyle w:val="Hyperlink"/>
            <w:noProof/>
          </w:rPr>
          <w:t>Figure 9</w:t>
        </w:r>
        <w:r w:rsidRPr="00F8259A">
          <w:rPr>
            <w:rStyle w:val="Hyperlink"/>
            <w:noProof/>
            <w:lang w:val="en-US"/>
          </w:rPr>
          <w:t>:New Zealand Grocery Market Share, 2020–2025</w:t>
        </w:r>
        <w:r>
          <w:rPr>
            <w:noProof/>
            <w:webHidden/>
          </w:rPr>
          <w:tab/>
        </w:r>
        <w:r>
          <w:rPr>
            <w:noProof/>
            <w:webHidden/>
          </w:rPr>
          <w:fldChar w:fldCharType="begin"/>
        </w:r>
        <w:r>
          <w:rPr>
            <w:noProof/>
            <w:webHidden/>
          </w:rPr>
          <w:instrText xml:space="preserve"> PAGEREF _Toc237450281 \h </w:instrText>
        </w:r>
        <w:r>
          <w:rPr>
            <w:noProof/>
            <w:webHidden/>
          </w:rPr>
        </w:r>
        <w:r>
          <w:rPr>
            <w:noProof/>
            <w:webHidden/>
          </w:rPr>
          <w:fldChar w:fldCharType="separate"/>
        </w:r>
        <w:r>
          <w:rPr>
            <w:noProof/>
            <w:webHidden/>
          </w:rPr>
          <w:t>17</w:t>
        </w:r>
        <w:r>
          <w:rPr>
            <w:noProof/>
            <w:webHidden/>
          </w:rPr>
          <w:fldChar w:fldCharType="end"/>
        </w:r>
      </w:hyperlink>
    </w:p>
    <w:p w14:paraId="4EA41387" w14:textId="36E10399"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2" w:history="1">
        <w:r w:rsidRPr="00F8259A">
          <w:rPr>
            <w:rStyle w:val="Hyperlink"/>
            <w:noProof/>
          </w:rPr>
          <w:t>Figure 10</w:t>
        </w:r>
        <w:r w:rsidRPr="00F8259A">
          <w:rPr>
            <w:rStyle w:val="Hyperlink"/>
            <w:noProof/>
            <w:lang w:val="en-US"/>
          </w:rPr>
          <w:t>: New Zealand Minimum Wage Rates, 2022–2025</w:t>
        </w:r>
        <w:r>
          <w:rPr>
            <w:noProof/>
            <w:webHidden/>
          </w:rPr>
          <w:tab/>
        </w:r>
        <w:r>
          <w:rPr>
            <w:noProof/>
            <w:webHidden/>
          </w:rPr>
          <w:fldChar w:fldCharType="begin"/>
        </w:r>
        <w:r>
          <w:rPr>
            <w:noProof/>
            <w:webHidden/>
          </w:rPr>
          <w:instrText xml:space="preserve"> PAGEREF _Toc237450282 \h </w:instrText>
        </w:r>
        <w:r>
          <w:rPr>
            <w:noProof/>
            <w:webHidden/>
          </w:rPr>
        </w:r>
        <w:r>
          <w:rPr>
            <w:noProof/>
            <w:webHidden/>
          </w:rPr>
          <w:fldChar w:fldCharType="separate"/>
        </w:r>
        <w:r>
          <w:rPr>
            <w:noProof/>
            <w:webHidden/>
          </w:rPr>
          <w:t>18</w:t>
        </w:r>
        <w:r>
          <w:rPr>
            <w:noProof/>
            <w:webHidden/>
          </w:rPr>
          <w:fldChar w:fldCharType="end"/>
        </w:r>
      </w:hyperlink>
    </w:p>
    <w:p w14:paraId="078E0C38" w14:textId="7046792E"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3" w:history="1">
        <w:r w:rsidRPr="00F8259A">
          <w:rPr>
            <w:rStyle w:val="Hyperlink"/>
            <w:noProof/>
          </w:rPr>
          <w:t>Figure 11</w:t>
        </w:r>
        <w:r w:rsidRPr="00F8259A">
          <w:rPr>
            <w:rStyle w:val="Hyperlink"/>
            <w:noProof/>
            <w:lang w:val="en-US"/>
          </w:rPr>
          <w:t>: New Zealand Dollar–US Dollar Exchange Rate, 2024–2025</w:t>
        </w:r>
        <w:r>
          <w:rPr>
            <w:noProof/>
            <w:webHidden/>
          </w:rPr>
          <w:tab/>
        </w:r>
        <w:r>
          <w:rPr>
            <w:noProof/>
            <w:webHidden/>
          </w:rPr>
          <w:fldChar w:fldCharType="begin"/>
        </w:r>
        <w:r>
          <w:rPr>
            <w:noProof/>
            <w:webHidden/>
          </w:rPr>
          <w:instrText xml:space="preserve"> PAGEREF _Toc237450283 \h </w:instrText>
        </w:r>
        <w:r>
          <w:rPr>
            <w:noProof/>
            <w:webHidden/>
          </w:rPr>
        </w:r>
        <w:r>
          <w:rPr>
            <w:noProof/>
            <w:webHidden/>
          </w:rPr>
          <w:fldChar w:fldCharType="separate"/>
        </w:r>
        <w:r>
          <w:rPr>
            <w:noProof/>
            <w:webHidden/>
          </w:rPr>
          <w:t>19</w:t>
        </w:r>
        <w:r>
          <w:rPr>
            <w:noProof/>
            <w:webHidden/>
          </w:rPr>
          <w:fldChar w:fldCharType="end"/>
        </w:r>
      </w:hyperlink>
    </w:p>
    <w:p w14:paraId="6F778294" w14:textId="3A38077D"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4" w:history="1">
        <w:r w:rsidRPr="00F8259A">
          <w:rPr>
            <w:rStyle w:val="Hyperlink"/>
            <w:noProof/>
          </w:rPr>
          <w:t>Figure 12</w:t>
        </w:r>
        <w:r w:rsidRPr="00F8259A">
          <w:rPr>
            <w:rStyle w:val="Hyperlink"/>
            <w:noProof/>
            <w:lang w:val="en-US"/>
          </w:rPr>
          <w:t>: New Zealand Minimum Wage Increase in 2026</w:t>
        </w:r>
        <w:r>
          <w:rPr>
            <w:noProof/>
            <w:webHidden/>
          </w:rPr>
          <w:tab/>
        </w:r>
        <w:r>
          <w:rPr>
            <w:noProof/>
            <w:webHidden/>
          </w:rPr>
          <w:fldChar w:fldCharType="begin"/>
        </w:r>
        <w:r>
          <w:rPr>
            <w:noProof/>
            <w:webHidden/>
          </w:rPr>
          <w:instrText xml:space="preserve"> PAGEREF _Toc237450284 \h </w:instrText>
        </w:r>
        <w:r>
          <w:rPr>
            <w:noProof/>
            <w:webHidden/>
          </w:rPr>
        </w:r>
        <w:r>
          <w:rPr>
            <w:noProof/>
            <w:webHidden/>
          </w:rPr>
          <w:fldChar w:fldCharType="separate"/>
        </w:r>
        <w:r>
          <w:rPr>
            <w:noProof/>
            <w:webHidden/>
          </w:rPr>
          <w:t>20</w:t>
        </w:r>
        <w:r>
          <w:rPr>
            <w:noProof/>
            <w:webHidden/>
          </w:rPr>
          <w:fldChar w:fldCharType="end"/>
        </w:r>
      </w:hyperlink>
    </w:p>
    <w:p w14:paraId="56D9577C" w14:textId="111B51DE"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5" w:history="1">
        <w:r w:rsidRPr="00F8259A">
          <w:rPr>
            <w:rStyle w:val="Hyperlink"/>
            <w:noProof/>
          </w:rPr>
          <w:t>Figure 13</w:t>
        </w:r>
        <w:r w:rsidRPr="00F8259A">
          <w:rPr>
            <w:rStyle w:val="Hyperlink"/>
            <w:noProof/>
            <w:lang w:val="en-US"/>
          </w:rPr>
          <w:t>: Consumer Rights under New Zealand’s Consumer Guarantees Act</w:t>
        </w:r>
        <w:r>
          <w:rPr>
            <w:noProof/>
            <w:webHidden/>
          </w:rPr>
          <w:tab/>
        </w:r>
        <w:r>
          <w:rPr>
            <w:noProof/>
            <w:webHidden/>
          </w:rPr>
          <w:fldChar w:fldCharType="begin"/>
        </w:r>
        <w:r>
          <w:rPr>
            <w:noProof/>
            <w:webHidden/>
          </w:rPr>
          <w:instrText xml:space="preserve"> PAGEREF _Toc237450285 \h </w:instrText>
        </w:r>
        <w:r>
          <w:rPr>
            <w:noProof/>
            <w:webHidden/>
          </w:rPr>
        </w:r>
        <w:r>
          <w:rPr>
            <w:noProof/>
            <w:webHidden/>
          </w:rPr>
          <w:fldChar w:fldCharType="separate"/>
        </w:r>
        <w:r>
          <w:rPr>
            <w:noProof/>
            <w:webHidden/>
          </w:rPr>
          <w:t>21</w:t>
        </w:r>
        <w:r>
          <w:rPr>
            <w:noProof/>
            <w:webHidden/>
          </w:rPr>
          <w:fldChar w:fldCharType="end"/>
        </w:r>
      </w:hyperlink>
    </w:p>
    <w:p w14:paraId="6AFE034A" w14:textId="50651B0D"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6" w:history="1">
        <w:r w:rsidRPr="00F8259A">
          <w:rPr>
            <w:rStyle w:val="Hyperlink"/>
            <w:noProof/>
          </w:rPr>
          <w:t>Figure 14</w:t>
        </w:r>
        <w:r w:rsidRPr="00F8259A">
          <w:rPr>
            <w:rStyle w:val="Hyperlink"/>
            <w:noProof/>
            <w:lang w:val="en-US"/>
          </w:rPr>
          <w:t>: Plastic Types and Recyclability in New Zealand</w:t>
        </w:r>
        <w:r>
          <w:rPr>
            <w:noProof/>
            <w:webHidden/>
          </w:rPr>
          <w:tab/>
        </w:r>
        <w:r>
          <w:rPr>
            <w:noProof/>
            <w:webHidden/>
          </w:rPr>
          <w:fldChar w:fldCharType="begin"/>
        </w:r>
        <w:r>
          <w:rPr>
            <w:noProof/>
            <w:webHidden/>
          </w:rPr>
          <w:instrText xml:space="preserve"> PAGEREF _Toc237450286 \h </w:instrText>
        </w:r>
        <w:r>
          <w:rPr>
            <w:noProof/>
            <w:webHidden/>
          </w:rPr>
        </w:r>
        <w:r>
          <w:rPr>
            <w:noProof/>
            <w:webHidden/>
          </w:rPr>
          <w:fldChar w:fldCharType="separate"/>
        </w:r>
        <w:r>
          <w:rPr>
            <w:noProof/>
            <w:webHidden/>
          </w:rPr>
          <w:t>22</w:t>
        </w:r>
        <w:r>
          <w:rPr>
            <w:noProof/>
            <w:webHidden/>
          </w:rPr>
          <w:fldChar w:fldCharType="end"/>
        </w:r>
      </w:hyperlink>
    </w:p>
    <w:p w14:paraId="2DD12685" w14:textId="66B29540"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7" w:history="1">
        <w:r w:rsidRPr="00F8259A">
          <w:rPr>
            <w:rStyle w:val="Hyperlink"/>
            <w:noProof/>
          </w:rPr>
          <w:t>Figure 15</w:t>
        </w:r>
        <w:r w:rsidRPr="00F8259A">
          <w:rPr>
            <w:rStyle w:val="Hyperlink"/>
            <w:noProof/>
            <w:lang w:val="en-US"/>
          </w:rPr>
          <w:t>: New Zealand E-Commerce Market Growth</w:t>
        </w:r>
        <w:r>
          <w:rPr>
            <w:noProof/>
            <w:webHidden/>
          </w:rPr>
          <w:tab/>
        </w:r>
        <w:r>
          <w:rPr>
            <w:noProof/>
            <w:webHidden/>
          </w:rPr>
          <w:fldChar w:fldCharType="begin"/>
        </w:r>
        <w:r>
          <w:rPr>
            <w:noProof/>
            <w:webHidden/>
          </w:rPr>
          <w:instrText xml:space="preserve"> PAGEREF _Toc237450287 \h </w:instrText>
        </w:r>
        <w:r>
          <w:rPr>
            <w:noProof/>
            <w:webHidden/>
          </w:rPr>
        </w:r>
        <w:r>
          <w:rPr>
            <w:noProof/>
            <w:webHidden/>
          </w:rPr>
          <w:fldChar w:fldCharType="separate"/>
        </w:r>
        <w:r>
          <w:rPr>
            <w:noProof/>
            <w:webHidden/>
          </w:rPr>
          <w:t>24</w:t>
        </w:r>
        <w:r>
          <w:rPr>
            <w:noProof/>
            <w:webHidden/>
          </w:rPr>
          <w:fldChar w:fldCharType="end"/>
        </w:r>
      </w:hyperlink>
    </w:p>
    <w:p w14:paraId="4BBF80E0" w14:textId="649E43B1"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8" w:history="1">
        <w:r w:rsidRPr="00F8259A">
          <w:rPr>
            <w:rStyle w:val="Hyperlink"/>
            <w:noProof/>
          </w:rPr>
          <w:t>Figure 16</w:t>
        </w:r>
        <w:r w:rsidRPr="00F8259A">
          <w:rPr>
            <w:rStyle w:val="Hyperlink"/>
            <w:noProof/>
            <w:lang w:val="en-US"/>
          </w:rPr>
          <w:t>: Demand for Diverse Foods among New Zealand Consumers</w:t>
        </w:r>
        <w:r>
          <w:rPr>
            <w:noProof/>
            <w:webHidden/>
          </w:rPr>
          <w:tab/>
        </w:r>
        <w:r>
          <w:rPr>
            <w:noProof/>
            <w:webHidden/>
          </w:rPr>
          <w:fldChar w:fldCharType="begin"/>
        </w:r>
        <w:r>
          <w:rPr>
            <w:noProof/>
            <w:webHidden/>
          </w:rPr>
          <w:instrText xml:space="preserve"> PAGEREF _Toc237450288 \h </w:instrText>
        </w:r>
        <w:r>
          <w:rPr>
            <w:noProof/>
            <w:webHidden/>
          </w:rPr>
        </w:r>
        <w:r>
          <w:rPr>
            <w:noProof/>
            <w:webHidden/>
          </w:rPr>
          <w:fldChar w:fldCharType="separate"/>
        </w:r>
        <w:r>
          <w:rPr>
            <w:noProof/>
            <w:webHidden/>
          </w:rPr>
          <w:t>25</w:t>
        </w:r>
        <w:r>
          <w:rPr>
            <w:noProof/>
            <w:webHidden/>
          </w:rPr>
          <w:fldChar w:fldCharType="end"/>
        </w:r>
      </w:hyperlink>
    </w:p>
    <w:p w14:paraId="0CBFF2EF" w14:textId="2F69584D"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89" w:history="1">
        <w:r w:rsidRPr="00F8259A">
          <w:rPr>
            <w:rStyle w:val="Hyperlink"/>
            <w:noProof/>
          </w:rPr>
          <w:t>Figure 17</w:t>
        </w:r>
        <w:r w:rsidRPr="00F8259A">
          <w:rPr>
            <w:rStyle w:val="Hyperlink"/>
            <w:noProof/>
            <w:lang w:val="en-US"/>
          </w:rPr>
          <w:t>: Walmart’s Financial and Operational Performance</w:t>
        </w:r>
        <w:r>
          <w:rPr>
            <w:noProof/>
            <w:webHidden/>
          </w:rPr>
          <w:tab/>
        </w:r>
        <w:r>
          <w:rPr>
            <w:noProof/>
            <w:webHidden/>
          </w:rPr>
          <w:fldChar w:fldCharType="begin"/>
        </w:r>
        <w:r>
          <w:rPr>
            <w:noProof/>
            <w:webHidden/>
          </w:rPr>
          <w:instrText xml:space="preserve"> PAGEREF _Toc237450289 \h </w:instrText>
        </w:r>
        <w:r>
          <w:rPr>
            <w:noProof/>
            <w:webHidden/>
          </w:rPr>
        </w:r>
        <w:r>
          <w:rPr>
            <w:noProof/>
            <w:webHidden/>
          </w:rPr>
          <w:fldChar w:fldCharType="separate"/>
        </w:r>
        <w:r>
          <w:rPr>
            <w:noProof/>
            <w:webHidden/>
          </w:rPr>
          <w:t>27</w:t>
        </w:r>
        <w:r>
          <w:rPr>
            <w:noProof/>
            <w:webHidden/>
          </w:rPr>
          <w:fldChar w:fldCharType="end"/>
        </w:r>
      </w:hyperlink>
    </w:p>
    <w:p w14:paraId="3AD78155" w14:textId="01DD34BA"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90" w:history="1">
        <w:r w:rsidRPr="00F8259A">
          <w:rPr>
            <w:rStyle w:val="Hyperlink"/>
            <w:noProof/>
          </w:rPr>
          <w:t>Figure 18</w:t>
        </w:r>
        <w:r w:rsidRPr="00F8259A">
          <w:rPr>
            <w:rStyle w:val="Hyperlink"/>
            <w:noProof/>
            <w:lang w:val="en-US"/>
          </w:rPr>
          <w:t xml:space="preserve">: </w:t>
        </w:r>
        <w:r w:rsidRPr="00F8259A">
          <w:rPr>
            <w:rStyle w:val="Hyperlink"/>
            <w:noProof/>
          </w:rPr>
          <w:t>Walmart’s Omnichannel and Price-Leadership Strategy</w:t>
        </w:r>
        <w:r>
          <w:rPr>
            <w:noProof/>
            <w:webHidden/>
          </w:rPr>
          <w:tab/>
        </w:r>
        <w:r>
          <w:rPr>
            <w:noProof/>
            <w:webHidden/>
          </w:rPr>
          <w:fldChar w:fldCharType="begin"/>
        </w:r>
        <w:r>
          <w:rPr>
            <w:noProof/>
            <w:webHidden/>
          </w:rPr>
          <w:instrText xml:space="preserve"> PAGEREF _Toc237450290 \h </w:instrText>
        </w:r>
        <w:r>
          <w:rPr>
            <w:noProof/>
            <w:webHidden/>
          </w:rPr>
        </w:r>
        <w:r>
          <w:rPr>
            <w:noProof/>
            <w:webHidden/>
          </w:rPr>
          <w:fldChar w:fldCharType="separate"/>
        </w:r>
        <w:r>
          <w:rPr>
            <w:noProof/>
            <w:webHidden/>
          </w:rPr>
          <w:t>28</w:t>
        </w:r>
        <w:r>
          <w:rPr>
            <w:noProof/>
            <w:webHidden/>
          </w:rPr>
          <w:fldChar w:fldCharType="end"/>
        </w:r>
      </w:hyperlink>
    </w:p>
    <w:p w14:paraId="788970CB" w14:textId="49B67D4A"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91" w:history="1">
        <w:r w:rsidRPr="00F8259A">
          <w:rPr>
            <w:rStyle w:val="Hyperlink"/>
            <w:noProof/>
          </w:rPr>
          <w:t>Figure 19</w:t>
        </w:r>
        <w:r w:rsidRPr="00F8259A">
          <w:rPr>
            <w:rStyle w:val="Hyperlink"/>
            <w:noProof/>
            <w:lang w:val="en-US"/>
          </w:rPr>
          <w:t>: New Zealand Population Density</w:t>
        </w:r>
        <w:r>
          <w:rPr>
            <w:noProof/>
            <w:webHidden/>
          </w:rPr>
          <w:tab/>
        </w:r>
        <w:r>
          <w:rPr>
            <w:noProof/>
            <w:webHidden/>
          </w:rPr>
          <w:fldChar w:fldCharType="begin"/>
        </w:r>
        <w:r>
          <w:rPr>
            <w:noProof/>
            <w:webHidden/>
          </w:rPr>
          <w:instrText xml:space="preserve"> PAGEREF _Toc237450291 \h </w:instrText>
        </w:r>
        <w:r>
          <w:rPr>
            <w:noProof/>
            <w:webHidden/>
          </w:rPr>
        </w:r>
        <w:r>
          <w:rPr>
            <w:noProof/>
            <w:webHidden/>
          </w:rPr>
          <w:fldChar w:fldCharType="separate"/>
        </w:r>
        <w:r>
          <w:rPr>
            <w:noProof/>
            <w:webHidden/>
          </w:rPr>
          <w:t>30</w:t>
        </w:r>
        <w:r>
          <w:rPr>
            <w:noProof/>
            <w:webHidden/>
          </w:rPr>
          <w:fldChar w:fldCharType="end"/>
        </w:r>
      </w:hyperlink>
    </w:p>
    <w:p w14:paraId="4BB9108F" w14:textId="09045B2B"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92" w:history="1">
        <w:r w:rsidRPr="00F8259A">
          <w:rPr>
            <w:rStyle w:val="Hyperlink"/>
            <w:noProof/>
          </w:rPr>
          <w:t>Figure 20</w:t>
        </w:r>
        <w:r w:rsidRPr="00F8259A">
          <w:rPr>
            <w:rStyle w:val="Hyperlink"/>
            <w:noProof/>
            <w:lang w:val="en-US"/>
          </w:rPr>
          <w:t>: Walmart’s Responsible Sourcing Process</w:t>
        </w:r>
        <w:r>
          <w:rPr>
            <w:noProof/>
            <w:webHidden/>
          </w:rPr>
          <w:tab/>
        </w:r>
        <w:r>
          <w:rPr>
            <w:noProof/>
            <w:webHidden/>
          </w:rPr>
          <w:fldChar w:fldCharType="begin"/>
        </w:r>
        <w:r>
          <w:rPr>
            <w:noProof/>
            <w:webHidden/>
          </w:rPr>
          <w:instrText xml:space="preserve"> PAGEREF _Toc237450292 \h </w:instrText>
        </w:r>
        <w:r>
          <w:rPr>
            <w:noProof/>
            <w:webHidden/>
          </w:rPr>
        </w:r>
        <w:r>
          <w:rPr>
            <w:noProof/>
            <w:webHidden/>
          </w:rPr>
          <w:fldChar w:fldCharType="separate"/>
        </w:r>
        <w:r>
          <w:rPr>
            <w:noProof/>
            <w:webHidden/>
          </w:rPr>
          <w:t>31</w:t>
        </w:r>
        <w:r>
          <w:rPr>
            <w:noProof/>
            <w:webHidden/>
          </w:rPr>
          <w:fldChar w:fldCharType="end"/>
        </w:r>
      </w:hyperlink>
    </w:p>
    <w:p w14:paraId="15BD1EAF" w14:textId="0765435F"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93" w:history="1">
        <w:r w:rsidRPr="00F8259A">
          <w:rPr>
            <w:rStyle w:val="Hyperlink"/>
            <w:noProof/>
          </w:rPr>
          <w:t>Figure 21</w:t>
        </w:r>
        <w:r w:rsidRPr="00F8259A">
          <w:rPr>
            <w:rStyle w:val="Hyperlink"/>
            <w:noProof/>
            <w:lang w:val="en-US"/>
          </w:rPr>
          <w:t>: Walmart’s Acquisition-Based Entry into Canada</w:t>
        </w:r>
        <w:r>
          <w:rPr>
            <w:noProof/>
            <w:webHidden/>
          </w:rPr>
          <w:tab/>
        </w:r>
        <w:r>
          <w:rPr>
            <w:noProof/>
            <w:webHidden/>
          </w:rPr>
          <w:fldChar w:fldCharType="begin"/>
        </w:r>
        <w:r>
          <w:rPr>
            <w:noProof/>
            <w:webHidden/>
          </w:rPr>
          <w:instrText xml:space="preserve"> PAGEREF _Toc237450293 \h </w:instrText>
        </w:r>
        <w:r>
          <w:rPr>
            <w:noProof/>
            <w:webHidden/>
          </w:rPr>
        </w:r>
        <w:r>
          <w:rPr>
            <w:noProof/>
            <w:webHidden/>
          </w:rPr>
          <w:fldChar w:fldCharType="separate"/>
        </w:r>
        <w:r>
          <w:rPr>
            <w:noProof/>
            <w:webHidden/>
          </w:rPr>
          <w:t>33</w:t>
        </w:r>
        <w:r>
          <w:rPr>
            <w:noProof/>
            <w:webHidden/>
          </w:rPr>
          <w:fldChar w:fldCharType="end"/>
        </w:r>
      </w:hyperlink>
    </w:p>
    <w:p w14:paraId="134EE629" w14:textId="5D7E322D"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94" w:history="1">
        <w:r w:rsidRPr="00F8259A">
          <w:rPr>
            <w:rStyle w:val="Hyperlink"/>
            <w:noProof/>
          </w:rPr>
          <w:t>Figure 22</w:t>
        </w:r>
        <w:r w:rsidRPr="00F8259A">
          <w:rPr>
            <w:rStyle w:val="Hyperlink"/>
            <w:noProof/>
            <w:lang w:val="en-US"/>
          </w:rPr>
          <w:t>: Standardisation and Adaptation in Foreign Markets</w:t>
        </w:r>
        <w:r>
          <w:rPr>
            <w:noProof/>
            <w:webHidden/>
          </w:rPr>
          <w:tab/>
        </w:r>
        <w:r>
          <w:rPr>
            <w:noProof/>
            <w:webHidden/>
          </w:rPr>
          <w:fldChar w:fldCharType="begin"/>
        </w:r>
        <w:r>
          <w:rPr>
            <w:noProof/>
            <w:webHidden/>
          </w:rPr>
          <w:instrText xml:space="preserve"> PAGEREF _Toc237450294 \h </w:instrText>
        </w:r>
        <w:r>
          <w:rPr>
            <w:noProof/>
            <w:webHidden/>
          </w:rPr>
        </w:r>
        <w:r>
          <w:rPr>
            <w:noProof/>
            <w:webHidden/>
          </w:rPr>
          <w:fldChar w:fldCharType="separate"/>
        </w:r>
        <w:r>
          <w:rPr>
            <w:noProof/>
            <w:webHidden/>
          </w:rPr>
          <w:t>33</w:t>
        </w:r>
        <w:r>
          <w:rPr>
            <w:noProof/>
            <w:webHidden/>
          </w:rPr>
          <w:fldChar w:fldCharType="end"/>
        </w:r>
      </w:hyperlink>
    </w:p>
    <w:p w14:paraId="54E06A6A" w14:textId="157355BE"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95" w:history="1">
        <w:r w:rsidRPr="00F8259A">
          <w:rPr>
            <w:rStyle w:val="Hyperlink"/>
            <w:noProof/>
          </w:rPr>
          <w:t>Figure 23</w:t>
        </w:r>
        <w:r w:rsidRPr="00F8259A">
          <w:rPr>
            <w:rStyle w:val="Hyperlink"/>
            <w:noProof/>
            <w:lang w:val="en-US"/>
          </w:rPr>
          <w:t>: New Zealand’s Horticultural Supply-Chain Network</w:t>
        </w:r>
        <w:r>
          <w:rPr>
            <w:noProof/>
            <w:webHidden/>
          </w:rPr>
          <w:tab/>
        </w:r>
        <w:r>
          <w:rPr>
            <w:noProof/>
            <w:webHidden/>
          </w:rPr>
          <w:fldChar w:fldCharType="begin"/>
        </w:r>
        <w:r>
          <w:rPr>
            <w:noProof/>
            <w:webHidden/>
          </w:rPr>
          <w:instrText xml:space="preserve"> PAGEREF _Toc237450295 \h </w:instrText>
        </w:r>
        <w:r>
          <w:rPr>
            <w:noProof/>
            <w:webHidden/>
          </w:rPr>
        </w:r>
        <w:r>
          <w:rPr>
            <w:noProof/>
            <w:webHidden/>
          </w:rPr>
          <w:fldChar w:fldCharType="separate"/>
        </w:r>
        <w:r>
          <w:rPr>
            <w:noProof/>
            <w:webHidden/>
          </w:rPr>
          <w:t>35</w:t>
        </w:r>
        <w:r>
          <w:rPr>
            <w:noProof/>
            <w:webHidden/>
          </w:rPr>
          <w:fldChar w:fldCharType="end"/>
        </w:r>
      </w:hyperlink>
    </w:p>
    <w:p w14:paraId="405F5533" w14:textId="0027345B" w:rsidR="001A6BE6" w:rsidRDefault="001A6BE6">
      <w:pPr>
        <w:pStyle w:val="TableofFigures"/>
        <w:tabs>
          <w:tab w:val="right" w:leader="dot" w:pos="9350"/>
        </w:tabs>
        <w:rPr>
          <w:rFonts w:asciiTheme="minorHAnsi" w:eastAsiaTheme="minorEastAsia" w:hAnsiTheme="minorHAnsi"/>
          <w:noProof/>
          <w:color w:val="auto"/>
          <w:kern w:val="0"/>
          <w:sz w:val="22"/>
          <w:szCs w:val="22"/>
          <w:lang w:val="en-US" w:bidi="si-LK"/>
          <w14:ligatures w14:val="none"/>
        </w:rPr>
      </w:pPr>
      <w:hyperlink w:anchor="_Toc237450296" w:history="1">
        <w:r w:rsidRPr="00F8259A">
          <w:rPr>
            <w:rStyle w:val="Hyperlink"/>
            <w:noProof/>
          </w:rPr>
          <w:t>Figure 24</w:t>
        </w:r>
        <w:r w:rsidRPr="00F8259A">
          <w:rPr>
            <w:rStyle w:val="Hyperlink"/>
            <w:noProof/>
            <w:lang w:val="en-US"/>
          </w:rPr>
          <w:t>: Advantages and Disadvantages of Joint Ventures</w:t>
        </w:r>
        <w:r>
          <w:rPr>
            <w:noProof/>
            <w:webHidden/>
          </w:rPr>
          <w:tab/>
        </w:r>
        <w:r>
          <w:rPr>
            <w:noProof/>
            <w:webHidden/>
          </w:rPr>
          <w:fldChar w:fldCharType="begin"/>
        </w:r>
        <w:r>
          <w:rPr>
            <w:noProof/>
            <w:webHidden/>
          </w:rPr>
          <w:instrText xml:space="preserve"> PAGEREF _Toc237450296 \h </w:instrText>
        </w:r>
        <w:r>
          <w:rPr>
            <w:noProof/>
            <w:webHidden/>
          </w:rPr>
        </w:r>
        <w:r>
          <w:rPr>
            <w:noProof/>
            <w:webHidden/>
          </w:rPr>
          <w:fldChar w:fldCharType="separate"/>
        </w:r>
        <w:r>
          <w:rPr>
            <w:noProof/>
            <w:webHidden/>
          </w:rPr>
          <w:t>36</w:t>
        </w:r>
        <w:r>
          <w:rPr>
            <w:noProof/>
            <w:webHidden/>
          </w:rPr>
          <w:fldChar w:fldCharType="end"/>
        </w:r>
      </w:hyperlink>
    </w:p>
    <w:p w14:paraId="2C27135E" w14:textId="28C4ACC8" w:rsidR="003C646A" w:rsidRDefault="005761B1" w:rsidP="003C646A">
      <w:pPr>
        <w:rPr>
          <w:rStyle w:val="Strong"/>
          <w:sz w:val="28"/>
          <w:szCs w:val="28"/>
        </w:rPr>
      </w:pPr>
      <w:r>
        <w:rPr>
          <w:rStyle w:val="Strong"/>
          <w:sz w:val="28"/>
          <w:szCs w:val="28"/>
        </w:rPr>
        <w:fldChar w:fldCharType="end"/>
      </w:r>
    </w:p>
    <w:p w14:paraId="058309E1" w14:textId="77777777" w:rsidR="003C646A" w:rsidRPr="003C646A" w:rsidRDefault="003C646A" w:rsidP="003C646A">
      <w:pPr>
        <w:rPr>
          <w:rStyle w:val="Strong"/>
          <w:sz w:val="28"/>
          <w:szCs w:val="28"/>
        </w:rPr>
      </w:pPr>
    </w:p>
    <w:p w14:paraId="6A37D2A2" w14:textId="098447C0" w:rsidR="005414BF" w:rsidRDefault="005414BF">
      <w:pPr>
        <w:spacing w:line="278" w:lineRule="auto"/>
        <w:jc w:val="left"/>
        <w:rPr>
          <w:rStyle w:val="Strong"/>
          <w:rFonts w:eastAsiaTheme="majorEastAsia" w:cstheme="majorBidi"/>
          <w:bCs w:val="0"/>
          <w:sz w:val="28"/>
          <w:szCs w:val="40"/>
        </w:rPr>
      </w:pPr>
    </w:p>
    <w:p w14:paraId="32C14188" w14:textId="77777777" w:rsidR="005414BF" w:rsidRDefault="005414BF" w:rsidP="003B6CEA">
      <w:pPr>
        <w:rPr>
          <w:rStyle w:val="Strong"/>
          <w:rFonts w:eastAsiaTheme="majorEastAsia" w:cstheme="majorBidi"/>
          <w:bCs w:val="0"/>
          <w:sz w:val="28"/>
          <w:szCs w:val="40"/>
        </w:rPr>
      </w:pPr>
      <w:r>
        <w:rPr>
          <w:rStyle w:val="Strong"/>
          <w:rFonts w:eastAsiaTheme="majorEastAsia" w:cstheme="majorBidi"/>
          <w:bCs w:val="0"/>
          <w:sz w:val="28"/>
          <w:szCs w:val="40"/>
        </w:rPr>
        <w:br w:type="page"/>
      </w:r>
    </w:p>
    <w:p w14:paraId="1E47CE11" w14:textId="70AB963B" w:rsidR="005414BF" w:rsidRDefault="005414BF" w:rsidP="003B6CEA">
      <w:pPr>
        <w:pStyle w:val="Heading1"/>
        <w:rPr>
          <w:rFonts w:ascii="Times New Roman" w:hAnsi="Times New Roman"/>
          <w:color w:val="auto"/>
          <w:lang w:val="en-US"/>
        </w:rPr>
      </w:pPr>
      <w:bookmarkStart w:id="0" w:name="_Toc237450188"/>
      <w:r>
        <w:lastRenderedPageBreak/>
        <w:t>Section 1: International Market Entry Strategy for Walmart in New Zealand</w:t>
      </w:r>
      <w:bookmarkEnd w:id="0"/>
      <w:r>
        <w:t xml:space="preserve"> </w:t>
      </w:r>
    </w:p>
    <w:p w14:paraId="772FA446" w14:textId="77777777" w:rsidR="007C4362" w:rsidRDefault="007C4362" w:rsidP="003B6CEA">
      <w:pPr>
        <w:pStyle w:val="Heading1"/>
        <w:rPr>
          <w:rFonts w:ascii="Times New Roman" w:hAnsi="Times New Roman"/>
          <w:color w:val="auto"/>
          <w:lang w:val="en-US"/>
        </w:rPr>
      </w:pPr>
      <w:bookmarkStart w:id="1" w:name="_Toc237450189"/>
      <w:r>
        <w:t>1.0 Introduction</w:t>
      </w:r>
      <w:bookmarkEnd w:id="1"/>
    </w:p>
    <w:p w14:paraId="79BE04F7" w14:textId="6BCD45C3" w:rsidR="007C4362" w:rsidRDefault="007C4362" w:rsidP="003B6CEA">
      <w:pPr>
        <w:pStyle w:val="Heading2"/>
      </w:pPr>
      <w:bookmarkStart w:id="2" w:name="_Toc237450190"/>
      <w:r>
        <w:t>1.1 Background and Strategic Context</w:t>
      </w:r>
      <w:bookmarkEnd w:id="2"/>
    </w:p>
    <w:p w14:paraId="3CFA2B3F" w14:textId="5FF382DD" w:rsidR="008E6513" w:rsidRDefault="008E6513" w:rsidP="008E6513">
      <w:r>
        <w:rPr>
          <w:noProof/>
        </w:rPr>
        <w:drawing>
          <wp:inline distT="0" distB="0" distL="0" distR="0" wp14:anchorId="5DA705EA" wp14:editId="3C3150DF">
            <wp:extent cx="5943600" cy="1411605"/>
            <wp:effectExtent l="0" t="0" r="0" b="0"/>
            <wp:docPr id="2" name="Picture 2" descr="File:Walmart logo (2025; Alt).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le:Walmart logo (2025; Alt).svg - Wikimedia Comm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411605"/>
                    </a:xfrm>
                    <a:prstGeom prst="rect">
                      <a:avLst/>
                    </a:prstGeom>
                    <a:noFill/>
                    <a:ln>
                      <a:noFill/>
                    </a:ln>
                  </pic:spPr>
                </pic:pic>
              </a:graphicData>
            </a:graphic>
          </wp:inline>
        </w:drawing>
      </w:r>
    </w:p>
    <w:p w14:paraId="1BF03114" w14:textId="3D732474" w:rsidR="008E6513" w:rsidRDefault="008E6513" w:rsidP="008E6513">
      <w:pPr>
        <w:pStyle w:val="Caption"/>
        <w:rPr>
          <w:lang w:val="en-US"/>
        </w:rPr>
      </w:pPr>
      <w:bookmarkStart w:id="3" w:name="_Toc237450273"/>
      <w:r>
        <w:t xml:space="preserve">Figure </w:t>
      </w:r>
      <w:r>
        <w:fldChar w:fldCharType="begin"/>
      </w:r>
      <w:r>
        <w:instrText xml:space="preserve"> SEQ Figure \* ARABIC </w:instrText>
      </w:r>
      <w:r>
        <w:fldChar w:fldCharType="separate"/>
      </w:r>
      <w:r w:rsidR="004B5F67">
        <w:rPr>
          <w:noProof/>
        </w:rPr>
        <w:t>1</w:t>
      </w:r>
      <w:r>
        <w:fldChar w:fldCharType="end"/>
      </w:r>
      <w:r>
        <w:rPr>
          <w:lang w:val="en-US"/>
        </w:rPr>
        <w:t xml:space="preserve">: </w:t>
      </w:r>
      <w:r w:rsidRPr="00CC5BB1">
        <w:rPr>
          <w:lang w:val="en-US"/>
        </w:rPr>
        <w:t>Walmart Logo</w:t>
      </w:r>
      <w:bookmarkEnd w:id="3"/>
    </w:p>
    <w:p w14:paraId="7D14428C" w14:textId="1F74514D" w:rsidR="008E6513" w:rsidRPr="008E6513" w:rsidRDefault="008E6513" w:rsidP="008E6513">
      <w:pPr>
        <w:rPr>
          <w:lang w:val="en-US"/>
        </w:rPr>
      </w:pPr>
      <w:r w:rsidRPr="008E6513">
        <w:rPr>
          <w:lang w:val="en-US"/>
        </w:rPr>
        <w:t xml:space="preserve">Source: </w:t>
      </w:r>
      <w:r>
        <w:rPr>
          <w:lang w:val="en-US"/>
        </w:rPr>
        <w:t>(</w:t>
      </w:r>
      <w:r w:rsidRPr="008E6513">
        <w:rPr>
          <w:lang w:val="en-US"/>
        </w:rPr>
        <w:t>Wikimedia Commons</w:t>
      </w:r>
      <w:r>
        <w:rPr>
          <w:lang w:val="en-US"/>
        </w:rPr>
        <w:t>,</w:t>
      </w:r>
      <w:r w:rsidRPr="008E6513">
        <w:rPr>
          <w:lang w:val="en-US"/>
        </w:rPr>
        <w:t xml:space="preserve"> 2025)</w:t>
      </w:r>
    </w:p>
    <w:p w14:paraId="1F96AE94" w14:textId="611207FE" w:rsidR="001222ED" w:rsidRDefault="001222ED" w:rsidP="001222ED">
      <w:r>
        <w:t xml:space="preserve">Walmart is a U.S.-based multinational retail giant that leverages its cost leadership, achieved by scale, in procurement and supply chain management alongside its growing digital capabilities (Walmart Inc., 2025a; Durand </w:t>
      </w:r>
      <w:r w:rsidR="00466344">
        <w:t>et al.</w:t>
      </w:r>
      <w:r>
        <w:t>, 2024). International expansion enables Walmart to diversify revenues, transfer retail capabilities and access new customer markets.</w:t>
      </w:r>
    </w:p>
    <w:p w14:paraId="37244F88" w14:textId="77777777" w:rsidR="003B6CEA" w:rsidRDefault="003B6CEA" w:rsidP="003B6CEA"/>
    <w:p w14:paraId="447CD75D" w14:textId="486DCB7D" w:rsidR="007C4362" w:rsidRDefault="007C4362" w:rsidP="003B6CEA">
      <w:pPr>
        <w:pStyle w:val="Heading2"/>
      </w:pPr>
      <w:bookmarkStart w:id="4" w:name="_Toc237450191"/>
      <w:r>
        <w:t>1.2 Selection of New Zealand as the Target Market</w:t>
      </w:r>
      <w:bookmarkEnd w:id="4"/>
    </w:p>
    <w:p w14:paraId="03622663" w14:textId="77777777" w:rsidR="001222ED" w:rsidRDefault="001222ED" w:rsidP="001222ED">
      <w:r>
        <w:t>New Zealand is chosen as an attractive opportunity to enter as its stable institutions, developed consumer economy and policy interest in enhancing supermarket competition provide a conducive environment for entry into the market. It may also serve as a platform for WMT to develop throughout the Pacific region. It is however small and geographically isolated and needs critical assessment.</w:t>
      </w:r>
    </w:p>
    <w:p w14:paraId="6BF9E402" w14:textId="77777777" w:rsidR="003B6CEA" w:rsidRDefault="003B6CEA" w:rsidP="003B6CEA"/>
    <w:p w14:paraId="4789BEE4" w14:textId="070BD513" w:rsidR="007C4362" w:rsidRDefault="007C4362" w:rsidP="003B6CEA">
      <w:pPr>
        <w:pStyle w:val="Heading2"/>
      </w:pPr>
      <w:bookmarkStart w:id="5" w:name="_Toc237450192"/>
      <w:r>
        <w:lastRenderedPageBreak/>
        <w:t>1.3 Scope, Evidence Base and Cut-Off Date</w:t>
      </w:r>
      <w:bookmarkEnd w:id="5"/>
    </w:p>
    <w:p w14:paraId="7C414286" w14:textId="7D539DB0" w:rsidR="003B6CEA" w:rsidRDefault="001222ED" w:rsidP="001222ED">
      <w:r>
        <w:t>Using public evidence available by 1 June 2026, the report finds no significant Walmart subsidiary, store network or production facility in New Zealand. Thus, any Walmart product available via third-party sellers or cross-border channels can be classified as indirect trade, as opposed to formal entry (Walmart Inc., 2025a).</w:t>
      </w:r>
    </w:p>
    <w:p w14:paraId="7AC288BD" w14:textId="7BB6E8DC" w:rsidR="005414BF" w:rsidRDefault="005414BF" w:rsidP="003B6CEA"/>
    <w:p w14:paraId="1F404944" w14:textId="77777777" w:rsidR="007C4362" w:rsidRDefault="007C4362" w:rsidP="003B6CEA">
      <w:pPr>
        <w:pStyle w:val="Heading1"/>
        <w:rPr>
          <w:rFonts w:ascii="Times New Roman" w:hAnsi="Times New Roman"/>
          <w:color w:val="auto"/>
          <w:lang w:val="en-US"/>
        </w:rPr>
      </w:pPr>
      <w:bookmarkStart w:id="6" w:name="_Toc237450193"/>
      <w:r>
        <w:t>2.0 Organisational Classification and Global Strategy</w:t>
      </w:r>
      <w:bookmarkEnd w:id="6"/>
    </w:p>
    <w:p w14:paraId="00478163" w14:textId="37F7BB2C" w:rsidR="007C4362" w:rsidRDefault="007C4362" w:rsidP="003B6CEA">
      <w:pPr>
        <w:pStyle w:val="Heading2"/>
      </w:pPr>
      <w:bookmarkStart w:id="7" w:name="_Toc237450194"/>
      <w:r>
        <w:t>2.1 Walmart as a Multinational Corporation</w:t>
      </w:r>
      <w:bookmarkEnd w:id="7"/>
    </w:p>
    <w:p w14:paraId="35D46060" w14:textId="4F4BB256" w:rsidR="00F731E4" w:rsidRDefault="00F731E4" w:rsidP="00F731E4">
      <w:r w:rsidRPr="00F731E4">
        <w:rPr>
          <w:noProof/>
        </w:rPr>
        <w:drawing>
          <wp:inline distT="0" distB="0" distL="0" distR="0" wp14:anchorId="38217740" wp14:editId="7E802F27">
            <wp:extent cx="6019800" cy="191811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2" t="6004" r="2820"/>
                    <a:stretch/>
                  </pic:blipFill>
                  <pic:spPr bwMode="auto">
                    <a:xfrm>
                      <a:off x="0" y="0"/>
                      <a:ext cx="6041450" cy="1925011"/>
                    </a:xfrm>
                    <a:prstGeom prst="rect">
                      <a:avLst/>
                    </a:prstGeom>
                    <a:ln>
                      <a:noFill/>
                    </a:ln>
                    <a:extLst>
                      <a:ext uri="{53640926-AAD7-44D8-BBD7-CCE9431645EC}">
                        <a14:shadowObscured xmlns:a14="http://schemas.microsoft.com/office/drawing/2010/main"/>
                      </a:ext>
                    </a:extLst>
                  </pic:spPr>
                </pic:pic>
              </a:graphicData>
            </a:graphic>
          </wp:inline>
        </w:drawing>
      </w:r>
    </w:p>
    <w:p w14:paraId="26056403" w14:textId="19C859CF" w:rsidR="00F731E4" w:rsidRDefault="00F731E4" w:rsidP="00F731E4">
      <w:pPr>
        <w:pStyle w:val="Caption"/>
        <w:rPr>
          <w:lang w:val="en-US"/>
        </w:rPr>
      </w:pPr>
      <w:bookmarkStart w:id="8" w:name="_Toc237450274"/>
      <w:r>
        <w:t xml:space="preserve">Figure </w:t>
      </w:r>
      <w:r>
        <w:fldChar w:fldCharType="begin"/>
      </w:r>
      <w:r>
        <w:instrText xml:space="preserve"> SEQ Figure \* ARABIC </w:instrText>
      </w:r>
      <w:r>
        <w:fldChar w:fldCharType="separate"/>
      </w:r>
      <w:r w:rsidR="004B5F67">
        <w:rPr>
          <w:noProof/>
        </w:rPr>
        <w:t>2</w:t>
      </w:r>
      <w:r>
        <w:fldChar w:fldCharType="end"/>
      </w:r>
      <w:r>
        <w:rPr>
          <w:lang w:val="en-US"/>
        </w:rPr>
        <w:t xml:space="preserve">: </w:t>
      </w:r>
      <w:r w:rsidRPr="009454F4">
        <w:rPr>
          <w:lang w:val="en-US"/>
        </w:rPr>
        <w:t>Walmart’s Key Financial and Operational Performance Indicators</w:t>
      </w:r>
      <w:bookmarkEnd w:id="8"/>
    </w:p>
    <w:p w14:paraId="5AAB01DA" w14:textId="7C645006" w:rsidR="00F731E4" w:rsidRPr="00F731E4" w:rsidRDefault="00F731E4" w:rsidP="00F731E4">
      <w:pPr>
        <w:rPr>
          <w:lang w:val="en-US"/>
        </w:rPr>
      </w:pPr>
      <w:r w:rsidRPr="00F731E4">
        <w:rPr>
          <w:lang w:val="en-US"/>
        </w:rPr>
        <w:t>Source: (Walmart Inc., 2025)</w:t>
      </w:r>
    </w:p>
    <w:p w14:paraId="2B810579" w14:textId="77777777" w:rsidR="00466344" w:rsidRDefault="00466344" w:rsidP="00466344">
      <w:r>
        <w:t>Walmart can be considered an MNC because it manages subsidiaries, stores, e-commerce websites, people, and supply chains internationally. It had reported revenue of about US$681 billion in FY2025, and served around 270 million customers per week across over 10,750 stores, as well as various eCommerce platforms, in 19 countries, and employed 2.1 million associates. Walmart International contributed almost 18% or US$121.9 billion to consolidated net sales (Walmart Inc., 2025a).</w:t>
      </w:r>
    </w:p>
    <w:p w14:paraId="73BAE6BC" w14:textId="77777777" w:rsidR="003B6CEA" w:rsidRDefault="003B6CEA" w:rsidP="003B6CEA"/>
    <w:p w14:paraId="48B6B2AD" w14:textId="6F54B79B" w:rsidR="007C4362" w:rsidRDefault="007C4362" w:rsidP="003B6CEA">
      <w:pPr>
        <w:pStyle w:val="Heading2"/>
      </w:pPr>
      <w:bookmarkStart w:id="9" w:name="_Toc237450195"/>
      <w:r>
        <w:lastRenderedPageBreak/>
        <w:t>2.2 Classification Using Bartlett and Ghoshal’s Model</w:t>
      </w:r>
      <w:bookmarkEnd w:id="9"/>
    </w:p>
    <w:p w14:paraId="2014B49D" w14:textId="2E53E7E8" w:rsidR="00C736D7" w:rsidRDefault="00206196" w:rsidP="00C736D7">
      <w:r w:rsidRPr="00206196">
        <w:rPr>
          <w:noProof/>
        </w:rPr>
        <w:drawing>
          <wp:inline distT="0" distB="0" distL="0" distR="0" wp14:anchorId="67022CF2" wp14:editId="02C3D876">
            <wp:extent cx="5821680" cy="4004331"/>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31710" cy="4011230"/>
                    </a:xfrm>
                    <a:prstGeom prst="rect">
                      <a:avLst/>
                    </a:prstGeom>
                  </pic:spPr>
                </pic:pic>
              </a:graphicData>
            </a:graphic>
          </wp:inline>
        </w:drawing>
      </w:r>
    </w:p>
    <w:p w14:paraId="63F47C3C" w14:textId="28F37F8A" w:rsidR="00206196" w:rsidRDefault="00206196" w:rsidP="00206196">
      <w:pPr>
        <w:pStyle w:val="Caption"/>
        <w:rPr>
          <w:lang w:val="en-US"/>
        </w:rPr>
      </w:pPr>
      <w:bookmarkStart w:id="10" w:name="_Toc237450275"/>
      <w:r>
        <w:t xml:space="preserve">Figure </w:t>
      </w:r>
      <w:r>
        <w:fldChar w:fldCharType="begin"/>
      </w:r>
      <w:r>
        <w:instrText xml:space="preserve"> SEQ Figure \* ARABIC </w:instrText>
      </w:r>
      <w:r>
        <w:fldChar w:fldCharType="separate"/>
      </w:r>
      <w:r w:rsidR="004B5F67">
        <w:rPr>
          <w:noProof/>
        </w:rPr>
        <w:t>3</w:t>
      </w:r>
      <w:r>
        <w:fldChar w:fldCharType="end"/>
      </w:r>
      <w:r>
        <w:rPr>
          <w:lang w:val="en-US"/>
        </w:rPr>
        <w:t xml:space="preserve">: </w:t>
      </w:r>
      <w:r w:rsidRPr="00CB39F6">
        <w:rPr>
          <w:lang w:val="en-US"/>
        </w:rPr>
        <w:t>Bartlett and Ghoshal’s Typology of International Strategies</w:t>
      </w:r>
      <w:bookmarkEnd w:id="10"/>
    </w:p>
    <w:p w14:paraId="1492C9AA" w14:textId="05B634A3" w:rsidR="00206196" w:rsidRPr="00206196" w:rsidRDefault="00206196" w:rsidP="00206196">
      <w:pPr>
        <w:rPr>
          <w:lang w:val="en-US"/>
        </w:rPr>
      </w:pPr>
      <w:r w:rsidRPr="00206196">
        <w:rPr>
          <w:lang w:val="en-US"/>
        </w:rPr>
        <w:t>Source: (Chegg, 2023)</w:t>
      </w:r>
    </w:p>
    <w:p w14:paraId="5DA78B8A" w14:textId="77777777" w:rsidR="00206196" w:rsidRPr="00C736D7" w:rsidRDefault="00206196" w:rsidP="00C736D7"/>
    <w:p w14:paraId="23F17961" w14:textId="77777777" w:rsidR="007C4362" w:rsidRDefault="007C4362" w:rsidP="003B6CEA">
      <w:pPr>
        <w:pStyle w:val="Heading3"/>
      </w:pPr>
      <w:bookmarkStart w:id="11" w:name="_Toc237450196"/>
      <w:r>
        <w:t>2.2.1 Global Integration and Cost-Efficiency Pressures</w:t>
      </w:r>
      <w:bookmarkEnd w:id="11"/>
    </w:p>
    <w:p w14:paraId="2BBC3C38" w14:textId="2FF8D07C" w:rsidR="00466344" w:rsidRDefault="00466344" w:rsidP="00466344">
      <w:r>
        <w:t xml:space="preserve">Bartlett and Ghoshal model places firms based on pressures for global integration and local responsiveness. Walmart is under strong integration pressures since the “everyday low prices” strategy relies on “scale, pressure on suppliers, standardisation of processes and logistics”. Market forecasting, replenishment and cost control are enhanced through centralised information systems, automated inventory management and customer analytics. Walmart has also made a digital investment, which further connects physical store fulfilment systems with online channels, despite the fact that the financial outcomes of retail digitalization have been varied (Durand </w:t>
      </w:r>
      <w:r w:rsidR="00206196">
        <w:t>et al.</w:t>
      </w:r>
      <w:r>
        <w:t>, 2024; Brunda et al., 2025).</w:t>
      </w:r>
    </w:p>
    <w:p w14:paraId="247A2CEA" w14:textId="77777777" w:rsidR="003B6CEA" w:rsidRDefault="003B6CEA" w:rsidP="003B6CEA"/>
    <w:p w14:paraId="49CFF261" w14:textId="606BD93F" w:rsidR="007C4362" w:rsidRDefault="007C4362" w:rsidP="003B6CEA">
      <w:pPr>
        <w:pStyle w:val="Heading3"/>
      </w:pPr>
      <w:bookmarkStart w:id="12" w:name="_Toc237450197"/>
      <w:r>
        <w:t>2.2.2 Local Responsiveness and Market Adaptation</w:t>
      </w:r>
      <w:bookmarkEnd w:id="12"/>
    </w:p>
    <w:p w14:paraId="415294AB" w14:textId="1C9F7013" w:rsidR="003B6CEA" w:rsidRDefault="00466344" w:rsidP="00466344">
      <w:r>
        <w:t>Yet, Walmart is flexible with formats, brands, partnerships and product lines. Its businesses include Walmart</w:t>
      </w:r>
      <w:r w:rsidR="008715D4">
        <w:t>,</w:t>
      </w:r>
      <w:r>
        <w:t xml:space="preserve"> Sam's Club, and well-known local brands bought or built in markets like Mexico, Canada, China and India. This adaptation is needed, as the performance of international retailers requires taking market-specific conditions into account while balancing digitalisation and internationalisation (Batsakis et al., 2023).</w:t>
      </w:r>
    </w:p>
    <w:p w14:paraId="3D5DE80C" w14:textId="77777777" w:rsidR="00466344" w:rsidRDefault="00466344" w:rsidP="00466344"/>
    <w:p w14:paraId="0BA9CC32" w14:textId="7E19DD7A" w:rsidR="007C4362" w:rsidRDefault="007C4362" w:rsidP="003B6CEA">
      <w:pPr>
        <w:pStyle w:val="Heading3"/>
      </w:pPr>
      <w:bookmarkStart w:id="13" w:name="_Toc237450198"/>
      <w:r>
        <w:t>2.2.3 Strategic Categorisation</w:t>
      </w:r>
      <w:bookmarkEnd w:id="13"/>
    </w:p>
    <w:p w14:paraId="6CAC39CE" w14:textId="5521FD57" w:rsidR="00A2787F" w:rsidRDefault="00A2787F" w:rsidP="00A2787F">
      <w:r>
        <w:t>Therefore, Walmart's transnational strategy is considered to be mostly transnational, that is, it draws on global capabilities to create efficiency, but it also reacts selectively to local demand through the subsidiaries. The balance, however, varies depending on the market and does not guarantee success (</w:t>
      </w:r>
      <w:proofErr w:type="spellStart"/>
      <w:r>
        <w:t>Šilenskytė</w:t>
      </w:r>
      <w:proofErr w:type="spellEnd"/>
      <w:r>
        <w:t xml:space="preserve"> et al., 2022).</w:t>
      </w:r>
    </w:p>
    <w:p w14:paraId="5DA2FC5D" w14:textId="77777777" w:rsidR="003B6CEA" w:rsidRDefault="003B6CEA" w:rsidP="003B6CEA"/>
    <w:p w14:paraId="293E17C9" w14:textId="181E4DFF" w:rsidR="007C4362" w:rsidRDefault="007C4362" w:rsidP="003B6CEA">
      <w:pPr>
        <w:pStyle w:val="Heading2"/>
      </w:pPr>
      <w:bookmarkStart w:id="14" w:name="_Toc237450199"/>
      <w:r>
        <w:t>2.3 Global Configuration and Value Creation</w:t>
      </w:r>
      <w:bookmarkEnd w:id="14"/>
    </w:p>
    <w:p w14:paraId="4E23452C" w14:textId="23AD5BB0" w:rsidR="007C4362" w:rsidRDefault="007C4362" w:rsidP="003B6CEA">
      <w:pPr>
        <w:pStyle w:val="Heading3"/>
      </w:pPr>
      <w:bookmarkStart w:id="15" w:name="_Toc237450200"/>
      <w:r>
        <w:t>2.3.1 Geographic Footprint and Operational Network</w:t>
      </w:r>
      <w:bookmarkEnd w:id="15"/>
    </w:p>
    <w:p w14:paraId="4CA332E6" w14:textId="01D59DFF" w:rsidR="00FA2972" w:rsidRDefault="00FA2972" w:rsidP="00FA2972">
      <w:r w:rsidRPr="00FA2972">
        <w:rPr>
          <w:noProof/>
        </w:rPr>
        <w:drawing>
          <wp:inline distT="0" distB="0" distL="0" distR="0" wp14:anchorId="73EF0EB4" wp14:editId="7AAED472">
            <wp:extent cx="5943600" cy="2744470"/>
            <wp:effectExtent l="19050" t="19050" r="19050" b="177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44470"/>
                    </a:xfrm>
                    <a:prstGeom prst="rect">
                      <a:avLst/>
                    </a:prstGeom>
                    <a:ln>
                      <a:solidFill>
                        <a:schemeClr val="accent1"/>
                      </a:solidFill>
                    </a:ln>
                  </pic:spPr>
                </pic:pic>
              </a:graphicData>
            </a:graphic>
          </wp:inline>
        </w:drawing>
      </w:r>
    </w:p>
    <w:p w14:paraId="7B1ADFED" w14:textId="27E2C488" w:rsidR="00FA2972" w:rsidRDefault="00FA2972" w:rsidP="00FA2972">
      <w:pPr>
        <w:pStyle w:val="Caption"/>
        <w:rPr>
          <w:lang w:val="en-US"/>
        </w:rPr>
      </w:pPr>
      <w:bookmarkStart w:id="16" w:name="_Toc237450276"/>
      <w:r>
        <w:t xml:space="preserve">Figure </w:t>
      </w:r>
      <w:r>
        <w:fldChar w:fldCharType="begin"/>
      </w:r>
      <w:r>
        <w:instrText xml:space="preserve"> SEQ Figure \* ARABIC </w:instrText>
      </w:r>
      <w:r>
        <w:fldChar w:fldCharType="separate"/>
      </w:r>
      <w:r w:rsidR="004B5F67">
        <w:rPr>
          <w:noProof/>
        </w:rPr>
        <w:t>4</w:t>
      </w:r>
      <w:r>
        <w:fldChar w:fldCharType="end"/>
      </w:r>
      <w:r>
        <w:rPr>
          <w:lang w:val="en-US"/>
        </w:rPr>
        <w:t xml:space="preserve">: </w:t>
      </w:r>
      <w:r w:rsidRPr="00187DB5">
        <w:rPr>
          <w:lang w:val="en-US"/>
        </w:rPr>
        <w:t>Walmart’s Global Operational Presence</w:t>
      </w:r>
      <w:bookmarkEnd w:id="16"/>
    </w:p>
    <w:p w14:paraId="1803A809" w14:textId="33F4265B" w:rsidR="00FA2972" w:rsidRPr="00FA2972" w:rsidRDefault="00FA2972" w:rsidP="00FA2972">
      <w:pPr>
        <w:rPr>
          <w:lang w:val="en-US"/>
        </w:rPr>
      </w:pPr>
      <w:r w:rsidRPr="00FA2972">
        <w:rPr>
          <w:lang w:val="en-US"/>
        </w:rPr>
        <w:lastRenderedPageBreak/>
        <w:t>Source: (</w:t>
      </w:r>
      <w:proofErr w:type="spellStart"/>
      <w:r w:rsidRPr="00FA2972">
        <w:rPr>
          <w:lang w:val="en-US"/>
        </w:rPr>
        <w:t>SlideTeam</w:t>
      </w:r>
      <w:proofErr w:type="spellEnd"/>
      <w:r w:rsidRPr="00FA2972">
        <w:rPr>
          <w:lang w:val="en-US"/>
        </w:rPr>
        <w:t>, 2023)</w:t>
      </w:r>
    </w:p>
    <w:p w14:paraId="06249C73" w14:textId="7CE9AC99" w:rsidR="001931CC" w:rsidRDefault="001931CC" w:rsidP="001931CC">
      <w:r>
        <w:t xml:space="preserve">Walmart's presence, however, is not spread evenly around the world, but is </w:t>
      </w:r>
      <w:proofErr w:type="spellStart"/>
      <w:r>
        <w:t>centered</w:t>
      </w:r>
      <w:proofErr w:type="spellEnd"/>
      <w:r>
        <w:t xml:space="preserve"> in the U.S. and certain markets, including Mexico, Canada, China, and India. It withdrew from Germany and South Korea and divested from Britain's Asda, showing active portfolio restructuring (Faithfull, 2020; Ji, 2025).</w:t>
      </w:r>
    </w:p>
    <w:p w14:paraId="2B8F5ED9" w14:textId="77777777" w:rsidR="008715D4" w:rsidRDefault="008715D4" w:rsidP="001931CC"/>
    <w:p w14:paraId="33B5BE0A" w14:textId="77777777" w:rsidR="007C4362" w:rsidRDefault="007C4362" w:rsidP="003B6CEA">
      <w:pPr>
        <w:pStyle w:val="Heading3"/>
      </w:pPr>
      <w:bookmarkStart w:id="17" w:name="_Toc237450201"/>
      <w:r>
        <w:t>2.3.2 Sources of International Competitive Advantage</w:t>
      </w:r>
      <w:bookmarkEnd w:id="17"/>
    </w:p>
    <w:p w14:paraId="23D9841B" w14:textId="150C3DD7" w:rsidR="001931CC" w:rsidRDefault="001931CC" w:rsidP="001931CC">
      <w:r>
        <w:t>This set up leads to economies of scale, global procurement leverage, logistics knowledge and technology transfer. It also facilitates the cross-subsidiary sharing of successful innovations in data analytics, fulfilment and omnichannel retailing (Brunda et al., 2025).</w:t>
      </w:r>
    </w:p>
    <w:p w14:paraId="11AD1449" w14:textId="5E113A48" w:rsidR="006270BB" w:rsidRDefault="00412B1B" w:rsidP="00412B1B">
      <w:pPr>
        <w:jc w:val="center"/>
      </w:pPr>
      <w:r w:rsidRPr="00412B1B">
        <w:rPr>
          <w:noProof/>
        </w:rPr>
        <w:drawing>
          <wp:inline distT="0" distB="0" distL="0" distR="0" wp14:anchorId="7A539D4F" wp14:editId="76A8F051">
            <wp:extent cx="5821680" cy="473202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51" t="3076" b="1385"/>
                    <a:stretch/>
                  </pic:blipFill>
                  <pic:spPr bwMode="auto">
                    <a:xfrm>
                      <a:off x="0" y="0"/>
                      <a:ext cx="5821680" cy="4732020"/>
                    </a:xfrm>
                    <a:prstGeom prst="rect">
                      <a:avLst/>
                    </a:prstGeom>
                    <a:ln>
                      <a:noFill/>
                    </a:ln>
                    <a:extLst>
                      <a:ext uri="{53640926-AAD7-44D8-BBD7-CCE9431645EC}">
                        <a14:shadowObscured xmlns:a14="http://schemas.microsoft.com/office/drawing/2010/main"/>
                      </a:ext>
                    </a:extLst>
                  </pic:spPr>
                </pic:pic>
              </a:graphicData>
            </a:graphic>
          </wp:inline>
        </w:drawing>
      </w:r>
    </w:p>
    <w:p w14:paraId="55F5BA57" w14:textId="27275D4A" w:rsidR="00412B1B" w:rsidRDefault="00412B1B" w:rsidP="00412B1B">
      <w:pPr>
        <w:pStyle w:val="Caption"/>
        <w:rPr>
          <w:lang w:val="en-US"/>
        </w:rPr>
      </w:pPr>
      <w:bookmarkStart w:id="18" w:name="_Toc237450277"/>
      <w:r>
        <w:lastRenderedPageBreak/>
        <w:t xml:space="preserve">Figure </w:t>
      </w:r>
      <w:r>
        <w:fldChar w:fldCharType="begin"/>
      </w:r>
      <w:r>
        <w:instrText xml:space="preserve"> SEQ Figure \* ARABIC </w:instrText>
      </w:r>
      <w:r>
        <w:fldChar w:fldCharType="separate"/>
      </w:r>
      <w:r w:rsidR="004B5F67">
        <w:rPr>
          <w:noProof/>
        </w:rPr>
        <w:t>5</w:t>
      </w:r>
      <w:r>
        <w:fldChar w:fldCharType="end"/>
      </w:r>
      <w:r>
        <w:rPr>
          <w:lang w:val="en-US"/>
        </w:rPr>
        <w:t xml:space="preserve">: </w:t>
      </w:r>
      <w:r w:rsidRPr="00F97B51">
        <w:rPr>
          <w:lang w:val="en-US"/>
        </w:rPr>
        <w:t>Walmart’s Integrated Retail and Supply-Chain Information System</w:t>
      </w:r>
      <w:bookmarkEnd w:id="18"/>
    </w:p>
    <w:p w14:paraId="23F33EA5" w14:textId="7301E09B" w:rsidR="00412B1B" w:rsidRDefault="00412B1B" w:rsidP="00412B1B">
      <w:pPr>
        <w:rPr>
          <w:lang w:val="en-US"/>
        </w:rPr>
      </w:pPr>
      <w:r w:rsidRPr="00412B1B">
        <w:rPr>
          <w:lang w:val="en-US"/>
        </w:rPr>
        <w:t>Source: (ResearchGate, 2018)</w:t>
      </w:r>
    </w:p>
    <w:p w14:paraId="2A128B3A" w14:textId="77777777" w:rsidR="00412B1B" w:rsidRPr="00412B1B" w:rsidRDefault="00412B1B" w:rsidP="00412B1B">
      <w:pPr>
        <w:rPr>
          <w:lang w:val="en-US"/>
        </w:rPr>
      </w:pPr>
    </w:p>
    <w:p w14:paraId="184464FD" w14:textId="77777777" w:rsidR="007C4362" w:rsidRDefault="007C4362" w:rsidP="003B6CEA">
      <w:pPr>
        <w:pStyle w:val="Heading3"/>
      </w:pPr>
      <w:bookmarkStart w:id="19" w:name="_Toc237450202"/>
      <w:r>
        <w:t>2.3.3 Strategic Limitations and Lessons for New Zealand</w:t>
      </w:r>
      <w:bookmarkEnd w:id="19"/>
    </w:p>
    <w:p w14:paraId="33103F87" w14:textId="3E741DDC" w:rsidR="007C4362" w:rsidRDefault="00085BA8" w:rsidP="00085BA8">
      <w:r>
        <w:t xml:space="preserve">However, Walmart’s exits show that scale cannot overcome entrenched competitors, regulatory constraints or cultural misalignment. </w:t>
      </w:r>
      <w:r w:rsidRPr="00085BA8">
        <w:t>The New Zealand entry must therefore become efficient on a global scale whilst also incorporating local sourcing, appropriate store format and customer propositions that resonate with the local culture, rather than simply being a copy of the US model.</w:t>
      </w:r>
    </w:p>
    <w:p w14:paraId="0CDBEBDB" w14:textId="77777777" w:rsidR="00085BA8" w:rsidRDefault="00085BA8" w:rsidP="00085BA8"/>
    <w:p w14:paraId="2C54B1E9" w14:textId="5026E780" w:rsidR="005414BF" w:rsidRDefault="005414BF" w:rsidP="003B6CEA">
      <w:pPr>
        <w:pStyle w:val="Heading1"/>
      </w:pPr>
      <w:bookmarkStart w:id="20" w:name="_Toc237450203"/>
      <w:r>
        <w:t>3.0 Macro-Environmental Appraisal and Market</w:t>
      </w:r>
      <w:bookmarkEnd w:id="20"/>
      <w:r>
        <w:t xml:space="preserve"> </w:t>
      </w:r>
    </w:p>
    <w:p w14:paraId="76509771" w14:textId="77777777" w:rsidR="007C4362" w:rsidRDefault="007C4362" w:rsidP="003B6CEA">
      <w:pPr>
        <w:pStyle w:val="Heading2"/>
        <w:rPr>
          <w:rFonts w:ascii="Times New Roman" w:hAnsi="Times New Roman"/>
          <w:color w:val="auto"/>
          <w:lang w:val="en-US"/>
        </w:rPr>
      </w:pPr>
      <w:bookmarkStart w:id="21" w:name="_Toc237450204"/>
      <w:r>
        <w:t>3.1 Political and Institutional Environment</w:t>
      </w:r>
      <w:bookmarkEnd w:id="21"/>
    </w:p>
    <w:p w14:paraId="0CCECE4D" w14:textId="7D67FF33" w:rsidR="007C4362" w:rsidRDefault="007C4362" w:rsidP="003B6CEA">
      <w:pPr>
        <w:pStyle w:val="Heading3"/>
      </w:pPr>
      <w:bookmarkStart w:id="22" w:name="_Toc237450205"/>
      <w:r>
        <w:t>3.1.1 Political Stability and Policy Predictability</w:t>
      </w:r>
      <w:bookmarkEnd w:id="22"/>
    </w:p>
    <w:p w14:paraId="19B633E0" w14:textId="7C814560" w:rsidR="00D760A9" w:rsidRDefault="005853B9" w:rsidP="005853B9">
      <w:pPr>
        <w:jc w:val="center"/>
      </w:pPr>
      <w:r w:rsidRPr="005853B9">
        <w:rPr>
          <w:noProof/>
        </w:rPr>
        <w:drawing>
          <wp:inline distT="0" distB="0" distL="0" distR="0" wp14:anchorId="231F657D" wp14:editId="63061C87">
            <wp:extent cx="5958840" cy="3827756"/>
            <wp:effectExtent l="0" t="0" r="381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66362" cy="3832588"/>
                    </a:xfrm>
                    <a:prstGeom prst="rect">
                      <a:avLst/>
                    </a:prstGeom>
                  </pic:spPr>
                </pic:pic>
              </a:graphicData>
            </a:graphic>
          </wp:inline>
        </w:drawing>
      </w:r>
    </w:p>
    <w:p w14:paraId="064F6805" w14:textId="1AAD75F3" w:rsidR="005853B9" w:rsidRDefault="005853B9" w:rsidP="005853B9">
      <w:pPr>
        <w:pStyle w:val="Caption"/>
        <w:rPr>
          <w:lang w:val="en-US"/>
        </w:rPr>
      </w:pPr>
      <w:bookmarkStart w:id="23" w:name="_Toc237450278"/>
      <w:r>
        <w:lastRenderedPageBreak/>
        <w:t xml:space="preserve">Figure </w:t>
      </w:r>
      <w:r>
        <w:fldChar w:fldCharType="begin"/>
      </w:r>
      <w:r>
        <w:instrText xml:space="preserve"> SEQ Figure \* ARABIC </w:instrText>
      </w:r>
      <w:r>
        <w:fldChar w:fldCharType="separate"/>
      </w:r>
      <w:r w:rsidR="004B5F67">
        <w:rPr>
          <w:noProof/>
        </w:rPr>
        <w:t>6</w:t>
      </w:r>
      <w:r>
        <w:fldChar w:fldCharType="end"/>
      </w:r>
      <w:r>
        <w:rPr>
          <w:lang w:val="en-US"/>
        </w:rPr>
        <w:t xml:space="preserve">: </w:t>
      </w:r>
      <w:r w:rsidRPr="00551792">
        <w:rPr>
          <w:lang w:val="en-US"/>
        </w:rPr>
        <w:t>New Zealand’s Governance Performance Indicators, 2020–2024</w:t>
      </w:r>
      <w:bookmarkEnd w:id="23"/>
    </w:p>
    <w:p w14:paraId="5B25D8FF" w14:textId="48F7A7ED" w:rsidR="005853B9" w:rsidRPr="005853B9" w:rsidRDefault="005853B9" w:rsidP="005853B9">
      <w:pPr>
        <w:rPr>
          <w:lang w:val="en-US"/>
        </w:rPr>
      </w:pPr>
      <w:r w:rsidRPr="005853B9">
        <w:rPr>
          <w:lang w:val="en-US"/>
        </w:rPr>
        <w:t>Source: (World Bank, 2025)</w:t>
      </w:r>
    </w:p>
    <w:p w14:paraId="34C513AF" w14:textId="77777777" w:rsidR="00D17895" w:rsidRDefault="00D17895" w:rsidP="00D17895">
      <w:r>
        <w:t>The stability of New Zealand's democracy, its open government and relatively consistent government decision-making minimise the risk of arbitrary government interference, expropriation of assets, and radical policy swings. These conditions would favour Walmart's long-term capital planning, contractual relationships and investment on its supply chain. However, productivity and competitiveness issues continue, so that institutional stability is not necessarily correlated with sound commercial returns (OECD, 2026a).</w:t>
      </w:r>
    </w:p>
    <w:p w14:paraId="6CD69B6D" w14:textId="77777777" w:rsidR="00D17895" w:rsidRDefault="00D17895" w:rsidP="003B6CEA"/>
    <w:p w14:paraId="7DDF8CDF" w14:textId="77777777" w:rsidR="007C4362" w:rsidRDefault="007C4362" w:rsidP="003B6CEA">
      <w:pPr>
        <w:pStyle w:val="Heading3"/>
      </w:pPr>
      <w:bookmarkStart w:id="24" w:name="_Toc237450206"/>
      <w:r>
        <w:t>3.1.2 Foreign Investment Policy and Regulatory Scrutiny</w:t>
      </w:r>
      <w:bookmarkEnd w:id="24"/>
    </w:p>
    <w:p w14:paraId="78E4359E" w14:textId="7E89F74B" w:rsidR="00D17895" w:rsidRDefault="00D17895" w:rsidP="00D17895">
      <w:r>
        <w:t>Investments are open to people overseas, but investment in land or business assets that are sensitive or investment in any strategically important infrastructure may require consent under New Zealand's overseas-investment regime. Government guidance applies a national-interest assessment for proposed investments that have the potential to impact economic security, competition, taxation or national capability (The Treasury, 2024). A greenfield Walmart investment, involving a large amount of land or the acquisition of a large retailer, may thus receive more attention than a limited digital or partnership-based investment. Political issues may involve foreign control, profit repatriation and the displacement of domestic retailers.</w:t>
      </w:r>
    </w:p>
    <w:p w14:paraId="0DE0F6F4" w14:textId="77777777" w:rsidR="00D17895" w:rsidRDefault="00D17895" w:rsidP="00D17895"/>
    <w:p w14:paraId="326152F8" w14:textId="77777777" w:rsidR="007C4362" w:rsidRDefault="007C4362" w:rsidP="003B6CEA">
      <w:pPr>
        <w:pStyle w:val="Heading3"/>
      </w:pPr>
      <w:bookmarkStart w:id="25" w:name="_Toc237450207"/>
      <w:r>
        <w:t>3.1.3 Government Policy Toward Retail Competition</w:t>
      </w:r>
      <w:bookmarkEnd w:id="25"/>
    </w:p>
    <w:p w14:paraId="68B29BE8" w14:textId="77777777" w:rsidR="00E978A9" w:rsidRDefault="00E978A9" w:rsidP="00E978A9">
      <w:r>
        <w:t xml:space="preserve">New Zealand policy is currently focused on increasing grocery market competition, as the market is still dominated by incumbent groups. The market study done by the Commerce Commission found issues of weak competition and recommended actions in relation to wholesale access, land restrictions and supplier relationships (Commerce Commission New Zealand, 2022). Later government policies have been directed at enhancing market contestability, price transparency and regulatory oversight (MBIE, 2026). Walmart could </w:t>
      </w:r>
      <w:r>
        <w:lastRenderedPageBreak/>
        <w:t>consequently be viewed as a credible challenger capable of increasing consumer choice and price pressure.</w:t>
      </w:r>
    </w:p>
    <w:p w14:paraId="6BADF88B" w14:textId="59375CEB" w:rsidR="00E978A9" w:rsidRDefault="00B46576" w:rsidP="00B46576">
      <w:pPr>
        <w:jc w:val="center"/>
      </w:pPr>
      <w:r w:rsidRPr="00B46576">
        <w:rPr>
          <w:noProof/>
        </w:rPr>
        <w:drawing>
          <wp:inline distT="0" distB="0" distL="0" distR="0" wp14:anchorId="5F70E102" wp14:editId="7E13D09F">
            <wp:extent cx="5631180" cy="5718893"/>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37353" cy="5725162"/>
                    </a:xfrm>
                    <a:prstGeom prst="rect">
                      <a:avLst/>
                    </a:prstGeom>
                  </pic:spPr>
                </pic:pic>
              </a:graphicData>
            </a:graphic>
          </wp:inline>
        </w:drawing>
      </w:r>
    </w:p>
    <w:p w14:paraId="3BF498A2" w14:textId="7146C443" w:rsidR="00B46576" w:rsidRDefault="00B46576" w:rsidP="00B46576">
      <w:pPr>
        <w:pStyle w:val="Caption"/>
      </w:pPr>
      <w:bookmarkStart w:id="26" w:name="_Toc237450279"/>
      <w:r>
        <w:t xml:space="preserve">Figure </w:t>
      </w:r>
      <w:r>
        <w:fldChar w:fldCharType="begin"/>
      </w:r>
      <w:r>
        <w:instrText xml:space="preserve"> SEQ Figure \* ARABIC </w:instrText>
      </w:r>
      <w:r>
        <w:fldChar w:fldCharType="separate"/>
      </w:r>
      <w:r w:rsidR="004B5F67">
        <w:rPr>
          <w:noProof/>
        </w:rPr>
        <w:t>7</w:t>
      </w:r>
      <w:r>
        <w:fldChar w:fldCharType="end"/>
      </w:r>
      <w:r>
        <w:rPr>
          <w:lang w:val="en-US"/>
        </w:rPr>
        <w:t xml:space="preserve">: </w:t>
      </w:r>
      <w:r w:rsidRPr="00AE0916">
        <w:rPr>
          <w:lang w:val="en-US"/>
        </w:rPr>
        <w:t>New Zealand Grocery Market Concentration</w:t>
      </w:r>
      <w:bookmarkEnd w:id="26"/>
    </w:p>
    <w:p w14:paraId="597006A7" w14:textId="3988B56A" w:rsidR="00B46576" w:rsidRDefault="00B46576" w:rsidP="003B6CEA">
      <w:r w:rsidRPr="00B46576">
        <w:t>Source: (Commerce Commission New Zealand, 2025)</w:t>
      </w:r>
    </w:p>
    <w:p w14:paraId="4CA46B24" w14:textId="77777777" w:rsidR="00B46576" w:rsidRDefault="00B46576" w:rsidP="003B6CEA"/>
    <w:p w14:paraId="7D2BCDBA" w14:textId="77777777" w:rsidR="007C4362" w:rsidRDefault="007C4362" w:rsidP="003B6CEA">
      <w:pPr>
        <w:pStyle w:val="Heading3"/>
      </w:pPr>
      <w:bookmarkStart w:id="27" w:name="_Toc237450208"/>
      <w:r>
        <w:lastRenderedPageBreak/>
        <w:t>3.1.4 Political Opportunities and Risks for Walmart</w:t>
      </w:r>
      <w:bookmarkEnd w:id="27"/>
    </w:p>
    <w:p w14:paraId="3C687196" w14:textId="40A98F52" w:rsidR="005414BF" w:rsidRDefault="00E978A9" w:rsidP="00E978A9">
      <w:r>
        <w:t>The low-price model may be able to help the government meet its goals around affordability, especially during cost-of-living pressures. Its influence, however, may lead to worries related to reliance on suppliers, local-business closures, employment standards and profits moved overseas. Political legitimacy would therefore require early regulatory engagement, fair supplier contracts, local procurement commitments and measurable employment benefits. A phased approach to a partnership-led entry would de-risk political resistance and prove that Walmart adds value to New Zealand's retail economy</w:t>
      </w:r>
      <w:r w:rsidR="00D84B27">
        <w:t xml:space="preserve"> (</w:t>
      </w:r>
      <w:r w:rsidR="00D84B27" w:rsidRPr="00D84B27">
        <w:t>The Treasury, 2024)</w:t>
      </w:r>
      <w:r>
        <w:t>.</w:t>
      </w:r>
    </w:p>
    <w:p w14:paraId="7AF558B1" w14:textId="77777777" w:rsidR="00E978A9" w:rsidRDefault="00E978A9" w:rsidP="00E978A9"/>
    <w:p w14:paraId="15F15018" w14:textId="77777777" w:rsidR="007C4362" w:rsidRDefault="007C4362" w:rsidP="003B6CEA">
      <w:pPr>
        <w:pStyle w:val="Heading2"/>
        <w:rPr>
          <w:rFonts w:ascii="Times New Roman" w:hAnsi="Times New Roman"/>
          <w:color w:val="auto"/>
          <w:lang w:val="en-US"/>
        </w:rPr>
      </w:pPr>
      <w:bookmarkStart w:id="28" w:name="_Toc237450209"/>
      <w:r>
        <w:t>3.2 Economic Environment and Commercial Viability</w:t>
      </w:r>
      <w:bookmarkEnd w:id="28"/>
    </w:p>
    <w:p w14:paraId="659A633C" w14:textId="66DBE7B1" w:rsidR="007C4362" w:rsidRDefault="007C4362" w:rsidP="003B6CEA">
      <w:pPr>
        <w:pStyle w:val="Heading3"/>
      </w:pPr>
      <w:bookmarkStart w:id="29" w:name="_Toc237450210"/>
      <w:r>
        <w:t>3.2.1 Market Size, Income and Consumer Spending</w:t>
      </w:r>
      <w:bookmarkEnd w:id="29"/>
    </w:p>
    <w:p w14:paraId="1D546CEF" w14:textId="5934B0F6" w:rsidR="00D344D2" w:rsidRDefault="00D344D2" w:rsidP="00D344D2">
      <w:r w:rsidRPr="00D344D2">
        <w:rPr>
          <w:noProof/>
        </w:rPr>
        <w:drawing>
          <wp:inline distT="0" distB="0" distL="0" distR="0" wp14:anchorId="7F032D44" wp14:editId="2E464793">
            <wp:extent cx="5943600" cy="18186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818640"/>
                    </a:xfrm>
                    <a:prstGeom prst="rect">
                      <a:avLst/>
                    </a:prstGeom>
                  </pic:spPr>
                </pic:pic>
              </a:graphicData>
            </a:graphic>
          </wp:inline>
        </w:drawing>
      </w:r>
    </w:p>
    <w:p w14:paraId="31ECFB48" w14:textId="3BD02384" w:rsidR="00D344D2" w:rsidRPr="00D344D2" w:rsidRDefault="00D344D2" w:rsidP="00D344D2">
      <w:pPr>
        <w:pStyle w:val="Caption"/>
        <w:rPr>
          <w:lang w:val="en-US"/>
        </w:rPr>
      </w:pPr>
      <w:bookmarkStart w:id="30" w:name="_Toc237450280"/>
      <w:r>
        <w:t xml:space="preserve">Figure </w:t>
      </w:r>
      <w:r>
        <w:fldChar w:fldCharType="begin"/>
      </w:r>
      <w:r>
        <w:instrText xml:space="preserve"> SEQ Figure \* ARABIC </w:instrText>
      </w:r>
      <w:r>
        <w:fldChar w:fldCharType="separate"/>
      </w:r>
      <w:r w:rsidR="004B5F67">
        <w:rPr>
          <w:noProof/>
        </w:rPr>
        <w:t>8</w:t>
      </w:r>
      <w:r>
        <w:fldChar w:fldCharType="end"/>
      </w:r>
      <w:r>
        <w:rPr>
          <w:lang w:val="en-US"/>
        </w:rPr>
        <w:t xml:space="preserve">: </w:t>
      </w:r>
      <w:r w:rsidRPr="008C28ED">
        <w:rPr>
          <w:lang w:val="en-US"/>
        </w:rPr>
        <w:t>New Zealand Population Estimates</w:t>
      </w:r>
      <w:bookmarkEnd w:id="30"/>
    </w:p>
    <w:p w14:paraId="3B76ACFC" w14:textId="37EB7446" w:rsidR="00D344D2" w:rsidRPr="00D344D2" w:rsidRDefault="00D344D2" w:rsidP="00D344D2">
      <w:r w:rsidRPr="00D344D2">
        <w:t>Source: (Stats NZ, 2026)</w:t>
      </w:r>
    </w:p>
    <w:p w14:paraId="7005D3F8" w14:textId="77777777" w:rsidR="00AD0126" w:rsidRDefault="00AD0126" w:rsidP="00AD0126">
      <w:r>
        <w:t>New Zealand brings the developed-market purchasing power with a population that is around 5.36 million people in March 2026. It has a high-income population base that backs demand for quality, convenience and omnichannel retailing; but it also has a small population, which means it does not have enough sales volume to cover Walmart's fixed distribution, technology and store-development expenses. Further, annual inflation was 3.1% in March 2026, limiting real household expenditure amid a nascent economic recovery (OECD, 2026a; Reserve Bank of New Zealand, 2026).</w:t>
      </w:r>
    </w:p>
    <w:p w14:paraId="41F38DB8" w14:textId="77777777" w:rsidR="00AD0126" w:rsidRDefault="00AD0126" w:rsidP="003B6CEA"/>
    <w:p w14:paraId="5340BBDA" w14:textId="57B7B155" w:rsidR="007C4362" w:rsidRDefault="007C4362" w:rsidP="003B6CEA">
      <w:pPr>
        <w:pStyle w:val="Heading3"/>
      </w:pPr>
      <w:bookmarkStart w:id="31" w:name="_Toc237450211"/>
      <w:r>
        <w:t>3.2.2 Retail Industry Structure and Competitive Intensity</w:t>
      </w:r>
      <w:bookmarkEnd w:id="31"/>
    </w:p>
    <w:p w14:paraId="3D1ADFAC" w14:textId="30968A62" w:rsidR="00D45948" w:rsidRDefault="00D45948" w:rsidP="00D45948">
      <w:r w:rsidRPr="00D45948">
        <w:rPr>
          <w:noProof/>
        </w:rPr>
        <w:drawing>
          <wp:inline distT="0" distB="0" distL="0" distR="0" wp14:anchorId="34738027" wp14:editId="6AB80E96">
            <wp:extent cx="5943600" cy="32016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8294"/>
                    <a:stretch/>
                  </pic:blipFill>
                  <pic:spPr bwMode="auto">
                    <a:xfrm>
                      <a:off x="0" y="0"/>
                      <a:ext cx="5943600" cy="3201670"/>
                    </a:xfrm>
                    <a:prstGeom prst="rect">
                      <a:avLst/>
                    </a:prstGeom>
                    <a:ln>
                      <a:noFill/>
                    </a:ln>
                    <a:extLst>
                      <a:ext uri="{53640926-AAD7-44D8-BBD7-CCE9431645EC}">
                        <a14:shadowObscured xmlns:a14="http://schemas.microsoft.com/office/drawing/2010/main"/>
                      </a:ext>
                    </a:extLst>
                  </pic:spPr>
                </pic:pic>
              </a:graphicData>
            </a:graphic>
          </wp:inline>
        </w:drawing>
      </w:r>
    </w:p>
    <w:p w14:paraId="1A47AD77" w14:textId="7C3C152F" w:rsidR="00D45948" w:rsidRDefault="008E374F" w:rsidP="008E374F">
      <w:pPr>
        <w:pStyle w:val="Caption"/>
        <w:rPr>
          <w:lang w:val="en-US"/>
        </w:rPr>
      </w:pPr>
      <w:bookmarkStart w:id="32" w:name="_Toc237450281"/>
      <w:r>
        <w:t xml:space="preserve">Figure </w:t>
      </w:r>
      <w:r>
        <w:fldChar w:fldCharType="begin"/>
      </w:r>
      <w:r>
        <w:instrText xml:space="preserve"> SEQ Figure \* ARABIC </w:instrText>
      </w:r>
      <w:r>
        <w:fldChar w:fldCharType="separate"/>
      </w:r>
      <w:r w:rsidR="004B5F67">
        <w:rPr>
          <w:noProof/>
        </w:rPr>
        <w:t>9</w:t>
      </w:r>
      <w:r>
        <w:fldChar w:fldCharType="end"/>
      </w:r>
      <w:r>
        <w:rPr>
          <w:lang w:val="en-US"/>
        </w:rPr>
        <w:t>:</w:t>
      </w:r>
      <w:r w:rsidRPr="00145536">
        <w:rPr>
          <w:lang w:val="en-US"/>
        </w:rPr>
        <w:t>New Zealand Grocery Market Share, 2020–2025</w:t>
      </w:r>
      <w:bookmarkEnd w:id="32"/>
    </w:p>
    <w:p w14:paraId="175BD063" w14:textId="2B4AC173" w:rsidR="008E374F" w:rsidRPr="008E374F" w:rsidRDefault="008E374F" w:rsidP="008E374F">
      <w:pPr>
        <w:rPr>
          <w:lang w:val="en-US"/>
        </w:rPr>
      </w:pPr>
      <w:r w:rsidRPr="008E374F">
        <w:rPr>
          <w:lang w:val="en-US"/>
        </w:rPr>
        <w:t>Source: (Commerce Commission New Zealand, 2026)</w:t>
      </w:r>
    </w:p>
    <w:p w14:paraId="0EC70661" w14:textId="111ECD2D" w:rsidR="00AD0126" w:rsidRDefault="00AD0126" w:rsidP="00AD0126">
      <w:r>
        <w:t xml:space="preserve">The grocery market is dominated by Foodstuffs’ </w:t>
      </w:r>
      <w:proofErr w:type="spellStart"/>
      <w:r>
        <w:t>Pak’nSave</w:t>
      </w:r>
      <w:proofErr w:type="spellEnd"/>
      <w:r>
        <w:t xml:space="preserve">, New World and </w:t>
      </w:r>
      <w:proofErr w:type="gramStart"/>
      <w:r>
        <w:t>Four Square</w:t>
      </w:r>
      <w:proofErr w:type="gramEnd"/>
      <w:r>
        <w:t xml:space="preserve"> brands and Woolworths New Zealand, alongside Costco, The Warehouse, Chemist Warehouse and specialised online retailers. In 2024, major supermarket groups captured about 82% of national grocery sales, indicating concentration and significant barriers to entry. The Commerce Commission determined that competition is lacking, and that on average grocery prices and profits are high (Commerce Commission New Zealand, 2022). Walmart may take advantage of this dissatisfaction but would struggle against existing stores, supplier agreements and customer preference to quickly gain market share.</w:t>
      </w:r>
    </w:p>
    <w:p w14:paraId="65B1FA68" w14:textId="77777777" w:rsidR="00AD0126" w:rsidRDefault="00AD0126" w:rsidP="00AD0126"/>
    <w:p w14:paraId="6CC3A612" w14:textId="77777777" w:rsidR="007C4362" w:rsidRDefault="007C4362" w:rsidP="003B6CEA">
      <w:pPr>
        <w:pStyle w:val="Heading3"/>
      </w:pPr>
      <w:bookmarkStart w:id="33" w:name="_Toc237450212"/>
      <w:r>
        <w:lastRenderedPageBreak/>
        <w:t>3.2.3 Cost Structure and Price-Leadership Feasibility</w:t>
      </w:r>
      <w:bookmarkEnd w:id="33"/>
    </w:p>
    <w:p w14:paraId="008F339E" w14:textId="77777777" w:rsidR="00E96675" w:rsidRDefault="009C3CFF" w:rsidP="009C3CFF">
      <w:r>
        <w:t xml:space="preserve">Walmart's buying power and merchandise technology would lower the cost of merchandise, while New Zealand's wages, commercial property costs, utilities and regulatory compliance would increase operating costs. </w:t>
      </w:r>
    </w:p>
    <w:p w14:paraId="10DB6F29" w14:textId="219A749A" w:rsidR="00E96675" w:rsidRDefault="00E96675" w:rsidP="009C3CFF">
      <w:r w:rsidRPr="00E96675">
        <w:rPr>
          <w:noProof/>
        </w:rPr>
        <w:drawing>
          <wp:inline distT="0" distB="0" distL="0" distR="0" wp14:anchorId="0E9F6E08" wp14:editId="2372AE2A">
            <wp:extent cx="5943600" cy="31470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1353"/>
                    <a:stretch/>
                  </pic:blipFill>
                  <pic:spPr bwMode="auto">
                    <a:xfrm>
                      <a:off x="0" y="0"/>
                      <a:ext cx="5943600" cy="3147060"/>
                    </a:xfrm>
                    <a:prstGeom prst="rect">
                      <a:avLst/>
                    </a:prstGeom>
                    <a:ln>
                      <a:noFill/>
                    </a:ln>
                    <a:extLst>
                      <a:ext uri="{53640926-AAD7-44D8-BBD7-CCE9431645EC}">
                        <a14:shadowObscured xmlns:a14="http://schemas.microsoft.com/office/drawing/2010/main"/>
                      </a:ext>
                    </a:extLst>
                  </pic:spPr>
                </pic:pic>
              </a:graphicData>
            </a:graphic>
          </wp:inline>
        </w:drawing>
      </w:r>
    </w:p>
    <w:p w14:paraId="3D780A84" w14:textId="1E3FA860" w:rsidR="00E96675" w:rsidRDefault="00E96675" w:rsidP="00E96675">
      <w:pPr>
        <w:pStyle w:val="Caption"/>
        <w:rPr>
          <w:lang w:val="en-US"/>
        </w:rPr>
      </w:pPr>
      <w:bookmarkStart w:id="34" w:name="_Toc237450282"/>
      <w:r>
        <w:t xml:space="preserve">Figure </w:t>
      </w:r>
      <w:r>
        <w:fldChar w:fldCharType="begin"/>
      </w:r>
      <w:r>
        <w:instrText xml:space="preserve"> SEQ Figure \* ARABIC </w:instrText>
      </w:r>
      <w:r>
        <w:fldChar w:fldCharType="separate"/>
      </w:r>
      <w:r w:rsidR="004B5F67">
        <w:rPr>
          <w:noProof/>
        </w:rPr>
        <w:t>10</w:t>
      </w:r>
      <w:r>
        <w:fldChar w:fldCharType="end"/>
      </w:r>
      <w:r>
        <w:rPr>
          <w:lang w:val="en-US"/>
        </w:rPr>
        <w:t xml:space="preserve">: </w:t>
      </w:r>
      <w:r w:rsidRPr="009016D5">
        <w:rPr>
          <w:lang w:val="en-US"/>
        </w:rPr>
        <w:t>New Zealand Minimum Wage Rates, 2022–2025</w:t>
      </w:r>
      <w:bookmarkEnd w:id="34"/>
    </w:p>
    <w:p w14:paraId="3D6F5AEB" w14:textId="5F6800A5" w:rsidR="00E96675" w:rsidRPr="00E96675" w:rsidRDefault="00E96675" w:rsidP="00E96675">
      <w:pPr>
        <w:rPr>
          <w:lang w:val="en-US"/>
        </w:rPr>
      </w:pPr>
      <w:r w:rsidRPr="00E96675">
        <w:rPr>
          <w:lang w:val="en-US"/>
        </w:rPr>
        <w:t>Source: (Employment New Zealand, 2025)</w:t>
      </w:r>
    </w:p>
    <w:p w14:paraId="4A60B2ED" w14:textId="10BBD4B2" w:rsidR="009C3CFF" w:rsidRDefault="009C3CFF" w:rsidP="009C3CFF">
      <w:r>
        <w:t>Its everyday-low-price model would thus be more viable in the high-density areas of Auckland, Christchurch and Wellington, than in smaller communities. While a large nationwide store rollout could lead to a dilution of scale advantages, local sourcing and automated fulfilment could lead to a decrease in cost (Brunda et al., 2025).</w:t>
      </w:r>
    </w:p>
    <w:p w14:paraId="6ACE8D0E" w14:textId="77777777" w:rsidR="009C3CFF" w:rsidRDefault="009C3CFF" w:rsidP="003B6CEA"/>
    <w:p w14:paraId="75B947AA" w14:textId="77777777" w:rsidR="007C4362" w:rsidRDefault="007C4362" w:rsidP="003B6CEA">
      <w:pPr>
        <w:pStyle w:val="Heading3"/>
      </w:pPr>
      <w:bookmarkStart w:id="35" w:name="_Toc237450213"/>
      <w:r>
        <w:t>3.2.4 Geography, Logistics and Supply-Chain Economics</w:t>
      </w:r>
      <w:bookmarkEnd w:id="35"/>
    </w:p>
    <w:p w14:paraId="357F4CE2" w14:textId="4FB5EC08" w:rsidR="009C3CFF" w:rsidRDefault="009C3CFF" w:rsidP="009C3CFF">
      <w:r>
        <w:t xml:space="preserve">New Zealand is geographically isolated from the key Walmart sourcing and distribution hubs, port bound and split between two main islands. Long shipping routes add to lead times, inventory buffers and vulnerability to disruption and dispersed settlements add to last-mile costs. Resilient sourcing involves an optimization of efficiency and supplier </w:t>
      </w:r>
      <w:r>
        <w:lastRenderedPageBreak/>
        <w:t>diversification and capacity, resulting in inevitable cost trade-offs (Cajal-Grossi et al., 2023; Alem Fonseca et al., 2026).</w:t>
      </w:r>
    </w:p>
    <w:p w14:paraId="112CCA06" w14:textId="77777777" w:rsidR="009C3CFF" w:rsidRDefault="009C3CFF" w:rsidP="009C3CFF"/>
    <w:p w14:paraId="5CAC9E37" w14:textId="77777777" w:rsidR="007C4362" w:rsidRDefault="007C4362" w:rsidP="003B6CEA">
      <w:pPr>
        <w:pStyle w:val="Heading3"/>
      </w:pPr>
      <w:bookmarkStart w:id="36" w:name="_Toc237450214"/>
      <w:r>
        <w:t>3.2.5 Currency and Macroeconomic Risks</w:t>
      </w:r>
      <w:bookmarkEnd w:id="36"/>
    </w:p>
    <w:p w14:paraId="75D20842" w14:textId="77777777" w:rsidR="004E4A43" w:rsidRDefault="004E4A43" w:rsidP="004E4A43">
      <w:r>
        <w:t>Walmart's imported inventory would be vulnerable to the depreciation of the New Zealand dollar, while appreciation of that currency could limit the amount of US-dollar profits being repatriated. In May 2026 the Official Cash Rate (OCR) remained unchanged at 2.25%, with the Reserve Bank seeing inflation pressure to return, reflecting uncertain financing and consumption conditions (Reserve Bank of New Zealand, 2026). Walmart should therefore take measures like currency hedging, local procurement and staged investment to keep margins protected and maintain flexibility.</w:t>
      </w:r>
    </w:p>
    <w:p w14:paraId="55EE7ECF" w14:textId="697EBA4B" w:rsidR="007C4362" w:rsidRDefault="00616C9E" w:rsidP="003B6CEA">
      <w:r w:rsidRPr="00616C9E">
        <w:rPr>
          <w:noProof/>
        </w:rPr>
        <w:drawing>
          <wp:inline distT="0" distB="0" distL="0" distR="0" wp14:anchorId="79D348BA" wp14:editId="2E17FE2C">
            <wp:extent cx="5943600" cy="26949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694940"/>
                    </a:xfrm>
                    <a:prstGeom prst="rect">
                      <a:avLst/>
                    </a:prstGeom>
                  </pic:spPr>
                </pic:pic>
              </a:graphicData>
            </a:graphic>
          </wp:inline>
        </w:drawing>
      </w:r>
    </w:p>
    <w:p w14:paraId="3DBDC70F" w14:textId="73C58232" w:rsidR="00616C9E" w:rsidRDefault="00616C9E" w:rsidP="00616C9E">
      <w:pPr>
        <w:pStyle w:val="Caption"/>
        <w:rPr>
          <w:lang w:val="en-US"/>
        </w:rPr>
      </w:pPr>
      <w:bookmarkStart w:id="37" w:name="_Toc237450283"/>
      <w:r>
        <w:t xml:space="preserve">Figure </w:t>
      </w:r>
      <w:r>
        <w:fldChar w:fldCharType="begin"/>
      </w:r>
      <w:r>
        <w:instrText xml:space="preserve"> SEQ Figure \* ARABIC </w:instrText>
      </w:r>
      <w:r>
        <w:fldChar w:fldCharType="separate"/>
      </w:r>
      <w:r w:rsidR="004B5F67">
        <w:rPr>
          <w:noProof/>
        </w:rPr>
        <w:t>11</w:t>
      </w:r>
      <w:r>
        <w:fldChar w:fldCharType="end"/>
      </w:r>
      <w:r>
        <w:rPr>
          <w:lang w:val="en-US"/>
        </w:rPr>
        <w:t xml:space="preserve">: </w:t>
      </w:r>
      <w:r w:rsidRPr="00DA043F">
        <w:rPr>
          <w:lang w:val="en-US"/>
        </w:rPr>
        <w:t>New Zealand Dollar–US Dollar Exchange Rate, 2024–2025</w:t>
      </w:r>
      <w:bookmarkEnd w:id="37"/>
    </w:p>
    <w:p w14:paraId="4B9B4698" w14:textId="753E584F" w:rsidR="00616C9E" w:rsidRPr="00616C9E" w:rsidRDefault="00616C9E" w:rsidP="00616C9E">
      <w:pPr>
        <w:rPr>
          <w:lang w:val="en-US"/>
        </w:rPr>
      </w:pPr>
      <w:r w:rsidRPr="00616C9E">
        <w:rPr>
          <w:lang w:val="en-US"/>
        </w:rPr>
        <w:t>Source: (CEIC Data, 2025)</w:t>
      </w:r>
    </w:p>
    <w:p w14:paraId="3903016A" w14:textId="77777777" w:rsidR="00616C9E" w:rsidRDefault="00616C9E" w:rsidP="003B6CEA"/>
    <w:p w14:paraId="4F0407E7" w14:textId="77777777" w:rsidR="007C4362" w:rsidRDefault="007C4362" w:rsidP="003B6CEA">
      <w:pPr>
        <w:pStyle w:val="Heading2"/>
        <w:rPr>
          <w:rFonts w:ascii="Times New Roman" w:hAnsi="Times New Roman"/>
          <w:color w:val="auto"/>
          <w:lang w:val="en-US"/>
        </w:rPr>
      </w:pPr>
      <w:bookmarkStart w:id="38" w:name="_Toc237450215"/>
      <w:r>
        <w:lastRenderedPageBreak/>
        <w:t>3.3 Legal and Regulatory Environment</w:t>
      </w:r>
      <w:bookmarkEnd w:id="38"/>
    </w:p>
    <w:p w14:paraId="68B00839" w14:textId="77777777" w:rsidR="007C4362" w:rsidRDefault="007C4362" w:rsidP="003B6CEA">
      <w:pPr>
        <w:pStyle w:val="Heading3"/>
      </w:pPr>
      <w:bookmarkStart w:id="39" w:name="_Toc237450216"/>
      <w:r>
        <w:t>3.3.1 Competition and Commerce Regulation</w:t>
      </w:r>
      <w:bookmarkEnd w:id="39"/>
    </w:p>
    <w:p w14:paraId="4E3E0B62" w14:textId="6C7A1E83" w:rsidR="004E4A43" w:rsidRDefault="004E4A43" w:rsidP="004E4A43">
      <w:r>
        <w:t>Walmart would operate under the Commerce Act 1986, which prohibits anti-competitive agreements, misuse of substantial market power and acquisitions that substantially lessen competition. The grocery market in New Zealand is very concentrated, and an acquisition of a large supermarket would be closely eyed by the Commerce Commission. In contrast, a greenfield Walmart may be policy-friendly in its ability to create competition on prices. However, the practice of selling at below cost in order to drive out the competition, or of using unfair supplier terms or land deals would be regarded as a regulatory risk. The Grocery Industry Competition Act 2023, Grocery Supply Code and wholesale-access regime also require transparent and good-faith dealings with suppliers (Commerce Commission New Zealand, 2022; MBIE, 2026).</w:t>
      </w:r>
    </w:p>
    <w:p w14:paraId="23F16F4B" w14:textId="77777777" w:rsidR="004E4A43" w:rsidRDefault="004E4A43" w:rsidP="004E4A43"/>
    <w:p w14:paraId="44E22336" w14:textId="5ACE30F4" w:rsidR="007C4362" w:rsidRDefault="007C4362" w:rsidP="003B6CEA">
      <w:pPr>
        <w:pStyle w:val="Heading3"/>
      </w:pPr>
      <w:bookmarkStart w:id="40" w:name="_Toc237450217"/>
      <w:r>
        <w:t>3.3.2 Employment and Workplace Regulation</w:t>
      </w:r>
      <w:bookmarkEnd w:id="40"/>
    </w:p>
    <w:p w14:paraId="3338F934" w14:textId="24CC9AD8" w:rsidR="008E656A" w:rsidRDefault="008E656A" w:rsidP="008E656A">
      <w:r w:rsidRPr="008E656A">
        <w:rPr>
          <w:noProof/>
        </w:rPr>
        <w:drawing>
          <wp:inline distT="0" distB="0" distL="0" distR="0" wp14:anchorId="7BAEFCE3" wp14:editId="55E74846">
            <wp:extent cx="5943600" cy="202311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023110"/>
                    </a:xfrm>
                    <a:prstGeom prst="rect">
                      <a:avLst/>
                    </a:prstGeom>
                  </pic:spPr>
                </pic:pic>
              </a:graphicData>
            </a:graphic>
          </wp:inline>
        </w:drawing>
      </w:r>
    </w:p>
    <w:p w14:paraId="585D1C25" w14:textId="418C2DAE" w:rsidR="008E656A" w:rsidRDefault="008E656A" w:rsidP="008E656A">
      <w:pPr>
        <w:pStyle w:val="Caption"/>
        <w:rPr>
          <w:lang w:val="en-US"/>
        </w:rPr>
      </w:pPr>
      <w:bookmarkStart w:id="41" w:name="_Toc237450284"/>
      <w:r>
        <w:t xml:space="preserve">Figure </w:t>
      </w:r>
      <w:r>
        <w:fldChar w:fldCharType="begin"/>
      </w:r>
      <w:r>
        <w:instrText xml:space="preserve"> SEQ Figure \* ARABIC </w:instrText>
      </w:r>
      <w:r>
        <w:fldChar w:fldCharType="separate"/>
      </w:r>
      <w:r w:rsidR="004B5F67">
        <w:rPr>
          <w:noProof/>
        </w:rPr>
        <w:t>12</w:t>
      </w:r>
      <w:r>
        <w:fldChar w:fldCharType="end"/>
      </w:r>
      <w:r>
        <w:rPr>
          <w:lang w:val="en-US"/>
        </w:rPr>
        <w:t xml:space="preserve">: </w:t>
      </w:r>
      <w:r w:rsidRPr="000A73DF">
        <w:rPr>
          <w:lang w:val="en-US"/>
        </w:rPr>
        <w:t>New Zealand Minimum Wage Increase in 2026</w:t>
      </w:r>
      <w:bookmarkEnd w:id="41"/>
    </w:p>
    <w:p w14:paraId="0A09BC68" w14:textId="2FA1775A" w:rsidR="008E656A" w:rsidRPr="008E656A" w:rsidRDefault="008E656A" w:rsidP="008E656A">
      <w:pPr>
        <w:rPr>
          <w:lang w:val="en-US"/>
        </w:rPr>
      </w:pPr>
      <w:r w:rsidRPr="008E656A">
        <w:rPr>
          <w:lang w:val="en-US"/>
        </w:rPr>
        <w:t>Source: (Business.govt.nz, 2026)</w:t>
      </w:r>
    </w:p>
    <w:p w14:paraId="62D704FC" w14:textId="14374923" w:rsidR="00A24F1C" w:rsidRDefault="00A24F1C" w:rsidP="00A24F1C">
      <w:r>
        <w:t xml:space="preserve">Walmart's labour-intensive approach has to follow the Employment Relations Act 2000, Holidays Act 2003, minimum-wage regulations and health-and-safety laws. The adult minimum wage has gone up to NZ$23.95 per hour from 1st April 2026, which will increase the costs compared to lower paid sourcing markets. There are also rights for employees with regards to written agreements, leave, union membership, collective bargaining and </w:t>
      </w:r>
      <w:r>
        <w:lastRenderedPageBreak/>
        <w:t>against unjustified dismissal. If these would reduce the protections already in place in New Zealand, Walmart could not simply import US employment practices. For compliance, and for employers to be legitimate, this would require competitive wages, and predictability in scheduling and worker consultation (Links International, 2026; OECD, 2026b).</w:t>
      </w:r>
    </w:p>
    <w:p w14:paraId="27FD843B" w14:textId="77777777" w:rsidR="007875CD" w:rsidRDefault="007875CD" w:rsidP="00A24F1C"/>
    <w:p w14:paraId="36400705" w14:textId="3752AE65" w:rsidR="007C4362" w:rsidRDefault="007C4362" w:rsidP="003B6CEA">
      <w:pPr>
        <w:pStyle w:val="Heading3"/>
      </w:pPr>
      <w:bookmarkStart w:id="42" w:name="_Toc237450218"/>
      <w:r>
        <w:t>3.3.3 Consumer Protection and Product Standards</w:t>
      </w:r>
      <w:bookmarkEnd w:id="42"/>
    </w:p>
    <w:p w14:paraId="79F93659" w14:textId="186D99BD" w:rsidR="00B23A84" w:rsidRDefault="00B23A84" w:rsidP="00B23A84">
      <w:r w:rsidRPr="00B23A84">
        <w:rPr>
          <w:noProof/>
        </w:rPr>
        <w:drawing>
          <wp:inline distT="0" distB="0" distL="0" distR="0" wp14:anchorId="4544D3CD" wp14:editId="4772C147">
            <wp:extent cx="5943600" cy="293751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937510"/>
                    </a:xfrm>
                    <a:prstGeom prst="rect">
                      <a:avLst/>
                    </a:prstGeom>
                  </pic:spPr>
                </pic:pic>
              </a:graphicData>
            </a:graphic>
          </wp:inline>
        </w:drawing>
      </w:r>
    </w:p>
    <w:p w14:paraId="3FAFA314" w14:textId="1F2327DD" w:rsidR="00B23A84" w:rsidRDefault="00B23A84" w:rsidP="00B23A84">
      <w:pPr>
        <w:pStyle w:val="Caption"/>
        <w:rPr>
          <w:lang w:val="en-US"/>
        </w:rPr>
      </w:pPr>
      <w:bookmarkStart w:id="43" w:name="_Toc237450285"/>
      <w:r>
        <w:t xml:space="preserve">Figure </w:t>
      </w:r>
      <w:r>
        <w:fldChar w:fldCharType="begin"/>
      </w:r>
      <w:r>
        <w:instrText xml:space="preserve"> SEQ Figure \* ARABIC </w:instrText>
      </w:r>
      <w:r>
        <w:fldChar w:fldCharType="separate"/>
      </w:r>
      <w:r w:rsidR="004B5F67">
        <w:rPr>
          <w:noProof/>
        </w:rPr>
        <w:t>13</w:t>
      </w:r>
      <w:r>
        <w:fldChar w:fldCharType="end"/>
      </w:r>
      <w:r>
        <w:rPr>
          <w:lang w:val="en-US"/>
        </w:rPr>
        <w:t xml:space="preserve">: </w:t>
      </w:r>
      <w:r w:rsidRPr="009517FD">
        <w:rPr>
          <w:lang w:val="en-US"/>
        </w:rPr>
        <w:t>Consumer Rights under New Zealand’s Consumer Guarantees Act</w:t>
      </w:r>
      <w:bookmarkEnd w:id="43"/>
    </w:p>
    <w:p w14:paraId="3D8E11A5" w14:textId="5A937FA4" w:rsidR="00B23A84" w:rsidRPr="00B23A84" w:rsidRDefault="00B23A84" w:rsidP="00B23A84">
      <w:pPr>
        <w:rPr>
          <w:lang w:val="en-US"/>
        </w:rPr>
      </w:pPr>
      <w:r w:rsidRPr="00B23A84">
        <w:rPr>
          <w:lang w:val="en-US"/>
        </w:rPr>
        <w:t>Source: (Consumer Protection New Zealand, 2026)</w:t>
      </w:r>
    </w:p>
    <w:p w14:paraId="0F3741B1" w14:textId="648AC4FC" w:rsidR="00A24F1C" w:rsidRDefault="00A24F1C" w:rsidP="00A24F1C">
      <w:r>
        <w:t xml:space="preserve">The </w:t>
      </w:r>
      <w:r w:rsidR="002E13EA">
        <w:t>Fair-Trading</w:t>
      </w:r>
      <w:r>
        <w:t xml:space="preserve"> Act 1986 prohibits misleading prices, false representations and unfair practices, while the Consumer Guarantees Act 1993 requires goods to be safe, durable and fit for purpose. Walmart would require accurate promotional pricing, country-of-origin and food labelling, effective product recalls and accessible refunds. Its use of customer data and AI-driven personalisation must also comply with privacy obligations, because digital convenience can create risks involving surveillance, consent and remedies for privacy harm (Opland, 2026; Brunda et al., 2025).</w:t>
      </w:r>
    </w:p>
    <w:p w14:paraId="45A8383C" w14:textId="77777777" w:rsidR="00A24F1C" w:rsidRDefault="00A24F1C" w:rsidP="00A24F1C"/>
    <w:p w14:paraId="06F5B878" w14:textId="77777777" w:rsidR="007C4362" w:rsidRDefault="007C4362" w:rsidP="003B6CEA">
      <w:pPr>
        <w:pStyle w:val="Heading3"/>
      </w:pPr>
      <w:bookmarkStart w:id="44" w:name="_Toc237450219"/>
      <w:r>
        <w:lastRenderedPageBreak/>
        <w:t>3.3.4 Environmental and Sustainability Requirements</w:t>
      </w:r>
      <w:bookmarkEnd w:id="44"/>
    </w:p>
    <w:p w14:paraId="463EA66D" w14:textId="77777777" w:rsidR="00305798" w:rsidRDefault="00305798" w:rsidP="00305798">
      <w:r>
        <w:t>The costs of compliance and supplier-monitoring would go up due to packaging recovery, waste minimisation, emissions reduction and responsible sourcing. However, credible environmental commitments could help to distinguish Walmart and support its corporate environmental, social and governance (ESG) goals, instead of being symbolic statements (Walmart Inc., 2025b).</w:t>
      </w:r>
    </w:p>
    <w:p w14:paraId="09FCC26A" w14:textId="7568CCA9" w:rsidR="00A24F1C" w:rsidRDefault="00E1038D" w:rsidP="003B6CEA">
      <w:r w:rsidRPr="00E1038D">
        <w:rPr>
          <w:noProof/>
        </w:rPr>
        <w:drawing>
          <wp:inline distT="0" distB="0" distL="0" distR="0" wp14:anchorId="38CC2241" wp14:editId="0CB281AF">
            <wp:extent cx="5577840" cy="5285242"/>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79962" cy="5287253"/>
                    </a:xfrm>
                    <a:prstGeom prst="rect">
                      <a:avLst/>
                    </a:prstGeom>
                  </pic:spPr>
                </pic:pic>
              </a:graphicData>
            </a:graphic>
          </wp:inline>
        </w:drawing>
      </w:r>
    </w:p>
    <w:p w14:paraId="508074FE" w14:textId="7B65BF76" w:rsidR="00E1038D" w:rsidRDefault="00E1038D" w:rsidP="00E1038D">
      <w:pPr>
        <w:pStyle w:val="Caption"/>
        <w:rPr>
          <w:lang w:val="en-US"/>
        </w:rPr>
      </w:pPr>
      <w:bookmarkStart w:id="45" w:name="_Toc237450286"/>
      <w:r>
        <w:t xml:space="preserve">Figure </w:t>
      </w:r>
      <w:r>
        <w:fldChar w:fldCharType="begin"/>
      </w:r>
      <w:r>
        <w:instrText xml:space="preserve"> SEQ Figure \* ARABIC </w:instrText>
      </w:r>
      <w:r>
        <w:fldChar w:fldCharType="separate"/>
      </w:r>
      <w:r w:rsidR="004B5F67">
        <w:rPr>
          <w:noProof/>
        </w:rPr>
        <w:t>14</w:t>
      </w:r>
      <w:r>
        <w:fldChar w:fldCharType="end"/>
      </w:r>
      <w:r>
        <w:rPr>
          <w:lang w:val="en-US"/>
        </w:rPr>
        <w:t xml:space="preserve">: </w:t>
      </w:r>
      <w:r w:rsidRPr="003A2B3A">
        <w:rPr>
          <w:lang w:val="en-US"/>
        </w:rPr>
        <w:t>Plastic Types and Recyclability in New Zealand</w:t>
      </w:r>
      <w:bookmarkEnd w:id="45"/>
    </w:p>
    <w:p w14:paraId="45462DA3" w14:textId="2008DBBA" w:rsidR="00E1038D" w:rsidRDefault="00E1038D" w:rsidP="00E1038D">
      <w:pPr>
        <w:rPr>
          <w:lang w:val="en-US"/>
        </w:rPr>
      </w:pPr>
      <w:r w:rsidRPr="00E1038D">
        <w:rPr>
          <w:lang w:val="en-US"/>
        </w:rPr>
        <w:t>Source: (Ministry for the Environment, 2026)</w:t>
      </w:r>
    </w:p>
    <w:p w14:paraId="0EE23E5F" w14:textId="77777777" w:rsidR="00B82538" w:rsidRPr="00E1038D" w:rsidRDefault="00B82538" w:rsidP="00E1038D">
      <w:pPr>
        <w:rPr>
          <w:lang w:val="en-US"/>
        </w:rPr>
      </w:pPr>
    </w:p>
    <w:p w14:paraId="2CFFB7AD" w14:textId="77777777" w:rsidR="007C4362" w:rsidRDefault="007C4362" w:rsidP="003B6CEA">
      <w:pPr>
        <w:pStyle w:val="Heading3"/>
      </w:pPr>
      <w:bookmarkStart w:id="46" w:name="_Toc237450220"/>
      <w:r>
        <w:lastRenderedPageBreak/>
        <w:t>3.3.5 Māori Rights and Stakeholder Responsibilities</w:t>
      </w:r>
      <w:bookmarkEnd w:id="46"/>
    </w:p>
    <w:p w14:paraId="09CF361D" w14:textId="77777777" w:rsidR="00305798" w:rsidRDefault="00305798" w:rsidP="00305798">
      <w:r>
        <w:t>While not all retail decisions need to involve Māori consultation, land-based, employment, sourcing and community impacts must be engaged with in a culturally responsible manner. Social legitimacy could be enhanced through partnership with iwi and Māori enterprises, bilingual communication, and utilizing Māori products. Collective wellbeing and guardianship of the environment are key Māori values that should underpin governance, not simply be used for marketing (Askarany et al., 2025).</w:t>
      </w:r>
    </w:p>
    <w:p w14:paraId="77E7AD76" w14:textId="77777777" w:rsidR="003B6CEA" w:rsidRDefault="003B6CEA" w:rsidP="003B6CEA"/>
    <w:p w14:paraId="5E46F3DB" w14:textId="1774D3A2" w:rsidR="007C4362" w:rsidRDefault="007C4362" w:rsidP="003B6CEA">
      <w:pPr>
        <w:pStyle w:val="Heading2"/>
      </w:pPr>
      <w:bookmarkStart w:id="47" w:name="_Toc237450221"/>
      <w:r>
        <w:t>3.4 Cultural and Consumer Environment</w:t>
      </w:r>
      <w:bookmarkEnd w:id="47"/>
    </w:p>
    <w:p w14:paraId="6305EF8C" w14:textId="77777777" w:rsidR="007C4362" w:rsidRDefault="007C4362" w:rsidP="003B6CEA">
      <w:pPr>
        <w:pStyle w:val="Heading3"/>
      </w:pPr>
      <w:bookmarkStart w:id="48" w:name="_Toc237450222"/>
      <w:r>
        <w:t>3.4.1 New Zealand Consumer Values and Shopping Behaviour</w:t>
      </w:r>
      <w:bookmarkEnd w:id="48"/>
    </w:p>
    <w:p w14:paraId="1940E834" w14:textId="72C11E98" w:rsidR="00BD1ED4" w:rsidRDefault="00BD1ED4" w:rsidP="00BD1ED4">
      <w:r>
        <w:t xml:space="preserve">New Zealand consumers are price conscious and want quality, convenience, ethical </w:t>
      </w:r>
      <w:proofErr w:type="spellStart"/>
      <w:r>
        <w:t>behavior</w:t>
      </w:r>
      <w:proofErr w:type="spellEnd"/>
      <w:r>
        <w:t xml:space="preserve"> and environmental care. Grocery spending is a necessity and value and promotions are top-of-mind as a result of inflation. However, universalism</w:t>
      </w:r>
      <w:r w:rsidR="00305798">
        <w:t xml:space="preserve">, </w:t>
      </w:r>
      <w:r>
        <w:t xml:space="preserve">achievement and enjoyment indicate that sustainability needs to be tied to customer experience and affordability (Hasan et al., 2025). Pandemic related changes also boosted the need for online ordering, contactless payment and home delivery, </w:t>
      </w:r>
      <w:proofErr w:type="spellStart"/>
      <w:r>
        <w:t>favoring</w:t>
      </w:r>
      <w:proofErr w:type="spellEnd"/>
      <w:r>
        <w:t xml:space="preserve"> an omnichannel entrant (Tang et al., 2021).</w:t>
      </w:r>
    </w:p>
    <w:p w14:paraId="0781233E" w14:textId="58C7EDFE" w:rsidR="00BD1ED4" w:rsidRDefault="004C0234" w:rsidP="00BD1ED4">
      <w:r w:rsidRPr="004C0234">
        <w:rPr>
          <w:noProof/>
        </w:rPr>
        <w:drawing>
          <wp:inline distT="0" distB="0" distL="0" distR="0" wp14:anchorId="74FE39C5" wp14:editId="4EE59668">
            <wp:extent cx="5943600" cy="29343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934335"/>
                    </a:xfrm>
                    <a:prstGeom prst="rect">
                      <a:avLst/>
                    </a:prstGeom>
                  </pic:spPr>
                </pic:pic>
              </a:graphicData>
            </a:graphic>
          </wp:inline>
        </w:drawing>
      </w:r>
    </w:p>
    <w:p w14:paraId="09021DCA" w14:textId="2E042B62" w:rsidR="004C0234" w:rsidRDefault="004C0234" w:rsidP="004C0234">
      <w:pPr>
        <w:pStyle w:val="Caption"/>
        <w:rPr>
          <w:lang w:val="en-US"/>
        </w:rPr>
      </w:pPr>
      <w:bookmarkStart w:id="49" w:name="_Toc237450287"/>
      <w:r>
        <w:lastRenderedPageBreak/>
        <w:t xml:space="preserve">Figure </w:t>
      </w:r>
      <w:r>
        <w:fldChar w:fldCharType="begin"/>
      </w:r>
      <w:r>
        <w:instrText xml:space="preserve"> SEQ Figure \* ARABIC </w:instrText>
      </w:r>
      <w:r>
        <w:fldChar w:fldCharType="separate"/>
      </w:r>
      <w:r w:rsidR="004B5F67">
        <w:rPr>
          <w:noProof/>
        </w:rPr>
        <w:t>15</w:t>
      </w:r>
      <w:r>
        <w:fldChar w:fldCharType="end"/>
      </w:r>
      <w:r>
        <w:rPr>
          <w:lang w:val="en-US"/>
        </w:rPr>
        <w:t xml:space="preserve">: </w:t>
      </w:r>
      <w:r w:rsidRPr="00AC2C04">
        <w:rPr>
          <w:lang w:val="en-US"/>
        </w:rPr>
        <w:t>New Zealand E-Commerce Market Growth</w:t>
      </w:r>
      <w:bookmarkEnd w:id="49"/>
    </w:p>
    <w:p w14:paraId="17E672E0" w14:textId="438C02C0" w:rsidR="004C0234" w:rsidRPr="004C0234" w:rsidRDefault="004C0234" w:rsidP="004C0234">
      <w:pPr>
        <w:rPr>
          <w:lang w:val="en-US"/>
        </w:rPr>
      </w:pPr>
      <w:r w:rsidRPr="004C0234">
        <w:rPr>
          <w:lang w:val="en-US"/>
        </w:rPr>
        <w:t>Source: (Mordor Intelligence, 2026)</w:t>
      </w:r>
    </w:p>
    <w:p w14:paraId="2243A8B9" w14:textId="77777777" w:rsidR="004C0234" w:rsidRDefault="004C0234" w:rsidP="00BD1ED4"/>
    <w:p w14:paraId="731B751D" w14:textId="77777777" w:rsidR="007C4362" w:rsidRDefault="007C4362" w:rsidP="003B6CEA">
      <w:pPr>
        <w:pStyle w:val="Heading3"/>
      </w:pPr>
      <w:bookmarkStart w:id="50" w:name="_Toc237450223"/>
      <w:r>
        <w:t>3.4.2 Cultural Distance from Walmart’s US Model</w:t>
      </w:r>
      <w:bookmarkEnd w:id="50"/>
    </w:p>
    <w:p w14:paraId="1BFC6B34" w14:textId="2672652F" w:rsidR="0008363B" w:rsidRDefault="0008363B" w:rsidP="0008363B">
      <w:r>
        <w:t>Walmart's supercentre format, which is large and out of town, might not be easily adapted to the NZ format. The country has a spread-out population, smaller urban centres, and an existing neighbourhood shopping pattern which makes uniformly large stores less economically feasible. A uniform and cheap product might also clash with the preference for locally trusted brands and fresh food items, as well as for responsible business. This is evidenced by Walmart's withdrawal from Germany and South Korea, where the lack of cultural sensitivity and format adaptations outweighed the positive effects of the retail giant's buying power.</w:t>
      </w:r>
    </w:p>
    <w:p w14:paraId="43BC48E0" w14:textId="77777777" w:rsidR="0044330F" w:rsidRDefault="0044330F" w:rsidP="003B6CEA"/>
    <w:p w14:paraId="709925E4" w14:textId="77777777" w:rsidR="007C4362" w:rsidRDefault="007C4362" w:rsidP="003B6CEA">
      <w:pPr>
        <w:pStyle w:val="Heading3"/>
      </w:pPr>
      <w:bookmarkStart w:id="51" w:name="_Toc237450224"/>
      <w:r>
        <w:t>3.4.3 Attitudes Toward Foreign Retailers and Local Businesses</w:t>
      </w:r>
      <w:bookmarkEnd w:id="51"/>
    </w:p>
    <w:p w14:paraId="46AB1855" w14:textId="3FBD3C9C" w:rsidR="0044330F" w:rsidRDefault="0008363B" w:rsidP="0008363B">
      <w:r>
        <w:t>Walmart could be a competitor to Foodstuffs and Woolworths, and that could be good news for consumers currently facing high grocery prices. Grocery competition was identified as not working well by the Commerce Commission (Commerce Commission New Zealand, 2022), which also supports this opportunity. However, acceptance could decline if Walmart were perceived as displacing independent retailers, pressuring farmers, offering insecure employment or transferring profits overseas. Its British experience similarly shows that foreign ownership does not ensure long-term strategic acceptance or performance (Faithfull, 2020).</w:t>
      </w:r>
    </w:p>
    <w:p w14:paraId="59CAF760" w14:textId="77777777" w:rsidR="0008363B" w:rsidRDefault="0008363B" w:rsidP="0008363B"/>
    <w:p w14:paraId="0FD9A861" w14:textId="77777777" w:rsidR="007C4362" w:rsidRDefault="007C4362" w:rsidP="003B6CEA">
      <w:pPr>
        <w:pStyle w:val="Heading3"/>
      </w:pPr>
      <w:bookmarkStart w:id="52" w:name="_Toc237450225"/>
      <w:r>
        <w:t>3.4.4 Localisation Requirements</w:t>
      </w:r>
      <w:bookmarkEnd w:id="52"/>
    </w:p>
    <w:p w14:paraId="01394CDF" w14:textId="77777777" w:rsidR="003C6AAA" w:rsidRDefault="007B0888" w:rsidP="007B0888">
      <w:r>
        <w:t xml:space="preserve">Walmart's approach should be to choose smaller urban stores, selected types of warehouses and digital fulfilment rather than trying to replicate the supercentre of the USA. Visible shelf space needs to be allocated and long-term supplier arrangements be in place for local food, Māori and Pacific produce. The focus of branding needs to be on </w:t>
      </w:r>
      <w:r>
        <w:lastRenderedPageBreak/>
        <w:t xml:space="preserve">cost, community and cultural respect, not tokenism. Ethical expectations would be met by packaging reduction, renewable-energy use and transparency of sourcing. </w:t>
      </w:r>
    </w:p>
    <w:p w14:paraId="489E53E8" w14:textId="5B0564D4" w:rsidR="003C6AAA" w:rsidRDefault="003C6AAA" w:rsidP="007B0888">
      <w:r>
        <w:rPr>
          <w:noProof/>
        </w:rPr>
        <w:drawing>
          <wp:inline distT="0" distB="0" distL="0" distR="0" wp14:anchorId="4E77783C" wp14:editId="0621D56D">
            <wp:extent cx="5943600" cy="3093720"/>
            <wp:effectExtent l="0" t="0" r="0" b="0"/>
            <wp:docPr id="45" name="Picture 45" descr="New Pathways to Growth in New Zealand - N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New Pathways to Growth in New Zealand - NIQ"/>
                    <pic:cNvPicPr>
                      <a:picLocks noChangeAspect="1" noChangeArrowheads="1"/>
                    </pic:cNvPicPr>
                  </pic:nvPicPr>
                  <pic:blipFill rotWithShape="1">
                    <a:blip r:embed="rId24">
                      <a:extLst>
                        <a:ext uri="{28A0092B-C50C-407E-A947-70E740481C1C}">
                          <a14:useLocalDpi xmlns:a14="http://schemas.microsoft.com/office/drawing/2010/main" val="0"/>
                        </a:ext>
                      </a:extLst>
                    </a:blip>
                    <a:srcRect b="7464"/>
                    <a:stretch/>
                  </pic:blipFill>
                  <pic:spPr bwMode="auto">
                    <a:xfrm>
                      <a:off x="0" y="0"/>
                      <a:ext cx="5943600" cy="3093720"/>
                    </a:xfrm>
                    <a:prstGeom prst="rect">
                      <a:avLst/>
                    </a:prstGeom>
                    <a:noFill/>
                    <a:ln>
                      <a:noFill/>
                    </a:ln>
                    <a:extLst>
                      <a:ext uri="{53640926-AAD7-44D8-BBD7-CCE9431645EC}">
                        <a14:shadowObscured xmlns:a14="http://schemas.microsoft.com/office/drawing/2010/main"/>
                      </a:ext>
                    </a:extLst>
                  </pic:spPr>
                </pic:pic>
              </a:graphicData>
            </a:graphic>
          </wp:inline>
        </w:drawing>
      </w:r>
    </w:p>
    <w:p w14:paraId="78F9F5A0" w14:textId="595EFA99" w:rsidR="003C6AAA" w:rsidRDefault="003C6AAA" w:rsidP="003C6AAA">
      <w:pPr>
        <w:pStyle w:val="Caption"/>
        <w:rPr>
          <w:lang w:val="en-US"/>
        </w:rPr>
      </w:pPr>
      <w:bookmarkStart w:id="53" w:name="_Toc237450288"/>
      <w:r>
        <w:t xml:space="preserve">Figure </w:t>
      </w:r>
      <w:r>
        <w:fldChar w:fldCharType="begin"/>
      </w:r>
      <w:r>
        <w:instrText xml:space="preserve"> SEQ Figure \* ARABIC </w:instrText>
      </w:r>
      <w:r>
        <w:fldChar w:fldCharType="separate"/>
      </w:r>
      <w:r w:rsidR="004B5F67">
        <w:rPr>
          <w:noProof/>
        </w:rPr>
        <w:t>16</w:t>
      </w:r>
      <w:r>
        <w:fldChar w:fldCharType="end"/>
      </w:r>
      <w:r>
        <w:rPr>
          <w:lang w:val="en-US"/>
        </w:rPr>
        <w:t xml:space="preserve">: </w:t>
      </w:r>
      <w:r w:rsidRPr="007E1108">
        <w:rPr>
          <w:lang w:val="en-US"/>
        </w:rPr>
        <w:t>Demand for Diverse Foods among New Zealand Consumers</w:t>
      </w:r>
      <w:bookmarkEnd w:id="53"/>
    </w:p>
    <w:p w14:paraId="60F39D04" w14:textId="49B86AFE" w:rsidR="003C6AAA" w:rsidRPr="00BC43A8" w:rsidRDefault="003C6AAA" w:rsidP="007B0888">
      <w:pPr>
        <w:rPr>
          <w:lang w:val="en-US"/>
        </w:rPr>
      </w:pPr>
      <w:r w:rsidRPr="003C6AAA">
        <w:rPr>
          <w:lang w:val="en-US"/>
        </w:rPr>
        <w:t>Source: (</w:t>
      </w:r>
      <w:proofErr w:type="spellStart"/>
      <w:r w:rsidRPr="003C6AAA">
        <w:rPr>
          <w:lang w:val="en-US"/>
        </w:rPr>
        <w:t>NielsenIQ</w:t>
      </w:r>
      <w:proofErr w:type="spellEnd"/>
      <w:r w:rsidRPr="003C6AAA">
        <w:rPr>
          <w:lang w:val="en-US"/>
        </w:rPr>
        <w:t>, 2026)</w:t>
      </w:r>
    </w:p>
    <w:p w14:paraId="31FFAA1C" w14:textId="0E46AE6D" w:rsidR="007B0888" w:rsidRDefault="007B0888" w:rsidP="007B0888">
      <w:r>
        <w:t>Lastly, an integrated app, click-and-collect and regional delivery partnerships might enable Walmart to gain convenience while also testing demand without a national brick-and-mortar network. This would give Walmart an advantage in cost and technology, and give them local responsiveness for sustainable entry</w:t>
      </w:r>
      <w:r w:rsidR="00C463BB">
        <w:t xml:space="preserve"> (Tang et al., 2021)</w:t>
      </w:r>
      <w:r>
        <w:t>.</w:t>
      </w:r>
    </w:p>
    <w:p w14:paraId="647249E0" w14:textId="3946D9CB" w:rsidR="007C4362" w:rsidRDefault="007C4362" w:rsidP="003B6CEA"/>
    <w:p w14:paraId="24B24ED2" w14:textId="77777777" w:rsidR="007C4362" w:rsidRDefault="007C4362" w:rsidP="003B6CEA">
      <w:pPr>
        <w:pStyle w:val="Heading2"/>
        <w:rPr>
          <w:rFonts w:ascii="Times New Roman" w:hAnsi="Times New Roman"/>
          <w:color w:val="auto"/>
          <w:lang w:val="en-US"/>
        </w:rPr>
      </w:pPr>
      <w:bookmarkStart w:id="54" w:name="_Toc237450226"/>
      <w:r>
        <w:t>3.5 Overall Market Attractiveness</w:t>
      </w:r>
      <w:bookmarkEnd w:id="54"/>
    </w:p>
    <w:p w14:paraId="67868FED" w14:textId="77777777" w:rsidR="007C4362" w:rsidRDefault="007C4362" w:rsidP="003B6CEA">
      <w:pPr>
        <w:pStyle w:val="Heading3"/>
      </w:pPr>
      <w:bookmarkStart w:id="55" w:name="_Toc237450227"/>
      <w:r>
        <w:t>3.5.1 Opportunity–Risk Assessment</w:t>
      </w:r>
      <w:bookmarkEnd w:id="55"/>
    </w:p>
    <w:tbl>
      <w:tblPr>
        <w:tblStyle w:val="TableGrid"/>
        <w:tblW w:w="0" w:type="auto"/>
        <w:tblLook w:val="04A0" w:firstRow="1" w:lastRow="0" w:firstColumn="1" w:lastColumn="0" w:noHBand="0" w:noVBand="1"/>
      </w:tblPr>
      <w:tblGrid>
        <w:gridCol w:w="2305"/>
        <w:gridCol w:w="1012"/>
        <w:gridCol w:w="974"/>
        <w:gridCol w:w="1532"/>
        <w:gridCol w:w="3527"/>
      </w:tblGrid>
      <w:tr w:rsidR="00CE450A" w14:paraId="78D13B77" w14:textId="77777777" w:rsidTr="00CE450A">
        <w:tc>
          <w:tcPr>
            <w:tcW w:w="0" w:type="auto"/>
            <w:shd w:val="clear" w:color="auto" w:fill="B4C6E7" w:themeFill="accent1" w:themeFillTint="66"/>
            <w:vAlign w:val="center"/>
            <w:hideMark/>
          </w:tcPr>
          <w:p w14:paraId="304C556F" w14:textId="77777777" w:rsidR="007C4362" w:rsidRPr="00F9629F" w:rsidRDefault="007C4362" w:rsidP="00F9629F">
            <w:pPr>
              <w:jc w:val="center"/>
              <w:rPr>
                <w:b/>
              </w:rPr>
            </w:pPr>
            <w:r w:rsidRPr="00F9629F">
              <w:rPr>
                <w:b/>
              </w:rPr>
              <w:t>Factor</w:t>
            </w:r>
          </w:p>
        </w:tc>
        <w:tc>
          <w:tcPr>
            <w:tcW w:w="0" w:type="auto"/>
            <w:shd w:val="clear" w:color="auto" w:fill="B4C6E7" w:themeFill="accent1" w:themeFillTint="66"/>
            <w:vAlign w:val="center"/>
            <w:hideMark/>
          </w:tcPr>
          <w:p w14:paraId="7B765119" w14:textId="77777777" w:rsidR="007C4362" w:rsidRPr="00F9629F" w:rsidRDefault="007C4362" w:rsidP="00F9629F">
            <w:pPr>
              <w:jc w:val="center"/>
              <w:rPr>
                <w:b/>
              </w:rPr>
            </w:pPr>
            <w:r w:rsidRPr="00F9629F">
              <w:rPr>
                <w:b/>
              </w:rPr>
              <w:t>Weight</w:t>
            </w:r>
          </w:p>
        </w:tc>
        <w:tc>
          <w:tcPr>
            <w:tcW w:w="0" w:type="auto"/>
            <w:shd w:val="clear" w:color="auto" w:fill="B4C6E7" w:themeFill="accent1" w:themeFillTint="66"/>
            <w:vAlign w:val="center"/>
            <w:hideMark/>
          </w:tcPr>
          <w:p w14:paraId="05121AC1" w14:textId="77777777" w:rsidR="007C4362" w:rsidRPr="00F9629F" w:rsidRDefault="007C4362" w:rsidP="00F9629F">
            <w:pPr>
              <w:jc w:val="center"/>
              <w:rPr>
                <w:b/>
              </w:rPr>
            </w:pPr>
            <w:r w:rsidRPr="00F9629F">
              <w:rPr>
                <w:b/>
              </w:rPr>
              <w:t>Score /5</w:t>
            </w:r>
          </w:p>
        </w:tc>
        <w:tc>
          <w:tcPr>
            <w:tcW w:w="0" w:type="auto"/>
            <w:shd w:val="clear" w:color="auto" w:fill="B4C6E7" w:themeFill="accent1" w:themeFillTint="66"/>
            <w:vAlign w:val="center"/>
            <w:hideMark/>
          </w:tcPr>
          <w:p w14:paraId="22991C88" w14:textId="77777777" w:rsidR="007C4362" w:rsidRPr="00F9629F" w:rsidRDefault="007C4362" w:rsidP="00F9629F">
            <w:pPr>
              <w:jc w:val="center"/>
              <w:rPr>
                <w:b/>
              </w:rPr>
            </w:pPr>
            <w:r w:rsidRPr="00F9629F">
              <w:rPr>
                <w:b/>
              </w:rPr>
              <w:t>Weighted score</w:t>
            </w:r>
          </w:p>
        </w:tc>
        <w:tc>
          <w:tcPr>
            <w:tcW w:w="0" w:type="auto"/>
            <w:shd w:val="clear" w:color="auto" w:fill="B4C6E7" w:themeFill="accent1" w:themeFillTint="66"/>
            <w:vAlign w:val="center"/>
            <w:hideMark/>
          </w:tcPr>
          <w:p w14:paraId="66E84CA5" w14:textId="77777777" w:rsidR="007C4362" w:rsidRPr="00F9629F" w:rsidRDefault="007C4362" w:rsidP="00F9629F">
            <w:pPr>
              <w:jc w:val="center"/>
              <w:rPr>
                <w:b/>
              </w:rPr>
            </w:pPr>
            <w:r w:rsidRPr="00F9629F">
              <w:rPr>
                <w:b/>
              </w:rPr>
              <w:t>Strategic evidence</w:t>
            </w:r>
          </w:p>
        </w:tc>
      </w:tr>
      <w:tr w:rsidR="007C4362" w14:paraId="2FE1F99D" w14:textId="77777777" w:rsidTr="00FF6CDD">
        <w:tc>
          <w:tcPr>
            <w:tcW w:w="0" w:type="auto"/>
            <w:hideMark/>
          </w:tcPr>
          <w:p w14:paraId="0DE34928" w14:textId="77777777" w:rsidR="007C4362" w:rsidRDefault="007C4362" w:rsidP="003B6CEA">
            <w:r>
              <w:t>Political and institutional stability</w:t>
            </w:r>
          </w:p>
        </w:tc>
        <w:tc>
          <w:tcPr>
            <w:tcW w:w="0" w:type="auto"/>
            <w:vAlign w:val="center"/>
            <w:hideMark/>
          </w:tcPr>
          <w:p w14:paraId="637A3FFF" w14:textId="77777777" w:rsidR="007C4362" w:rsidRDefault="007C4362" w:rsidP="00FF6CDD">
            <w:pPr>
              <w:jc w:val="center"/>
            </w:pPr>
            <w:r>
              <w:t>20%</w:t>
            </w:r>
          </w:p>
        </w:tc>
        <w:tc>
          <w:tcPr>
            <w:tcW w:w="0" w:type="auto"/>
            <w:vAlign w:val="center"/>
            <w:hideMark/>
          </w:tcPr>
          <w:p w14:paraId="63F609E1" w14:textId="77777777" w:rsidR="007C4362" w:rsidRDefault="007C4362" w:rsidP="00FF6CDD">
            <w:pPr>
              <w:jc w:val="center"/>
            </w:pPr>
            <w:r>
              <w:t>4.0</w:t>
            </w:r>
          </w:p>
        </w:tc>
        <w:tc>
          <w:tcPr>
            <w:tcW w:w="0" w:type="auto"/>
            <w:vAlign w:val="center"/>
            <w:hideMark/>
          </w:tcPr>
          <w:p w14:paraId="70E5DA52" w14:textId="77777777" w:rsidR="007C4362" w:rsidRDefault="007C4362" w:rsidP="00FF6CDD">
            <w:pPr>
              <w:jc w:val="center"/>
            </w:pPr>
            <w:r>
              <w:t>0.80</w:t>
            </w:r>
          </w:p>
        </w:tc>
        <w:tc>
          <w:tcPr>
            <w:tcW w:w="0" w:type="auto"/>
            <w:hideMark/>
          </w:tcPr>
          <w:p w14:paraId="3CF576F9" w14:textId="77777777" w:rsidR="007C4362" w:rsidRDefault="007C4362" w:rsidP="003B6CEA">
            <w:r>
              <w:t>Predictable institutions, but foreign-investment scrutiny</w:t>
            </w:r>
          </w:p>
        </w:tc>
      </w:tr>
      <w:tr w:rsidR="007C4362" w14:paraId="233C7965" w14:textId="77777777" w:rsidTr="00FF6CDD">
        <w:tc>
          <w:tcPr>
            <w:tcW w:w="0" w:type="auto"/>
            <w:hideMark/>
          </w:tcPr>
          <w:p w14:paraId="0B31B6A2" w14:textId="77777777" w:rsidR="007C4362" w:rsidRDefault="007C4362" w:rsidP="003B6CEA">
            <w:r>
              <w:lastRenderedPageBreak/>
              <w:t>Economic conditions</w:t>
            </w:r>
          </w:p>
        </w:tc>
        <w:tc>
          <w:tcPr>
            <w:tcW w:w="0" w:type="auto"/>
            <w:vAlign w:val="center"/>
            <w:hideMark/>
          </w:tcPr>
          <w:p w14:paraId="0D3819FB" w14:textId="77777777" w:rsidR="007C4362" w:rsidRDefault="007C4362" w:rsidP="00FF6CDD">
            <w:pPr>
              <w:jc w:val="center"/>
            </w:pPr>
            <w:r>
              <w:t>25%</w:t>
            </w:r>
          </w:p>
        </w:tc>
        <w:tc>
          <w:tcPr>
            <w:tcW w:w="0" w:type="auto"/>
            <w:vAlign w:val="center"/>
            <w:hideMark/>
          </w:tcPr>
          <w:p w14:paraId="3C495D58" w14:textId="77777777" w:rsidR="007C4362" w:rsidRDefault="007C4362" w:rsidP="00FF6CDD">
            <w:pPr>
              <w:jc w:val="center"/>
            </w:pPr>
            <w:r>
              <w:t>2.5</w:t>
            </w:r>
          </w:p>
        </w:tc>
        <w:tc>
          <w:tcPr>
            <w:tcW w:w="0" w:type="auto"/>
            <w:vAlign w:val="center"/>
            <w:hideMark/>
          </w:tcPr>
          <w:p w14:paraId="658EC46B" w14:textId="77777777" w:rsidR="007C4362" w:rsidRDefault="007C4362" w:rsidP="00FF6CDD">
            <w:pPr>
              <w:jc w:val="center"/>
            </w:pPr>
            <w:r>
              <w:t>0.63</w:t>
            </w:r>
          </w:p>
        </w:tc>
        <w:tc>
          <w:tcPr>
            <w:tcW w:w="0" w:type="auto"/>
            <w:hideMark/>
          </w:tcPr>
          <w:p w14:paraId="311239B4" w14:textId="77777777" w:rsidR="007C4362" w:rsidRDefault="007C4362" w:rsidP="003B6CEA">
            <w:r>
              <w:t>High purchasing power, but small population and rising costs</w:t>
            </w:r>
          </w:p>
        </w:tc>
      </w:tr>
      <w:tr w:rsidR="007C4362" w14:paraId="6406A76C" w14:textId="77777777" w:rsidTr="00FF6CDD">
        <w:tc>
          <w:tcPr>
            <w:tcW w:w="0" w:type="auto"/>
            <w:hideMark/>
          </w:tcPr>
          <w:p w14:paraId="6209EAB6" w14:textId="77777777" w:rsidR="007C4362" w:rsidRDefault="007C4362" w:rsidP="003B6CEA">
            <w:r>
              <w:t>Retail competition</w:t>
            </w:r>
          </w:p>
        </w:tc>
        <w:tc>
          <w:tcPr>
            <w:tcW w:w="0" w:type="auto"/>
            <w:vAlign w:val="center"/>
            <w:hideMark/>
          </w:tcPr>
          <w:p w14:paraId="317E2BD9" w14:textId="77777777" w:rsidR="007C4362" w:rsidRDefault="007C4362" w:rsidP="00FF6CDD">
            <w:pPr>
              <w:jc w:val="center"/>
            </w:pPr>
            <w:r>
              <w:t>20%</w:t>
            </w:r>
          </w:p>
        </w:tc>
        <w:tc>
          <w:tcPr>
            <w:tcW w:w="0" w:type="auto"/>
            <w:vAlign w:val="center"/>
            <w:hideMark/>
          </w:tcPr>
          <w:p w14:paraId="5064F49B" w14:textId="77777777" w:rsidR="007C4362" w:rsidRDefault="007C4362" w:rsidP="00FF6CDD">
            <w:pPr>
              <w:jc w:val="center"/>
            </w:pPr>
            <w:r>
              <w:t>4.0</w:t>
            </w:r>
          </w:p>
        </w:tc>
        <w:tc>
          <w:tcPr>
            <w:tcW w:w="0" w:type="auto"/>
            <w:vAlign w:val="center"/>
            <w:hideMark/>
          </w:tcPr>
          <w:p w14:paraId="4C08B0CE" w14:textId="77777777" w:rsidR="007C4362" w:rsidRDefault="007C4362" w:rsidP="00FF6CDD">
            <w:pPr>
              <w:jc w:val="center"/>
            </w:pPr>
            <w:r>
              <w:t>0.80</w:t>
            </w:r>
          </w:p>
        </w:tc>
        <w:tc>
          <w:tcPr>
            <w:tcW w:w="0" w:type="auto"/>
            <w:hideMark/>
          </w:tcPr>
          <w:p w14:paraId="0473A828" w14:textId="77777777" w:rsidR="007C4362" w:rsidRDefault="007C4362" w:rsidP="003B6CEA">
            <w:r>
              <w:t>Concentrated market creates demand for a price challenger</w:t>
            </w:r>
          </w:p>
        </w:tc>
      </w:tr>
      <w:tr w:rsidR="007C4362" w14:paraId="69D8FC56" w14:textId="77777777" w:rsidTr="00FF6CDD">
        <w:tc>
          <w:tcPr>
            <w:tcW w:w="0" w:type="auto"/>
            <w:hideMark/>
          </w:tcPr>
          <w:p w14:paraId="6E51D078" w14:textId="77777777" w:rsidR="007C4362" w:rsidRDefault="007C4362" w:rsidP="003B6CEA">
            <w:r>
              <w:t>Legal and regulatory environment</w:t>
            </w:r>
          </w:p>
        </w:tc>
        <w:tc>
          <w:tcPr>
            <w:tcW w:w="0" w:type="auto"/>
            <w:vAlign w:val="center"/>
            <w:hideMark/>
          </w:tcPr>
          <w:p w14:paraId="53B77D8F" w14:textId="77777777" w:rsidR="007C4362" w:rsidRDefault="007C4362" w:rsidP="00FF6CDD">
            <w:pPr>
              <w:jc w:val="center"/>
            </w:pPr>
            <w:r>
              <w:t>20%</w:t>
            </w:r>
          </w:p>
        </w:tc>
        <w:tc>
          <w:tcPr>
            <w:tcW w:w="0" w:type="auto"/>
            <w:vAlign w:val="center"/>
            <w:hideMark/>
          </w:tcPr>
          <w:p w14:paraId="4158BB6E" w14:textId="77777777" w:rsidR="007C4362" w:rsidRDefault="007C4362" w:rsidP="00FF6CDD">
            <w:pPr>
              <w:jc w:val="center"/>
            </w:pPr>
            <w:r>
              <w:t>3.5</w:t>
            </w:r>
          </w:p>
        </w:tc>
        <w:tc>
          <w:tcPr>
            <w:tcW w:w="0" w:type="auto"/>
            <w:vAlign w:val="center"/>
            <w:hideMark/>
          </w:tcPr>
          <w:p w14:paraId="041B34B2" w14:textId="77777777" w:rsidR="007C4362" w:rsidRDefault="007C4362" w:rsidP="00FF6CDD">
            <w:pPr>
              <w:jc w:val="center"/>
            </w:pPr>
            <w:r>
              <w:t>0.70</w:t>
            </w:r>
          </w:p>
        </w:tc>
        <w:tc>
          <w:tcPr>
            <w:tcW w:w="0" w:type="auto"/>
            <w:hideMark/>
          </w:tcPr>
          <w:p w14:paraId="22C139F4" w14:textId="77777777" w:rsidR="007C4362" w:rsidRDefault="007C4362" w:rsidP="003B6CEA">
            <w:r>
              <w:t>Transparent rules, but strong employment and supplier protection</w:t>
            </w:r>
          </w:p>
        </w:tc>
      </w:tr>
      <w:tr w:rsidR="007C4362" w14:paraId="4D7E02E4" w14:textId="77777777" w:rsidTr="00FF6CDD">
        <w:tc>
          <w:tcPr>
            <w:tcW w:w="0" w:type="auto"/>
            <w:hideMark/>
          </w:tcPr>
          <w:p w14:paraId="44556002" w14:textId="77777777" w:rsidR="007C4362" w:rsidRDefault="007C4362" w:rsidP="003B6CEA">
            <w:r>
              <w:t>Cultural and consumer fit</w:t>
            </w:r>
          </w:p>
        </w:tc>
        <w:tc>
          <w:tcPr>
            <w:tcW w:w="0" w:type="auto"/>
            <w:vAlign w:val="center"/>
            <w:hideMark/>
          </w:tcPr>
          <w:p w14:paraId="1A5114BB" w14:textId="77777777" w:rsidR="007C4362" w:rsidRDefault="007C4362" w:rsidP="00FF6CDD">
            <w:pPr>
              <w:jc w:val="center"/>
            </w:pPr>
            <w:r>
              <w:t>15%</w:t>
            </w:r>
          </w:p>
        </w:tc>
        <w:tc>
          <w:tcPr>
            <w:tcW w:w="0" w:type="auto"/>
            <w:vAlign w:val="center"/>
            <w:hideMark/>
          </w:tcPr>
          <w:p w14:paraId="339501E8" w14:textId="77777777" w:rsidR="007C4362" w:rsidRDefault="007C4362" w:rsidP="00FF6CDD">
            <w:pPr>
              <w:jc w:val="center"/>
            </w:pPr>
            <w:r>
              <w:t>3.5</w:t>
            </w:r>
          </w:p>
        </w:tc>
        <w:tc>
          <w:tcPr>
            <w:tcW w:w="0" w:type="auto"/>
            <w:vAlign w:val="center"/>
            <w:hideMark/>
          </w:tcPr>
          <w:p w14:paraId="7676EF0E" w14:textId="77777777" w:rsidR="007C4362" w:rsidRDefault="007C4362" w:rsidP="00FF6CDD">
            <w:pPr>
              <w:jc w:val="center"/>
            </w:pPr>
            <w:r>
              <w:t>0.53</w:t>
            </w:r>
          </w:p>
        </w:tc>
        <w:tc>
          <w:tcPr>
            <w:tcW w:w="0" w:type="auto"/>
            <w:hideMark/>
          </w:tcPr>
          <w:p w14:paraId="4BBDDAC1" w14:textId="77777777" w:rsidR="007C4362" w:rsidRDefault="007C4362" w:rsidP="003B6CEA">
            <w:r>
              <w:t>Value-conscious consumers, but localisation is essential</w:t>
            </w:r>
          </w:p>
        </w:tc>
      </w:tr>
      <w:tr w:rsidR="007C4362" w14:paraId="0D822592" w14:textId="77777777" w:rsidTr="00FF6CDD">
        <w:tc>
          <w:tcPr>
            <w:tcW w:w="0" w:type="auto"/>
            <w:hideMark/>
          </w:tcPr>
          <w:p w14:paraId="7641CA6E" w14:textId="77777777" w:rsidR="007C4362" w:rsidRDefault="007C4362" w:rsidP="003B6CEA">
            <w:r>
              <w:rPr>
                <w:rStyle w:val="Strong"/>
              </w:rPr>
              <w:t>Total</w:t>
            </w:r>
          </w:p>
        </w:tc>
        <w:tc>
          <w:tcPr>
            <w:tcW w:w="0" w:type="auto"/>
            <w:vAlign w:val="center"/>
            <w:hideMark/>
          </w:tcPr>
          <w:p w14:paraId="54FFC37D" w14:textId="77777777" w:rsidR="007C4362" w:rsidRDefault="007C4362" w:rsidP="00FF6CDD">
            <w:pPr>
              <w:jc w:val="center"/>
            </w:pPr>
            <w:r>
              <w:rPr>
                <w:rStyle w:val="Strong"/>
              </w:rPr>
              <w:t>100%</w:t>
            </w:r>
          </w:p>
        </w:tc>
        <w:tc>
          <w:tcPr>
            <w:tcW w:w="0" w:type="auto"/>
            <w:vAlign w:val="center"/>
            <w:hideMark/>
          </w:tcPr>
          <w:p w14:paraId="72FB710B" w14:textId="77777777" w:rsidR="007C4362" w:rsidRDefault="007C4362" w:rsidP="00FF6CDD">
            <w:pPr>
              <w:jc w:val="center"/>
            </w:pPr>
          </w:p>
        </w:tc>
        <w:tc>
          <w:tcPr>
            <w:tcW w:w="0" w:type="auto"/>
            <w:vAlign w:val="center"/>
            <w:hideMark/>
          </w:tcPr>
          <w:p w14:paraId="332C9CA5" w14:textId="77777777" w:rsidR="007C4362" w:rsidRDefault="007C4362" w:rsidP="00FF6CDD">
            <w:pPr>
              <w:jc w:val="center"/>
            </w:pPr>
            <w:r>
              <w:rPr>
                <w:rStyle w:val="Strong"/>
              </w:rPr>
              <w:t>3.46/5</w:t>
            </w:r>
          </w:p>
        </w:tc>
        <w:tc>
          <w:tcPr>
            <w:tcW w:w="0" w:type="auto"/>
            <w:hideMark/>
          </w:tcPr>
          <w:p w14:paraId="51824446" w14:textId="77777777" w:rsidR="007C4362" w:rsidRDefault="007C4362" w:rsidP="003B6CEA">
            <w:r>
              <w:rPr>
                <w:rStyle w:val="Strong"/>
              </w:rPr>
              <w:t>Moderately attractive</w:t>
            </w:r>
          </w:p>
        </w:tc>
      </w:tr>
    </w:tbl>
    <w:p w14:paraId="73D3857F" w14:textId="4E27F49A" w:rsidR="003B6CEA" w:rsidRDefault="00A20BBA" w:rsidP="00A20BBA">
      <w:pPr>
        <w:pStyle w:val="Caption"/>
        <w:rPr>
          <w:lang w:val="en-US"/>
        </w:rPr>
      </w:pPr>
      <w:bookmarkStart w:id="56" w:name="_Toc237450270"/>
      <w:r>
        <w:t xml:space="preserve">Table </w:t>
      </w:r>
      <w:r>
        <w:fldChar w:fldCharType="begin"/>
      </w:r>
      <w:r>
        <w:instrText xml:space="preserve"> SEQ Table \* ARABIC </w:instrText>
      </w:r>
      <w:r>
        <w:fldChar w:fldCharType="separate"/>
      </w:r>
      <w:r w:rsidR="00EF3481">
        <w:rPr>
          <w:noProof/>
        </w:rPr>
        <w:t>1</w:t>
      </w:r>
      <w:r>
        <w:fldChar w:fldCharType="end"/>
      </w:r>
      <w:r>
        <w:rPr>
          <w:lang w:val="en-US"/>
        </w:rPr>
        <w:t xml:space="preserve">: </w:t>
      </w:r>
      <w:r w:rsidRPr="009C2406">
        <w:rPr>
          <w:lang w:val="en-US"/>
        </w:rPr>
        <w:t>Weighted Market Attractiveness Assessment for Walmart’s Entry</w:t>
      </w:r>
      <w:bookmarkEnd w:id="56"/>
      <w:r w:rsidRPr="009C2406">
        <w:rPr>
          <w:lang w:val="en-US"/>
        </w:rPr>
        <w:t xml:space="preserve"> </w:t>
      </w:r>
    </w:p>
    <w:p w14:paraId="440DE856" w14:textId="071CA628" w:rsidR="00BD67D8" w:rsidRPr="00BD67D8" w:rsidRDefault="00BD67D8" w:rsidP="00BD67D8">
      <w:pPr>
        <w:rPr>
          <w:lang w:val="en-US"/>
        </w:rPr>
      </w:pPr>
      <w:r>
        <w:rPr>
          <w:lang w:val="en-US"/>
        </w:rPr>
        <w:t>Source: (Author, 2026)</w:t>
      </w:r>
    </w:p>
    <w:p w14:paraId="737D6244" w14:textId="77777777" w:rsidR="00A20BBA" w:rsidRPr="00A20BBA" w:rsidRDefault="00A20BBA" w:rsidP="00A20BBA">
      <w:pPr>
        <w:rPr>
          <w:lang w:val="en-US"/>
        </w:rPr>
      </w:pPr>
    </w:p>
    <w:p w14:paraId="54E81A58" w14:textId="48A4C2D7" w:rsidR="007C4362" w:rsidRDefault="007C4362" w:rsidP="003B6CEA">
      <w:pPr>
        <w:pStyle w:val="Heading3"/>
      </w:pPr>
      <w:bookmarkStart w:id="57" w:name="_Toc237450228"/>
      <w:r>
        <w:t>3.5.2 Strategic Implications for Walmart</w:t>
      </w:r>
      <w:bookmarkEnd w:id="57"/>
    </w:p>
    <w:p w14:paraId="6E1E11E4" w14:textId="0B6097B6" w:rsidR="007C4362" w:rsidRDefault="007B0888" w:rsidP="007B0888">
      <w:r>
        <w:t>New Zealand is definitely appealing and attractive for controlled entry, though not for a nationwide supercentre rollout at the moment. The opportunity arising from a concentration is where Walmart's low price can exploit a situation of least investment risk because of institutional stability (Commerce Commission New Zealand, 2022; OECD, 2026a). Phased investment, local sourcing, smaller formats, digital fulfilment and regulatory cooperation are key for commercial viability. Entry should only occur when there are indications of an ability to support sustainable logistics costs in pilot operations, supplier acceptance as well as demand beyond Auckland.</w:t>
      </w:r>
    </w:p>
    <w:p w14:paraId="06B06CF2" w14:textId="77777777" w:rsidR="007B0888" w:rsidRDefault="007B0888" w:rsidP="007B0888"/>
    <w:p w14:paraId="5FDB4C9A" w14:textId="77777777" w:rsidR="007C4362" w:rsidRDefault="007C4362" w:rsidP="003B6CEA">
      <w:pPr>
        <w:pStyle w:val="Heading1"/>
        <w:rPr>
          <w:rFonts w:ascii="Times New Roman" w:hAnsi="Times New Roman"/>
          <w:color w:val="auto"/>
          <w:lang w:val="en-US"/>
        </w:rPr>
      </w:pPr>
      <w:bookmarkStart w:id="58" w:name="_Toc237450229"/>
      <w:r>
        <w:lastRenderedPageBreak/>
        <w:t>4.0 Dunning’s OLI Analysis of Walmart’s New Zealand Entry</w:t>
      </w:r>
      <w:bookmarkEnd w:id="58"/>
    </w:p>
    <w:p w14:paraId="2EBB8723" w14:textId="77777777" w:rsidR="007C4362" w:rsidRDefault="007C4362" w:rsidP="003B6CEA">
      <w:pPr>
        <w:pStyle w:val="Heading2"/>
      </w:pPr>
      <w:bookmarkStart w:id="59" w:name="_Toc237450230"/>
      <w:r>
        <w:t>4.1 Ownership Advantages</w:t>
      </w:r>
      <w:bookmarkEnd w:id="59"/>
    </w:p>
    <w:p w14:paraId="6B3C097A" w14:textId="14E12E36" w:rsidR="007C4362" w:rsidRDefault="007C4362" w:rsidP="003B6CEA">
      <w:pPr>
        <w:pStyle w:val="Heading3"/>
      </w:pPr>
      <w:bookmarkStart w:id="60" w:name="_Toc237450231"/>
      <w:r>
        <w:t>4.1.1 Tangible and Intangible Resources</w:t>
      </w:r>
      <w:bookmarkEnd w:id="60"/>
    </w:p>
    <w:p w14:paraId="1DB68DAF" w14:textId="23BBA5F4" w:rsidR="00F85206" w:rsidRDefault="00F85206" w:rsidP="00F85206">
      <w:r w:rsidRPr="00F85206">
        <w:rPr>
          <w:noProof/>
        </w:rPr>
        <w:drawing>
          <wp:inline distT="0" distB="0" distL="0" distR="0" wp14:anchorId="29734576" wp14:editId="1CBD42E2">
            <wp:extent cx="5943600" cy="253809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538095"/>
                    </a:xfrm>
                    <a:prstGeom prst="rect">
                      <a:avLst/>
                    </a:prstGeom>
                  </pic:spPr>
                </pic:pic>
              </a:graphicData>
            </a:graphic>
          </wp:inline>
        </w:drawing>
      </w:r>
    </w:p>
    <w:p w14:paraId="70DA50E9" w14:textId="5AD1C4E2" w:rsidR="00F85206" w:rsidRDefault="00F85206" w:rsidP="00F85206">
      <w:pPr>
        <w:pStyle w:val="Caption"/>
        <w:rPr>
          <w:lang w:val="en-US"/>
        </w:rPr>
      </w:pPr>
      <w:bookmarkStart w:id="61" w:name="_Toc237450289"/>
      <w:r>
        <w:t xml:space="preserve">Figure </w:t>
      </w:r>
      <w:r>
        <w:fldChar w:fldCharType="begin"/>
      </w:r>
      <w:r>
        <w:instrText xml:space="preserve"> SEQ Figure \* ARABIC </w:instrText>
      </w:r>
      <w:r>
        <w:fldChar w:fldCharType="separate"/>
      </w:r>
      <w:r w:rsidR="004B5F67">
        <w:rPr>
          <w:noProof/>
        </w:rPr>
        <w:t>17</w:t>
      </w:r>
      <w:r>
        <w:fldChar w:fldCharType="end"/>
      </w:r>
      <w:r>
        <w:rPr>
          <w:lang w:val="en-US"/>
        </w:rPr>
        <w:t xml:space="preserve">: </w:t>
      </w:r>
      <w:r w:rsidRPr="006960B5">
        <w:rPr>
          <w:lang w:val="en-US"/>
        </w:rPr>
        <w:t>Walmart’s Financial and Operational Performance</w:t>
      </w:r>
      <w:bookmarkEnd w:id="61"/>
    </w:p>
    <w:p w14:paraId="36902383" w14:textId="22BAB75B" w:rsidR="00F85206" w:rsidRPr="00F85206" w:rsidRDefault="00F85206" w:rsidP="00F85206">
      <w:pPr>
        <w:rPr>
          <w:lang w:val="en-US"/>
        </w:rPr>
      </w:pPr>
      <w:r w:rsidRPr="00F85206">
        <w:rPr>
          <w:lang w:val="en-US"/>
        </w:rPr>
        <w:t>Source: (Walmart Inc., 2025a)</w:t>
      </w:r>
    </w:p>
    <w:p w14:paraId="78249BC1" w14:textId="77777777" w:rsidR="00370831" w:rsidRPr="00370831" w:rsidRDefault="00370831" w:rsidP="00370831">
      <w:r w:rsidRPr="00370831">
        <w:t>Walmart has significant ownership advantages in terms of financial resources, international brand and operating size. The firm reported revenues of US$681 billion and had an estimated 270 million customers per week in FY2025, spanning across more than 10,750 stores and various e-commerce platforms (Walmart Inc., 2025a). This scale provides Walmart greater purchasing power and facilitates them to negotiate better prices, build its own brands and spread technology investment over a huge revenue stream.</w:t>
      </w:r>
    </w:p>
    <w:p w14:paraId="342F59AF" w14:textId="1B44D180" w:rsidR="00370831" w:rsidRDefault="00370831" w:rsidP="00370831">
      <w:r w:rsidRPr="00370831">
        <w:t xml:space="preserve">Its intangible resources include retail knowledge, supplier relationships, demand-forecasting systems, inventory analytics and the “everyday low price” proposition. The incorporation of artificial intelligence in Walmart enables automated replenishment and personalised marketing and operational choices, while also introducing workforce, privacy and moral-governance concerns (Brunda et al., 2025). Its stores can serve as fulfilment centres, connecting with click and collect and delivery options. This omnichannel capability is relevant because digitalisation can significantly boost </w:t>
      </w:r>
      <w:r w:rsidRPr="00370831">
        <w:lastRenderedPageBreak/>
        <w:t>performance of international retailers with complementary physical and organisational resources (Batsakis et al., 2023).</w:t>
      </w:r>
    </w:p>
    <w:p w14:paraId="3A25D352" w14:textId="58C9C968" w:rsidR="00BF7635" w:rsidRDefault="007B78FD" w:rsidP="00370831">
      <w:pPr>
        <w:rPr>
          <w:b/>
        </w:rPr>
      </w:pPr>
      <w:r w:rsidRPr="007B78FD">
        <w:rPr>
          <w:b/>
          <w:noProof/>
        </w:rPr>
        <w:drawing>
          <wp:inline distT="0" distB="0" distL="0" distR="0" wp14:anchorId="5040852E" wp14:editId="57744C59">
            <wp:extent cx="5943600" cy="3037840"/>
            <wp:effectExtent l="19050" t="19050" r="19050" b="1016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037840"/>
                    </a:xfrm>
                    <a:prstGeom prst="rect">
                      <a:avLst/>
                    </a:prstGeom>
                    <a:ln>
                      <a:solidFill>
                        <a:schemeClr val="accent1"/>
                      </a:solidFill>
                    </a:ln>
                  </pic:spPr>
                </pic:pic>
              </a:graphicData>
            </a:graphic>
          </wp:inline>
        </w:drawing>
      </w:r>
    </w:p>
    <w:p w14:paraId="752F14D8" w14:textId="5ED19745" w:rsidR="007B78FD" w:rsidRDefault="007B78FD" w:rsidP="007B78FD">
      <w:pPr>
        <w:pStyle w:val="Caption"/>
      </w:pPr>
      <w:bookmarkStart w:id="62" w:name="_Toc237450290"/>
      <w:r>
        <w:t xml:space="preserve">Figure </w:t>
      </w:r>
      <w:r>
        <w:fldChar w:fldCharType="begin"/>
      </w:r>
      <w:r>
        <w:instrText xml:space="preserve"> SEQ Figure \* ARABIC </w:instrText>
      </w:r>
      <w:r>
        <w:fldChar w:fldCharType="separate"/>
      </w:r>
      <w:r w:rsidR="004B5F67">
        <w:rPr>
          <w:noProof/>
        </w:rPr>
        <w:t>18</w:t>
      </w:r>
      <w:r>
        <w:fldChar w:fldCharType="end"/>
      </w:r>
      <w:r>
        <w:rPr>
          <w:lang w:val="en-US"/>
        </w:rPr>
        <w:t xml:space="preserve">: </w:t>
      </w:r>
      <w:r>
        <w:t>Walmart’s Omnichannel and Price-Leadership Strategy</w:t>
      </w:r>
      <w:bookmarkEnd w:id="62"/>
    </w:p>
    <w:p w14:paraId="043C1F91" w14:textId="379699AE" w:rsidR="007B78FD" w:rsidRPr="007B78FD" w:rsidRDefault="007B78FD" w:rsidP="007B78FD">
      <w:r w:rsidRPr="007B78FD">
        <w:t>Source: (Walmart Inc., 2025a)</w:t>
      </w:r>
    </w:p>
    <w:p w14:paraId="2A07C8C5" w14:textId="77777777" w:rsidR="007B78FD" w:rsidRPr="007B78FD" w:rsidRDefault="007B78FD" w:rsidP="007B78FD">
      <w:pPr>
        <w:rPr>
          <w:lang w:val="en-US"/>
        </w:rPr>
      </w:pPr>
    </w:p>
    <w:p w14:paraId="647396A0" w14:textId="2E7AB2EF" w:rsidR="007C4362" w:rsidRDefault="007C4362" w:rsidP="00370831">
      <w:pPr>
        <w:pStyle w:val="Heading3"/>
      </w:pPr>
      <w:bookmarkStart w:id="63" w:name="_Toc237450232"/>
      <w:r>
        <w:t>4.1.2 Transferability to New Zealand</w:t>
      </w:r>
      <w:bookmarkEnd w:id="63"/>
    </w:p>
    <w:p w14:paraId="7FA03866" w14:textId="685BA949" w:rsidR="00BF7635" w:rsidRDefault="00BF7635" w:rsidP="00BF7635">
      <w:r>
        <w:t>The benefits are partly transferable. The size of procurement, and data analytics, could reduce purchasing and inventory expenses, whilst volume economies would be limited in New Zealand due to its small market size. Walmart may not be able to replicate the price benefits it enjoys in the United States due to high wages, transport costs and local compliance. While its brand may spark interest, the local market may prefer smaller sizes, ethical sourcing, and well-known brands. Ownership benefits need to be adjusted via local sourcing, regional mixes and flexible delivery</w:t>
      </w:r>
      <w:r w:rsidR="009F3490">
        <w:t xml:space="preserve"> (Bowden et al., 2026)</w:t>
      </w:r>
      <w:r>
        <w:t>.</w:t>
      </w:r>
    </w:p>
    <w:p w14:paraId="1DA09808" w14:textId="77777777" w:rsidR="00BF7635" w:rsidRDefault="00BF7635" w:rsidP="00BF7635"/>
    <w:p w14:paraId="10853E53" w14:textId="3BA93CCE" w:rsidR="007C4362" w:rsidRDefault="007C4362" w:rsidP="003B6CEA">
      <w:pPr>
        <w:pStyle w:val="Heading2"/>
      </w:pPr>
      <w:bookmarkStart w:id="64" w:name="_Toc237450233"/>
      <w:r>
        <w:lastRenderedPageBreak/>
        <w:t>4.2 Location Advantages and Disadvantages</w:t>
      </w:r>
      <w:bookmarkEnd w:id="64"/>
    </w:p>
    <w:p w14:paraId="62B4AA4D" w14:textId="77777777" w:rsidR="007C4362" w:rsidRDefault="007C4362" w:rsidP="003B6CEA">
      <w:pPr>
        <w:pStyle w:val="Heading3"/>
      </w:pPr>
      <w:bookmarkStart w:id="65" w:name="_Toc237450234"/>
      <w:r>
        <w:t>4.2.1 Market and Institutional Advantages</w:t>
      </w:r>
      <w:bookmarkEnd w:id="65"/>
    </w:p>
    <w:p w14:paraId="3BD53631" w14:textId="77777777" w:rsidR="00BF7635" w:rsidRDefault="00BF7635" w:rsidP="00BF7635">
      <w:r>
        <w:t>New Zealand has political stability, clear rules, established transportation and technology systems, and a relatively strong consumer spending power. These features decrease uncertainties associated with contracts, capital expenditure and long-term planning (OECD 2026a). More important, the grocery business is consolidated. The Commerce Commission found that competition was not working well for consumers, and that there were significant barriers to entry and relatively high prices (Commerce Commission New Zealand, 2022). This means Walmart might come on as a price competitor with a greater selection and omnichannel convenience. Competition in the supermarket sector may be further boosted by government initiatives to promote competition (MBIE, 2026).</w:t>
      </w:r>
    </w:p>
    <w:p w14:paraId="05735307" w14:textId="77777777" w:rsidR="00BF7635" w:rsidRDefault="00BF7635" w:rsidP="003B6CEA"/>
    <w:p w14:paraId="4B82524D" w14:textId="33626E5F" w:rsidR="007C4362" w:rsidRDefault="007C4362" w:rsidP="003B6CEA">
      <w:pPr>
        <w:pStyle w:val="Heading3"/>
      </w:pPr>
      <w:bookmarkStart w:id="66" w:name="_Toc237450235"/>
      <w:r>
        <w:t>4.2.2 Structural Location Disadvantages</w:t>
      </w:r>
      <w:bookmarkEnd w:id="66"/>
    </w:p>
    <w:p w14:paraId="6231138B" w14:textId="5E59D1A4" w:rsidR="00444974" w:rsidRDefault="00D643AB" w:rsidP="00794B24">
      <w:pPr>
        <w:jc w:val="center"/>
      </w:pPr>
      <w:r>
        <w:rPr>
          <w:noProof/>
        </w:rPr>
        <mc:AlternateContent>
          <mc:Choice Requires="wps">
            <w:drawing>
              <wp:anchor distT="0" distB="0" distL="114300" distR="114300" simplePos="0" relativeHeight="251659264" behindDoc="0" locked="0" layoutInCell="1" allowOverlap="1" wp14:anchorId="36CC6DE6" wp14:editId="67224CDD">
                <wp:simplePos x="0" y="0"/>
                <wp:positionH relativeFrom="column">
                  <wp:posOffset>335280</wp:posOffset>
                </wp:positionH>
                <wp:positionV relativeFrom="paragraph">
                  <wp:posOffset>4056380</wp:posOffset>
                </wp:positionV>
                <wp:extent cx="1089660" cy="106680"/>
                <wp:effectExtent l="0" t="0" r="15240" b="26670"/>
                <wp:wrapNone/>
                <wp:docPr id="50" name="Rectangle 50"/>
                <wp:cNvGraphicFramePr/>
                <a:graphic xmlns:a="http://schemas.openxmlformats.org/drawingml/2006/main">
                  <a:graphicData uri="http://schemas.microsoft.com/office/word/2010/wordprocessingShape">
                    <wps:wsp>
                      <wps:cNvSpPr/>
                      <wps:spPr>
                        <a:xfrm>
                          <a:off x="0" y="0"/>
                          <a:ext cx="1089660" cy="1066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BEE548" id="Rectangle 50" o:spid="_x0000_s1026" style="position:absolute;margin-left:26.4pt;margin-top:319.4pt;width:85.8pt;height:8.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" fillcolor="white [3212]" strokecolor="white [3212]" strokeweight="1pt"/>
            </w:pict>
          </mc:Fallback>
        </mc:AlternateContent>
      </w:r>
      <w:r w:rsidR="00444974" w:rsidRPr="00444974">
        <w:rPr>
          <w:noProof/>
        </w:rPr>
        <w:drawing>
          <wp:inline distT="0" distB="0" distL="0" distR="0" wp14:anchorId="656FA59E" wp14:editId="77400E89">
            <wp:extent cx="5593080" cy="4328152"/>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410"/>
                    <a:stretch/>
                  </pic:blipFill>
                  <pic:spPr bwMode="auto">
                    <a:xfrm>
                      <a:off x="0" y="0"/>
                      <a:ext cx="5597747" cy="4331764"/>
                    </a:xfrm>
                    <a:prstGeom prst="rect">
                      <a:avLst/>
                    </a:prstGeom>
                    <a:ln>
                      <a:noFill/>
                    </a:ln>
                    <a:extLst>
                      <a:ext uri="{53640926-AAD7-44D8-BBD7-CCE9431645EC}">
                        <a14:shadowObscured xmlns:a14="http://schemas.microsoft.com/office/drawing/2010/main"/>
                      </a:ext>
                    </a:extLst>
                  </pic:spPr>
                </pic:pic>
              </a:graphicData>
            </a:graphic>
          </wp:inline>
        </w:drawing>
      </w:r>
    </w:p>
    <w:p w14:paraId="4A984EE9" w14:textId="3D3B55F4" w:rsidR="00794B24" w:rsidRDefault="00794B24" w:rsidP="00794B24">
      <w:pPr>
        <w:pStyle w:val="Caption"/>
        <w:rPr>
          <w:lang w:val="en-US"/>
        </w:rPr>
      </w:pPr>
      <w:bookmarkStart w:id="67" w:name="_Toc237450291"/>
      <w:r>
        <w:lastRenderedPageBreak/>
        <w:t xml:space="preserve">Figure </w:t>
      </w:r>
      <w:r>
        <w:fldChar w:fldCharType="begin"/>
      </w:r>
      <w:r>
        <w:instrText xml:space="preserve"> SEQ Figure \* ARABIC </w:instrText>
      </w:r>
      <w:r>
        <w:fldChar w:fldCharType="separate"/>
      </w:r>
      <w:r w:rsidR="004B5F67">
        <w:rPr>
          <w:noProof/>
        </w:rPr>
        <w:t>19</w:t>
      </w:r>
      <w:r>
        <w:fldChar w:fldCharType="end"/>
      </w:r>
      <w:r>
        <w:rPr>
          <w:lang w:val="en-US"/>
        </w:rPr>
        <w:t xml:space="preserve">: </w:t>
      </w:r>
      <w:r w:rsidRPr="001748FE">
        <w:rPr>
          <w:lang w:val="en-US"/>
        </w:rPr>
        <w:t>New Zealand Population Density</w:t>
      </w:r>
      <w:bookmarkEnd w:id="67"/>
    </w:p>
    <w:p w14:paraId="6C591747" w14:textId="7D1C80D9" w:rsidR="00794B24" w:rsidRPr="00794B24" w:rsidRDefault="00794B24" w:rsidP="00794B24">
      <w:pPr>
        <w:rPr>
          <w:lang w:val="en-US"/>
        </w:rPr>
      </w:pPr>
      <w:r w:rsidRPr="00794B24">
        <w:rPr>
          <w:lang w:val="en-US"/>
        </w:rPr>
        <w:t>Source: (</w:t>
      </w:r>
      <w:proofErr w:type="spellStart"/>
      <w:r w:rsidRPr="00794B24">
        <w:rPr>
          <w:lang w:val="en-US"/>
        </w:rPr>
        <w:t>ChartsBin</w:t>
      </w:r>
      <w:proofErr w:type="spellEnd"/>
      <w:r w:rsidRPr="00794B24">
        <w:rPr>
          <w:lang w:val="en-US"/>
        </w:rPr>
        <w:t>, 2006)</w:t>
      </w:r>
    </w:p>
    <w:p w14:paraId="788901AC" w14:textId="5E8DF0DF" w:rsidR="00BF7635" w:rsidRDefault="00BF7635" w:rsidP="00BF7635">
      <w:r>
        <w:t>However, approximately 5.36 million residents provide a limited customer base for Walmart’s volume-driven model. Geographic isolation adds to import lead times, port dependency and safety stocks, and separation between the North and South Islands adds to domestic distribution costs. Resilience in supply chain would need other suppliers and extra capacity, which would have a trade-off between cost efficiency and reliability (Alem Fonseca et al., 2026). Foodstuffs and Woolworths also have existing retail locations, supplier networks and customer base. Compliance costs would be added in rules on employment, environment, consumer and overseas-investment</w:t>
      </w:r>
      <w:r w:rsidR="00246C30">
        <w:t xml:space="preserve"> (Garton et al., 2026)</w:t>
      </w:r>
      <w:r>
        <w:t>.</w:t>
      </w:r>
    </w:p>
    <w:p w14:paraId="40D6355C" w14:textId="77777777" w:rsidR="00BF7635" w:rsidRDefault="00BF7635" w:rsidP="00444974"/>
    <w:p w14:paraId="3E5A2476" w14:textId="3B121C58" w:rsidR="007C4362" w:rsidRDefault="007C4362" w:rsidP="003B6CEA">
      <w:pPr>
        <w:pStyle w:val="Heading3"/>
      </w:pPr>
      <w:bookmarkStart w:id="68" w:name="_Toc237450236"/>
      <w:r>
        <w:t>4.2.3 Net Location Attractiveness</w:t>
      </w:r>
      <w:bookmarkEnd w:id="68"/>
    </w:p>
    <w:p w14:paraId="312E8C9F" w14:textId="0B112B52" w:rsidR="003B6CEA" w:rsidRDefault="00BF7635" w:rsidP="00BF7635">
      <w:r>
        <w:t>New Zealand offers moderate rather than high attractiveness. There is a real opportunity with institutional quality and a lack of grocery competition, but with limited scale and logistics costs there is no strong argument for immediate investment in large formats. These weaknesses could only be countered by location advantages if Walmart first focuses on the dense urban markets, where they can develop local sourcing.</w:t>
      </w:r>
    </w:p>
    <w:p w14:paraId="2CB7A85E" w14:textId="77777777" w:rsidR="00BF7635" w:rsidRDefault="00BF7635" w:rsidP="00BF7635"/>
    <w:p w14:paraId="59AA2A5B" w14:textId="315BFE10" w:rsidR="007C4362" w:rsidRDefault="007C4362" w:rsidP="003B6CEA">
      <w:pPr>
        <w:pStyle w:val="Heading2"/>
      </w:pPr>
      <w:bookmarkStart w:id="69" w:name="_Toc237450237"/>
      <w:r>
        <w:t>4.3 Internalisation Advantages</w:t>
      </w:r>
      <w:bookmarkEnd w:id="69"/>
    </w:p>
    <w:p w14:paraId="7027DAEB" w14:textId="77777777" w:rsidR="007C4362" w:rsidRDefault="007C4362" w:rsidP="003B6CEA">
      <w:pPr>
        <w:pStyle w:val="Heading3"/>
      </w:pPr>
      <w:bookmarkStart w:id="70" w:name="_Toc237450238"/>
      <w:r>
        <w:t>4.3.1 Value of Maintaining Internal Control</w:t>
      </w:r>
      <w:bookmarkEnd w:id="70"/>
    </w:p>
    <w:p w14:paraId="6CE61ECF" w14:textId="77777777" w:rsidR="00BE5FF9" w:rsidRDefault="002C3D1D" w:rsidP="002C3D1D">
      <w:r>
        <w:t xml:space="preserve">An internalisation would enable Walmart to safeguard procurement systems, data analytics and retail knowledge while gaining control of inventory, pricing, customer data, service quality and brand standards. Direct coordination has the potential to better link stores with online ordering and fulfilment than licensing. Control would also enable Walmart to maintain the low-price strategy and keep check on the responsible sourcing. </w:t>
      </w:r>
    </w:p>
    <w:p w14:paraId="4A103BB7" w14:textId="14D70D52" w:rsidR="00BE5FF9" w:rsidRDefault="00BE5FF9" w:rsidP="002C3D1D">
      <w:r w:rsidRPr="00BE5FF9">
        <w:rPr>
          <w:noProof/>
        </w:rPr>
        <w:lastRenderedPageBreak/>
        <w:drawing>
          <wp:inline distT="0" distB="0" distL="0" distR="0" wp14:anchorId="1688711D" wp14:editId="7A1A8C56">
            <wp:extent cx="5943600" cy="2134235"/>
            <wp:effectExtent l="19050" t="19050" r="19050" b="184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777"/>
                    <a:stretch/>
                  </pic:blipFill>
                  <pic:spPr bwMode="auto">
                    <a:xfrm>
                      <a:off x="0" y="0"/>
                      <a:ext cx="5943600" cy="2134235"/>
                    </a:xfrm>
                    <a:prstGeom prst="rect">
                      <a:avLst/>
                    </a:prstGeom>
                    <a:ln>
                      <a:solidFill>
                        <a:schemeClr val="accent2"/>
                      </a:solidFill>
                    </a:ln>
                    <a:extLst>
                      <a:ext uri="{53640926-AAD7-44D8-BBD7-CCE9431645EC}">
                        <a14:shadowObscured xmlns:a14="http://schemas.microsoft.com/office/drawing/2010/main"/>
                      </a:ext>
                    </a:extLst>
                  </pic:spPr>
                </pic:pic>
              </a:graphicData>
            </a:graphic>
          </wp:inline>
        </w:drawing>
      </w:r>
    </w:p>
    <w:p w14:paraId="1926C926" w14:textId="60756BBF" w:rsidR="00BE5FF9" w:rsidRDefault="00BE5FF9" w:rsidP="00BE5FF9">
      <w:pPr>
        <w:pStyle w:val="Caption"/>
        <w:rPr>
          <w:lang w:val="en-US"/>
        </w:rPr>
      </w:pPr>
      <w:bookmarkStart w:id="71" w:name="_Toc237450292"/>
      <w:r>
        <w:t xml:space="preserve">Figure </w:t>
      </w:r>
      <w:r>
        <w:fldChar w:fldCharType="begin"/>
      </w:r>
      <w:r>
        <w:instrText xml:space="preserve"> SEQ Figure \* ARABIC </w:instrText>
      </w:r>
      <w:r>
        <w:fldChar w:fldCharType="separate"/>
      </w:r>
      <w:r w:rsidR="004B5F67">
        <w:rPr>
          <w:noProof/>
        </w:rPr>
        <w:t>20</w:t>
      </w:r>
      <w:r>
        <w:fldChar w:fldCharType="end"/>
      </w:r>
      <w:r>
        <w:rPr>
          <w:lang w:val="en-US"/>
        </w:rPr>
        <w:t xml:space="preserve">: </w:t>
      </w:r>
      <w:r w:rsidRPr="001B6D34">
        <w:rPr>
          <w:lang w:val="en-US"/>
        </w:rPr>
        <w:t>Walmart’s Responsible Sourcing Process</w:t>
      </w:r>
      <w:bookmarkEnd w:id="71"/>
    </w:p>
    <w:p w14:paraId="4EE0964E" w14:textId="3F2374F3" w:rsidR="00BE5FF9" w:rsidRDefault="00BE5FF9" w:rsidP="002C3D1D">
      <w:r w:rsidRPr="00BE5FF9">
        <w:t>Source: (Walmart Inc., 2026)</w:t>
      </w:r>
    </w:p>
    <w:p w14:paraId="1E1B4609" w14:textId="5338EE06" w:rsidR="002C3D1D" w:rsidRDefault="002C3D1D" w:rsidP="002C3D1D">
      <w:r>
        <w:t>The disparity in digitalisation results achieved by large retailers suggests that digitalisation needs to be combined with the organisation's capabilities instead of being transferred on its own (Durand et al., 2024).</w:t>
      </w:r>
    </w:p>
    <w:p w14:paraId="0A28A941" w14:textId="77777777" w:rsidR="002C3D1D" w:rsidRDefault="002C3D1D" w:rsidP="002C3D1D"/>
    <w:p w14:paraId="4371F091" w14:textId="175A9C3E" w:rsidR="007C4362" w:rsidRDefault="007C4362" w:rsidP="003B6CEA">
      <w:pPr>
        <w:pStyle w:val="Heading3"/>
      </w:pPr>
      <w:bookmarkStart w:id="72" w:name="_Toc237450239"/>
      <w:r>
        <w:t>4.3.2 Limits of Full Internalisation</w:t>
      </w:r>
      <w:bookmarkEnd w:id="72"/>
    </w:p>
    <w:p w14:paraId="5C83E3F7" w14:textId="77777777" w:rsidR="002C3D1D" w:rsidRDefault="002C3D1D" w:rsidP="002C3D1D">
      <w:r>
        <w:t>Full ownership would nevertheless require substantial investment in stores, distribution centres, technology and regulatory compliance before demand was proven. It also would focus exchange-rate, political and operating risks on Walmart. Lacks of understanding of local culture, suppliers and planning processes may also result in the weaknesses found in the previous foreign entries (Ji, 2025). There is potential for a local partner to help narrow these gaps in knowledge, and shared ownership might decrease operational control.</w:t>
      </w:r>
    </w:p>
    <w:p w14:paraId="004293EC" w14:textId="77777777" w:rsidR="003B6CEA" w:rsidRDefault="003B6CEA" w:rsidP="003B6CEA"/>
    <w:p w14:paraId="3D50567A" w14:textId="1B3CA2E9" w:rsidR="007C4362" w:rsidRDefault="007C4362" w:rsidP="003B6CEA">
      <w:pPr>
        <w:pStyle w:val="Heading2"/>
      </w:pPr>
      <w:bookmarkStart w:id="73" w:name="_Toc237450240"/>
      <w:r>
        <w:t>4.4 OLI Synthesis and Entry Implications</w:t>
      </w:r>
      <w:bookmarkEnd w:id="73"/>
    </w:p>
    <w:p w14:paraId="3EFAA833" w14:textId="3B58607E" w:rsidR="007C4362" w:rsidRDefault="002C3D1D" w:rsidP="002C3D1D">
      <w:r>
        <w:t xml:space="preserve">Walmart has a good ownership advantage, while the location advantages of New Zealand are offset by a lack of scale and logistics costs. Internalisation is valuable for technology, pricing and brand control, yet full ownership would create disproportionate commitment. The OLI analysis hence indicates a gradual approach that entails a digital-first entry via </w:t>
      </w:r>
      <w:r>
        <w:lastRenderedPageBreak/>
        <w:t>strategic logistics and supplier partnerships, followed by company-controlled pilot stores. Expansion should be based on the demonstration of demand, cost effectiveness, and regulatory approval.</w:t>
      </w:r>
    </w:p>
    <w:p w14:paraId="487A94B8" w14:textId="77777777" w:rsidR="002C3D1D" w:rsidRDefault="002C3D1D" w:rsidP="002C3D1D"/>
    <w:p w14:paraId="73C4B209" w14:textId="77777777" w:rsidR="007C4362" w:rsidRDefault="007C4362" w:rsidP="003B6CEA">
      <w:pPr>
        <w:pStyle w:val="Heading1"/>
        <w:rPr>
          <w:rFonts w:ascii="Times New Roman" w:hAnsi="Times New Roman"/>
          <w:color w:val="auto"/>
          <w:lang w:val="en-US"/>
        </w:rPr>
      </w:pPr>
      <w:bookmarkStart w:id="74" w:name="_Toc237450241"/>
      <w:r>
        <w:t>5.0 Entry-Mode Strategy and Strategic Synthesis</w:t>
      </w:r>
      <w:bookmarkEnd w:id="74"/>
    </w:p>
    <w:p w14:paraId="5BEEE6EC" w14:textId="77777777" w:rsidR="007C4362" w:rsidRDefault="007C4362" w:rsidP="003B6CEA">
      <w:pPr>
        <w:pStyle w:val="Heading2"/>
      </w:pPr>
      <w:bookmarkStart w:id="75" w:name="_Toc237450242"/>
      <w:r>
        <w:t>5.1 Walmart’s Historical Entry-Mode Patterns</w:t>
      </w:r>
      <w:bookmarkEnd w:id="75"/>
    </w:p>
    <w:p w14:paraId="771DDC0D" w14:textId="77777777" w:rsidR="007C4362" w:rsidRDefault="007C4362" w:rsidP="003B6CEA">
      <w:pPr>
        <w:pStyle w:val="Heading3"/>
      </w:pPr>
      <w:bookmarkStart w:id="76" w:name="_Toc237450243"/>
      <w:r>
        <w:t>5.1.1 Greenfield and Wholly Owned Expansion</w:t>
      </w:r>
      <w:bookmarkEnd w:id="76"/>
    </w:p>
    <w:p w14:paraId="7A580308" w14:textId="1D7940AC" w:rsidR="00696995" w:rsidRDefault="00696995" w:rsidP="00696995">
      <w:r>
        <w:t>Walmart has practiced greenfield investment when market conditions were favourable to erecting stores and distribution networks to its existing business model. Wholly owned investment offers significant pricing, technology, buying and customer experience benefits. It also safeguards firm-specific expertise and serves to execute a uniform approach to the brand. But the building of organics is capital intensive and slow, especially when land, planning permission, supplier infrastructure needs to be built in tandem. Wholly owned foreign investment is most appropriate when firms have high digital and operation capacities and can deal with host-country uncertainty on their own (Mueller et al., 2025).</w:t>
      </w:r>
    </w:p>
    <w:p w14:paraId="4FB2B637" w14:textId="77777777" w:rsidR="00696995" w:rsidRDefault="00696995" w:rsidP="00696995"/>
    <w:p w14:paraId="59434BA4" w14:textId="12DF2708" w:rsidR="007C4362" w:rsidRDefault="007C4362" w:rsidP="003B6CEA">
      <w:pPr>
        <w:pStyle w:val="Heading3"/>
      </w:pPr>
      <w:bookmarkStart w:id="77" w:name="_Toc237450244"/>
      <w:r>
        <w:t>5.1.2 Acquisitions and Joint Ventures</w:t>
      </w:r>
      <w:bookmarkEnd w:id="77"/>
    </w:p>
    <w:p w14:paraId="15E91A14" w14:textId="42869DAA" w:rsidR="00E17538" w:rsidRDefault="00E17538" w:rsidP="00E17538">
      <w:r w:rsidRPr="00E17538">
        <w:rPr>
          <w:noProof/>
        </w:rPr>
        <w:drawing>
          <wp:inline distT="0" distB="0" distL="0" distR="0" wp14:anchorId="4F73839B" wp14:editId="7655540E">
            <wp:extent cx="5943600" cy="2401570"/>
            <wp:effectExtent l="19050" t="19050" r="19050" b="177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0251"/>
                    <a:stretch/>
                  </pic:blipFill>
                  <pic:spPr bwMode="auto">
                    <a:xfrm>
                      <a:off x="0" y="0"/>
                      <a:ext cx="5943600" cy="2401570"/>
                    </a:xfrm>
                    <a:prstGeom prst="rect">
                      <a:avLst/>
                    </a:prstGeom>
                    <a:ln>
                      <a:solidFill>
                        <a:schemeClr val="accent2"/>
                      </a:solidFill>
                    </a:ln>
                    <a:extLst>
                      <a:ext uri="{53640926-AAD7-44D8-BBD7-CCE9431645EC}">
                        <a14:shadowObscured xmlns:a14="http://schemas.microsoft.com/office/drawing/2010/main"/>
                      </a:ext>
                    </a:extLst>
                  </pic:spPr>
                </pic:pic>
              </a:graphicData>
            </a:graphic>
          </wp:inline>
        </w:drawing>
      </w:r>
    </w:p>
    <w:p w14:paraId="415B50E9" w14:textId="4E578C1B" w:rsidR="00E17538" w:rsidRDefault="00E17538" w:rsidP="00E17538">
      <w:pPr>
        <w:pStyle w:val="Caption"/>
        <w:rPr>
          <w:lang w:val="en-US"/>
        </w:rPr>
      </w:pPr>
      <w:bookmarkStart w:id="78" w:name="_Toc237450293"/>
      <w:r>
        <w:lastRenderedPageBreak/>
        <w:t xml:space="preserve">Figure </w:t>
      </w:r>
      <w:r>
        <w:fldChar w:fldCharType="begin"/>
      </w:r>
      <w:r>
        <w:instrText xml:space="preserve"> SEQ Figure \* ARABIC </w:instrText>
      </w:r>
      <w:r>
        <w:fldChar w:fldCharType="separate"/>
      </w:r>
      <w:r w:rsidR="004B5F67">
        <w:rPr>
          <w:noProof/>
        </w:rPr>
        <w:t>21</w:t>
      </w:r>
      <w:r>
        <w:fldChar w:fldCharType="end"/>
      </w:r>
      <w:r>
        <w:rPr>
          <w:lang w:val="en-US"/>
        </w:rPr>
        <w:t xml:space="preserve">: </w:t>
      </w:r>
      <w:r w:rsidRPr="00C8219E">
        <w:rPr>
          <w:lang w:val="en-US"/>
        </w:rPr>
        <w:t>Walmart’s Acquisition-Based Entry into Canada</w:t>
      </w:r>
      <w:bookmarkEnd w:id="78"/>
    </w:p>
    <w:p w14:paraId="7C5B6EE0" w14:textId="317B914F" w:rsidR="00E17538" w:rsidRPr="00E17538" w:rsidRDefault="00E17538" w:rsidP="00E17538">
      <w:pPr>
        <w:rPr>
          <w:lang w:val="en-US"/>
        </w:rPr>
      </w:pPr>
      <w:r w:rsidRPr="00E17538">
        <w:rPr>
          <w:lang w:val="en-US"/>
        </w:rPr>
        <w:t>(Walmart Inc., 2026)</w:t>
      </w:r>
    </w:p>
    <w:p w14:paraId="5F3C7E7D" w14:textId="461F898C" w:rsidR="00696995" w:rsidRDefault="00696995" w:rsidP="00696995">
      <w:r>
        <w:t>For Walmart, acquisitions and joint ventures have played a significant role in internationalisation. In Canada, Walmart acquired 122 Woolco stores and in Britain, Walmart acquired Asda. In Mexico, initially it worked with the local retailer, Cifra, and acquired local knowledge before taking over ownership. The restriction in the Indian regulatory environment pushed the companies to partner with Bharti Enterprises and Walmart even took a controlling stake in Flipkart to get its hands-on e-commerce prowess and an existing customer base. These channels allowed stores to have access to their markets and customers and also to suppliers, while sometimes integration proved problematic (Ji, 2025).</w:t>
      </w:r>
    </w:p>
    <w:p w14:paraId="18660A16" w14:textId="77777777" w:rsidR="00696995" w:rsidRDefault="00696995" w:rsidP="00696995"/>
    <w:p w14:paraId="3F09F731" w14:textId="139B9F18" w:rsidR="007C4362" w:rsidRDefault="007C4362" w:rsidP="003B6CEA">
      <w:pPr>
        <w:pStyle w:val="Heading3"/>
      </w:pPr>
      <w:bookmarkStart w:id="79" w:name="_Toc237450245"/>
      <w:r>
        <w:t>5.1.3 Divestments and Market Withdrawal Lessons</w:t>
      </w:r>
      <w:bookmarkEnd w:id="79"/>
    </w:p>
    <w:p w14:paraId="5433126A" w14:textId="4010CF5D" w:rsidR="00771F11" w:rsidRDefault="00771F11" w:rsidP="00771F11">
      <w:r>
        <w:rPr>
          <w:noProof/>
        </w:rPr>
        <w:drawing>
          <wp:inline distT="0" distB="0" distL="0" distR="0" wp14:anchorId="6B99D36A" wp14:editId="2AC0C34B">
            <wp:extent cx="5943600" cy="3949700"/>
            <wp:effectExtent l="0" t="0" r="0" b="0"/>
            <wp:docPr id="53" name="Picture 53" descr="Preventing Failures in International Markets | Published in AIB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reventing Failures in International Markets | Published in AIB Insight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949700"/>
                    </a:xfrm>
                    <a:prstGeom prst="rect">
                      <a:avLst/>
                    </a:prstGeom>
                    <a:noFill/>
                    <a:ln>
                      <a:noFill/>
                    </a:ln>
                  </pic:spPr>
                </pic:pic>
              </a:graphicData>
            </a:graphic>
          </wp:inline>
        </w:drawing>
      </w:r>
    </w:p>
    <w:p w14:paraId="5FF008B0" w14:textId="6C6E1518" w:rsidR="00771F11" w:rsidRDefault="00771F11" w:rsidP="00771F11">
      <w:pPr>
        <w:pStyle w:val="Caption"/>
        <w:rPr>
          <w:lang w:val="en-US"/>
        </w:rPr>
      </w:pPr>
      <w:bookmarkStart w:id="80" w:name="_Toc237450294"/>
      <w:r>
        <w:t xml:space="preserve">Figure </w:t>
      </w:r>
      <w:r>
        <w:fldChar w:fldCharType="begin"/>
      </w:r>
      <w:r>
        <w:instrText xml:space="preserve"> SEQ Figure \* ARABIC </w:instrText>
      </w:r>
      <w:r>
        <w:fldChar w:fldCharType="separate"/>
      </w:r>
      <w:r w:rsidR="004B5F67">
        <w:rPr>
          <w:noProof/>
        </w:rPr>
        <w:t>22</w:t>
      </w:r>
      <w:r>
        <w:fldChar w:fldCharType="end"/>
      </w:r>
      <w:r>
        <w:rPr>
          <w:lang w:val="en-US"/>
        </w:rPr>
        <w:t xml:space="preserve">: </w:t>
      </w:r>
      <w:proofErr w:type="spellStart"/>
      <w:r w:rsidRPr="000D491D">
        <w:rPr>
          <w:lang w:val="en-US"/>
        </w:rPr>
        <w:t>Standardisation</w:t>
      </w:r>
      <w:proofErr w:type="spellEnd"/>
      <w:r w:rsidRPr="000D491D">
        <w:rPr>
          <w:lang w:val="en-US"/>
        </w:rPr>
        <w:t xml:space="preserve"> and Adaptation in Foreign Markets</w:t>
      </w:r>
      <w:bookmarkEnd w:id="80"/>
    </w:p>
    <w:p w14:paraId="6D1ECF7C" w14:textId="009E2F29" w:rsidR="00771F11" w:rsidRPr="00771F11" w:rsidRDefault="00771F11" w:rsidP="00771F11">
      <w:pPr>
        <w:rPr>
          <w:lang w:val="en-US"/>
        </w:rPr>
      </w:pPr>
      <w:r w:rsidRPr="00771F11">
        <w:rPr>
          <w:lang w:val="en-US"/>
        </w:rPr>
        <w:lastRenderedPageBreak/>
        <w:t>Source: (AIB Insights, 2024)</w:t>
      </w:r>
    </w:p>
    <w:p w14:paraId="2CC99B16" w14:textId="5B649C51" w:rsidR="003B6CEA" w:rsidRDefault="00696995" w:rsidP="00696995">
      <w:r>
        <w:t>Walmart withdrew from Germany and South Korea after its formats, employment practices and product propositions failed to align sufficiently with local conditions. It also sold off Asda, which it faced difficulties as it competed with the bigger market-leading British rivals and as customer attitudes changed (Faithfull, 2020). These results indicate that cultural distance cannot be overcome by ownership control and financial size, and that strong localisation or low competition may be as important as larger actors in achieving results.</w:t>
      </w:r>
    </w:p>
    <w:p w14:paraId="3DCDA6B8" w14:textId="77777777" w:rsidR="00696995" w:rsidRDefault="00696995" w:rsidP="00696995"/>
    <w:p w14:paraId="1134A0AE" w14:textId="37A0BEEF" w:rsidR="007C4362" w:rsidRDefault="007C4362" w:rsidP="003B6CEA">
      <w:pPr>
        <w:pStyle w:val="Heading2"/>
      </w:pPr>
      <w:bookmarkStart w:id="81" w:name="_Toc237450246"/>
      <w:r>
        <w:t>5.2 Suitability of the Historical Modes for New Zealand</w:t>
      </w:r>
      <w:bookmarkEnd w:id="81"/>
    </w:p>
    <w:p w14:paraId="2B04EA49" w14:textId="74E1E4AA" w:rsidR="007C4362" w:rsidRDefault="007C4362" w:rsidP="003B6CEA">
      <w:pPr>
        <w:pStyle w:val="Heading3"/>
      </w:pPr>
      <w:bookmarkStart w:id="82" w:name="_Toc237450247"/>
      <w:r>
        <w:t>5.2.1 Greenfield Investment Assessment</w:t>
      </w:r>
      <w:bookmarkEnd w:id="82"/>
    </w:p>
    <w:p w14:paraId="190E48B8" w14:textId="4E81904B" w:rsidR="003F1F7F" w:rsidRDefault="003F1F7F" w:rsidP="002F6E64">
      <w:pPr>
        <w:jc w:val="center"/>
      </w:pPr>
      <w:r w:rsidRPr="003F1F7F">
        <w:rPr>
          <w:noProof/>
        </w:rPr>
        <w:drawing>
          <wp:inline distT="0" distB="0" distL="0" distR="0" wp14:anchorId="47633CC8" wp14:editId="73E18834">
            <wp:extent cx="5547360" cy="4738962"/>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554088" cy="4744710"/>
                    </a:xfrm>
                    <a:prstGeom prst="rect">
                      <a:avLst/>
                    </a:prstGeom>
                  </pic:spPr>
                </pic:pic>
              </a:graphicData>
            </a:graphic>
          </wp:inline>
        </w:drawing>
      </w:r>
    </w:p>
    <w:p w14:paraId="5B896FC7" w14:textId="05B17B75" w:rsidR="002F6E64" w:rsidRDefault="002F6E64" w:rsidP="002F6E64">
      <w:pPr>
        <w:pStyle w:val="Caption"/>
        <w:rPr>
          <w:lang w:val="en-US"/>
        </w:rPr>
      </w:pPr>
      <w:bookmarkStart w:id="83" w:name="_Toc237450295"/>
      <w:r>
        <w:lastRenderedPageBreak/>
        <w:t xml:space="preserve">Figure </w:t>
      </w:r>
      <w:r>
        <w:fldChar w:fldCharType="begin"/>
      </w:r>
      <w:r>
        <w:instrText xml:space="preserve"> SEQ Figure \* ARABIC </w:instrText>
      </w:r>
      <w:r>
        <w:fldChar w:fldCharType="separate"/>
      </w:r>
      <w:r w:rsidR="004B5F67">
        <w:rPr>
          <w:noProof/>
        </w:rPr>
        <w:t>23</w:t>
      </w:r>
      <w:r>
        <w:fldChar w:fldCharType="end"/>
      </w:r>
      <w:r>
        <w:rPr>
          <w:lang w:val="en-US"/>
        </w:rPr>
        <w:t xml:space="preserve">: </w:t>
      </w:r>
      <w:r w:rsidRPr="00917522">
        <w:rPr>
          <w:lang w:val="en-US"/>
        </w:rPr>
        <w:t>New Zealand’s Horticultural Supply-Chain Network</w:t>
      </w:r>
      <w:bookmarkEnd w:id="83"/>
    </w:p>
    <w:p w14:paraId="0C741F7E" w14:textId="7301CEBE" w:rsidR="002F6E64" w:rsidRPr="002F6E64" w:rsidRDefault="002F6E64" w:rsidP="002F6E64">
      <w:pPr>
        <w:rPr>
          <w:lang w:val="en-US"/>
        </w:rPr>
      </w:pPr>
      <w:r w:rsidRPr="002F6E64">
        <w:rPr>
          <w:lang w:val="en-US"/>
        </w:rPr>
        <w:t>(Horticulture New Zealand, 2023)</w:t>
      </w:r>
    </w:p>
    <w:p w14:paraId="3016B673" w14:textId="7A2CB09B" w:rsidR="00F74F44" w:rsidRDefault="00F74F44" w:rsidP="00F74F44">
      <w:r>
        <w:t xml:space="preserve">A greenfield investment would enable Walmart to structure its stores, distribution </w:t>
      </w:r>
      <w:proofErr w:type="spellStart"/>
      <w:r>
        <w:t>centers</w:t>
      </w:r>
      <w:proofErr w:type="spellEnd"/>
      <w:r>
        <w:t xml:space="preserve"> and digital systems according to its cost leadership approach. However, the cost and time to acquire suitable land, plan, and to establish a two-island supply network would be significant. Immediate large-format development, in particular, would be very risky given that New Zealand has a small population and a yet to be proven demand for US-style supercentres</w:t>
      </w:r>
      <w:r w:rsidR="00F913AE">
        <w:t xml:space="preserve"> </w:t>
      </w:r>
      <w:r w:rsidR="00F913AE" w:rsidRPr="00F913AE">
        <w:t>(OECD, 2026a)</w:t>
      </w:r>
      <w:r>
        <w:t>.</w:t>
      </w:r>
    </w:p>
    <w:p w14:paraId="3CD600E6" w14:textId="77777777" w:rsidR="00F74F44" w:rsidRDefault="00F74F44" w:rsidP="00F74F44"/>
    <w:p w14:paraId="758177CF" w14:textId="7262369C" w:rsidR="007C4362" w:rsidRDefault="007C4362" w:rsidP="003B6CEA">
      <w:pPr>
        <w:pStyle w:val="Heading3"/>
      </w:pPr>
      <w:bookmarkStart w:id="84" w:name="_Toc237450248"/>
      <w:r>
        <w:t>5.2.2 Acquisition Assessment</w:t>
      </w:r>
      <w:bookmarkEnd w:id="84"/>
    </w:p>
    <w:p w14:paraId="02DE46D9" w14:textId="366D29A9" w:rsidR="007C4362" w:rsidRDefault="00F74F44" w:rsidP="00F74F44">
      <w:r>
        <w:t>Purchasing an existing retail business may offer stores, staff, clients and suppliers right away. However, there are few acquisition targets of sufficient scale. Buying a big stake in New Zealand's biggest supermarket, Foodstuffs, or department-store chain, Woolworths, would be structurally challenging and could raise a number of competition and overseas-investment objections. A smaller buy would provide local expertise, but may not have the assets to support Walmart's national cost advantage. Expected returns may also be dampened by high valuations</w:t>
      </w:r>
      <w:r w:rsidR="007F0F8A">
        <w:t xml:space="preserve"> (</w:t>
      </w:r>
      <w:r w:rsidR="007F0F8A" w:rsidRPr="007F0F8A">
        <w:t>MBIE, 2026)</w:t>
      </w:r>
      <w:r>
        <w:t>.</w:t>
      </w:r>
    </w:p>
    <w:p w14:paraId="1733CD69" w14:textId="77777777" w:rsidR="00F74F44" w:rsidRDefault="00F74F44" w:rsidP="00F74F44"/>
    <w:p w14:paraId="2450B60B" w14:textId="77777777" w:rsidR="007C4362" w:rsidRDefault="007C4362" w:rsidP="003B6CEA">
      <w:pPr>
        <w:pStyle w:val="Heading3"/>
      </w:pPr>
      <w:bookmarkStart w:id="85" w:name="_Toc237450249"/>
      <w:r>
        <w:t>5.2.3 Joint Venture or Strategic Partnership Assessment</w:t>
      </w:r>
      <w:bookmarkEnd w:id="85"/>
    </w:p>
    <w:p w14:paraId="7C3C61F3" w14:textId="3D6A7E1C" w:rsidR="00F913AE" w:rsidRDefault="00F913AE" w:rsidP="00F913AE">
      <w:r>
        <w:t>To reduce the investment risk and enhance the understanding of regulations, suppliers and consumer preferences, a joint venture with a local logistics, technology or retail organisation would be preferable. It might also enhance political legitimacy via the participation of domestic actors. But price, sourcing and employment and expansion pace differences may diminish Walmart's control. The implementation of strategy in transnational companies can be quite complex due to the differences in objectives and practices of the organisational units (</w:t>
      </w:r>
      <w:proofErr w:type="spellStart"/>
      <w:r>
        <w:t>Šilenskytė</w:t>
      </w:r>
      <w:proofErr w:type="spellEnd"/>
      <w:r>
        <w:t xml:space="preserve"> et al., 2022).</w:t>
      </w:r>
    </w:p>
    <w:p w14:paraId="3974C56C" w14:textId="11D5E426" w:rsidR="004B5F67" w:rsidRDefault="004B5F67" w:rsidP="00F913AE">
      <w:r>
        <w:rPr>
          <w:noProof/>
        </w:rPr>
        <w:lastRenderedPageBreak/>
        <w:drawing>
          <wp:inline distT="0" distB="0" distL="0" distR="0" wp14:anchorId="04C99248" wp14:editId="3BCF1142">
            <wp:extent cx="5943600" cy="3063240"/>
            <wp:effectExtent l="0" t="0" r="0" b="3810"/>
            <wp:docPr id="55" name="Picture 55" descr="20 Advantages and Disadvantages of Joint Venture | EDUC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20 Advantages and Disadvantages of Joint Venture | EDUCBA"/>
                    <pic:cNvPicPr>
                      <a:picLocks noChangeAspect="1" noChangeArrowheads="1"/>
                    </pic:cNvPicPr>
                  </pic:nvPicPr>
                  <pic:blipFill rotWithShape="1">
                    <a:blip r:embed="rId32">
                      <a:extLst>
                        <a:ext uri="{28A0092B-C50C-407E-A947-70E740481C1C}">
                          <a14:useLocalDpi xmlns:a14="http://schemas.microsoft.com/office/drawing/2010/main" val="0"/>
                        </a:ext>
                      </a:extLst>
                    </a:blip>
                    <a:srcRect b="7975"/>
                    <a:stretch/>
                  </pic:blipFill>
                  <pic:spPr bwMode="auto">
                    <a:xfrm>
                      <a:off x="0" y="0"/>
                      <a:ext cx="5943600" cy="3063240"/>
                    </a:xfrm>
                    <a:prstGeom prst="rect">
                      <a:avLst/>
                    </a:prstGeom>
                    <a:noFill/>
                    <a:ln>
                      <a:noFill/>
                    </a:ln>
                    <a:extLst>
                      <a:ext uri="{53640926-AAD7-44D8-BBD7-CCE9431645EC}">
                        <a14:shadowObscured xmlns:a14="http://schemas.microsoft.com/office/drawing/2010/main"/>
                      </a:ext>
                    </a:extLst>
                  </pic:spPr>
                </pic:pic>
              </a:graphicData>
            </a:graphic>
          </wp:inline>
        </w:drawing>
      </w:r>
    </w:p>
    <w:p w14:paraId="559E511B" w14:textId="7BE1779E" w:rsidR="004B5F67" w:rsidRDefault="004B5F67" w:rsidP="004B5F67">
      <w:pPr>
        <w:pStyle w:val="Caption"/>
        <w:rPr>
          <w:lang w:val="en-US"/>
        </w:rPr>
      </w:pPr>
      <w:bookmarkStart w:id="86" w:name="_Toc237450296"/>
      <w:r>
        <w:t xml:space="preserve">Figure </w:t>
      </w:r>
      <w:r>
        <w:fldChar w:fldCharType="begin"/>
      </w:r>
      <w:r>
        <w:instrText xml:space="preserve"> SEQ Figure \* ARABIC </w:instrText>
      </w:r>
      <w:r>
        <w:fldChar w:fldCharType="separate"/>
      </w:r>
      <w:r>
        <w:rPr>
          <w:noProof/>
        </w:rPr>
        <w:t>24</w:t>
      </w:r>
      <w:r>
        <w:fldChar w:fldCharType="end"/>
      </w:r>
      <w:r>
        <w:rPr>
          <w:lang w:val="en-US"/>
        </w:rPr>
        <w:t xml:space="preserve">: </w:t>
      </w:r>
      <w:r w:rsidRPr="005778E3">
        <w:rPr>
          <w:lang w:val="en-US"/>
        </w:rPr>
        <w:t>Advantages and Disadvantages of Joint Ventures</w:t>
      </w:r>
      <w:bookmarkEnd w:id="86"/>
    </w:p>
    <w:p w14:paraId="13B6DF3D" w14:textId="5CA22264" w:rsidR="004B5F67" w:rsidRPr="004B5F67" w:rsidRDefault="004B5F67" w:rsidP="004B5F67">
      <w:pPr>
        <w:rPr>
          <w:lang w:val="en-US"/>
        </w:rPr>
      </w:pPr>
      <w:r w:rsidRPr="004B5F67">
        <w:rPr>
          <w:lang w:val="en-US"/>
        </w:rPr>
        <w:t>Source: (EDUCBA, 2026)</w:t>
      </w:r>
    </w:p>
    <w:p w14:paraId="4EE28D39" w14:textId="77777777" w:rsidR="00F913AE" w:rsidRDefault="00F913AE" w:rsidP="00F913AE"/>
    <w:p w14:paraId="79A367F1" w14:textId="77777777" w:rsidR="007C4362" w:rsidRDefault="007C4362" w:rsidP="003B6CEA">
      <w:pPr>
        <w:pStyle w:val="Heading3"/>
      </w:pPr>
      <w:bookmarkStart w:id="87" w:name="_Toc237450250"/>
      <w:r>
        <w:t>5.2.4 Digital-First or Phased Entry Assessment</w:t>
      </w:r>
      <w:bookmarkEnd w:id="87"/>
    </w:p>
    <w:p w14:paraId="793CA3D6" w14:textId="4EF967F5" w:rsidR="003B6CEA" w:rsidRDefault="00F913AE" w:rsidP="00F913AE">
      <w:r>
        <w:t>Retailer Walmart would be able to gauge the demand for products via a New Zealand marketplace, local fulfilment centre and delivery partnerships before building stores with a digital-first entry. Such is a fairly reversible strategy and aligns with the increasing omnichannel behaviour of users (Batsakis et al., 2023). However, cross-border shipping would not be quick enough and cheap enough to provide everyday-low prices. Digital entry has to thus encompass area stock, providers, and fulfilment capability.</w:t>
      </w:r>
    </w:p>
    <w:p w14:paraId="5115FA0B" w14:textId="77777777" w:rsidR="00F913AE" w:rsidRDefault="00F913AE" w:rsidP="00F913AE"/>
    <w:p w14:paraId="2743E09E" w14:textId="2AC0308F" w:rsidR="007C4362" w:rsidRDefault="007C4362" w:rsidP="007D600B">
      <w:pPr>
        <w:pStyle w:val="Heading2"/>
      </w:pPr>
      <w:bookmarkStart w:id="88" w:name="_Toc237450251"/>
      <w:r>
        <w:t>5.3 Comparative Entry-Mode Evaluation</w:t>
      </w:r>
      <w:bookmarkEnd w:id="88"/>
    </w:p>
    <w:tbl>
      <w:tblPr>
        <w:tblStyle w:val="TableGrid"/>
        <w:tblW w:w="0" w:type="auto"/>
        <w:tblLook w:val="04A0" w:firstRow="1" w:lastRow="0" w:firstColumn="1" w:lastColumn="0" w:noHBand="0" w:noVBand="1"/>
      </w:tblPr>
      <w:tblGrid>
        <w:gridCol w:w="2820"/>
        <w:gridCol w:w="1437"/>
        <w:gridCol w:w="1523"/>
        <w:gridCol w:w="1614"/>
        <w:gridCol w:w="1956"/>
      </w:tblGrid>
      <w:tr w:rsidR="007C4362" w14:paraId="3C49EBB7" w14:textId="77777777" w:rsidTr="00626624">
        <w:tc>
          <w:tcPr>
            <w:tcW w:w="0" w:type="auto"/>
            <w:shd w:val="clear" w:color="auto" w:fill="B4C6E7" w:themeFill="accent1" w:themeFillTint="66"/>
            <w:vAlign w:val="center"/>
            <w:hideMark/>
          </w:tcPr>
          <w:p w14:paraId="720CC691" w14:textId="77777777" w:rsidR="007C4362" w:rsidRPr="00983AFD" w:rsidRDefault="007C4362" w:rsidP="00983AFD">
            <w:pPr>
              <w:jc w:val="center"/>
              <w:rPr>
                <w:b/>
              </w:rPr>
            </w:pPr>
            <w:r w:rsidRPr="00983AFD">
              <w:rPr>
                <w:b/>
              </w:rPr>
              <w:t>Evaluation factor</w:t>
            </w:r>
          </w:p>
        </w:tc>
        <w:tc>
          <w:tcPr>
            <w:tcW w:w="0" w:type="auto"/>
            <w:shd w:val="clear" w:color="auto" w:fill="B4C6E7" w:themeFill="accent1" w:themeFillTint="66"/>
            <w:vAlign w:val="center"/>
            <w:hideMark/>
          </w:tcPr>
          <w:p w14:paraId="6F2A9937" w14:textId="77777777" w:rsidR="007C4362" w:rsidRPr="00983AFD" w:rsidRDefault="007C4362" w:rsidP="00983AFD">
            <w:pPr>
              <w:jc w:val="center"/>
              <w:rPr>
                <w:b/>
              </w:rPr>
            </w:pPr>
            <w:r w:rsidRPr="00983AFD">
              <w:rPr>
                <w:b/>
              </w:rPr>
              <w:t>Greenfield</w:t>
            </w:r>
          </w:p>
        </w:tc>
        <w:tc>
          <w:tcPr>
            <w:tcW w:w="0" w:type="auto"/>
            <w:shd w:val="clear" w:color="auto" w:fill="B4C6E7" w:themeFill="accent1" w:themeFillTint="66"/>
            <w:vAlign w:val="center"/>
            <w:hideMark/>
          </w:tcPr>
          <w:p w14:paraId="5044CC97" w14:textId="77777777" w:rsidR="007C4362" w:rsidRPr="00983AFD" w:rsidRDefault="007C4362" w:rsidP="00983AFD">
            <w:pPr>
              <w:jc w:val="center"/>
              <w:rPr>
                <w:b/>
              </w:rPr>
            </w:pPr>
            <w:r w:rsidRPr="00983AFD">
              <w:rPr>
                <w:b/>
              </w:rPr>
              <w:t>Acquisition</w:t>
            </w:r>
          </w:p>
        </w:tc>
        <w:tc>
          <w:tcPr>
            <w:tcW w:w="0" w:type="auto"/>
            <w:shd w:val="clear" w:color="auto" w:fill="B4C6E7" w:themeFill="accent1" w:themeFillTint="66"/>
            <w:vAlign w:val="center"/>
            <w:hideMark/>
          </w:tcPr>
          <w:p w14:paraId="7A698F33" w14:textId="77777777" w:rsidR="007C4362" w:rsidRPr="00983AFD" w:rsidRDefault="007C4362" w:rsidP="00983AFD">
            <w:pPr>
              <w:jc w:val="center"/>
              <w:rPr>
                <w:b/>
              </w:rPr>
            </w:pPr>
            <w:r w:rsidRPr="00983AFD">
              <w:rPr>
                <w:b/>
              </w:rPr>
              <w:t>Joint venture</w:t>
            </w:r>
          </w:p>
        </w:tc>
        <w:tc>
          <w:tcPr>
            <w:tcW w:w="0" w:type="auto"/>
            <w:shd w:val="clear" w:color="auto" w:fill="B4C6E7" w:themeFill="accent1" w:themeFillTint="66"/>
            <w:vAlign w:val="center"/>
            <w:hideMark/>
          </w:tcPr>
          <w:p w14:paraId="3EA78945" w14:textId="77777777" w:rsidR="007C4362" w:rsidRPr="00983AFD" w:rsidRDefault="007C4362" w:rsidP="00983AFD">
            <w:pPr>
              <w:jc w:val="center"/>
              <w:rPr>
                <w:b/>
              </w:rPr>
            </w:pPr>
            <w:r w:rsidRPr="00983AFD">
              <w:rPr>
                <w:b/>
              </w:rPr>
              <w:t>Digital-first entry</w:t>
            </w:r>
          </w:p>
        </w:tc>
      </w:tr>
      <w:tr w:rsidR="007C4362" w14:paraId="68A6C719" w14:textId="77777777" w:rsidTr="00C62F27">
        <w:tc>
          <w:tcPr>
            <w:tcW w:w="0" w:type="auto"/>
            <w:hideMark/>
          </w:tcPr>
          <w:p w14:paraId="7AE4A88A" w14:textId="77777777" w:rsidR="007C4362" w:rsidRDefault="007C4362" w:rsidP="003B6CEA">
            <w:r>
              <w:t>Political and regulatory risk</w:t>
            </w:r>
          </w:p>
        </w:tc>
        <w:tc>
          <w:tcPr>
            <w:tcW w:w="0" w:type="auto"/>
            <w:vAlign w:val="center"/>
            <w:hideMark/>
          </w:tcPr>
          <w:p w14:paraId="3122A6E7" w14:textId="77777777" w:rsidR="007C4362" w:rsidRDefault="007C4362" w:rsidP="00C62F27">
            <w:pPr>
              <w:jc w:val="center"/>
            </w:pPr>
            <w:r>
              <w:t>High</w:t>
            </w:r>
          </w:p>
        </w:tc>
        <w:tc>
          <w:tcPr>
            <w:tcW w:w="0" w:type="auto"/>
            <w:vAlign w:val="center"/>
            <w:hideMark/>
          </w:tcPr>
          <w:p w14:paraId="1969ADA2" w14:textId="77777777" w:rsidR="007C4362" w:rsidRDefault="007C4362" w:rsidP="00C62F27">
            <w:pPr>
              <w:jc w:val="center"/>
            </w:pPr>
            <w:r>
              <w:t>High</w:t>
            </w:r>
          </w:p>
        </w:tc>
        <w:tc>
          <w:tcPr>
            <w:tcW w:w="0" w:type="auto"/>
            <w:vAlign w:val="center"/>
            <w:hideMark/>
          </w:tcPr>
          <w:p w14:paraId="0636DECC" w14:textId="77777777" w:rsidR="007C4362" w:rsidRDefault="007C4362" w:rsidP="00C62F27">
            <w:pPr>
              <w:jc w:val="center"/>
            </w:pPr>
            <w:r>
              <w:t>Medium</w:t>
            </w:r>
          </w:p>
        </w:tc>
        <w:tc>
          <w:tcPr>
            <w:tcW w:w="0" w:type="auto"/>
            <w:vAlign w:val="center"/>
            <w:hideMark/>
          </w:tcPr>
          <w:p w14:paraId="020DDB68" w14:textId="77777777" w:rsidR="007C4362" w:rsidRDefault="007C4362" w:rsidP="00C62F27">
            <w:pPr>
              <w:jc w:val="center"/>
            </w:pPr>
            <w:r>
              <w:t>Low</w:t>
            </w:r>
          </w:p>
        </w:tc>
      </w:tr>
      <w:tr w:rsidR="007C4362" w14:paraId="3F70299A" w14:textId="77777777" w:rsidTr="00C62F27">
        <w:tc>
          <w:tcPr>
            <w:tcW w:w="0" w:type="auto"/>
            <w:hideMark/>
          </w:tcPr>
          <w:p w14:paraId="6130EB44" w14:textId="77777777" w:rsidR="007C4362" w:rsidRDefault="007C4362" w:rsidP="003B6CEA">
            <w:r>
              <w:lastRenderedPageBreak/>
              <w:t>Financial commitment</w:t>
            </w:r>
          </w:p>
        </w:tc>
        <w:tc>
          <w:tcPr>
            <w:tcW w:w="0" w:type="auto"/>
            <w:vAlign w:val="center"/>
            <w:hideMark/>
          </w:tcPr>
          <w:p w14:paraId="2CBE70BD" w14:textId="77777777" w:rsidR="007C4362" w:rsidRDefault="007C4362" w:rsidP="00C62F27">
            <w:pPr>
              <w:jc w:val="center"/>
            </w:pPr>
            <w:r>
              <w:t>Very high</w:t>
            </w:r>
          </w:p>
        </w:tc>
        <w:tc>
          <w:tcPr>
            <w:tcW w:w="0" w:type="auto"/>
            <w:vAlign w:val="center"/>
            <w:hideMark/>
          </w:tcPr>
          <w:p w14:paraId="20F7BEC1" w14:textId="77777777" w:rsidR="007C4362" w:rsidRDefault="007C4362" w:rsidP="00C62F27">
            <w:pPr>
              <w:jc w:val="center"/>
            </w:pPr>
            <w:r>
              <w:t>High</w:t>
            </w:r>
          </w:p>
        </w:tc>
        <w:tc>
          <w:tcPr>
            <w:tcW w:w="0" w:type="auto"/>
            <w:vAlign w:val="center"/>
            <w:hideMark/>
          </w:tcPr>
          <w:p w14:paraId="5B5DBF83" w14:textId="77777777" w:rsidR="007C4362" w:rsidRDefault="007C4362" w:rsidP="00C62F27">
            <w:pPr>
              <w:jc w:val="center"/>
            </w:pPr>
            <w:r>
              <w:t>Medium</w:t>
            </w:r>
          </w:p>
        </w:tc>
        <w:tc>
          <w:tcPr>
            <w:tcW w:w="0" w:type="auto"/>
            <w:vAlign w:val="center"/>
            <w:hideMark/>
          </w:tcPr>
          <w:p w14:paraId="3688F6C8" w14:textId="77777777" w:rsidR="007C4362" w:rsidRDefault="007C4362" w:rsidP="00C62F27">
            <w:pPr>
              <w:jc w:val="center"/>
            </w:pPr>
            <w:r>
              <w:t>Low–medium</w:t>
            </w:r>
          </w:p>
        </w:tc>
      </w:tr>
      <w:tr w:rsidR="007C4362" w14:paraId="31727265" w14:textId="77777777" w:rsidTr="00C62F27">
        <w:tc>
          <w:tcPr>
            <w:tcW w:w="0" w:type="auto"/>
            <w:hideMark/>
          </w:tcPr>
          <w:p w14:paraId="4CF8D5B5" w14:textId="77777777" w:rsidR="007C4362" w:rsidRDefault="007C4362" w:rsidP="003B6CEA">
            <w:r>
              <w:t>Operational control</w:t>
            </w:r>
          </w:p>
        </w:tc>
        <w:tc>
          <w:tcPr>
            <w:tcW w:w="0" w:type="auto"/>
            <w:vAlign w:val="center"/>
            <w:hideMark/>
          </w:tcPr>
          <w:p w14:paraId="012B55A7" w14:textId="77777777" w:rsidR="007C4362" w:rsidRDefault="007C4362" w:rsidP="00C62F27">
            <w:pPr>
              <w:jc w:val="center"/>
            </w:pPr>
            <w:r>
              <w:t>Very high</w:t>
            </w:r>
          </w:p>
        </w:tc>
        <w:tc>
          <w:tcPr>
            <w:tcW w:w="0" w:type="auto"/>
            <w:vAlign w:val="center"/>
            <w:hideMark/>
          </w:tcPr>
          <w:p w14:paraId="7681936C" w14:textId="77777777" w:rsidR="007C4362" w:rsidRDefault="007C4362" w:rsidP="00C62F27">
            <w:pPr>
              <w:jc w:val="center"/>
            </w:pPr>
            <w:r>
              <w:t>High</w:t>
            </w:r>
          </w:p>
        </w:tc>
        <w:tc>
          <w:tcPr>
            <w:tcW w:w="0" w:type="auto"/>
            <w:vAlign w:val="center"/>
            <w:hideMark/>
          </w:tcPr>
          <w:p w14:paraId="6401996F" w14:textId="77777777" w:rsidR="007C4362" w:rsidRDefault="007C4362" w:rsidP="00C62F27">
            <w:pPr>
              <w:jc w:val="center"/>
            </w:pPr>
            <w:r>
              <w:t>Shared</w:t>
            </w:r>
          </w:p>
        </w:tc>
        <w:tc>
          <w:tcPr>
            <w:tcW w:w="0" w:type="auto"/>
            <w:vAlign w:val="center"/>
            <w:hideMark/>
          </w:tcPr>
          <w:p w14:paraId="2C681ECD" w14:textId="77777777" w:rsidR="007C4362" w:rsidRDefault="007C4362" w:rsidP="00C62F27">
            <w:pPr>
              <w:jc w:val="center"/>
            </w:pPr>
            <w:r>
              <w:t>High</w:t>
            </w:r>
          </w:p>
        </w:tc>
      </w:tr>
      <w:tr w:rsidR="007C4362" w14:paraId="3630E5BF" w14:textId="77777777" w:rsidTr="00C62F27">
        <w:tc>
          <w:tcPr>
            <w:tcW w:w="0" w:type="auto"/>
            <w:hideMark/>
          </w:tcPr>
          <w:p w14:paraId="0E9B50F4" w14:textId="77777777" w:rsidR="007C4362" w:rsidRDefault="007C4362" w:rsidP="003B6CEA">
            <w:r>
              <w:t>Speed of entry</w:t>
            </w:r>
          </w:p>
        </w:tc>
        <w:tc>
          <w:tcPr>
            <w:tcW w:w="0" w:type="auto"/>
            <w:vAlign w:val="center"/>
            <w:hideMark/>
          </w:tcPr>
          <w:p w14:paraId="777D6652" w14:textId="77777777" w:rsidR="007C4362" w:rsidRDefault="007C4362" w:rsidP="00C62F27">
            <w:pPr>
              <w:jc w:val="center"/>
            </w:pPr>
            <w:r>
              <w:t>Slow</w:t>
            </w:r>
          </w:p>
        </w:tc>
        <w:tc>
          <w:tcPr>
            <w:tcW w:w="0" w:type="auto"/>
            <w:vAlign w:val="center"/>
            <w:hideMark/>
          </w:tcPr>
          <w:p w14:paraId="20CB5525" w14:textId="77777777" w:rsidR="007C4362" w:rsidRDefault="007C4362" w:rsidP="00C62F27">
            <w:pPr>
              <w:jc w:val="center"/>
            </w:pPr>
            <w:r>
              <w:t>Fast</w:t>
            </w:r>
          </w:p>
        </w:tc>
        <w:tc>
          <w:tcPr>
            <w:tcW w:w="0" w:type="auto"/>
            <w:vAlign w:val="center"/>
            <w:hideMark/>
          </w:tcPr>
          <w:p w14:paraId="338E41F0" w14:textId="77777777" w:rsidR="007C4362" w:rsidRDefault="007C4362" w:rsidP="00C62F27">
            <w:pPr>
              <w:jc w:val="center"/>
            </w:pPr>
            <w:r>
              <w:t>Medium</w:t>
            </w:r>
          </w:p>
        </w:tc>
        <w:tc>
          <w:tcPr>
            <w:tcW w:w="0" w:type="auto"/>
            <w:vAlign w:val="center"/>
            <w:hideMark/>
          </w:tcPr>
          <w:p w14:paraId="73845153" w14:textId="77777777" w:rsidR="007C4362" w:rsidRDefault="007C4362" w:rsidP="00C62F27">
            <w:pPr>
              <w:jc w:val="center"/>
            </w:pPr>
            <w:r>
              <w:t>Fast</w:t>
            </w:r>
          </w:p>
        </w:tc>
      </w:tr>
      <w:tr w:rsidR="007C4362" w14:paraId="5033EA56" w14:textId="77777777" w:rsidTr="00C62F27">
        <w:tc>
          <w:tcPr>
            <w:tcW w:w="0" w:type="auto"/>
            <w:hideMark/>
          </w:tcPr>
          <w:p w14:paraId="0CEAAF53" w14:textId="77777777" w:rsidR="007C4362" w:rsidRDefault="007C4362" w:rsidP="003B6CEA">
            <w:r>
              <w:t>Local market knowledge</w:t>
            </w:r>
          </w:p>
        </w:tc>
        <w:tc>
          <w:tcPr>
            <w:tcW w:w="0" w:type="auto"/>
            <w:vAlign w:val="center"/>
            <w:hideMark/>
          </w:tcPr>
          <w:p w14:paraId="2254BBF3" w14:textId="77777777" w:rsidR="007C4362" w:rsidRDefault="007C4362" w:rsidP="00C62F27">
            <w:pPr>
              <w:jc w:val="center"/>
            </w:pPr>
            <w:r>
              <w:t>Low initially</w:t>
            </w:r>
          </w:p>
        </w:tc>
        <w:tc>
          <w:tcPr>
            <w:tcW w:w="0" w:type="auto"/>
            <w:vAlign w:val="center"/>
            <w:hideMark/>
          </w:tcPr>
          <w:p w14:paraId="27BB26FB" w14:textId="77777777" w:rsidR="007C4362" w:rsidRDefault="007C4362" w:rsidP="00C62F27">
            <w:pPr>
              <w:jc w:val="center"/>
            </w:pPr>
            <w:r>
              <w:t>High</w:t>
            </w:r>
          </w:p>
        </w:tc>
        <w:tc>
          <w:tcPr>
            <w:tcW w:w="0" w:type="auto"/>
            <w:vAlign w:val="center"/>
            <w:hideMark/>
          </w:tcPr>
          <w:p w14:paraId="51D32C85" w14:textId="77777777" w:rsidR="007C4362" w:rsidRDefault="007C4362" w:rsidP="00C62F27">
            <w:pPr>
              <w:jc w:val="center"/>
            </w:pPr>
            <w:r>
              <w:t>High</w:t>
            </w:r>
          </w:p>
        </w:tc>
        <w:tc>
          <w:tcPr>
            <w:tcW w:w="0" w:type="auto"/>
            <w:vAlign w:val="center"/>
            <w:hideMark/>
          </w:tcPr>
          <w:p w14:paraId="2D5FD324" w14:textId="77777777" w:rsidR="007C4362" w:rsidRDefault="007C4362" w:rsidP="00C62F27">
            <w:pPr>
              <w:jc w:val="center"/>
            </w:pPr>
            <w:r>
              <w:t>Medium</w:t>
            </w:r>
          </w:p>
        </w:tc>
      </w:tr>
      <w:tr w:rsidR="007C4362" w14:paraId="4092B54F" w14:textId="77777777" w:rsidTr="00C62F27">
        <w:tc>
          <w:tcPr>
            <w:tcW w:w="0" w:type="auto"/>
            <w:hideMark/>
          </w:tcPr>
          <w:p w14:paraId="72B1D269" w14:textId="77777777" w:rsidR="007C4362" w:rsidRDefault="007C4362" w:rsidP="003B6CEA">
            <w:r>
              <w:t>Flexibility and reversibility</w:t>
            </w:r>
          </w:p>
        </w:tc>
        <w:tc>
          <w:tcPr>
            <w:tcW w:w="0" w:type="auto"/>
            <w:vAlign w:val="center"/>
            <w:hideMark/>
          </w:tcPr>
          <w:p w14:paraId="2AE1F8F0" w14:textId="77777777" w:rsidR="007C4362" w:rsidRDefault="007C4362" w:rsidP="00C62F27">
            <w:pPr>
              <w:jc w:val="center"/>
            </w:pPr>
            <w:r>
              <w:t>Low</w:t>
            </w:r>
          </w:p>
        </w:tc>
        <w:tc>
          <w:tcPr>
            <w:tcW w:w="0" w:type="auto"/>
            <w:vAlign w:val="center"/>
            <w:hideMark/>
          </w:tcPr>
          <w:p w14:paraId="3A17CD27" w14:textId="77777777" w:rsidR="007C4362" w:rsidRDefault="007C4362" w:rsidP="00C62F27">
            <w:pPr>
              <w:jc w:val="center"/>
            </w:pPr>
            <w:r>
              <w:t>Low</w:t>
            </w:r>
          </w:p>
        </w:tc>
        <w:tc>
          <w:tcPr>
            <w:tcW w:w="0" w:type="auto"/>
            <w:vAlign w:val="center"/>
            <w:hideMark/>
          </w:tcPr>
          <w:p w14:paraId="3E263353" w14:textId="77777777" w:rsidR="007C4362" w:rsidRDefault="007C4362" w:rsidP="00C62F27">
            <w:pPr>
              <w:jc w:val="center"/>
            </w:pPr>
            <w:r>
              <w:t>Medium</w:t>
            </w:r>
          </w:p>
        </w:tc>
        <w:tc>
          <w:tcPr>
            <w:tcW w:w="0" w:type="auto"/>
            <w:vAlign w:val="center"/>
            <w:hideMark/>
          </w:tcPr>
          <w:p w14:paraId="5A8BCF0B" w14:textId="77777777" w:rsidR="007C4362" w:rsidRDefault="007C4362" w:rsidP="00C62F27">
            <w:pPr>
              <w:jc w:val="center"/>
            </w:pPr>
            <w:r>
              <w:t>High</w:t>
            </w:r>
          </w:p>
        </w:tc>
      </w:tr>
      <w:tr w:rsidR="007C4362" w14:paraId="7A4F243D" w14:textId="77777777" w:rsidTr="00C62F27">
        <w:tc>
          <w:tcPr>
            <w:tcW w:w="0" w:type="auto"/>
            <w:hideMark/>
          </w:tcPr>
          <w:p w14:paraId="57426925" w14:textId="77777777" w:rsidR="007C4362" w:rsidRDefault="007C4362" w:rsidP="003B6CEA">
            <w:r>
              <w:t>Long-term strategic fit</w:t>
            </w:r>
          </w:p>
        </w:tc>
        <w:tc>
          <w:tcPr>
            <w:tcW w:w="0" w:type="auto"/>
            <w:vAlign w:val="center"/>
            <w:hideMark/>
          </w:tcPr>
          <w:p w14:paraId="29C89B4A" w14:textId="77777777" w:rsidR="007C4362" w:rsidRDefault="007C4362" w:rsidP="00C62F27">
            <w:pPr>
              <w:jc w:val="center"/>
            </w:pPr>
            <w:r>
              <w:t>Medium</w:t>
            </w:r>
          </w:p>
        </w:tc>
        <w:tc>
          <w:tcPr>
            <w:tcW w:w="0" w:type="auto"/>
            <w:vAlign w:val="center"/>
            <w:hideMark/>
          </w:tcPr>
          <w:p w14:paraId="0FFA4079" w14:textId="77777777" w:rsidR="007C4362" w:rsidRDefault="007C4362" w:rsidP="00C62F27">
            <w:pPr>
              <w:jc w:val="center"/>
            </w:pPr>
            <w:r>
              <w:t>Medium</w:t>
            </w:r>
          </w:p>
        </w:tc>
        <w:tc>
          <w:tcPr>
            <w:tcW w:w="0" w:type="auto"/>
            <w:vAlign w:val="center"/>
            <w:hideMark/>
          </w:tcPr>
          <w:p w14:paraId="0E882C97" w14:textId="77777777" w:rsidR="007C4362" w:rsidRDefault="007C4362" w:rsidP="00C62F27">
            <w:pPr>
              <w:jc w:val="center"/>
            </w:pPr>
            <w:r>
              <w:t>High</w:t>
            </w:r>
          </w:p>
        </w:tc>
        <w:tc>
          <w:tcPr>
            <w:tcW w:w="0" w:type="auto"/>
            <w:vAlign w:val="center"/>
            <w:hideMark/>
          </w:tcPr>
          <w:p w14:paraId="19234D09" w14:textId="77777777" w:rsidR="007C4362" w:rsidRDefault="007C4362" w:rsidP="00C62F27">
            <w:pPr>
              <w:jc w:val="center"/>
            </w:pPr>
            <w:r>
              <w:t>High</w:t>
            </w:r>
          </w:p>
        </w:tc>
      </w:tr>
    </w:tbl>
    <w:p w14:paraId="7F39FCCA" w14:textId="03F0308C" w:rsidR="003B6CEA" w:rsidRDefault="00EF3481" w:rsidP="00EF3481">
      <w:pPr>
        <w:pStyle w:val="Caption"/>
      </w:pPr>
      <w:bookmarkStart w:id="89" w:name="_Toc237450271"/>
      <w:r>
        <w:t xml:space="preserve">Table </w:t>
      </w:r>
      <w:r>
        <w:fldChar w:fldCharType="begin"/>
      </w:r>
      <w:r>
        <w:instrText xml:space="preserve"> SEQ Table \* ARABIC </w:instrText>
      </w:r>
      <w:r>
        <w:fldChar w:fldCharType="separate"/>
      </w:r>
      <w:r>
        <w:rPr>
          <w:noProof/>
        </w:rPr>
        <w:t>2</w:t>
      </w:r>
      <w:r>
        <w:fldChar w:fldCharType="end"/>
      </w:r>
      <w:r>
        <w:rPr>
          <w:lang w:val="en-US"/>
        </w:rPr>
        <w:t xml:space="preserve">: </w:t>
      </w:r>
      <w:r w:rsidRPr="005D30E9">
        <w:rPr>
          <w:lang w:val="en-US"/>
        </w:rPr>
        <w:t>Comparative Evaluation of Walmart’s New Zealand Entry Modes</w:t>
      </w:r>
      <w:bookmarkEnd w:id="89"/>
    </w:p>
    <w:p w14:paraId="236F68C8" w14:textId="77777777" w:rsidR="00EF3481" w:rsidRPr="008A1093" w:rsidRDefault="00EF3481" w:rsidP="00EF3481">
      <w:pPr>
        <w:rPr>
          <w:lang w:val="en-US"/>
        </w:rPr>
      </w:pPr>
      <w:r>
        <w:rPr>
          <w:lang w:val="en-US"/>
        </w:rPr>
        <w:t>Source: (Author, 2026)</w:t>
      </w:r>
    </w:p>
    <w:p w14:paraId="1F9D82CB" w14:textId="77777777" w:rsidR="003B6CEA" w:rsidRDefault="003B6CEA" w:rsidP="003B6CEA"/>
    <w:p w14:paraId="64F8F2BA" w14:textId="6EA3DE8C" w:rsidR="007C4362" w:rsidRDefault="007C4362" w:rsidP="003B6CEA">
      <w:pPr>
        <w:pStyle w:val="Heading2"/>
      </w:pPr>
      <w:bookmarkStart w:id="90" w:name="_Toc237450252"/>
      <w:r>
        <w:t>5.4 Final Recommendation and Implementation Priorities</w:t>
      </w:r>
      <w:bookmarkEnd w:id="90"/>
    </w:p>
    <w:p w14:paraId="3D84A9B4" w14:textId="77777777" w:rsidR="007C4362" w:rsidRDefault="007C4362" w:rsidP="003B6CEA">
      <w:pPr>
        <w:pStyle w:val="Heading3"/>
      </w:pPr>
      <w:bookmarkStart w:id="91" w:name="_Toc237450253"/>
      <w:r>
        <w:t>5.4.1 Recommended Entry Mode</w:t>
      </w:r>
      <w:bookmarkEnd w:id="91"/>
    </w:p>
    <w:p w14:paraId="5414D514" w14:textId="77777777" w:rsidR="00F24B0A" w:rsidRDefault="00F24B0A" w:rsidP="00F24B0A">
      <w:r>
        <w:t>Walmart should implement a staged approach to digital-first with contractual relationships with New Zealand logistics providers and local suppliers. It should not immediately form an equity joint venture with the various entities involved and should keep the control over its brand, platform, customer data, pricing systems and merchandise standards. This balances Walmart’s ownership advantages with New Zealand’s limited scale and uncertain physical-store demand (Askarany et al., 2025).</w:t>
      </w:r>
    </w:p>
    <w:p w14:paraId="6AC99083" w14:textId="77777777" w:rsidR="0025424E" w:rsidRDefault="0025424E" w:rsidP="003B6CEA"/>
    <w:p w14:paraId="370F1E22" w14:textId="77777777" w:rsidR="007C4362" w:rsidRDefault="007C4362" w:rsidP="003B6CEA">
      <w:pPr>
        <w:pStyle w:val="Heading3"/>
      </w:pPr>
      <w:bookmarkStart w:id="92" w:name="_Toc237450254"/>
      <w:r>
        <w:t>5.4.2 Phased Implementation</w:t>
      </w:r>
      <w:bookmarkEnd w:id="92"/>
    </w:p>
    <w:p w14:paraId="7CBA0F42" w14:textId="77777777" w:rsidR="00F24B0A" w:rsidRDefault="00F24B0A" w:rsidP="00F24B0A">
      <w:r>
        <w:t>The first stage should be to test demand and involve the Commerce Commission, authorities for overseas investments, suppliers, unions and iwi and community representatives. Walmart should then work on local sourcing, third party logistics, launching a marketplace and an Auckland fulfilment pilot. The third stage should test click-and-collect and delivery performance. Smaller stores could then be trialled in Auckland and Christchurch. Expansion of the nation should only be done following a formal performance review.</w:t>
      </w:r>
    </w:p>
    <w:p w14:paraId="65780AC0" w14:textId="77777777" w:rsidR="0025424E" w:rsidRDefault="0025424E" w:rsidP="003B6CEA"/>
    <w:p w14:paraId="5DC3A16A" w14:textId="01509556" w:rsidR="007C4362" w:rsidRDefault="007C4362" w:rsidP="003B6CEA">
      <w:pPr>
        <w:pStyle w:val="Heading3"/>
      </w:pPr>
      <w:bookmarkStart w:id="93" w:name="_Toc237450255"/>
      <w:r>
        <w:t>5.4.3 Risk-Mitigation Measures and Success Indicators</w:t>
      </w:r>
      <w:bookmarkEnd w:id="93"/>
    </w:p>
    <w:p w14:paraId="0B7DC163" w14:textId="6919A62A" w:rsidR="00E8653E" w:rsidRDefault="00E8653E" w:rsidP="00E8653E">
      <w:r>
        <w:rPr>
          <w:noProof/>
        </w:rPr>
        <mc:AlternateContent>
          <mc:Choice Requires="wps">
            <w:drawing>
              <wp:anchor distT="0" distB="0" distL="114300" distR="114300" simplePos="0" relativeHeight="251660288" behindDoc="0" locked="0" layoutInCell="1" allowOverlap="1" wp14:anchorId="0069945A" wp14:editId="038916D9">
                <wp:simplePos x="0" y="0"/>
                <wp:positionH relativeFrom="column">
                  <wp:posOffset>-7620</wp:posOffset>
                </wp:positionH>
                <wp:positionV relativeFrom="paragraph">
                  <wp:posOffset>106680</wp:posOffset>
                </wp:positionV>
                <wp:extent cx="6096000" cy="1950720"/>
                <wp:effectExtent l="0" t="0" r="19050" b="11430"/>
                <wp:wrapNone/>
                <wp:docPr id="56" name="Rectangle 56"/>
                <wp:cNvGraphicFramePr/>
                <a:graphic xmlns:a="http://schemas.openxmlformats.org/drawingml/2006/main">
                  <a:graphicData uri="http://schemas.microsoft.com/office/word/2010/wordprocessingShape">
                    <wps:wsp>
                      <wps:cNvSpPr/>
                      <wps:spPr>
                        <a:xfrm>
                          <a:off x="0" y="0"/>
                          <a:ext cx="6096000" cy="195072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35F4FE8" w14:textId="77777777" w:rsidR="00E8653E" w:rsidRDefault="00E8653E" w:rsidP="00E8653E">
                            <w:r>
                              <w:t>Through long-term supplier contracts, transparency on employment practices, culturally-resonant branding and credible commitments to packaging and emissions, environmental and regulatory risks can be mitigated (Askarany et al., 2025; Walmart Inc., 2025b). Customer-acquisition cost, repeat-purchase rate, delivery cost per order, fulfilment accuracy, local-sourcing percentage, sales per square metre, market share and operating margin should be used to assess performance. Capital and strategic flexibility should be maintained by halting expansion if predetermined thresholds are not reached.</w:t>
                            </w:r>
                          </w:p>
                          <w:p w14:paraId="49FA5FAC" w14:textId="77777777" w:rsidR="00E8653E" w:rsidRDefault="00E8653E" w:rsidP="00E865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69945A" id="Rectangle 56" o:spid="_x0000_s1026" style="position:absolute;left:0;text-align:left;margin-left:-.6pt;margin-top:8.4pt;width:480pt;height:15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" fillcolor="white [3201]" strokecolor="#4472c4 [3204]" strokeweight="1pt">
                <v:textbox>
                  <w:txbxContent>
                    <w:p w14:paraId="035F4FE8" w14:textId="77777777" w:rsidR="00E8653E" w:rsidRDefault="00E8653E" w:rsidP="00E8653E">
                      <w:r>
                        <w:t>Through long-term supplier contracts, transparency on employment practices, culturally-resonant branding and credible commitments to packaging and emissions, environmental and regulatory risks can be mitigated (Askarany et al., 2025; Walmart Inc., 2025b). Customer-acquisition cost, repeat-purchase rate, delivery cost per order, fulfilment accuracy, local-sourcing percentage, sales per square metre, market share and operating margin should be used to assess performance. Capital and strategic flexibility should be maintained by halting expansion if predetermined thresholds are not reached.</w:t>
                      </w:r>
                    </w:p>
                    <w:p w14:paraId="49FA5FAC" w14:textId="77777777" w:rsidR="00E8653E" w:rsidRDefault="00E8653E" w:rsidP="00E8653E">
                      <w:pPr>
                        <w:jc w:val="center"/>
                      </w:pPr>
                    </w:p>
                  </w:txbxContent>
                </v:textbox>
              </v:rect>
            </w:pict>
          </mc:Fallback>
        </mc:AlternateContent>
      </w:r>
    </w:p>
    <w:p w14:paraId="67F00BBD" w14:textId="00F48504" w:rsidR="00E8653E" w:rsidRDefault="00E8653E" w:rsidP="00E8653E"/>
    <w:p w14:paraId="2028C8AC" w14:textId="3B41AA8C" w:rsidR="00E8653E" w:rsidRDefault="00E8653E" w:rsidP="00E8653E"/>
    <w:p w14:paraId="43839862" w14:textId="7851567A" w:rsidR="00E8653E" w:rsidRPr="00E8653E" w:rsidRDefault="00E8653E" w:rsidP="00E8653E"/>
    <w:p w14:paraId="5F906FD4" w14:textId="23C574AC" w:rsidR="00F24B0A" w:rsidRDefault="00F24B0A" w:rsidP="00F24B0A"/>
    <w:p w14:paraId="1EB8F179" w14:textId="083AC4C4" w:rsidR="007C4362" w:rsidRDefault="007C4362" w:rsidP="003B6CEA"/>
    <w:p w14:paraId="519B3585" w14:textId="77777777" w:rsidR="00E8653E" w:rsidRDefault="00E8653E" w:rsidP="003B6CEA"/>
    <w:p w14:paraId="11EDF09E" w14:textId="5D10D928" w:rsidR="007C4362" w:rsidRDefault="007C4362" w:rsidP="003B6CEA">
      <w:pPr>
        <w:pStyle w:val="Heading1"/>
      </w:pPr>
      <w:bookmarkStart w:id="94" w:name="_Toc237450256"/>
      <w:r>
        <w:t>Section 2: Reflective Account Using Gibbs’ Reflective Cycle</w:t>
      </w:r>
      <w:bookmarkEnd w:id="94"/>
    </w:p>
    <w:p w14:paraId="6A67C246" w14:textId="7D189483" w:rsidR="003B6CEA" w:rsidRPr="003B6CEA" w:rsidRDefault="003B6CEA" w:rsidP="003B6CEA">
      <w:pPr>
        <w:pStyle w:val="Heading1"/>
      </w:pPr>
      <w:bookmarkStart w:id="95" w:name="_Toc237450257"/>
      <w:r>
        <w:t>6.0 Gibbs’ Reflective Cycle</w:t>
      </w:r>
      <w:bookmarkEnd w:id="95"/>
    </w:p>
    <w:p w14:paraId="1D8BDC94" w14:textId="1667FAE9" w:rsidR="007C4362" w:rsidRDefault="007C4362" w:rsidP="003B6CEA">
      <w:pPr>
        <w:pStyle w:val="Heading2"/>
      </w:pPr>
      <w:bookmarkStart w:id="96" w:name="_Toc237450258"/>
      <w:r>
        <w:t>6.</w:t>
      </w:r>
      <w:r w:rsidR="003B6CEA">
        <w:t>1</w:t>
      </w:r>
      <w:r>
        <w:t xml:space="preserve"> Description of the Experience</w:t>
      </w:r>
      <w:bookmarkEnd w:id="96"/>
    </w:p>
    <w:p w14:paraId="44761B54" w14:textId="77777777" w:rsidR="00510BDE" w:rsidRDefault="00510BDE" w:rsidP="00510BDE">
      <w:r>
        <w:t>I first broke down the assessment into four interrelated activities: identifying the international strategy at Walmart, analysing the environment in NZ, implementing the Dunning's OLI paradigm and suggesting the entry mode. Walmart was chosen, as it has a wide global presence, with examples of successful expansion, adaption and market withdrawal. New Zealand was chosen because Walmart did not have any major formal business establishment in the country at 1 June 2026 and the country had a highly concentrated grocery market, which offered an opportunity to enter.</w:t>
      </w:r>
    </w:p>
    <w:p w14:paraId="3E0D020E" w14:textId="02034ECB" w:rsidR="007C4362" w:rsidRDefault="00510BDE" w:rsidP="00510BDE">
      <w:r>
        <w:t>I created a research plan which focused on Walmart's corporate reports, New Zealand government publications, regulatory evidence and peer-reviewed literature. I then categorized the evidence according to political, economic, legal and cultural themes before relating this to the strategic frameworks.</w:t>
      </w:r>
    </w:p>
    <w:p w14:paraId="674339D4" w14:textId="77777777" w:rsidR="007C4362" w:rsidRDefault="007C4362" w:rsidP="003B6CEA"/>
    <w:p w14:paraId="1414B060" w14:textId="40941398" w:rsidR="007C4362" w:rsidRDefault="003B6CEA" w:rsidP="003B6CEA">
      <w:pPr>
        <w:pStyle w:val="Heading2"/>
      </w:pPr>
      <w:bookmarkStart w:id="97" w:name="_Toc237450259"/>
      <w:r>
        <w:lastRenderedPageBreak/>
        <w:t>6.2</w:t>
      </w:r>
      <w:r w:rsidR="007C4362">
        <w:t xml:space="preserve"> Feelings and Initial Assumptions</w:t>
      </w:r>
      <w:bookmarkEnd w:id="97"/>
    </w:p>
    <w:p w14:paraId="5FA5437B" w14:textId="378E0DFE" w:rsidR="006E178E" w:rsidRDefault="006E178E" w:rsidP="006E178E">
      <w:r>
        <w:t>First, I thought that New Zealand would be very appealing because it was a politically stable, economically advanced country that might be open to more competition from supermarkets. I also believed that Walmart's size and the widespread brand would give them a competitive edge right off the bat. However, I became uncertain after recognising the country’s small population, geographic isolation and high operating costs. Even confirming that Walmart was absent proved difficult as products with the company's name could also be sold on third party online platforms or through cross-border channels, which do not amount to a store or formal market entry via a subsidiary.</w:t>
      </w:r>
    </w:p>
    <w:p w14:paraId="7597C8F4" w14:textId="77777777" w:rsidR="003B6CEA" w:rsidRDefault="003B6CEA" w:rsidP="003B6CEA"/>
    <w:p w14:paraId="1CBB2DA2" w14:textId="39ADE98B" w:rsidR="007C4362" w:rsidRDefault="003B6CEA" w:rsidP="003B6CEA">
      <w:pPr>
        <w:pStyle w:val="Heading2"/>
      </w:pPr>
      <w:bookmarkStart w:id="98" w:name="_Toc237450260"/>
      <w:r>
        <w:t>6.3</w:t>
      </w:r>
      <w:r w:rsidR="007C4362">
        <w:t xml:space="preserve"> Evaluation of the Process</w:t>
      </w:r>
      <w:bookmarkEnd w:id="98"/>
    </w:p>
    <w:p w14:paraId="53D26A08" w14:textId="0A072B94" w:rsidR="007C4362" w:rsidRDefault="003B6CEA" w:rsidP="003B6CEA">
      <w:pPr>
        <w:pStyle w:val="Heading3"/>
      </w:pPr>
      <w:bookmarkStart w:id="99" w:name="_Toc237450261"/>
      <w:r>
        <w:t>6.3.1</w:t>
      </w:r>
      <w:r w:rsidR="007C4362">
        <w:t xml:space="preserve"> Effective Research Practices</w:t>
      </w:r>
      <w:bookmarkEnd w:id="99"/>
    </w:p>
    <w:p w14:paraId="4A3A8800" w14:textId="55904E67" w:rsidR="007C4362" w:rsidRDefault="006E178E" w:rsidP="006E178E">
      <w:r>
        <w:t>The most successful practice adopted was source triangulation. The evidence of Walmart's revenue, employees, geographic location, and its size of operations was provided in the annual report of Walmart (Walmart Inc., 2025a). New Zealand government and regulatory sources were found to be valuable, by providing market-specific evidence regarding competition, foreign investment and monetary conditions. For instance, the Commerce Commission New Zealand (2022) showed that grocery competition was not sufficiently effective for consumers, and the Reserve Bank of New Zealand (2026) explained inflation and interest-rate risks. Academic studies subsequently helped clarify the nature of Walmart's moves into various nations, their technological and online capabilities, and their trade-offs in supply chains (Ji, 2025; Alem Fonseca et al., 2026).</w:t>
      </w:r>
    </w:p>
    <w:p w14:paraId="1C1CAF5E" w14:textId="77777777" w:rsidR="006E178E" w:rsidRDefault="006E178E" w:rsidP="006E178E"/>
    <w:p w14:paraId="428052B3" w14:textId="6D4E1C89" w:rsidR="007C4362" w:rsidRDefault="003B6CEA" w:rsidP="003B6CEA">
      <w:pPr>
        <w:pStyle w:val="Heading3"/>
      </w:pPr>
      <w:bookmarkStart w:id="100" w:name="_Toc237450262"/>
      <w:r>
        <w:t>6.3.2</w:t>
      </w:r>
      <w:r w:rsidR="007C4362">
        <w:t xml:space="preserve"> Weaknesses and Difficulties</w:t>
      </w:r>
      <w:bookmarkEnd w:id="100"/>
    </w:p>
    <w:p w14:paraId="065D34B3" w14:textId="77777777" w:rsidR="00672E9A" w:rsidRDefault="00672E9A" w:rsidP="00672E9A">
      <w:r>
        <w:t xml:space="preserve">Some market reports were paywalled, while other sources contained outdated or conflicting market-share estimates. Corporate sources provided up-to-date information on the operations, but they were able to make Walmart look good. Media evidence offered practical examples, but was not as detailed or in-depth as peer-reviewed studies. I tried </w:t>
      </w:r>
      <w:r>
        <w:lastRenderedPageBreak/>
        <w:t>to overcome the shortcomings by relying on official and academic evidence, verifying publication dates and steering clear of unhelpful precision. I further disclaimed formal operational presence from product availability indirectly.</w:t>
      </w:r>
    </w:p>
    <w:p w14:paraId="2A73A938" w14:textId="77777777" w:rsidR="003B6CEA" w:rsidRDefault="003B6CEA" w:rsidP="003B6CEA"/>
    <w:p w14:paraId="7B700B14" w14:textId="6EC47FCB" w:rsidR="007C4362" w:rsidRDefault="003B6CEA" w:rsidP="003B6CEA">
      <w:pPr>
        <w:pStyle w:val="Heading2"/>
      </w:pPr>
      <w:bookmarkStart w:id="101" w:name="_Toc237450263"/>
      <w:r>
        <w:t xml:space="preserve">6.4 </w:t>
      </w:r>
      <w:r w:rsidR="007C4362">
        <w:t>Analysis of Learning</w:t>
      </w:r>
      <w:bookmarkEnd w:id="101"/>
    </w:p>
    <w:p w14:paraId="1465FA6D" w14:textId="1368DB15" w:rsidR="007C4362" w:rsidRDefault="003B6CEA" w:rsidP="003B6CEA">
      <w:pPr>
        <w:pStyle w:val="Heading3"/>
      </w:pPr>
      <w:bookmarkStart w:id="102" w:name="_Toc237450264"/>
      <w:r>
        <w:t>6.4.1</w:t>
      </w:r>
      <w:r w:rsidR="007C4362">
        <w:t xml:space="preserve"> Application of Course Theories</w:t>
      </w:r>
      <w:bookmarkEnd w:id="102"/>
    </w:p>
    <w:p w14:paraId="6261BCB3" w14:textId="467EB7C7" w:rsidR="00672E9A" w:rsidRDefault="00672E9A" w:rsidP="00672E9A">
      <w:r>
        <w:t>Bartlett and Ghoshal's model altered my perception of Walmart and transformed it from a standardised global retailer to a transnational organisation that was predominantly integrated with selective local responsiveness. Centralised procurement, technology and logistics of Walmart provides the efficiency; however, its international operations need to be adapted. A study on strategy implementation in transnational MNCs revealed that tensions might emerge between the requirements of global consistency and local needs (</w:t>
      </w:r>
      <w:proofErr w:type="spellStart"/>
      <w:r>
        <w:t>Šilenskytė</w:t>
      </w:r>
      <w:proofErr w:type="spellEnd"/>
      <w:r>
        <w:t xml:space="preserve"> et al., 2022).</w:t>
      </w:r>
    </w:p>
    <w:p w14:paraId="43C3ADE2" w14:textId="5927B366" w:rsidR="00C405E4" w:rsidRDefault="00C405E4" w:rsidP="00C405E4">
      <w:r>
        <w:t>The OLI paradigm by Dunning helped me to differentiate Walmart's ownership advantages from the more moderate location advantages that New Zealand offers. Walmart had a capital resources, data, procurement systems and omnichannel capabilities, but these strengths were</w:t>
      </w:r>
      <w:r w:rsidR="00002AED">
        <w:t xml:space="preserve"> not</w:t>
      </w:r>
      <w:r>
        <w:t xml:space="preserve"> necessarily the answer to whether or not full ownership was the right move. The </w:t>
      </w:r>
      <w:r w:rsidR="00002AED" w:rsidRPr="00002AED">
        <w:t xml:space="preserve">Internalisation </w:t>
      </w:r>
      <w:r>
        <w:t>provided control, but increased the capital exposure and knowledge risk in the local market.</w:t>
      </w:r>
    </w:p>
    <w:p w14:paraId="709744B9" w14:textId="77777777" w:rsidR="003B6CEA" w:rsidRDefault="003B6CEA" w:rsidP="003B6CEA"/>
    <w:p w14:paraId="040E72E4" w14:textId="5DF62E7F" w:rsidR="007C4362" w:rsidRDefault="003B6CEA" w:rsidP="003B6CEA">
      <w:pPr>
        <w:pStyle w:val="Heading3"/>
      </w:pPr>
      <w:bookmarkStart w:id="103" w:name="_Toc237450265"/>
      <w:r>
        <w:t xml:space="preserve">6.4.2 </w:t>
      </w:r>
      <w:r w:rsidR="007C4362">
        <w:t>Development of Critical Analysis</w:t>
      </w:r>
      <w:bookmarkEnd w:id="103"/>
    </w:p>
    <w:p w14:paraId="13D2C3B3" w14:textId="5255F4EE" w:rsidR="003B6CEA" w:rsidRDefault="00C405E4" w:rsidP="00C405E4">
      <w:r>
        <w:t xml:space="preserve">The main improvement in my reasoning was moving from identifying environmental conditions to evaluating their strategic consequences. For instance, in a politically stable country, investment uncertainty would be minimized but foreign investment screening may hinder an acquisition. Demand was boosted because purchasing power was high, while population was limited, which resulted in reduced economies of scale. In the same way grocery-market concentration presented an opportunity for a price challenger, but </w:t>
      </w:r>
      <w:r>
        <w:lastRenderedPageBreak/>
        <w:t>also indicated strong incumbents and barriers to entry. This allowed the environmental analysis to be avoided and prevented it becoming a descriptive list.</w:t>
      </w:r>
    </w:p>
    <w:p w14:paraId="3422B1CE" w14:textId="77777777" w:rsidR="00C405E4" w:rsidRDefault="00C405E4" w:rsidP="00C405E4"/>
    <w:p w14:paraId="55476485" w14:textId="42ADE781" w:rsidR="007C4362" w:rsidRDefault="003B6CEA" w:rsidP="003B6CEA">
      <w:pPr>
        <w:pStyle w:val="Heading3"/>
      </w:pPr>
      <w:bookmarkStart w:id="104" w:name="_Toc237450266"/>
      <w:r>
        <w:t xml:space="preserve">6.4.3 </w:t>
      </w:r>
      <w:r w:rsidR="007C4362">
        <w:t>Integration of Theory and Evidence</w:t>
      </w:r>
      <w:bookmarkEnd w:id="104"/>
    </w:p>
    <w:p w14:paraId="13EAEC46" w14:textId="77777777" w:rsidR="00BF1104" w:rsidRDefault="00BF1104" w:rsidP="00BF1104">
      <w:r>
        <w:t>I compared each theoretical proposition with market evidence before making a recommendation. Walmart's failure was an illustration of how scale and control could not overcome cultural and competitive misalignment (Faithfull, 2020; Ji, 2025). In parallel, the evidence in the field of digital internationalisation was in favour of a low commitment approach for testing demand (Batsakis et al., 2023). This integration made me suggest phased digital entry rather than on the basis of the historically dominant mode of Walmart when considering New Zealand.</w:t>
      </w:r>
    </w:p>
    <w:p w14:paraId="74BA5829" w14:textId="77777777" w:rsidR="003B6CEA" w:rsidRDefault="003B6CEA" w:rsidP="003B6CEA"/>
    <w:p w14:paraId="199B5B8F" w14:textId="55D11816" w:rsidR="007C4362" w:rsidRDefault="003B6CEA" w:rsidP="003B6CEA">
      <w:pPr>
        <w:pStyle w:val="Heading2"/>
      </w:pPr>
      <w:bookmarkStart w:id="105" w:name="_Toc237450267"/>
      <w:r>
        <w:t xml:space="preserve">6.5 </w:t>
      </w:r>
      <w:r w:rsidR="007C4362">
        <w:t>Conclusion of the Reflection</w:t>
      </w:r>
      <w:bookmarkEnd w:id="105"/>
    </w:p>
    <w:p w14:paraId="14E8ED58" w14:textId="070E614B" w:rsidR="003B6CEA" w:rsidRDefault="00BF1104" w:rsidP="00BF1104">
      <w:r>
        <w:t>I was taught that choosing an international market is not based on just favourable economic indicators. Strong institutions and unmet consumer needs are not enough to make a market commercially attractive if there are logistics, regulatory and scale barriers. I have also learned that theoretical frameworks are used to ease complex decisions and must be applied critically and not mechanically. Most crucially, the evidence indicated that entry mode recommendations have to account for the interplay of firm capabilities and host country conditions. Walmart's global strengths provided opportunity, but the ability to localise, establish regulatory legitimacy, and commit limited resources were the differentiators.</w:t>
      </w:r>
    </w:p>
    <w:p w14:paraId="4DB72F38" w14:textId="77777777" w:rsidR="00BF1104" w:rsidRDefault="00BF1104" w:rsidP="00BF1104"/>
    <w:p w14:paraId="2DD472D1" w14:textId="368CEF5C" w:rsidR="007C4362" w:rsidRDefault="003B6CEA" w:rsidP="003B6CEA">
      <w:pPr>
        <w:pStyle w:val="Heading2"/>
      </w:pPr>
      <w:bookmarkStart w:id="106" w:name="_Toc237450268"/>
      <w:r>
        <w:t xml:space="preserve">6.6 </w:t>
      </w:r>
      <w:r w:rsidR="007C4362">
        <w:t>Action Plan</w:t>
      </w:r>
      <w:bookmarkEnd w:id="106"/>
    </w:p>
    <w:tbl>
      <w:tblPr>
        <w:tblStyle w:val="TableGrid"/>
        <w:tblW w:w="0" w:type="auto"/>
        <w:tblLook w:val="04A0" w:firstRow="1" w:lastRow="0" w:firstColumn="1" w:lastColumn="0" w:noHBand="0" w:noVBand="1"/>
      </w:tblPr>
      <w:tblGrid>
        <w:gridCol w:w="1916"/>
        <w:gridCol w:w="3736"/>
        <w:gridCol w:w="3698"/>
      </w:tblGrid>
      <w:tr w:rsidR="007C4362" w14:paraId="7EB29CA1" w14:textId="77777777" w:rsidTr="00180984">
        <w:tc>
          <w:tcPr>
            <w:tcW w:w="0" w:type="auto"/>
            <w:shd w:val="clear" w:color="auto" w:fill="B4C6E7" w:themeFill="accent1" w:themeFillTint="66"/>
            <w:vAlign w:val="center"/>
            <w:hideMark/>
          </w:tcPr>
          <w:p w14:paraId="4A458594" w14:textId="77777777" w:rsidR="007C4362" w:rsidRPr="00970B10" w:rsidRDefault="007C4362" w:rsidP="00970B10">
            <w:pPr>
              <w:jc w:val="center"/>
              <w:rPr>
                <w:b/>
              </w:rPr>
            </w:pPr>
            <w:r w:rsidRPr="00970B10">
              <w:rPr>
                <w:b/>
              </w:rPr>
              <w:t>Development area</w:t>
            </w:r>
          </w:p>
        </w:tc>
        <w:tc>
          <w:tcPr>
            <w:tcW w:w="0" w:type="auto"/>
            <w:shd w:val="clear" w:color="auto" w:fill="B4C6E7" w:themeFill="accent1" w:themeFillTint="66"/>
            <w:vAlign w:val="center"/>
            <w:hideMark/>
          </w:tcPr>
          <w:p w14:paraId="68226DCF" w14:textId="77777777" w:rsidR="007C4362" w:rsidRPr="00970B10" w:rsidRDefault="007C4362" w:rsidP="00970B10">
            <w:pPr>
              <w:jc w:val="center"/>
              <w:rPr>
                <w:b/>
              </w:rPr>
            </w:pPr>
            <w:r w:rsidRPr="00970B10">
              <w:rPr>
                <w:b/>
              </w:rPr>
              <w:t>Planned action</w:t>
            </w:r>
          </w:p>
        </w:tc>
        <w:tc>
          <w:tcPr>
            <w:tcW w:w="0" w:type="auto"/>
            <w:shd w:val="clear" w:color="auto" w:fill="B4C6E7" w:themeFill="accent1" w:themeFillTint="66"/>
            <w:vAlign w:val="center"/>
            <w:hideMark/>
          </w:tcPr>
          <w:p w14:paraId="0BDB7F62" w14:textId="77777777" w:rsidR="007C4362" w:rsidRPr="00970B10" w:rsidRDefault="007C4362" w:rsidP="00970B10">
            <w:pPr>
              <w:jc w:val="center"/>
              <w:rPr>
                <w:b/>
              </w:rPr>
            </w:pPr>
            <w:r w:rsidRPr="00970B10">
              <w:rPr>
                <w:b/>
              </w:rPr>
              <w:t>Intended improvement</w:t>
            </w:r>
          </w:p>
        </w:tc>
      </w:tr>
      <w:tr w:rsidR="007C4362" w14:paraId="49E974FC" w14:textId="77777777" w:rsidTr="00455065">
        <w:tc>
          <w:tcPr>
            <w:tcW w:w="0" w:type="auto"/>
            <w:hideMark/>
          </w:tcPr>
          <w:p w14:paraId="252FB803" w14:textId="77777777" w:rsidR="007C4362" w:rsidRDefault="007C4362" w:rsidP="003B6CEA">
            <w:r>
              <w:lastRenderedPageBreak/>
              <w:t>Source selection</w:t>
            </w:r>
          </w:p>
        </w:tc>
        <w:tc>
          <w:tcPr>
            <w:tcW w:w="0" w:type="auto"/>
            <w:hideMark/>
          </w:tcPr>
          <w:p w14:paraId="32B317BE" w14:textId="77777777" w:rsidR="007C4362" w:rsidRDefault="007C4362" w:rsidP="003B6CEA">
            <w:r>
              <w:t>Establish criteria covering authority, currency, relevance and potential bias before collecting evidence.</w:t>
            </w:r>
          </w:p>
        </w:tc>
        <w:tc>
          <w:tcPr>
            <w:tcW w:w="0" w:type="auto"/>
            <w:hideMark/>
          </w:tcPr>
          <w:p w14:paraId="1BA2A6E6" w14:textId="77777777" w:rsidR="007C4362" w:rsidRDefault="007C4362" w:rsidP="003B6CEA">
            <w:r>
              <w:t>Improve source reliability and reduce time spent on unsuitable material.</w:t>
            </w:r>
          </w:p>
        </w:tc>
      </w:tr>
      <w:tr w:rsidR="007C4362" w14:paraId="66B4E873" w14:textId="77777777" w:rsidTr="00455065">
        <w:tc>
          <w:tcPr>
            <w:tcW w:w="0" w:type="auto"/>
            <w:hideMark/>
          </w:tcPr>
          <w:p w14:paraId="1C39C090" w14:textId="77777777" w:rsidR="007C4362" w:rsidRDefault="007C4362" w:rsidP="003B6CEA">
            <w:r>
              <w:t>Evidence management</w:t>
            </w:r>
          </w:p>
        </w:tc>
        <w:tc>
          <w:tcPr>
            <w:tcW w:w="0" w:type="auto"/>
            <w:hideMark/>
          </w:tcPr>
          <w:p w14:paraId="6E9D260F" w14:textId="77777777" w:rsidR="007C4362" w:rsidRDefault="007C4362" w:rsidP="003B6CEA">
            <w:r>
              <w:t>Create a matrix linking each claim, source, framework and strategic implication.</w:t>
            </w:r>
          </w:p>
        </w:tc>
        <w:tc>
          <w:tcPr>
            <w:tcW w:w="0" w:type="auto"/>
            <w:hideMark/>
          </w:tcPr>
          <w:p w14:paraId="1DC9EDCF" w14:textId="77777777" w:rsidR="007C4362" w:rsidRDefault="007C4362" w:rsidP="003B6CEA">
            <w:r>
              <w:t>Strengthen synthesis and prevent descriptive writing.</w:t>
            </w:r>
          </w:p>
        </w:tc>
      </w:tr>
      <w:tr w:rsidR="007C4362" w14:paraId="5D6FD81C" w14:textId="77777777" w:rsidTr="00455065">
        <w:tc>
          <w:tcPr>
            <w:tcW w:w="0" w:type="auto"/>
            <w:hideMark/>
          </w:tcPr>
          <w:p w14:paraId="45468434" w14:textId="77777777" w:rsidR="007C4362" w:rsidRDefault="007C4362" w:rsidP="003B6CEA">
            <w:r>
              <w:t>Market verification</w:t>
            </w:r>
          </w:p>
        </w:tc>
        <w:tc>
          <w:tcPr>
            <w:tcW w:w="0" w:type="auto"/>
            <w:hideMark/>
          </w:tcPr>
          <w:p w14:paraId="3D4AA578" w14:textId="77777777" w:rsidR="007C4362" w:rsidRDefault="007C4362" w:rsidP="003B6CEA">
            <w:r>
              <w:t>Confirm the company’s operational presence and evidence cut-off date at the beginning.</w:t>
            </w:r>
          </w:p>
        </w:tc>
        <w:tc>
          <w:tcPr>
            <w:tcW w:w="0" w:type="auto"/>
            <w:hideMark/>
          </w:tcPr>
          <w:p w14:paraId="73BAB99E" w14:textId="77777777" w:rsidR="007C4362" w:rsidRDefault="007C4362" w:rsidP="003B6CEA">
            <w:r>
              <w:t>Avoid uncertainty between indirect sales and formal entry.</w:t>
            </w:r>
          </w:p>
        </w:tc>
      </w:tr>
      <w:tr w:rsidR="007C4362" w14:paraId="606ECCF7" w14:textId="77777777" w:rsidTr="00455065">
        <w:tc>
          <w:tcPr>
            <w:tcW w:w="0" w:type="auto"/>
            <w:hideMark/>
          </w:tcPr>
          <w:p w14:paraId="26C291CD" w14:textId="77777777" w:rsidR="007C4362" w:rsidRDefault="007C4362" w:rsidP="003B6CEA">
            <w:r>
              <w:t>Quantitative analysis</w:t>
            </w:r>
          </w:p>
        </w:tc>
        <w:tc>
          <w:tcPr>
            <w:tcW w:w="0" w:type="auto"/>
            <w:hideMark/>
          </w:tcPr>
          <w:p w14:paraId="116020F8" w14:textId="77777777" w:rsidR="007C4362" w:rsidRDefault="007C4362" w:rsidP="003B6CEA">
            <w:r>
              <w:t>Compare market size, costs, competition and entry modes using weighted scoring and sensitivity analysis.</w:t>
            </w:r>
          </w:p>
        </w:tc>
        <w:tc>
          <w:tcPr>
            <w:tcW w:w="0" w:type="auto"/>
            <w:hideMark/>
          </w:tcPr>
          <w:p w14:paraId="2FDD861D" w14:textId="77777777" w:rsidR="007C4362" w:rsidRDefault="007C4362" w:rsidP="003B6CEA">
            <w:r>
              <w:t>Produce more transparent recommendations.</w:t>
            </w:r>
          </w:p>
        </w:tc>
      </w:tr>
      <w:tr w:rsidR="007C4362" w14:paraId="7E663880" w14:textId="77777777" w:rsidTr="00455065">
        <w:tc>
          <w:tcPr>
            <w:tcW w:w="0" w:type="auto"/>
            <w:hideMark/>
          </w:tcPr>
          <w:p w14:paraId="15BA160C" w14:textId="77777777" w:rsidR="007C4362" w:rsidRDefault="007C4362" w:rsidP="003B6CEA">
            <w:r>
              <w:t>Academic writing</w:t>
            </w:r>
          </w:p>
        </w:tc>
        <w:tc>
          <w:tcPr>
            <w:tcW w:w="0" w:type="auto"/>
            <w:hideMark/>
          </w:tcPr>
          <w:p w14:paraId="1EEC7692" w14:textId="77777777" w:rsidR="007C4362" w:rsidRDefault="007C4362" w:rsidP="003B6CEA">
            <w:r>
              <w:t>Review paragraph structure, critical language and Harvard referencing systematically.</w:t>
            </w:r>
          </w:p>
        </w:tc>
        <w:tc>
          <w:tcPr>
            <w:tcW w:w="0" w:type="auto"/>
            <w:hideMark/>
          </w:tcPr>
          <w:p w14:paraId="708D78F5" w14:textId="77777777" w:rsidR="007C4362" w:rsidRDefault="007C4362" w:rsidP="003B6CEA">
            <w:r>
              <w:t>Improve clarity, consistency and evidential support.</w:t>
            </w:r>
          </w:p>
        </w:tc>
      </w:tr>
      <w:tr w:rsidR="007C4362" w14:paraId="0AC0CD0E" w14:textId="77777777" w:rsidTr="00455065">
        <w:tc>
          <w:tcPr>
            <w:tcW w:w="0" w:type="auto"/>
            <w:hideMark/>
          </w:tcPr>
          <w:p w14:paraId="32927D1D" w14:textId="77777777" w:rsidR="007C4362" w:rsidRDefault="007C4362" w:rsidP="003B6CEA">
            <w:r>
              <w:t>Reflective practice</w:t>
            </w:r>
          </w:p>
        </w:tc>
        <w:tc>
          <w:tcPr>
            <w:tcW w:w="0" w:type="auto"/>
            <w:hideMark/>
          </w:tcPr>
          <w:p w14:paraId="38D689B1" w14:textId="77777777" w:rsidR="007C4362" w:rsidRDefault="007C4362" w:rsidP="003B6CEA">
            <w:r>
              <w:t>Record assumptions, difficulties and decisions throughout the project.</w:t>
            </w:r>
          </w:p>
        </w:tc>
        <w:tc>
          <w:tcPr>
            <w:tcW w:w="0" w:type="auto"/>
            <w:hideMark/>
          </w:tcPr>
          <w:p w14:paraId="196D2212" w14:textId="77777777" w:rsidR="007C4362" w:rsidRDefault="007C4362" w:rsidP="003B6CEA">
            <w:r>
              <w:t>Produce deeper reflection based on actual learning rather than retrospective description.</w:t>
            </w:r>
          </w:p>
        </w:tc>
      </w:tr>
    </w:tbl>
    <w:p w14:paraId="324A8EF5" w14:textId="5A48DC6C" w:rsidR="007C4362" w:rsidRDefault="00B10CDF" w:rsidP="00B10CDF">
      <w:pPr>
        <w:pStyle w:val="Caption"/>
        <w:rPr>
          <w:lang w:val="en-US"/>
        </w:rPr>
      </w:pPr>
      <w:bookmarkStart w:id="107" w:name="_Toc237450272"/>
      <w:r>
        <w:t xml:space="preserve">Table </w:t>
      </w:r>
      <w:r>
        <w:fldChar w:fldCharType="begin"/>
      </w:r>
      <w:r>
        <w:instrText xml:space="preserve"> SEQ Table \* ARABIC </w:instrText>
      </w:r>
      <w:r>
        <w:fldChar w:fldCharType="separate"/>
      </w:r>
      <w:r w:rsidR="00EF3481">
        <w:rPr>
          <w:noProof/>
        </w:rPr>
        <w:t>3</w:t>
      </w:r>
      <w:r>
        <w:fldChar w:fldCharType="end"/>
      </w:r>
      <w:r>
        <w:rPr>
          <w:lang w:val="en-US"/>
        </w:rPr>
        <w:t xml:space="preserve">: </w:t>
      </w:r>
      <w:r w:rsidRPr="00227A34">
        <w:rPr>
          <w:lang w:val="en-US"/>
        </w:rPr>
        <w:t>Personal Research and Analytical Development Action Plan</w:t>
      </w:r>
      <w:bookmarkEnd w:id="107"/>
    </w:p>
    <w:p w14:paraId="390AC536" w14:textId="41B60600" w:rsidR="008A1093" w:rsidRPr="008A1093" w:rsidRDefault="008A1093" w:rsidP="008A1093">
      <w:pPr>
        <w:rPr>
          <w:lang w:val="en-US"/>
        </w:rPr>
      </w:pPr>
      <w:r>
        <w:rPr>
          <w:lang w:val="en-US"/>
        </w:rPr>
        <w:t>Source: (Author, 2026)</w:t>
      </w:r>
    </w:p>
    <w:p w14:paraId="2221CEB4" w14:textId="2FC43E6C" w:rsidR="005414BF" w:rsidRDefault="005414BF" w:rsidP="003B6CEA"/>
    <w:p w14:paraId="1B244D2F" w14:textId="01361FBE" w:rsidR="001455E6" w:rsidRDefault="001455E6" w:rsidP="005414BF"/>
    <w:p w14:paraId="146C659D" w14:textId="77777777" w:rsidR="001455E6" w:rsidRDefault="001455E6">
      <w:pPr>
        <w:spacing w:line="278" w:lineRule="auto"/>
        <w:jc w:val="left"/>
      </w:pPr>
      <w:r>
        <w:br w:type="page"/>
      </w:r>
    </w:p>
    <w:p w14:paraId="78E4EBC7" w14:textId="49E8CB1C" w:rsidR="005414BF" w:rsidRDefault="001455E6" w:rsidP="001455E6">
      <w:pPr>
        <w:pStyle w:val="Heading1"/>
      </w:pPr>
      <w:bookmarkStart w:id="108" w:name="_Toc237450269"/>
      <w:r>
        <w:lastRenderedPageBreak/>
        <w:t>References</w:t>
      </w:r>
      <w:bookmarkEnd w:id="108"/>
    </w:p>
    <w:p w14:paraId="0A1F29B0" w14:textId="77777777" w:rsidR="00246C30" w:rsidRDefault="00246C30" w:rsidP="00246C30">
      <w:pPr>
        <w:rPr>
          <w:rFonts w:ascii="Times New Roman" w:hAnsi="Times New Roman"/>
          <w:color w:val="auto"/>
          <w:lang w:val="en-US"/>
        </w:rPr>
      </w:pPr>
      <w:r>
        <w:t xml:space="preserve">Alem Fonseca, M., Tsolakis, N. and Kumar, M. (2026) ‘Managing supply chain resilience and cost trade-offs: Aligning resources, competencies and capabilities’, </w:t>
      </w:r>
      <w:r>
        <w:rPr>
          <w:rStyle w:val="Emphasis"/>
        </w:rPr>
        <w:t>Production Planning &amp; Control</w:t>
      </w:r>
      <w:r>
        <w:t xml:space="preserve">, 37(11), pp. 1117–1160. Available at: </w:t>
      </w:r>
      <w:hyperlink r:id="rId33" w:tgtFrame="_new" w:history="1">
        <w:r>
          <w:rPr>
            <w:rStyle w:val="Hyperlink"/>
          </w:rPr>
          <w:t>https://doi.org/10.1080/09537287.2026.2618640</w:t>
        </w:r>
      </w:hyperlink>
      <w:r>
        <w:t>.</w:t>
      </w:r>
    </w:p>
    <w:p w14:paraId="688EFB42" w14:textId="77777777" w:rsidR="00246C30" w:rsidRDefault="00246C30" w:rsidP="00246C30">
      <w:r>
        <w:t xml:space="preserve">Askarany, D. and Lam, J. (2025) ‘The role of Māori values in corporate culture and CSR: A comparative study in Aotearoa-New Zealand’s fishing industry’, </w:t>
      </w:r>
      <w:r>
        <w:rPr>
          <w:rStyle w:val="Emphasis"/>
        </w:rPr>
        <w:t>SSRN Electronic Journal</w:t>
      </w:r>
      <w:r>
        <w:t>. Available at: https://doi.org/10.2139/ssrn.5236275.</w:t>
      </w:r>
    </w:p>
    <w:p w14:paraId="504A12C4" w14:textId="77777777" w:rsidR="00246C30" w:rsidRDefault="00246C30" w:rsidP="00246C30">
      <w:r>
        <w:t xml:space="preserve">Batsakis, G., </w:t>
      </w:r>
      <w:proofErr w:type="spellStart"/>
      <w:r>
        <w:t>Theoharakis</w:t>
      </w:r>
      <w:proofErr w:type="spellEnd"/>
      <w:r>
        <w:t xml:space="preserve">, V., Li, C. and </w:t>
      </w:r>
      <w:proofErr w:type="spellStart"/>
      <w:r>
        <w:t>Konara</w:t>
      </w:r>
      <w:proofErr w:type="spellEnd"/>
      <w:r>
        <w:t xml:space="preserve">, P. (2023) ‘Internationalization and digitalization: Their differing role on grocer and non-grocer retailer performance’, </w:t>
      </w:r>
      <w:r>
        <w:rPr>
          <w:rStyle w:val="Emphasis"/>
        </w:rPr>
        <w:t>Journal of Retailing</w:t>
      </w:r>
      <w:r>
        <w:t xml:space="preserve">, 99(3), pp. 400–419. Available at: </w:t>
      </w:r>
      <w:hyperlink r:id="rId34" w:tgtFrame="_new" w:history="1">
        <w:r>
          <w:rPr>
            <w:rStyle w:val="Hyperlink"/>
          </w:rPr>
          <w:t>https://doi.org/10.1016/j.jretai.2023.07.005</w:t>
        </w:r>
      </w:hyperlink>
      <w:r>
        <w:t>.</w:t>
      </w:r>
    </w:p>
    <w:p w14:paraId="44BECE0F" w14:textId="77777777" w:rsidR="00246C30" w:rsidRDefault="00246C30" w:rsidP="00246C30">
      <w:r>
        <w:t xml:space="preserve">Bowden, R. and Lorimer, D. (2026) ‘Monetary policy and the exchange rate: The Kiwi that had to fly’, </w:t>
      </w:r>
      <w:r>
        <w:rPr>
          <w:rStyle w:val="Emphasis"/>
        </w:rPr>
        <w:t>Working Paper Series</w:t>
      </w:r>
      <w:r>
        <w:t xml:space="preserve">, No. 33474. Wellington: Victoria University of Wellington, School of Economics and Finance. Available at: </w:t>
      </w:r>
      <w:hyperlink r:id="rId35" w:tgtFrame="_new" w:history="1">
        <w:r>
          <w:rPr>
            <w:rStyle w:val="Hyperlink"/>
          </w:rPr>
          <w:t>https://ideas.repec.org/p/vuw/vuwecf/33474.html</w:t>
        </w:r>
      </w:hyperlink>
      <w:r>
        <w:t>.</w:t>
      </w:r>
    </w:p>
    <w:p w14:paraId="66F3DBA8" w14:textId="77777777" w:rsidR="00246C30" w:rsidRDefault="00246C30" w:rsidP="00246C30">
      <w:r>
        <w:t xml:space="preserve">Brunda, C., Devadiga, D. and Aithal, P.S. (2025) ‘Strategic analysis of Walmart Inc.: Innovation, ethical challenges, and the future of AI-driven services’, </w:t>
      </w:r>
      <w:proofErr w:type="spellStart"/>
      <w:r>
        <w:rPr>
          <w:rStyle w:val="Emphasis"/>
        </w:rPr>
        <w:t>Poornaprajna</w:t>
      </w:r>
      <w:proofErr w:type="spellEnd"/>
      <w:r>
        <w:rPr>
          <w:rStyle w:val="Emphasis"/>
        </w:rPr>
        <w:t xml:space="preserve"> International Journal of Management, Education &amp; Social Science</w:t>
      </w:r>
      <w:r>
        <w:t>, 2(2), pp. 74–108. Available at: https://doi.org/10.5281/zenodo.17101233.</w:t>
      </w:r>
    </w:p>
    <w:p w14:paraId="343E9D70" w14:textId="77777777" w:rsidR="00246C30" w:rsidRDefault="00246C30" w:rsidP="00246C30">
      <w:r>
        <w:t xml:space="preserve">Cajal-Grossi, J., Del Prete, D. and Macchiavello, R. (2023) ‘Supply chain disruptions and sourcing strategies’, </w:t>
      </w:r>
      <w:r>
        <w:rPr>
          <w:rStyle w:val="Emphasis"/>
        </w:rPr>
        <w:t>International Journal of Industrial Organization</w:t>
      </w:r>
      <w:r>
        <w:t xml:space="preserve">, 90, 103004. Available at: </w:t>
      </w:r>
      <w:hyperlink r:id="rId36" w:tgtFrame="_new" w:history="1">
        <w:r>
          <w:rPr>
            <w:rStyle w:val="Hyperlink"/>
          </w:rPr>
          <w:t>https://doi.org/10.1016/j.ijindorg.2023.103004</w:t>
        </w:r>
      </w:hyperlink>
      <w:r>
        <w:t>.</w:t>
      </w:r>
    </w:p>
    <w:p w14:paraId="612AB09F" w14:textId="77777777" w:rsidR="00246C30" w:rsidRDefault="00246C30" w:rsidP="00246C30">
      <w:r>
        <w:t xml:space="preserve">Commerce Commission New Zealand (2022) </w:t>
      </w:r>
      <w:r>
        <w:rPr>
          <w:rStyle w:val="Emphasis"/>
        </w:rPr>
        <w:t>Market study into the retail grocery sector</w:t>
      </w:r>
      <w:r>
        <w:t xml:space="preserve">. Available at: </w:t>
      </w:r>
      <w:hyperlink r:id="rId37" w:tgtFrame="_new" w:history="1">
        <w:r>
          <w:rPr>
            <w:rStyle w:val="Hyperlink"/>
          </w:rPr>
          <w:t>https://www.comcom.govt.nz/regulated-industries/projects/market-study-into-retail-grocery-sector/</w:t>
        </w:r>
      </w:hyperlink>
      <w:r>
        <w:t>.</w:t>
      </w:r>
    </w:p>
    <w:p w14:paraId="3DC6A2EC" w14:textId="77777777" w:rsidR="00246C30" w:rsidRDefault="00246C30" w:rsidP="00246C30">
      <w:r>
        <w:t xml:space="preserve">Durand, C. and Baud, C. (2024) ‘Profit-making, costs, and investments in the digitalization of retailing—The uneven trajectories of Carrefour, Amazon and Walmart (1995–2019)’, </w:t>
      </w:r>
      <w:r>
        <w:rPr>
          <w:rStyle w:val="Emphasis"/>
        </w:rPr>
        <w:t>Competition &amp; Change</w:t>
      </w:r>
      <w:r>
        <w:t>, 28(2), pp. 318–339.</w:t>
      </w:r>
    </w:p>
    <w:p w14:paraId="08650570" w14:textId="77777777" w:rsidR="00246C30" w:rsidRDefault="00246C30" w:rsidP="00246C30">
      <w:r>
        <w:lastRenderedPageBreak/>
        <w:t xml:space="preserve">Faithfull, M. (2020) ‘Whatever happened to Walmart’s British invasion?’, </w:t>
      </w:r>
      <w:r>
        <w:rPr>
          <w:rStyle w:val="Emphasis"/>
        </w:rPr>
        <w:t>Forbes</w:t>
      </w:r>
      <w:r>
        <w:t xml:space="preserve">, 2 October. Available at: </w:t>
      </w:r>
      <w:hyperlink r:id="rId38" w:tgtFrame="_new" w:history="1">
        <w:r>
          <w:rPr>
            <w:rStyle w:val="Hyperlink"/>
          </w:rPr>
          <w:t>https://www.forbes.com/sites/markfaithfull/2020/10/02/whatever-happened-to-walmarts-british-invasion/</w:t>
        </w:r>
      </w:hyperlink>
      <w:r>
        <w:t>.</w:t>
      </w:r>
    </w:p>
    <w:p w14:paraId="268E5B07" w14:textId="77777777" w:rsidR="00246C30" w:rsidRDefault="00246C30" w:rsidP="00246C30">
      <w:r>
        <w:t xml:space="preserve">Garton, K., da Cruz, G.L. and Swinburn, B. (2026) ‘Ultra-processed foods and their inputs increasingly dominate New Zealand’s food and beverage imports: A retrospective analysis’, </w:t>
      </w:r>
      <w:r>
        <w:rPr>
          <w:rStyle w:val="Emphasis"/>
        </w:rPr>
        <w:t>Globalization and Health</w:t>
      </w:r>
      <w:r>
        <w:t xml:space="preserve">, 22, Article 39. Available at: </w:t>
      </w:r>
      <w:hyperlink r:id="rId39" w:tgtFrame="_new" w:history="1">
        <w:r>
          <w:rPr>
            <w:rStyle w:val="Hyperlink"/>
          </w:rPr>
          <w:t>https://doi.org/10.1186/s12992-026-01203-1</w:t>
        </w:r>
      </w:hyperlink>
      <w:r>
        <w:t>.</w:t>
      </w:r>
    </w:p>
    <w:p w14:paraId="3E46DE01" w14:textId="77777777" w:rsidR="00246C30" w:rsidRDefault="00246C30" w:rsidP="00246C30">
      <w:r>
        <w:t xml:space="preserve">Hasan, S., </w:t>
      </w:r>
      <w:proofErr w:type="spellStart"/>
      <w:r>
        <w:t>Wooliscroft</w:t>
      </w:r>
      <w:proofErr w:type="spellEnd"/>
      <w:r>
        <w:t xml:space="preserve">, B. and </w:t>
      </w:r>
      <w:proofErr w:type="spellStart"/>
      <w:r>
        <w:t>Ganglmair-Wooliscroft</w:t>
      </w:r>
      <w:proofErr w:type="spellEnd"/>
      <w:r>
        <w:t xml:space="preserve">, A. (2025) ‘New Zealand ethical consumption driven by universalism and personal achievement; can it also be fun?’, </w:t>
      </w:r>
      <w:proofErr w:type="spellStart"/>
      <w:r>
        <w:rPr>
          <w:rStyle w:val="Emphasis"/>
        </w:rPr>
        <w:t>Kōtuitui</w:t>
      </w:r>
      <w:proofErr w:type="spellEnd"/>
      <w:r>
        <w:rPr>
          <w:rStyle w:val="Emphasis"/>
        </w:rPr>
        <w:t>: New Zealand Journal of Social Sciences Online</w:t>
      </w:r>
      <w:r>
        <w:t xml:space="preserve">, 20(4), pp. 1338–1347. Available at: </w:t>
      </w:r>
      <w:hyperlink r:id="rId40" w:tgtFrame="_new" w:history="1">
        <w:r>
          <w:rPr>
            <w:rStyle w:val="Hyperlink"/>
          </w:rPr>
          <w:t>https://doi.org/10.1080/1177083X.2024.2418485</w:t>
        </w:r>
      </w:hyperlink>
      <w:r>
        <w:t>.</w:t>
      </w:r>
    </w:p>
    <w:p w14:paraId="3FBFAAA0" w14:textId="77777777" w:rsidR="00246C30" w:rsidRDefault="00246C30" w:rsidP="00246C30">
      <w:r>
        <w:t xml:space="preserve">Ji, Y. (2025) ‘Walmart’s international market entry strategies: Benefits and challenges’, </w:t>
      </w:r>
      <w:r>
        <w:rPr>
          <w:rStyle w:val="Emphasis"/>
        </w:rPr>
        <w:t>Advances in Economics, Management and Political Sciences</w:t>
      </w:r>
      <w:r>
        <w:t>, 165, pp. 108–113. Available at: https://doi.org/10.54254/2754-1169/2025.21596.</w:t>
      </w:r>
    </w:p>
    <w:p w14:paraId="7E369693" w14:textId="77777777" w:rsidR="00246C30" w:rsidRDefault="00246C30" w:rsidP="00246C30">
      <w:r>
        <w:t xml:space="preserve">Links International (2026) </w:t>
      </w:r>
      <w:r>
        <w:rPr>
          <w:rStyle w:val="Emphasis"/>
        </w:rPr>
        <w:t>Minimum wage in New Zealand</w:t>
      </w:r>
      <w:r>
        <w:t xml:space="preserve">. Available at: </w:t>
      </w:r>
      <w:hyperlink r:id="rId41" w:tgtFrame="_new" w:history="1">
        <w:r>
          <w:rPr>
            <w:rStyle w:val="Hyperlink"/>
          </w:rPr>
          <w:t>https://linksinternational.com/minimum-wage-in-new-zealand/</w:t>
        </w:r>
      </w:hyperlink>
      <w:r>
        <w:t>.</w:t>
      </w:r>
    </w:p>
    <w:p w14:paraId="0F3B8DED" w14:textId="77777777" w:rsidR="00246C30" w:rsidRDefault="00246C30" w:rsidP="00246C30">
      <w:r>
        <w:t xml:space="preserve">Ministry of Business, Innovation and Employment (2026) </w:t>
      </w:r>
      <w:r>
        <w:rPr>
          <w:rStyle w:val="Emphasis"/>
        </w:rPr>
        <w:t>Supermarket competition</w:t>
      </w:r>
      <w:r>
        <w:t xml:space="preserve">. New Zealand Government. Available at: </w:t>
      </w:r>
      <w:hyperlink r:id="rId42" w:tgtFrame="_new" w:history="1">
        <w:r>
          <w:rPr>
            <w:rStyle w:val="Hyperlink"/>
          </w:rPr>
          <w:t>https://www.mbie.govt.nz/business-and-employment/business/competition-regulation-and-policy/supermarket-competition</w:t>
        </w:r>
      </w:hyperlink>
      <w:r>
        <w:t>.</w:t>
      </w:r>
    </w:p>
    <w:p w14:paraId="7AC06EC6" w14:textId="77777777" w:rsidR="00246C30" w:rsidRDefault="00246C30" w:rsidP="00246C30">
      <w:r>
        <w:t xml:space="preserve">Mueller, M. and Swoboda, B. (2025) ‘Determinants of wholly owned foreign direct investments in e-commerce firms: A hierarchical country- and firm-level analysis’, </w:t>
      </w:r>
      <w:r>
        <w:rPr>
          <w:rStyle w:val="Emphasis"/>
        </w:rPr>
        <w:t>Management International Review</w:t>
      </w:r>
      <w:r>
        <w:t xml:space="preserve">, 65, pp. 699–736. Available at: </w:t>
      </w:r>
      <w:hyperlink r:id="rId43" w:tgtFrame="_new" w:history="1">
        <w:r>
          <w:rPr>
            <w:rStyle w:val="Hyperlink"/>
          </w:rPr>
          <w:t>https://doi.org/10.1007/s11575-025-00575-7</w:t>
        </w:r>
      </w:hyperlink>
      <w:r>
        <w:t>.</w:t>
      </w:r>
    </w:p>
    <w:p w14:paraId="43668C2E" w14:textId="77777777" w:rsidR="00246C30" w:rsidRDefault="00246C30" w:rsidP="00246C30">
      <w:r>
        <w:t xml:space="preserve">OECD (2026a) </w:t>
      </w:r>
      <w:r>
        <w:rPr>
          <w:rStyle w:val="Emphasis"/>
        </w:rPr>
        <w:t>Foundations for growth and competitiveness 2026: New Zealand</w:t>
      </w:r>
      <w:r>
        <w:t xml:space="preserve">. Paris: OECD Publishing. Available at: </w:t>
      </w:r>
      <w:hyperlink r:id="rId44" w:tgtFrame="_new" w:history="1">
        <w:r>
          <w:rPr>
            <w:rStyle w:val="Hyperlink"/>
          </w:rPr>
          <w:t>https://www.oecd.org/en/publications/2026/04/foundations-for-growth-and-competitiveness-2026_f68a156b/full-report/new-zealand_c6b7a0e7.html</w:t>
        </w:r>
      </w:hyperlink>
      <w:r>
        <w:t>.</w:t>
      </w:r>
    </w:p>
    <w:p w14:paraId="501C8A11" w14:textId="77777777" w:rsidR="00246C30" w:rsidRDefault="00246C30" w:rsidP="00246C30">
      <w:r>
        <w:lastRenderedPageBreak/>
        <w:t xml:space="preserve">OECD (2026b) </w:t>
      </w:r>
      <w:r>
        <w:rPr>
          <w:rStyle w:val="Emphasis"/>
        </w:rPr>
        <w:t>OECD Employment Outlook 2026</w:t>
      </w:r>
      <w:r>
        <w:t xml:space="preserve">. Paris: OECD Publishing. Available at: </w:t>
      </w:r>
      <w:hyperlink r:id="rId45" w:tgtFrame="_new" w:history="1">
        <w:r>
          <w:rPr>
            <w:rStyle w:val="Hyperlink"/>
          </w:rPr>
          <w:t>https://www.oecd.org/en/publications/oecd-employment-outlook-2026_7e710f54-en/full-report/component-5.html</w:t>
        </w:r>
      </w:hyperlink>
      <w:r>
        <w:t>.</w:t>
      </w:r>
    </w:p>
    <w:p w14:paraId="71E98158" w14:textId="77777777" w:rsidR="00246C30" w:rsidRDefault="00246C30" w:rsidP="00246C30">
      <w:r>
        <w:t xml:space="preserve">Opland, R. (2026) ‘Consumer protection law in New Zealand: A means of redress for privacy harms?’, </w:t>
      </w:r>
      <w:r>
        <w:rPr>
          <w:rStyle w:val="Emphasis"/>
        </w:rPr>
        <w:t>SSRN Electronic Journal</w:t>
      </w:r>
      <w:r>
        <w:t xml:space="preserve">. Available at: </w:t>
      </w:r>
      <w:hyperlink r:id="rId46" w:tgtFrame="_new" w:history="1">
        <w:r>
          <w:rPr>
            <w:rStyle w:val="Hyperlink"/>
          </w:rPr>
          <w:t>https://doi.org/10.2139/ssrn.6523818</w:t>
        </w:r>
      </w:hyperlink>
      <w:r>
        <w:t>.</w:t>
      </w:r>
    </w:p>
    <w:p w14:paraId="2613FEA3" w14:textId="77777777" w:rsidR="00246C30" w:rsidRDefault="00246C30" w:rsidP="00246C30">
      <w:r>
        <w:t xml:space="preserve">Reserve Bank of New Zealand (2026) </w:t>
      </w:r>
      <w:r>
        <w:rPr>
          <w:rStyle w:val="Emphasis"/>
        </w:rPr>
        <w:t>Monetary Policy Statement: May 2026</w:t>
      </w:r>
      <w:r>
        <w:t xml:space="preserve">. Wellington: Reserve Bank of New Zealand. Available at: </w:t>
      </w:r>
      <w:hyperlink r:id="rId47" w:tgtFrame="_new" w:history="1">
        <w:r>
          <w:rPr>
            <w:rStyle w:val="Hyperlink"/>
          </w:rPr>
          <w:t>https://www.rbnz.govt.nz/monetary-policy/monetary-policy-statement/monetary-policy-statement-filtered-listing-page/2026/may-270/monetary-policy-statement-may-2026/web-version</w:t>
        </w:r>
      </w:hyperlink>
      <w:r>
        <w:t>.</w:t>
      </w:r>
    </w:p>
    <w:p w14:paraId="681C7BD1" w14:textId="77777777" w:rsidR="00246C30" w:rsidRDefault="00246C30" w:rsidP="00246C30">
      <w:proofErr w:type="spellStart"/>
      <w:r>
        <w:t>Šilenskytė</w:t>
      </w:r>
      <w:proofErr w:type="spellEnd"/>
      <w:r>
        <w:t xml:space="preserve">, A., </w:t>
      </w:r>
      <w:proofErr w:type="spellStart"/>
      <w:r>
        <w:t>Kohtamäki</w:t>
      </w:r>
      <w:proofErr w:type="spellEnd"/>
      <w:r>
        <w:t xml:space="preserve">, M. and Dhanaraj, C. (2022) ‘Strategy implementation in the transnational MNC: A critical realist investigation of European and Indian unit collaboration’, </w:t>
      </w:r>
      <w:r>
        <w:rPr>
          <w:rStyle w:val="Emphasis"/>
        </w:rPr>
        <w:t>Journal of Business Research</w:t>
      </w:r>
      <w:r>
        <w:t xml:space="preserve">, 152, pp. 276–289. Available at: </w:t>
      </w:r>
      <w:hyperlink r:id="rId48" w:tgtFrame="_new" w:history="1">
        <w:r>
          <w:rPr>
            <w:rStyle w:val="Hyperlink"/>
          </w:rPr>
          <w:t>https://doi.org/10.1016/j.jbusres.2022.07.041</w:t>
        </w:r>
      </w:hyperlink>
      <w:r>
        <w:t>.</w:t>
      </w:r>
    </w:p>
    <w:p w14:paraId="27C70181" w14:textId="77777777" w:rsidR="00246C30" w:rsidRDefault="00246C30" w:rsidP="00246C30">
      <w:r>
        <w:t xml:space="preserve">Tang, W. and </w:t>
      </w:r>
      <w:proofErr w:type="spellStart"/>
      <w:r>
        <w:t>Kularatne</w:t>
      </w:r>
      <w:proofErr w:type="spellEnd"/>
      <w:r>
        <w:t xml:space="preserve">, I. (2021) ‘Change of customer behaviour during the COVID-19 pandemic: New Zealand supermarket retail industry’, </w:t>
      </w:r>
      <w:proofErr w:type="spellStart"/>
      <w:r>
        <w:rPr>
          <w:rStyle w:val="Emphasis"/>
        </w:rPr>
        <w:t>Rere</w:t>
      </w:r>
      <w:proofErr w:type="spellEnd"/>
      <w:r>
        <w:rPr>
          <w:rStyle w:val="Emphasis"/>
        </w:rPr>
        <w:t xml:space="preserve"> </w:t>
      </w:r>
      <w:proofErr w:type="spellStart"/>
      <w:r>
        <w:rPr>
          <w:rStyle w:val="Emphasis"/>
        </w:rPr>
        <w:t>Āwhio</w:t>
      </w:r>
      <w:proofErr w:type="spellEnd"/>
      <w:r>
        <w:rPr>
          <w:rStyle w:val="Emphasis"/>
        </w:rPr>
        <w:t xml:space="preserve"> – The Journal of Applied Research and Practice</w:t>
      </w:r>
      <w:r>
        <w:t>, pp. 146–157. Available at: https://doi.org/10.34074/rere.00114.</w:t>
      </w:r>
    </w:p>
    <w:p w14:paraId="18918004" w14:textId="77777777" w:rsidR="00246C30" w:rsidRDefault="00246C30" w:rsidP="00246C30">
      <w:r>
        <w:t xml:space="preserve">The Treasury (2024) </w:t>
      </w:r>
      <w:r>
        <w:rPr>
          <w:rStyle w:val="Emphasis"/>
        </w:rPr>
        <w:t>Foreign investment policy and national interest guidance</w:t>
      </w:r>
      <w:r>
        <w:t xml:space="preserve">. New Zealand Government. Available at: </w:t>
      </w:r>
      <w:hyperlink r:id="rId49" w:tgtFrame="_new" w:history="1">
        <w:r>
          <w:rPr>
            <w:rStyle w:val="Hyperlink"/>
          </w:rPr>
          <w:t>https://www.treasury.govt.nz/publications/guide/foreign-investment-policy-and-national-interest-guidance</w:t>
        </w:r>
      </w:hyperlink>
      <w:r>
        <w:t>.</w:t>
      </w:r>
    </w:p>
    <w:p w14:paraId="20E8DE3D" w14:textId="77777777" w:rsidR="00246C30" w:rsidRDefault="00246C30" w:rsidP="00246C30">
      <w:r>
        <w:t xml:space="preserve">Walmart Inc. (2025a) </w:t>
      </w:r>
      <w:r>
        <w:rPr>
          <w:rStyle w:val="Emphasis"/>
        </w:rPr>
        <w:t>2025 annual report</w:t>
      </w:r>
      <w:r>
        <w:t xml:space="preserve">. Bentonville, AR: Walmart Inc. Available at: </w:t>
      </w:r>
      <w:hyperlink r:id="rId50" w:tgtFrame="_new" w:history="1">
        <w:r>
          <w:rPr>
            <w:rStyle w:val="Hyperlink"/>
          </w:rPr>
          <w:t>https://stock.walmart.com/_assets/_5813cf69129ed45d080396680f549a44/walmart/db/950/9949/annual_report/Walmart+2025+Annual+Report.pdf</w:t>
        </w:r>
      </w:hyperlink>
      <w:r>
        <w:t>.</w:t>
      </w:r>
    </w:p>
    <w:p w14:paraId="20A29A43" w14:textId="77777777" w:rsidR="00246C30" w:rsidRDefault="00246C30" w:rsidP="00246C30">
      <w:r>
        <w:t xml:space="preserve">Walmart Inc. (2025b) </w:t>
      </w:r>
      <w:r>
        <w:rPr>
          <w:rStyle w:val="Emphasis"/>
        </w:rPr>
        <w:t>Environmental, social and governance reporting</w:t>
      </w:r>
      <w:r>
        <w:t xml:space="preserve">. Available at: </w:t>
      </w:r>
      <w:hyperlink r:id="rId51" w:tgtFrame="_new" w:history="1">
        <w:r>
          <w:rPr>
            <w:rStyle w:val="Hyperlink"/>
          </w:rPr>
          <w:t>https://corporate.walmart.com/purpose/esgreport</w:t>
        </w:r>
      </w:hyperlink>
      <w:r>
        <w:t>.</w:t>
      </w:r>
    </w:p>
    <w:p w14:paraId="1904B67D" w14:textId="77777777" w:rsidR="00246C30" w:rsidRDefault="00246C30" w:rsidP="00246C30">
      <w:proofErr w:type="spellStart"/>
      <w:r>
        <w:lastRenderedPageBreak/>
        <w:t>Zámborský</w:t>
      </w:r>
      <w:proofErr w:type="spellEnd"/>
      <w:r>
        <w:t xml:space="preserve">, P., Sullivan-Taylor, B., Tisch, D. and Branicki, L. (2022) ‘Antecedents of risk and uncertainty management capabilities: Insights from multinational enterprises in New Zealand’, </w:t>
      </w:r>
      <w:r>
        <w:rPr>
          <w:rStyle w:val="Emphasis"/>
        </w:rPr>
        <w:t>Journal of Management &amp; Organization</w:t>
      </w:r>
      <w:r>
        <w:t xml:space="preserve">, 28(3), pp. 632–658. Available at: </w:t>
      </w:r>
      <w:hyperlink r:id="rId52" w:tgtFrame="_new" w:history="1">
        <w:r>
          <w:rPr>
            <w:rStyle w:val="Hyperlink"/>
          </w:rPr>
          <w:t>https://doi.org/10.1017/jmo.2022.18</w:t>
        </w:r>
      </w:hyperlink>
    </w:p>
    <w:p w14:paraId="02C4C013" w14:textId="77777777" w:rsidR="00246C30" w:rsidRPr="00246C30" w:rsidRDefault="00246C30" w:rsidP="00246C30"/>
    <w:sectPr w:rsidR="00246C30" w:rsidRPr="00246C30" w:rsidSect="004F2B5F">
      <w:footerReference w:type="default" r:id="rId5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DF84" w14:textId="77777777" w:rsidR="007B1156" w:rsidRPr="00476B5C" w:rsidRDefault="007B1156" w:rsidP="004F2B5F">
      <w:pPr>
        <w:spacing w:after="0" w:line="240" w:lineRule="auto"/>
      </w:pPr>
      <w:r w:rsidRPr="00476B5C">
        <w:separator/>
      </w:r>
    </w:p>
  </w:endnote>
  <w:endnote w:type="continuationSeparator" w:id="0">
    <w:p w14:paraId="6873F8BB" w14:textId="77777777" w:rsidR="007B1156" w:rsidRPr="00476B5C" w:rsidRDefault="007B1156" w:rsidP="004F2B5F">
      <w:pPr>
        <w:spacing w:after="0" w:line="240" w:lineRule="auto"/>
      </w:pPr>
      <w:r w:rsidRPr="00476B5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301429"/>
      <w:docPartObj>
        <w:docPartGallery w:val="Page Numbers (Bottom of Page)"/>
        <w:docPartUnique/>
      </w:docPartObj>
    </w:sdtPr>
    <w:sdtEndPr/>
    <w:sdtContent>
      <w:p w14:paraId="2DAEF84A" w14:textId="10C3179C" w:rsidR="00F85206" w:rsidRPr="00476B5C" w:rsidRDefault="00F85206">
        <w:pPr>
          <w:pStyle w:val="Footer"/>
          <w:jc w:val="center"/>
        </w:pPr>
        <w:r w:rsidRPr="00476B5C">
          <w:fldChar w:fldCharType="begin"/>
        </w:r>
        <w:r w:rsidRPr="00476B5C">
          <w:instrText xml:space="preserve"> PAGE   \* MERGEFORMAT </w:instrText>
        </w:r>
        <w:r w:rsidRPr="00476B5C">
          <w:fldChar w:fldCharType="separate"/>
        </w:r>
        <w:r w:rsidRPr="00476B5C">
          <w:t>2</w:t>
        </w:r>
        <w:r w:rsidRPr="00476B5C">
          <w:fldChar w:fldCharType="end"/>
        </w:r>
      </w:p>
    </w:sdtContent>
  </w:sdt>
  <w:p w14:paraId="697C2EA3" w14:textId="77777777" w:rsidR="00F85206" w:rsidRPr="00476B5C" w:rsidRDefault="00F85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093A2" w14:textId="77777777" w:rsidR="007B1156" w:rsidRPr="00476B5C" w:rsidRDefault="007B1156" w:rsidP="004F2B5F">
      <w:pPr>
        <w:spacing w:after="0" w:line="240" w:lineRule="auto"/>
      </w:pPr>
      <w:r w:rsidRPr="00476B5C">
        <w:separator/>
      </w:r>
    </w:p>
  </w:footnote>
  <w:footnote w:type="continuationSeparator" w:id="0">
    <w:p w14:paraId="1F78E9B3" w14:textId="77777777" w:rsidR="007B1156" w:rsidRPr="00476B5C" w:rsidRDefault="007B1156" w:rsidP="004F2B5F">
      <w:pPr>
        <w:spacing w:after="0" w:line="240" w:lineRule="auto"/>
      </w:pPr>
      <w:r w:rsidRPr="00476B5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A6BCC"/>
    <w:multiLevelType w:val="multilevel"/>
    <w:tmpl w:val="718A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11AC2"/>
    <w:multiLevelType w:val="hybridMultilevel"/>
    <w:tmpl w:val="81609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6C0358"/>
    <w:multiLevelType w:val="multilevel"/>
    <w:tmpl w:val="0154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AC2424"/>
    <w:multiLevelType w:val="multilevel"/>
    <w:tmpl w:val="51CE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1423FE"/>
    <w:multiLevelType w:val="multilevel"/>
    <w:tmpl w:val="14926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6418219">
    <w:abstractNumId w:val="1"/>
  </w:num>
  <w:num w:numId="2" w16cid:durableId="1778981850">
    <w:abstractNumId w:val="2"/>
  </w:num>
  <w:num w:numId="3" w16cid:durableId="454324950">
    <w:abstractNumId w:val="3"/>
  </w:num>
  <w:num w:numId="4" w16cid:durableId="442920117">
    <w:abstractNumId w:val="0"/>
  </w:num>
  <w:num w:numId="5" w16cid:durableId="155873727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E95"/>
    <w:rsid w:val="00002AED"/>
    <w:rsid w:val="00003405"/>
    <w:rsid w:val="000061A2"/>
    <w:rsid w:val="000116D0"/>
    <w:rsid w:val="00015864"/>
    <w:rsid w:val="000172EB"/>
    <w:rsid w:val="00024A74"/>
    <w:rsid w:val="000265D0"/>
    <w:rsid w:val="00031B0E"/>
    <w:rsid w:val="000365D3"/>
    <w:rsid w:val="0004144C"/>
    <w:rsid w:val="00041B5D"/>
    <w:rsid w:val="00064896"/>
    <w:rsid w:val="0006540A"/>
    <w:rsid w:val="00082FDE"/>
    <w:rsid w:val="0008363B"/>
    <w:rsid w:val="00085BA8"/>
    <w:rsid w:val="00095835"/>
    <w:rsid w:val="000C3B79"/>
    <w:rsid w:val="000D1554"/>
    <w:rsid w:val="000D20E2"/>
    <w:rsid w:val="000D576F"/>
    <w:rsid w:val="000F0FBE"/>
    <w:rsid w:val="000F5289"/>
    <w:rsid w:val="00101B1D"/>
    <w:rsid w:val="00104CFF"/>
    <w:rsid w:val="00115FE7"/>
    <w:rsid w:val="001160C5"/>
    <w:rsid w:val="001222ED"/>
    <w:rsid w:val="001325F5"/>
    <w:rsid w:val="001334F8"/>
    <w:rsid w:val="001366DB"/>
    <w:rsid w:val="001455E6"/>
    <w:rsid w:val="00157556"/>
    <w:rsid w:val="00164C0F"/>
    <w:rsid w:val="00166200"/>
    <w:rsid w:val="00167FF5"/>
    <w:rsid w:val="0017353F"/>
    <w:rsid w:val="00176297"/>
    <w:rsid w:val="001777C0"/>
    <w:rsid w:val="00180984"/>
    <w:rsid w:val="001931CC"/>
    <w:rsid w:val="001931E1"/>
    <w:rsid w:val="001947BA"/>
    <w:rsid w:val="001A52EE"/>
    <w:rsid w:val="001A5C44"/>
    <w:rsid w:val="001A6BE6"/>
    <w:rsid w:val="001B6B95"/>
    <w:rsid w:val="001D3B78"/>
    <w:rsid w:val="001E313C"/>
    <w:rsid w:val="00200442"/>
    <w:rsid w:val="00204772"/>
    <w:rsid w:val="00206196"/>
    <w:rsid w:val="00210593"/>
    <w:rsid w:val="00212B13"/>
    <w:rsid w:val="00224BFE"/>
    <w:rsid w:val="0023109C"/>
    <w:rsid w:val="00245537"/>
    <w:rsid w:val="00246C30"/>
    <w:rsid w:val="0025205B"/>
    <w:rsid w:val="0025424E"/>
    <w:rsid w:val="0026359C"/>
    <w:rsid w:val="00276668"/>
    <w:rsid w:val="00282BB6"/>
    <w:rsid w:val="002971A3"/>
    <w:rsid w:val="002C3D1D"/>
    <w:rsid w:val="002C6FE5"/>
    <w:rsid w:val="002D568E"/>
    <w:rsid w:val="002D6AC8"/>
    <w:rsid w:val="002E13EA"/>
    <w:rsid w:val="002E69EA"/>
    <w:rsid w:val="002E69F5"/>
    <w:rsid w:val="002F3151"/>
    <w:rsid w:val="002F6E64"/>
    <w:rsid w:val="00305798"/>
    <w:rsid w:val="0031400D"/>
    <w:rsid w:val="003237F7"/>
    <w:rsid w:val="00323A23"/>
    <w:rsid w:val="00323DEB"/>
    <w:rsid w:val="00324929"/>
    <w:rsid w:val="00330C67"/>
    <w:rsid w:val="0033481B"/>
    <w:rsid w:val="00370831"/>
    <w:rsid w:val="00387E4F"/>
    <w:rsid w:val="003A10DC"/>
    <w:rsid w:val="003B64AF"/>
    <w:rsid w:val="003B6CEA"/>
    <w:rsid w:val="003C2050"/>
    <w:rsid w:val="003C646A"/>
    <w:rsid w:val="003C6AAA"/>
    <w:rsid w:val="003D6440"/>
    <w:rsid w:val="003E5D7D"/>
    <w:rsid w:val="003E72CA"/>
    <w:rsid w:val="003E7E66"/>
    <w:rsid w:val="003F1F7F"/>
    <w:rsid w:val="003F36CF"/>
    <w:rsid w:val="003F390D"/>
    <w:rsid w:val="00407343"/>
    <w:rsid w:val="00412510"/>
    <w:rsid w:val="00412B1B"/>
    <w:rsid w:val="00412D48"/>
    <w:rsid w:val="00414628"/>
    <w:rsid w:val="0041590D"/>
    <w:rsid w:val="0044330F"/>
    <w:rsid w:val="00444974"/>
    <w:rsid w:val="004462CE"/>
    <w:rsid w:val="004463DB"/>
    <w:rsid w:val="00447D1D"/>
    <w:rsid w:val="00455065"/>
    <w:rsid w:val="00455EBC"/>
    <w:rsid w:val="00463FB2"/>
    <w:rsid w:val="00466344"/>
    <w:rsid w:val="00476B5C"/>
    <w:rsid w:val="00481301"/>
    <w:rsid w:val="004B0793"/>
    <w:rsid w:val="004B3FD4"/>
    <w:rsid w:val="004B4691"/>
    <w:rsid w:val="004B5F67"/>
    <w:rsid w:val="004C0234"/>
    <w:rsid w:val="004D20A6"/>
    <w:rsid w:val="004D7016"/>
    <w:rsid w:val="004E4A43"/>
    <w:rsid w:val="004F2234"/>
    <w:rsid w:val="004F2B5F"/>
    <w:rsid w:val="004F7668"/>
    <w:rsid w:val="00510BDE"/>
    <w:rsid w:val="00510D72"/>
    <w:rsid w:val="00521F5D"/>
    <w:rsid w:val="00526EB4"/>
    <w:rsid w:val="00533A0E"/>
    <w:rsid w:val="005405E5"/>
    <w:rsid w:val="005414BF"/>
    <w:rsid w:val="0054783F"/>
    <w:rsid w:val="00553715"/>
    <w:rsid w:val="00563447"/>
    <w:rsid w:val="0056568B"/>
    <w:rsid w:val="00573C3C"/>
    <w:rsid w:val="005761B1"/>
    <w:rsid w:val="005814B3"/>
    <w:rsid w:val="005853B9"/>
    <w:rsid w:val="005A5F49"/>
    <w:rsid w:val="005E62C5"/>
    <w:rsid w:val="005F06AD"/>
    <w:rsid w:val="005F36FD"/>
    <w:rsid w:val="0060123F"/>
    <w:rsid w:val="0060500F"/>
    <w:rsid w:val="0060716E"/>
    <w:rsid w:val="00610ED6"/>
    <w:rsid w:val="006126BA"/>
    <w:rsid w:val="00613E52"/>
    <w:rsid w:val="00616C9E"/>
    <w:rsid w:val="00626624"/>
    <w:rsid w:val="006270BB"/>
    <w:rsid w:val="00632879"/>
    <w:rsid w:val="0063432F"/>
    <w:rsid w:val="00656C19"/>
    <w:rsid w:val="00661007"/>
    <w:rsid w:val="00672C34"/>
    <w:rsid w:val="00672E9A"/>
    <w:rsid w:val="00692097"/>
    <w:rsid w:val="00696995"/>
    <w:rsid w:val="006B1DD5"/>
    <w:rsid w:val="006B3E35"/>
    <w:rsid w:val="006B4B09"/>
    <w:rsid w:val="006C4BC6"/>
    <w:rsid w:val="006D08A2"/>
    <w:rsid w:val="006E178E"/>
    <w:rsid w:val="006E4329"/>
    <w:rsid w:val="006E4E02"/>
    <w:rsid w:val="006E75B6"/>
    <w:rsid w:val="0070716C"/>
    <w:rsid w:val="0071221C"/>
    <w:rsid w:val="00714F02"/>
    <w:rsid w:val="00722F83"/>
    <w:rsid w:val="00735588"/>
    <w:rsid w:val="00737CA4"/>
    <w:rsid w:val="007400BD"/>
    <w:rsid w:val="0075060A"/>
    <w:rsid w:val="007553E3"/>
    <w:rsid w:val="0076077B"/>
    <w:rsid w:val="00762D57"/>
    <w:rsid w:val="00771F11"/>
    <w:rsid w:val="00774172"/>
    <w:rsid w:val="007875CD"/>
    <w:rsid w:val="00794B24"/>
    <w:rsid w:val="00797AE8"/>
    <w:rsid w:val="007B0888"/>
    <w:rsid w:val="007B1156"/>
    <w:rsid w:val="007B78FD"/>
    <w:rsid w:val="007C28AC"/>
    <w:rsid w:val="007C4362"/>
    <w:rsid w:val="007D4366"/>
    <w:rsid w:val="007D600B"/>
    <w:rsid w:val="007E0642"/>
    <w:rsid w:val="007F0F8A"/>
    <w:rsid w:val="007F56FB"/>
    <w:rsid w:val="008007F0"/>
    <w:rsid w:val="00800F43"/>
    <w:rsid w:val="00810B29"/>
    <w:rsid w:val="008176E3"/>
    <w:rsid w:val="008345DF"/>
    <w:rsid w:val="00840456"/>
    <w:rsid w:val="00842B10"/>
    <w:rsid w:val="00846399"/>
    <w:rsid w:val="00847BA6"/>
    <w:rsid w:val="008539F9"/>
    <w:rsid w:val="00856CF5"/>
    <w:rsid w:val="008604E3"/>
    <w:rsid w:val="008715D4"/>
    <w:rsid w:val="00871616"/>
    <w:rsid w:val="00880D4C"/>
    <w:rsid w:val="008A1093"/>
    <w:rsid w:val="008B05DA"/>
    <w:rsid w:val="008B11BC"/>
    <w:rsid w:val="008C7CC3"/>
    <w:rsid w:val="008E374F"/>
    <w:rsid w:val="008E6513"/>
    <w:rsid w:val="008E656A"/>
    <w:rsid w:val="008F2ED3"/>
    <w:rsid w:val="00902633"/>
    <w:rsid w:val="00906745"/>
    <w:rsid w:val="00911192"/>
    <w:rsid w:val="00917EE0"/>
    <w:rsid w:val="009434B9"/>
    <w:rsid w:val="00950378"/>
    <w:rsid w:val="009572B5"/>
    <w:rsid w:val="00963204"/>
    <w:rsid w:val="00970B10"/>
    <w:rsid w:val="0097239F"/>
    <w:rsid w:val="00973E94"/>
    <w:rsid w:val="00983AFD"/>
    <w:rsid w:val="0099713D"/>
    <w:rsid w:val="009B3C3C"/>
    <w:rsid w:val="009B4DA3"/>
    <w:rsid w:val="009C3CFF"/>
    <w:rsid w:val="009D33FB"/>
    <w:rsid w:val="009E0205"/>
    <w:rsid w:val="009F3490"/>
    <w:rsid w:val="009F3CDC"/>
    <w:rsid w:val="009F4C5B"/>
    <w:rsid w:val="009F6EC1"/>
    <w:rsid w:val="00A006F3"/>
    <w:rsid w:val="00A061B1"/>
    <w:rsid w:val="00A20BBA"/>
    <w:rsid w:val="00A248B7"/>
    <w:rsid w:val="00A24F1C"/>
    <w:rsid w:val="00A2787F"/>
    <w:rsid w:val="00A279DC"/>
    <w:rsid w:val="00A30E6F"/>
    <w:rsid w:val="00A3545A"/>
    <w:rsid w:val="00A4224D"/>
    <w:rsid w:val="00A4615B"/>
    <w:rsid w:val="00A55019"/>
    <w:rsid w:val="00A578A5"/>
    <w:rsid w:val="00A71FB9"/>
    <w:rsid w:val="00AA0DFD"/>
    <w:rsid w:val="00AA43A4"/>
    <w:rsid w:val="00AB34AD"/>
    <w:rsid w:val="00AC2EF3"/>
    <w:rsid w:val="00AD0126"/>
    <w:rsid w:val="00AD39C3"/>
    <w:rsid w:val="00AD4799"/>
    <w:rsid w:val="00AD679A"/>
    <w:rsid w:val="00AF16E1"/>
    <w:rsid w:val="00AF3F57"/>
    <w:rsid w:val="00B10042"/>
    <w:rsid w:val="00B10CDF"/>
    <w:rsid w:val="00B122D1"/>
    <w:rsid w:val="00B12A3C"/>
    <w:rsid w:val="00B144BC"/>
    <w:rsid w:val="00B2326C"/>
    <w:rsid w:val="00B23A84"/>
    <w:rsid w:val="00B26240"/>
    <w:rsid w:val="00B2738B"/>
    <w:rsid w:val="00B46576"/>
    <w:rsid w:val="00B513FC"/>
    <w:rsid w:val="00B6082D"/>
    <w:rsid w:val="00B72226"/>
    <w:rsid w:val="00B812A3"/>
    <w:rsid w:val="00B82538"/>
    <w:rsid w:val="00B85C92"/>
    <w:rsid w:val="00BC1851"/>
    <w:rsid w:val="00BC43A8"/>
    <w:rsid w:val="00BC4577"/>
    <w:rsid w:val="00BC523F"/>
    <w:rsid w:val="00BD1ED4"/>
    <w:rsid w:val="00BD42B2"/>
    <w:rsid w:val="00BD4B9A"/>
    <w:rsid w:val="00BD67D8"/>
    <w:rsid w:val="00BE02FC"/>
    <w:rsid w:val="00BE1592"/>
    <w:rsid w:val="00BE5FF9"/>
    <w:rsid w:val="00BE6641"/>
    <w:rsid w:val="00BF1104"/>
    <w:rsid w:val="00BF1815"/>
    <w:rsid w:val="00BF7635"/>
    <w:rsid w:val="00C1503E"/>
    <w:rsid w:val="00C176D5"/>
    <w:rsid w:val="00C25E8C"/>
    <w:rsid w:val="00C405E4"/>
    <w:rsid w:val="00C40E6C"/>
    <w:rsid w:val="00C463BB"/>
    <w:rsid w:val="00C5596D"/>
    <w:rsid w:val="00C62F27"/>
    <w:rsid w:val="00C736D7"/>
    <w:rsid w:val="00C73A01"/>
    <w:rsid w:val="00C74E39"/>
    <w:rsid w:val="00C75CC8"/>
    <w:rsid w:val="00CA568A"/>
    <w:rsid w:val="00CB311F"/>
    <w:rsid w:val="00CB5EB0"/>
    <w:rsid w:val="00CB6C28"/>
    <w:rsid w:val="00CB79AD"/>
    <w:rsid w:val="00CD2688"/>
    <w:rsid w:val="00CE450A"/>
    <w:rsid w:val="00CF7586"/>
    <w:rsid w:val="00D104D2"/>
    <w:rsid w:val="00D111DD"/>
    <w:rsid w:val="00D17895"/>
    <w:rsid w:val="00D344D2"/>
    <w:rsid w:val="00D36AC7"/>
    <w:rsid w:val="00D45948"/>
    <w:rsid w:val="00D643AB"/>
    <w:rsid w:val="00D738AD"/>
    <w:rsid w:val="00D760A9"/>
    <w:rsid w:val="00D80327"/>
    <w:rsid w:val="00D81601"/>
    <w:rsid w:val="00D84B27"/>
    <w:rsid w:val="00D856B1"/>
    <w:rsid w:val="00D96C55"/>
    <w:rsid w:val="00DA5149"/>
    <w:rsid w:val="00DB0BDB"/>
    <w:rsid w:val="00DB6849"/>
    <w:rsid w:val="00DB6C0F"/>
    <w:rsid w:val="00DB77BB"/>
    <w:rsid w:val="00DC5846"/>
    <w:rsid w:val="00DE7468"/>
    <w:rsid w:val="00DF10DC"/>
    <w:rsid w:val="00DF3AC1"/>
    <w:rsid w:val="00DF43DA"/>
    <w:rsid w:val="00DF6E0B"/>
    <w:rsid w:val="00E03977"/>
    <w:rsid w:val="00E1038D"/>
    <w:rsid w:val="00E17538"/>
    <w:rsid w:val="00E17BF9"/>
    <w:rsid w:val="00E500ED"/>
    <w:rsid w:val="00E5422E"/>
    <w:rsid w:val="00E547E8"/>
    <w:rsid w:val="00E56915"/>
    <w:rsid w:val="00E66613"/>
    <w:rsid w:val="00E724D1"/>
    <w:rsid w:val="00E8653E"/>
    <w:rsid w:val="00E871D6"/>
    <w:rsid w:val="00E87297"/>
    <w:rsid w:val="00E96675"/>
    <w:rsid w:val="00E978A9"/>
    <w:rsid w:val="00EA4984"/>
    <w:rsid w:val="00EA6F3D"/>
    <w:rsid w:val="00EB4888"/>
    <w:rsid w:val="00EC0827"/>
    <w:rsid w:val="00EC5DCE"/>
    <w:rsid w:val="00ED0EC8"/>
    <w:rsid w:val="00ED0F6B"/>
    <w:rsid w:val="00EF3481"/>
    <w:rsid w:val="00F002A4"/>
    <w:rsid w:val="00F04949"/>
    <w:rsid w:val="00F20D44"/>
    <w:rsid w:val="00F24B0A"/>
    <w:rsid w:val="00F32E95"/>
    <w:rsid w:val="00F3371D"/>
    <w:rsid w:val="00F44110"/>
    <w:rsid w:val="00F54731"/>
    <w:rsid w:val="00F65AC0"/>
    <w:rsid w:val="00F71D80"/>
    <w:rsid w:val="00F72C44"/>
    <w:rsid w:val="00F731E4"/>
    <w:rsid w:val="00F74F44"/>
    <w:rsid w:val="00F82459"/>
    <w:rsid w:val="00F85206"/>
    <w:rsid w:val="00F910A8"/>
    <w:rsid w:val="00F913AE"/>
    <w:rsid w:val="00F9629F"/>
    <w:rsid w:val="00FA24C4"/>
    <w:rsid w:val="00FA2972"/>
    <w:rsid w:val="00FA6EB5"/>
    <w:rsid w:val="00FB0948"/>
    <w:rsid w:val="00FB12B2"/>
    <w:rsid w:val="00FC166B"/>
    <w:rsid w:val="00FC63BC"/>
    <w:rsid w:val="00FD17F2"/>
    <w:rsid w:val="00FF6CDD"/>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78BF"/>
  <w15:chartTrackingRefBased/>
  <w15:docId w15:val="{AC06F5FB-26A8-4B80-B515-C32CF7C7A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481"/>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DB6849"/>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510D72"/>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B7222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B72226"/>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unhideWhenUsed/>
    <w:qFormat/>
    <w:rsid w:val="001777C0"/>
    <w:pPr>
      <w:keepNext/>
      <w:keepLines/>
      <w:spacing w:before="80" w:after="40"/>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F32E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2E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2E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2E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849"/>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510D72"/>
    <w:rPr>
      <w:rFonts w:ascii="Arial" w:eastAsiaTheme="majorEastAsia" w:hAnsi="Arial" w:cstheme="majorBidi"/>
      <w:b/>
      <w:color w:val="000000" w:themeColor="text1"/>
      <w:sz w:val="26"/>
      <w:szCs w:val="32"/>
      <w:lang w:val="en-GB"/>
    </w:rPr>
  </w:style>
  <w:style w:type="character" w:customStyle="1" w:styleId="Heading3Char">
    <w:name w:val="Heading 3 Char"/>
    <w:basedOn w:val="DefaultParagraphFont"/>
    <w:link w:val="Heading3"/>
    <w:uiPriority w:val="9"/>
    <w:rsid w:val="00B72226"/>
    <w:rPr>
      <w:rFonts w:ascii="Arial" w:eastAsiaTheme="majorEastAsia" w:hAnsi="Arial" w:cstheme="majorBidi"/>
      <w:b/>
      <w:color w:val="000000" w:themeColor="text1"/>
      <w:szCs w:val="28"/>
      <w:lang w:val="en-GB"/>
    </w:rPr>
  </w:style>
  <w:style w:type="character" w:customStyle="1" w:styleId="Heading4Char">
    <w:name w:val="Heading 4 Char"/>
    <w:basedOn w:val="DefaultParagraphFont"/>
    <w:link w:val="Heading4"/>
    <w:uiPriority w:val="9"/>
    <w:rsid w:val="00B72226"/>
    <w:rPr>
      <w:rFonts w:ascii="Arial" w:eastAsiaTheme="majorEastAsia" w:hAnsi="Arial" w:cstheme="majorBidi"/>
      <w:b/>
      <w:iCs/>
      <w:color w:val="000000" w:themeColor="text1"/>
      <w:lang w:val="en-GB"/>
    </w:rPr>
  </w:style>
  <w:style w:type="character" w:customStyle="1" w:styleId="Heading5Char">
    <w:name w:val="Heading 5 Char"/>
    <w:basedOn w:val="DefaultParagraphFont"/>
    <w:link w:val="Heading5"/>
    <w:uiPriority w:val="9"/>
    <w:rsid w:val="001777C0"/>
    <w:rPr>
      <w:rFonts w:ascii="Arial" w:eastAsiaTheme="majorEastAsia" w:hAnsi="Arial" w:cstheme="majorBidi"/>
      <w:b/>
      <w:color w:val="000000" w:themeColor="text1"/>
      <w:lang w:val="en-GB"/>
    </w:rPr>
  </w:style>
  <w:style w:type="character" w:customStyle="1" w:styleId="Heading6Char">
    <w:name w:val="Heading 6 Char"/>
    <w:basedOn w:val="DefaultParagraphFont"/>
    <w:link w:val="Heading6"/>
    <w:uiPriority w:val="9"/>
    <w:semiHidden/>
    <w:rsid w:val="00F32E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2E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2E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2E95"/>
    <w:rPr>
      <w:rFonts w:eastAsiaTheme="majorEastAsia" w:cstheme="majorBidi"/>
      <w:color w:val="272727" w:themeColor="text1" w:themeTint="D8"/>
    </w:rPr>
  </w:style>
  <w:style w:type="paragraph" w:styleId="Title">
    <w:name w:val="Title"/>
    <w:basedOn w:val="Normal"/>
    <w:next w:val="Normal"/>
    <w:link w:val="TitleChar"/>
    <w:uiPriority w:val="10"/>
    <w:qFormat/>
    <w:rsid w:val="00F32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2E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2E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2E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2E95"/>
    <w:pPr>
      <w:spacing w:before="160"/>
      <w:jc w:val="center"/>
    </w:pPr>
    <w:rPr>
      <w:i/>
      <w:iCs/>
      <w:color w:val="404040" w:themeColor="text1" w:themeTint="BF"/>
    </w:rPr>
  </w:style>
  <w:style w:type="character" w:customStyle="1" w:styleId="QuoteChar">
    <w:name w:val="Quote Char"/>
    <w:basedOn w:val="DefaultParagraphFont"/>
    <w:link w:val="Quote"/>
    <w:uiPriority w:val="29"/>
    <w:rsid w:val="00F32E95"/>
    <w:rPr>
      <w:i/>
      <w:iCs/>
      <w:color w:val="404040" w:themeColor="text1" w:themeTint="BF"/>
    </w:rPr>
  </w:style>
  <w:style w:type="paragraph" w:styleId="ListParagraph">
    <w:name w:val="List Paragraph"/>
    <w:basedOn w:val="Normal"/>
    <w:uiPriority w:val="34"/>
    <w:qFormat/>
    <w:rsid w:val="00F32E95"/>
    <w:pPr>
      <w:ind w:left="720"/>
      <w:contextualSpacing/>
    </w:pPr>
  </w:style>
  <w:style w:type="character" w:styleId="IntenseEmphasis">
    <w:name w:val="Intense Emphasis"/>
    <w:basedOn w:val="DefaultParagraphFont"/>
    <w:uiPriority w:val="21"/>
    <w:qFormat/>
    <w:rsid w:val="00F32E95"/>
    <w:rPr>
      <w:i/>
      <w:iCs/>
      <w:color w:val="2F5496" w:themeColor="accent1" w:themeShade="BF"/>
    </w:rPr>
  </w:style>
  <w:style w:type="paragraph" w:styleId="IntenseQuote">
    <w:name w:val="Intense Quote"/>
    <w:basedOn w:val="Normal"/>
    <w:next w:val="Normal"/>
    <w:link w:val="IntenseQuoteChar"/>
    <w:uiPriority w:val="30"/>
    <w:qFormat/>
    <w:rsid w:val="00F32E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2E95"/>
    <w:rPr>
      <w:i/>
      <w:iCs/>
      <w:color w:val="2F5496" w:themeColor="accent1" w:themeShade="BF"/>
    </w:rPr>
  </w:style>
  <w:style w:type="character" w:styleId="IntenseReference">
    <w:name w:val="Intense Reference"/>
    <w:basedOn w:val="DefaultParagraphFont"/>
    <w:uiPriority w:val="32"/>
    <w:qFormat/>
    <w:rsid w:val="00F32E95"/>
    <w:rPr>
      <w:b/>
      <w:bCs/>
      <w:smallCaps/>
      <w:color w:val="2F5496" w:themeColor="accent1" w:themeShade="BF"/>
      <w:spacing w:val="5"/>
    </w:rPr>
  </w:style>
  <w:style w:type="paragraph" w:styleId="Header">
    <w:name w:val="header"/>
    <w:basedOn w:val="Normal"/>
    <w:link w:val="HeaderChar"/>
    <w:uiPriority w:val="99"/>
    <w:unhideWhenUsed/>
    <w:rsid w:val="004F2B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B5F"/>
    <w:rPr>
      <w:rFonts w:ascii="Arial" w:hAnsi="Arial"/>
      <w:color w:val="000000" w:themeColor="text1"/>
      <w:lang w:val="en-GB"/>
    </w:rPr>
  </w:style>
  <w:style w:type="paragraph" w:styleId="Footer">
    <w:name w:val="footer"/>
    <w:basedOn w:val="Normal"/>
    <w:link w:val="FooterChar"/>
    <w:uiPriority w:val="99"/>
    <w:unhideWhenUsed/>
    <w:rsid w:val="004F2B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B5F"/>
    <w:rPr>
      <w:rFonts w:ascii="Arial" w:hAnsi="Arial"/>
      <w:color w:val="000000" w:themeColor="text1"/>
      <w:lang w:val="en-GB"/>
    </w:rPr>
  </w:style>
  <w:style w:type="table" w:styleId="TableGrid">
    <w:name w:val="Table Grid"/>
    <w:basedOn w:val="TableNormal"/>
    <w:uiPriority w:val="39"/>
    <w:rsid w:val="001D3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3432F"/>
    <w:pPr>
      <w:spacing w:after="200" w:line="240" w:lineRule="auto"/>
    </w:pPr>
    <w:rPr>
      <w:iCs/>
      <w:szCs w:val="18"/>
    </w:rPr>
  </w:style>
  <w:style w:type="paragraph" w:styleId="TOC1">
    <w:name w:val="toc 1"/>
    <w:basedOn w:val="Normal"/>
    <w:next w:val="Normal"/>
    <w:autoRedefine/>
    <w:uiPriority w:val="39"/>
    <w:unhideWhenUsed/>
    <w:rsid w:val="00E547E8"/>
    <w:pPr>
      <w:spacing w:after="100"/>
    </w:pPr>
  </w:style>
  <w:style w:type="paragraph" w:styleId="TOC2">
    <w:name w:val="toc 2"/>
    <w:basedOn w:val="Normal"/>
    <w:next w:val="Normal"/>
    <w:autoRedefine/>
    <w:uiPriority w:val="39"/>
    <w:unhideWhenUsed/>
    <w:rsid w:val="00E547E8"/>
    <w:pPr>
      <w:spacing w:after="100"/>
      <w:ind w:left="240"/>
    </w:pPr>
  </w:style>
  <w:style w:type="paragraph" w:styleId="TOC3">
    <w:name w:val="toc 3"/>
    <w:basedOn w:val="Normal"/>
    <w:next w:val="Normal"/>
    <w:autoRedefine/>
    <w:uiPriority w:val="39"/>
    <w:unhideWhenUsed/>
    <w:rsid w:val="00E547E8"/>
    <w:pPr>
      <w:spacing w:after="100"/>
      <w:ind w:left="480"/>
    </w:pPr>
  </w:style>
  <w:style w:type="paragraph" w:styleId="TOC4">
    <w:name w:val="toc 4"/>
    <w:basedOn w:val="Normal"/>
    <w:next w:val="Normal"/>
    <w:autoRedefine/>
    <w:uiPriority w:val="39"/>
    <w:unhideWhenUsed/>
    <w:rsid w:val="00E547E8"/>
    <w:pPr>
      <w:spacing w:after="100"/>
      <w:ind w:left="720"/>
    </w:pPr>
  </w:style>
  <w:style w:type="paragraph" w:styleId="TOC5">
    <w:name w:val="toc 5"/>
    <w:basedOn w:val="Normal"/>
    <w:next w:val="Normal"/>
    <w:autoRedefine/>
    <w:uiPriority w:val="39"/>
    <w:unhideWhenUsed/>
    <w:rsid w:val="00E547E8"/>
    <w:pPr>
      <w:spacing w:after="100"/>
      <w:ind w:left="960"/>
    </w:pPr>
  </w:style>
  <w:style w:type="character" w:styleId="Hyperlink">
    <w:name w:val="Hyperlink"/>
    <w:basedOn w:val="DefaultParagraphFont"/>
    <w:uiPriority w:val="99"/>
    <w:unhideWhenUsed/>
    <w:rsid w:val="00E547E8"/>
    <w:rPr>
      <w:color w:val="0563C1" w:themeColor="hyperlink"/>
      <w:u w:val="single"/>
    </w:rPr>
  </w:style>
  <w:style w:type="character" w:styleId="UnresolvedMention">
    <w:name w:val="Unresolved Mention"/>
    <w:basedOn w:val="DefaultParagraphFont"/>
    <w:uiPriority w:val="99"/>
    <w:semiHidden/>
    <w:unhideWhenUsed/>
    <w:rsid w:val="00917EE0"/>
    <w:rPr>
      <w:color w:val="605E5C"/>
      <w:shd w:val="clear" w:color="auto" w:fill="E1DFDD"/>
    </w:rPr>
  </w:style>
  <w:style w:type="paragraph" w:styleId="NormalWeb">
    <w:name w:val="Normal (Web)"/>
    <w:basedOn w:val="Normal"/>
    <w:uiPriority w:val="99"/>
    <w:semiHidden/>
    <w:unhideWhenUsed/>
    <w:rsid w:val="000265D0"/>
    <w:pPr>
      <w:spacing w:before="100" w:beforeAutospacing="1" w:after="100" w:afterAutospacing="1" w:line="240" w:lineRule="auto"/>
      <w:jc w:val="left"/>
    </w:pPr>
    <w:rPr>
      <w:rFonts w:ascii="Times New Roman" w:eastAsia="Times New Roman" w:hAnsi="Times New Roman" w:cs="Times New Roman"/>
      <w:color w:val="auto"/>
      <w:kern w:val="0"/>
      <w:lang w:val="en-US" w:bidi="si-LK"/>
      <w14:ligatures w14:val="none"/>
    </w:rPr>
  </w:style>
  <w:style w:type="character" w:styleId="Strong">
    <w:name w:val="Strong"/>
    <w:basedOn w:val="DefaultParagraphFont"/>
    <w:uiPriority w:val="22"/>
    <w:qFormat/>
    <w:rsid w:val="000265D0"/>
    <w:rPr>
      <w:b/>
      <w:bCs/>
    </w:rPr>
  </w:style>
  <w:style w:type="character" w:styleId="Emphasis">
    <w:name w:val="Emphasis"/>
    <w:basedOn w:val="DefaultParagraphFont"/>
    <w:uiPriority w:val="20"/>
    <w:qFormat/>
    <w:rsid w:val="00510D72"/>
    <w:rPr>
      <w:i/>
      <w:iCs/>
    </w:rPr>
  </w:style>
  <w:style w:type="paragraph" w:styleId="TableofFigures">
    <w:name w:val="table of figures"/>
    <w:basedOn w:val="Normal"/>
    <w:next w:val="Normal"/>
    <w:uiPriority w:val="99"/>
    <w:unhideWhenUsed/>
    <w:rsid w:val="003C646A"/>
    <w:pPr>
      <w:spacing w:after="0"/>
    </w:pPr>
  </w:style>
  <w:style w:type="paragraph" w:customStyle="1" w:styleId="pdq2pgselectionanchorcontainer">
    <w:name w:val="pdq2pg_selectionanchorcontainer"/>
    <w:basedOn w:val="Normal"/>
    <w:rsid w:val="00246C30"/>
    <w:pPr>
      <w:spacing w:before="100" w:beforeAutospacing="1" w:after="100" w:afterAutospacing="1" w:line="240" w:lineRule="auto"/>
      <w:jc w:val="left"/>
    </w:pPr>
    <w:rPr>
      <w:rFonts w:ascii="Times New Roman" w:eastAsia="Times New Roman" w:hAnsi="Times New Roman" w:cs="Times New Roman"/>
      <w:color w:val="auto"/>
      <w:kern w:val="0"/>
      <w:lang w:val="en-US" w:bidi="si-L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7216">
      <w:bodyDiv w:val="1"/>
      <w:marLeft w:val="0"/>
      <w:marRight w:val="0"/>
      <w:marTop w:val="0"/>
      <w:marBottom w:val="0"/>
      <w:divBdr>
        <w:top w:val="none" w:sz="0" w:space="0" w:color="auto"/>
        <w:left w:val="none" w:sz="0" w:space="0" w:color="auto"/>
        <w:bottom w:val="none" w:sz="0" w:space="0" w:color="auto"/>
        <w:right w:val="none" w:sz="0" w:space="0" w:color="auto"/>
      </w:divBdr>
    </w:div>
    <w:div w:id="45493935">
      <w:bodyDiv w:val="1"/>
      <w:marLeft w:val="0"/>
      <w:marRight w:val="0"/>
      <w:marTop w:val="0"/>
      <w:marBottom w:val="0"/>
      <w:divBdr>
        <w:top w:val="none" w:sz="0" w:space="0" w:color="auto"/>
        <w:left w:val="none" w:sz="0" w:space="0" w:color="auto"/>
        <w:bottom w:val="none" w:sz="0" w:space="0" w:color="auto"/>
        <w:right w:val="none" w:sz="0" w:space="0" w:color="auto"/>
      </w:divBdr>
      <w:divsChild>
        <w:div w:id="1579318544">
          <w:marLeft w:val="0"/>
          <w:marRight w:val="0"/>
          <w:marTop w:val="0"/>
          <w:marBottom w:val="0"/>
          <w:divBdr>
            <w:top w:val="none" w:sz="0" w:space="0" w:color="auto"/>
            <w:left w:val="none" w:sz="0" w:space="0" w:color="auto"/>
            <w:bottom w:val="none" w:sz="0" w:space="0" w:color="auto"/>
            <w:right w:val="none" w:sz="0" w:space="0" w:color="auto"/>
          </w:divBdr>
          <w:divsChild>
            <w:div w:id="9640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948">
      <w:bodyDiv w:val="1"/>
      <w:marLeft w:val="0"/>
      <w:marRight w:val="0"/>
      <w:marTop w:val="0"/>
      <w:marBottom w:val="0"/>
      <w:divBdr>
        <w:top w:val="none" w:sz="0" w:space="0" w:color="auto"/>
        <w:left w:val="none" w:sz="0" w:space="0" w:color="auto"/>
        <w:bottom w:val="none" w:sz="0" w:space="0" w:color="auto"/>
        <w:right w:val="none" w:sz="0" w:space="0" w:color="auto"/>
      </w:divBdr>
      <w:divsChild>
        <w:div w:id="1325939286">
          <w:marLeft w:val="0"/>
          <w:marRight w:val="0"/>
          <w:marTop w:val="0"/>
          <w:marBottom w:val="0"/>
          <w:divBdr>
            <w:top w:val="none" w:sz="0" w:space="0" w:color="auto"/>
            <w:left w:val="none" w:sz="0" w:space="0" w:color="auto"/>
            <w:bottom w:val="none" w:sz="0" w:space="0" w:color="auto"/>
            <w:right w:val="none" w:sz="0" w:space="0" w:color="auto"/>
          </w:divBdr>
          <w:divsChild>
            <w:div w:id="50301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9194">
      <w:bodyDiv w:val="1"/>
      <w:marLeft w:val="0"/>
      <w:marRight w:val="0"/>
      <w:marTop w:val="0"/>
      <w:marBottom w:val="0"/>
      <w:divBdr>
        <w:top w:val="none" w:sz="0" w:space="0" w:color="auto"/>
        <w:left w:val="none" w:sz="0" w:space="0" w:color="auto"/>
        <w:bottom w:val="none" w:sz="0" w:space="0" w:color="auto"/>
        <w:right w:val="none" w:sz="0" w:space="0" w:color="auto"/>
      </w:divBdr>
    </w:div>
    <w:div w:id="152766131">
      <w:bodyDiv w:val="1"/>
      <w:marLeft w:val="0"/>
      <w:marRight w:val="0"/>
      <w:marTop w:val="0"/>
      <w:marBottom w:val="0"/>
      <w:divBdr>
        <w:top w:val="none" w:sz="0" w:space="0" w:color="auto"/>
        <w:left w:val="none" w:sz="0" w:space="0" w:color="auto"/>
        <w:bottom w:val="none" w:sz="0" w:space="0" w:color="auto"/>
        <w:right w:val="none" w:sz="0" w:space="0" w:color="auto"/>
      </w:divBdr>
    </w:div>
    <w:div w:id="265387276">
      <w:bodyDiv w:val="1"/>
      <w:marLeft w:val="0"/>
      <w:marRight w:val="0"/>
      <w:marTop w:val="0"/>
      <w:marBottom w:val="0"/>
      <w:divBdr>
        <w:top w:val="none" w:sz="0" w:space="0" w:color="auto"/>
        <w:left w:val="none" w:sz="0" w:space="0" w:color="auto"/>
        <w:bottom w:val="none" w:sz="0" w:space="0" w:color="auto"/>
        <w:right w:val="none" w:sz="0" w:space="0" w:color="auto"/>
      </w:divBdr>
      <w:divsChild>
        <w:div w:id="1618028534">
          <w:marLeft w:val="0"/>
          <w:marRight w:val="0"/>
          <w:marTop w:val="0"/>
          <w:marBottom w:val="0"/>
          <w:divBdr>
            <w:top w:val="none" w:sz="0" w:space="0" w:color="auto"/>
            <w:left w:val="none" w:sz="0" w:space="0" w:color="auto"/>
            <w:bottom w:val="none" w:sz="0" w:space="0" w:color="auto"/>
            <w:right w:val="none" w:sz="0" w:space="0" w:color="auto"/>
          </w:divBdr>
          <w:divsChild>
            <w:div w:id="145282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396912">
      <w:bodyDiv w:val="1"/>
      <w:marLeft w:val="0"/>
      <w:marRight w:val="0"/>
      <w:marTop w:val="0"/>
      <w:marBottom w:val="0"/>
      <w:divBdr>
        <w:top w:val="none" w:sz="0" w:space="0" w:color="auto"/>
        <w:left w:val="none" w:sz="0" w:space="0" w:color="auto"/>
        <w:bottom w:val="none" w:sz="0" w:space="0" w:color="auto"/>
        <w:right w:val="none" w:sz="0" w:space="0" w:color="auto"/>
      </w:divBdr>
      <w:divsChild>
        <w:div w:id="1694185199">
          <w:marLeft w:val="0"/>
          <w:marRight w:val="0"/>
          <w:marTop w:val="0"/>
          <w:marBottom w:val="0"/>
          <w:divBdr>
            <w:top w:val="none" w:sz="0" w:space="0" w:color="auto"/>
            <w:left w:val="none" w:sz="0" w:space="0" w:color="auto"/>
            <w:bottom w:val="none" w:sz="0" w:space="0" w:color="auto"/>
            <w:right w:val="none" w:sz="0" w:space="0" w:color="auto"/>
          </w:divBdr>
          <w:divsChild>
            <w:div w:id="986280694">
              <w:marLeft w:val="0"/>
              <w:marRight w:val="0"/>
              <w:marTop w:val="0"/>
              <w:marBottom w:val="0"/>
              <w:divBdr>
                <w:top w:val="none" w:sz="0" w:space="0" w:color="auto"/>
                <w:left w:val="none" w:sz="0" w:space="0" w:color="auto"/>
                <w:bottom w:val="none" w:sz="0" w:space="0" w:color="auto"/>
                <w:right w:val="none" w:sz="0" w:space="0" w:color="auto"/>
              </w:divBdr>
              <w:divsChild>
                <w:div w:id="550457364">
                  <w:marLeft w:val="0"/>
                  <w:marRight w:val="0"/>
                  <w:marTop w:val="0"/>
                  <w:marBottom w:val="0"/>
                  <w:divBdr>
                    <w:top w:val="none" w:sz="0" w:space="0" w:color="auto"/>
                    <w:left w:val="none" w:sz="0" w:space="0" w:color="auto"/>
                    <w:bottom w:val="none" w:sz="0" w:space="0" w:color="auto"/>
                    <w:right w:val="none" w:sz="0" w:space="0" w:color="auto"/>
                  </w:divBdr>
                  <w:divsChild>
                    <w:div w:id="1524787095">
                      <w:marLeft w:val="0"/>
                      <w:marRight w:val="0"/>
                      <w:marTop w:val="0"/>
                      <w:marBottom w:val="0"/>
                      <w:divBdr>
                        <w:top w:val="none" w:sz="0" w:space="0" w:color="auto"/>
                        <w:left w:val="none" w:sz="0" w:space="0" w:color="auto"/>
                        <w:bottom w:val="none" w:sz="0" w:space="0" w:color="auto"/>
                        <w:right w:val="none" w:sz="0" w:space="0" w:color="auto"/>
                      </w:divBdr>
                      <w:divsChild>
                        <w:div w:id="1297031816">
                          <w:marLeft w:val="0"/>
                          <w:marRight w:val="0"/>
                          <w:marTop w:val="0"/>
                          <w:marBottom w:val="0"/>
                          <w:divBdr>
                            <w:top w:val="none" w:sz="0" w:space="0" w:color="auto"/>
                            <w:left w:val="none" w:sz="0" w:space="0" w:color="auto"/>
                            <w:bottom w:val="none" w:sz="0" w:space="0" w:color="auto"/>
                            <w:right w:val="none" w:sz="0" w:space="0" w:color="auto"/>
                          </w:divBdr>
                          <w:divsChild>
                            <w:div w:id="213844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953908">
      <w:bodyDiv w:val="1"/>
      <w:marLeft w:val="0"/>
      <w:marRight w:val="0"/>
      <w:marTop w:val="0"/>
      <w:marBottom w:val="0"/>
      <w:divBdr>
        <w:top w:val="none" w:sz="0" w:space="0" w:color="auto"/>
        <w:left w:val="none" w:sz="0" w:space="0" w:color="auto"/>
        <w:bottom w:val="none" w:sz="0" w:space="0" w:color="auto"/>
        <w:right w:val="none" w:sz="0" w:space="0" w:color="auto"/>
      </w:divBdr>
    </w:div>
    <w:div w:id="494806682">
      <w:bodyDiv w:val="1"/>
      <w:marLeft w:val="0"/>
      <w:marRight w:val="0"/>
      <w:marTop w:val="0"/>
      <w:marBottom w:val="0"/>
      <w:divBdr>
        <w:top w:val="none" w:sz="0" w:space="0" w:color="auto"/>
        <w:left w:val="none" w:sz="0" w:space="0" w:color="auto"/>
        <w:bottom w:val="none" w:sz="0" w:space="0" w:color="auto"/>
        <w:right w:val="none" w:sz="0" w:space="0" w:color="auto"/>
      </w:divBdr>
    </w:div>
    <w:div w:id="504251485">
      <w:bodyDiv w:val="1"/>
      <w:marLeft w:val="0"/>
      <w:marRight w:val="0"/>
      <w:marTop w:val="0"/>
      <w:marBottom w:val="0"/>
      <w:divBdr>
        <w:top w:val="none" w:sz="0" w:space="0" w:color="auto"/>
        <w:left w:val="none" w:sz="0" w:space="0" w:color="auto"/>
        <w:bottom w:val="none" w:sz="0" w:space="0" w:color="auto"/>
        <w:right w:val="none" w:sz="0" w:space="0" w:color="auto"/>
      </w:divBdr>
      <w:divsChild>
        <w:div w:id="436413256">
          <w:marLeft w:val="0"/>
          <w:marRight w:val="0"/>
          <w:marTop w:val="0"/>
          <w:marBottom w:val="0"/>
          <w:divBdr>
            <w:top w:val="none" w:sz="0" w:space="0" w:color="auto"/>
            <w:left w:val="none" w:sz="0" w:space="0" w:color="auto"/>
            <w:bottom w:val="none" w:sz="0" w:space="0" w:color="auto"/>
            <w:right w:val="none" w:sz="0" w:space="0" w:color="auto"/>
          </w:divBdr>
          <w:divsChild>
            <w:div w:id="498690470">
              <w:marLeft w:val="0"/>
              <w:marRight w:val="0"/>
              <w:marTop w:val="0"/>
              <w:marBottom w:val="0"/>
              <w:divBdr>
                <w:top w:val="none" w:sz="0" w:space="0" w:color="auto"/>
                <w:left w:val="none" w:sz="0" w:space="0" w:color="auto"/>
                <w:bottom w:val="none" w:sz="0" w:space="0" w:color="auto"/>
                <w:right w:val="none" w:sz="0" w:space="0" w:color="auto"/>
              </w:divBdr>
              <w:divsChild>
                <w:div w:id="1438254134">
                  <w:marLeft w:val="0"/>
                  <w:marRight w:val="0"/>
                  <w:marTop w:val="0"/>
                  <w:marBottom w:val="0"/>
                  <w:divBdr>
                    <w:top w:val="none" w:sz="0" w:space="0" w:color="auto"/>
                    <w:left w:val="none" w:sz="0" w:space="0" w:color="auto"/>
                    <w:bottom w:val="none" w:sz="0" w:space="0" w:color="auto"/>
                    <w:right w:val="none" w:sz="0" w:space="0" w:color="auto"/>
                  </w:divBdr>
                  <w:divsChild>
                    <w:div w:id="2036417856">
                      <w:marLeft w:val="0"/>
                      <w:marRight w:val="0"/>
                      <w:marTop w:val="0"/>
                      <w:marBottom w:val="0"/>
                      <w:divBdr>
                        <w:top w:val="none" w:sz="0" w:space="0" w:color="auto"/>
                        <w:left w:val="none" w:sz="0" w:space="0" w:color="auto"/>
                        <w:bottom w:val="none" w:sz="0" w:space="0" w:color="auto"/>
                        <w:right w:val="none" w:sz="0" w:space="0" w:color="auto"/>
                      </w:divBdr>
                      <w:divsChild>
                        <w:div w:id="1968780081">
                          <w:marLeft w:val="0"/>
                          <w:marRight w:val="0"/>
                          <w:marTop w:val="0"/>
                          <w:marBottom w:val="0"/>
                          <w:divBdr>
                            <w:top w:val="none" w:sz="0" w:space="0" w:color="auto"/>
                            <w:left w:val="none" w:sz="0" w:space="0" w:color="auto"/>
                            <w:bottom w:val="none" w:sz="0" w:space="0" w:color="auto"/>
                            <w:right w:val="none" w:sz="0" w:space="0" w:color="auto"/>
                          </w:divBdr>
                          <w:divsChild>
                            <w:div w:id="414323553">
                              <w:marLeft w:val="0"/>
                              <w:marRight w:val="0"/>
                              <w:marTop w:val="0"/>
                              <w:marBottom w:val="0"/>
                              <w:divBdr>
                                <w:top w:val="none" w:sz="0" w:space="0" w:color="auto"/>
                                <w:left w:val="none" w:sz="0" w:space="0" w:color="auto"/>
                                <w:bottom w:val="none" w:sz="0" w:space="0" w:color="auto"/>
                                <w:right w:val="none" w:sz="0" w:space="0" w:color="auto"/>
                              </w:divBdr>
                              <w:divsChild>
                                <w:div w:id="1103837302">
                                  <w:marLeft w:val="0"/>
                                  <w:marRight w:val="0"/>
                                  <w:marTop w:val="0"/>
                                  <w:marBottom w:val="0"/>
                                  <w:divBdr>
                                    <w:top w:val="none" w:sz="0" w:space="0" w:color="auto"/>
                                    <w:left w:val="none" w:sz="0" w:space="0" w:color="auto"/>
                                    <w:bottom w:val="none" w:sz="0" w:space="0" w:color="auto"/>
                                    <w:right w:val="none" w:sz="0" w:space="0" w:color="auto"/>
                                  </w:divBdr>
                                  <w:divsChild>
                                    <w:div w:id="6431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4753933">
      <w:bodyDiv w:val="1"/>
      <w:marLeft w:val="0"/>
      <w:marRight w:val="0"/>
      <w:marTop w:val="0"/>
      <w:marBottom w:val="0"/>
      <w:divBdr>
        <w:top w:val="none" w:sz="0" w:space="0" w:color="auto"/>
        <w:left w:val="none" w:sz="0" w:space="0" w:color="auto"/>
        <w:bottom w:val="none" w:sz="0" w:space="0" w:color="auto"/>
        <w:right w:val="none" w:sz="0" w:space="0" w:color="auto"/>
      </w:divBdr>
      <w:divsChild>
        <w:div w:id="10107362">
          <w:marLeft w:val="0"/>
          <w:marRight w:val="0"/>
          <w:marTop w:val="0"/>
          <w:marBottom w:val="0"/>
          <w:divBdr>
            <w:top w:val="none" w:sz="0" w:space="0" w:color="auto"/>
            <w:left w:val="none" w:sz="0" w:space="0" w:color="auto"/>
            <w:bottom w:val="none" w:sz="0" w:space="0" w:color="auto"/>
            <w:right w:val="none" w:sz="0" w:space="0" w:color="auto"/>
          </w:divBdr>
          <w:divsChild>
            <w:div w:id="148443417">
              <w:marLeft w:val="0"/>
              <w:marRight w:val="0"/>
              <w:marTop w:val="0"/>
              <w:marBottom w:val="0"/>
              <w:divBdr>
                <w:top w:val="none" w:sz="0" w:space="0" w:color="auto"/>
                <w:left w:val="none" w:sz="0" w:space="0" w:color="auto"/>
                <w:bottom w:val="none" w:sz="0" w:space="0" w:color="auto"/>
                <w:right w:val="none" w:sz="0" w:space="0" w:color="auto"/>
              </w:divBdr>
              <w:divsChild>
                <w:div w:id="1650134754">
                  <w:marLeft w:val="0"/>
                  <w:marRight w:val="0"/>
                  <w:marTop w:val="0"/>
                  <w:marBottom w:val="0"/>
                  <w:divBdr>
                    <w:top w:val="none" w:sz="0" w:space="0" w:color="auto"/>
                    <w:left w:val="none" w:sz="0" w:space="0" w:color="auto"/>
                    <w:bottom w:val="none" w:sz="0" w:space="0" w:color="auto"/>
                    <w:right w:val="none" w:sz="0" w:space="0" w:color="auto"/>
                  </w:divBdr>
                  <w:divsChild>
                    <w:div w:id="80833032">
                      <w:marLeft w:val="0"/>
                      <w:marRight w:val="0"/>
                      <w:marTop w:val="0"/>
                      <w:marBottom w:val="0"/>
                      <w:divBdr>
                        <w:top w:val="none" w:sz="0" w:space="0" w:color="auto"/>
                        <w:left w:val="none" w:sz="0" w:space="0" w:color="auto"/>
                        <w:bottom w:val="none" w:sz="0" w:space="0" w:color="auto"/>
                        <w:right w:val="none" w:sz="0" w:space="0" w:color="auto"/>
                      </w:divBdr>
                      <w:divsChild>
                        <w:div w:id="1341392196">
                          <w:marLeft w:val="0"/>
                          <w:marRight w:val="0"/>
                          <w:marTop w:val="0"/>
                          <w:marBottom w:val="0"/>
                          <w:divBdr>
                            <w:top w:val="none" w:sz="0" w:space="0" w:color="auto"/>
                            <w:left w:val="none" w:sz="0" w:space="0" w:color="auto"/>
                            <w:bottom w:val="none" w:sz="0" w:space="0" w:color="auto"/>
                            <w:right w:val="none" w:sz="0" w:space="0" w:color="auto"/>
                          </w:divBdr>
                          <w:divsChild>
                            <w:div w:id="8814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797285">
      <w:bodyDiv w:val="1"/>
      <w:marLeft w:val="0"/>
      <w:marRight w:val="0"/>
      <w:marTop w:val="0"/>
      <w:marBottom w:val="0"/>
      <w:divBdr>
        <w:top w:val="none" w:sz="0" w:space="0" w:color="auto"/>
        <w:left w:val="none" w:sz="0" w:space="0" w:color="auto"/>
        <w:bottom w:val="none" w:sz="0" w:space="0" w:color="auto"/>
        <w:right w:val="none" w:sz="0" w:space="0" w:color="auto"/>
      </w:divBdr>
    </w:div>
    <w:div w:id="586617919">
      <w:bodyDiv w:val="1"/>
      <w:marLeft w:val="0"/>
      <w:marRight w:val="0"/>
      <w:marTop w:val="0"/>
      <w:marBottom w:val="0"/>
      <w:divBdr>
        <w:top w:val="none" w:sz="0" w:space="0" w:color="auto"/>
        <w:left w:val="none" w:sz="0" w:space="0" w:color="auto"/>
        <w:bottom w:val="none" w:sz="0" w:space="0" w:color="auto"/>
        <w:right w:val="none" w:sz="0" w:space="0" w:color="auto"/>
      </w:divBdr>
      <w:divsChild>
        <w:div w:id="1539271398">
          <w:marLeft w:val="0"/>
          <w:marRight w:val="0"/>
          <w:marTop w:val="0"/>
          <w:marBottom w:val="0"/>
          <w:divBdr>
            <w:top w:val="none" w:sz="0" w:space="0" w:color="auto"/>
            <w:left w:val="none" w:sz="0" w:space="0" w:color="auto"/>
            <w:bottom w:val="none" w:sz="0" w:space="0" w:color="auto"/>
            <w:right w:val="none" w:sz="0" w:space="0" w:color="auto"/>
          </w:divBdr>
          <w:divsChild>
            <w:div w:id="1046755424">
              <w:marLeft w:val="0"/>
              <w:marRight w:val="0"/>
              <w:marTop w:val="0"/>
              <w:marBottom w:val="0"/>
              <w:divBdr>
                <w:top w:val="none" w:sz="0" w:space="0" w:color="auto"/>
                <w:left w:val="none" w:sz="0" w:space="0" w:color="auto"/>
                <w:bottom w:val="none" w:sz="0" w:space="0" w:color="auto"/>
                <w:right w:val="none" w:sz="0" w:space="0" w:color="auto"/>
              </w:divBdr>
              <w:divsChild>
                <w:div w:id="844323731">
                  <w:marLeft w:val="0"/>
                  <w:marRight w:val="0"/>
                  <w:marTop w:val="0"/>
                  <w:marBottom w:val="0"/>
                  <w:divBdr>
                    <w:top w:val="none" w:sz="0" w:space="0" w:color="auto"/>
                    <w:left w:val="none" w:sz="0" w:space="0" w:color="auto"/>
                    <w:bottom w:val="none" w:sz="0" w:space="0" w:color="auto"/>
                    <w:right w:val="none" w:sz="0" w:space="0" w:color="auto"/>
                  </w:divBdr>
                  <w:divsChild>
                    <w:div w:id="1533566383">
                      <w:marLeft w:val="0"/>
                      <w:marRight w:val="0"/>
                      <w:marTop w:val="0"/>
                      <w:marBottom w:val="0"/>
                      <w:divBdr>
                        <w:top w:val="none" w:sz="0" w:space="0" w:color="auto"/>
                        <w:left w:val="none" w:sz="0" w:space="0" w:color="auto"/>
                        <w:bottom w:val="none" w:sz="0" w:space="0" w:color="auto"/>
                        <w:right w:val="none" w:sz="0" w:space="0" w:color="auto"/>
                      </w:divBdr>
                      <w:divsChild>
                        <w:div w:id="522013477">
                          <w:marLeft w:val="0"/>
                          <w:marRight w:val="0"/>
                          <w:marTop w:val="0"/>
                          <w:marBottom w:val="0"/>
                          <w:divBdr>
                            <w:top w:val="none" w:sz="0" w:space="0" w:color="auto"/>
                            <w:left w:val="none" w:sz="0" w:space="0" w:color="auto"/>
                            <w:bottom w:val="none" w:sz="0" w:space="0" w:color="auto"/>
                            <w:right w:val="none" w:sz="0" w:space="0" w:color="auto"/>
                          </w:divBdr>
                          <w:divsChild>
                            <w:div w:id="2144690857">
                              <w:marLeft w:val="0"/>
                              <w:marRight w:val="0"/>
                              <w:marTop w:val="0"/>
                              <w:marBottom w:val="0"/>
                              <w:divBdr>
                                <w:top w:val="none" w:sz="0" w:space="0" w:color="auto"/>
                                <w:left w:val="none" w:sz="0" w:space="0" w:color="auto"/>
                                <w:bottom w:val="none" w:sz="0" w:space="0" w:color="auto"/>
                                <w:right w:val="none" w:sz="0" w:space="0" w:color="auto"/>
                              </w:divBdr>
                              <w:divsChild>
                                <w:div w:id="1751612832">
                                  <w:marLeft w:val="0"/>
                                  <w:marRight w:val="0"/>
                                  <w:marTop w:val="0"/>
                                  <w:marBottom w:val="0"/>
                                  <w:divBdr>
                                    <w:top w:val="none" w:sz="0" w:space="0" w:color="auto"/>
                                    <w:left w:val="none" w:sz="0" w:space="0" w:color="auto"/>
                                    <w:bottom w:val="none" w:sz="0" w:space="0" w:color="auto"/>
                                    <w:right w:val="none" w:sz="0" w:space="0" w:color="auto"/>
                                  </w:divBdr>
                                  <w:divsChild>
                                    <w:div w:id="249390112">
                                      <w:marLeft w:val="0"/>
                                      <w:marRight w:val="0"/>
                                      <w:marTop w:val="0"/>
                                      <w:marBottom w:val="0"/>
                                      <w:divBdr>
                                        <w:top w:val="none" w:sz="0" w:space="0" w:color="auto"/>
                                        <w:left w:val="none" w:sz="0" w:space="0" w:color="auto"/>
                                        <w:bottom w:val="none" w:sz="0" w:space="0" w:color="auto"/>
                                        <w:right w:val="none" w:sz="0" w:space="0" w:color="auto"/>
                                      </w:divBdr>
                                      <w:divsChild>
                                        <w:div w:id="20979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9094406">
      <w:bodyDiv w:val="1"/>
      <w:marLeft w:val="0"/>
      <w:marRight w:val="0"/>
      <w:marTop w:val="0"/>
      <w:marBottom w:val="0"/>
      <w:divBdr>
        <w:top w:val="none" w:sz="0" w:space="0" w:color="auto"/>
        <w:left w:val="none" w:sz="0" w:space="0" w:color="auto"/>
        <w:bottom w:val="none" w:sz="0" w:space="0" w:color="auto"/>
        <w:right w:val="none" w:sz="0" w:space="0" w:color="auto"/>
      </w:divBdr>
      <w:divsChild>
        <w:div w:id="1416124109">
          <w:marLeft w:val="0"/>
          <w:marRight w:val="0"/>
          <w:marTop w:val="0"/>
          <w:marBottom w:val="0"/>
          <w:divBdr>
            <w:top w:val="none" w:sz="0" w:space="0" w:color="auto"/>
            <w:left w:val="none" w:sz="0" w:space="0" w:color="auto"/>
            <w:bottom w:val="none" w:sz="0" w:space="0" w:color="auto"/>
            <w:right w:val="none" w:sz="0" w:space="0" w:color="auto"/>
          </w:divBdr>
          <w:divsChild>
            <w:div w:id="510799674">
              <w:marLeft w:val="0"/>
              <w:marRight w:val="0"/>
              <w:marTop w:val="0"/>
              <w:marBottom w:val="0"/>
              <w:divBdr>
                <w:top w:val="none" w:sz="0" w:space="0" w:color="auto"/>
                <w:left w:val="none" w:sz="0" w:space="0" w:color="auto"/>
                <w:bottom w:val="none" w:sz="0" w:space="0" w:color="auto"/>
                <w:right w:val="none" w:sz="0" w:space="0" w:color="auto"/>
              </w:divBdr>
              <w:divsChild>
                <w:div w:id="1462768745">
                  <w:marLeft w:val="0"/>
                  <w:marRight w:val="0"/>
                  <w:marTop w:val="0"/>
                  <w:marBottom w:val="0"/>
                  <w:divBdr>
                    <w:top w:val="none" w:sz="0" w:space="0" w:color="auto"/>
                    <w:left w:val="none" w:sz="0" w:space="0" w:color="auto"/>
                    <w:bottom w:val="none" w:sz="0" w:space="0" w:color="auto"/>
                    <w:right w:val="none" w:sz="0" w:space="0" w:color="auto"/>
                  </w:divBdr>
                  <w:divsChild>
                    <w:div w:id="1871726202">
                      <w:marLeft w:val="0"/>
                      <w:marRight w:val="0"/>
                      <w:marTop w:val="0"/>
                      <w:marBottom w:val="0"/>
                      <w:divBdr>
                        <w:top w:val="none" w:sz="0" w:space="0" w:color="auto"/>
                        <w:left w:val="none" w:sz="0" w:space="0" w:color="auto"/>
                        <w:bottom w:val="none" w:sz="0" w:space="0" w:color="auto"/>
                        <w:right w:val="none" w:sz="0" w:space="0" w:color="auto"/>
                      </w:divBdr>
                      <w:divsChild>
                        <w:div w:id="773357199">
                          <w:marLeft w:val="0"/>
                          <w:marRight w:val="0"/>
                          <w:marTop w:val="0"/>
                          <w:marBottom w:val="0"/>
                          <w:divBdr>
                            <w:top w:val="none" w:sz="0" w:space="0" w:color="auto"/>
                            <w:left w:val="none" w:sz="0" w:space="0" w:color="auto"/>
                            <w:bottom w:val="none" w:sz="0" w:space="0" w:color="auto"/>
                            <w:right w:val="none" w:sz="0" w:space="0" w:color="auto"/>
                          </w:divBdr>
                          <w:divsChild>
                            <w:div w:id="1182358909">
                              <w:marLeft w:val="0"/>
                              <w:marRight w:val="0"/>
                              <w:marTop w:val="0"/>
                              <w:marBottom w:val="0"/>
                              <w:divBdr>
                                <w:top w:val="none" w:sz="0" w:space="0" w:color="auto"/>
                                <w:left w:val="none" w:sz="0" w:space="0" w:color="auto"/>
                                <w:bottom w:val="none" w:sz="0" w:space="0" w:color="auto"/>
                                <w:right w:val="none" w:sz="0" w:space="0" w:color="auto"/>
                              </w:divBdr>
                              <w:divsChild>
                                <w:div w:id="2019572588">
                                  <w:marLeft w:val="0"/>
                                  <w:marRight w:val="0"/>
                                  <w:marTop w:val="0"/>
                                  <w:marBottom w:val="0"/>
                                  <w:divBdr>
                                    <w:top w:val="none" w:sz="0" w:space="0" w:color="auto"/>
                                    <w:left w:val="none" w:sz="0" w:space="0" w:color="auto"/>
                                    <w:bottom w:val="none" w:sz="0" w:space="0" w:color="auto"/>
                                    <w:right w:val="none" w:sz="0" w:space="0" w:color="auto"/>
                                  </w:divBdr>
                                  <w:divsChild>
                                    <w:div w:id="183402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054270">
      <w:bodyDiv w:val="1"/>
      <w:marLeft w:val="0"/>
      <w:marRight w:val="0"/>
      <w:marTop w:val="0"/>
      <w:marBottom w:val="0"/>
      <w:divBdr>
        <w:top w:val="none" w:sz="0" w:space="0" w:color="auto"/>
        <w:left w:val="none" w:sz="0" w:space="0" w:color="auto"/>
        <w:bottom w:val="none" w:sz="0" w:space="0" w:color="auto"/>
        <w:right w:val="none" w:sz="0" w:space="0" w:color="auto"/>
      </w:divBdr>
      <w:divsChild>
        <w:div w:id="899360862">
          <w:marLeft w:val="0"/>
          <w:marRight w:val="0"/>
          <w:marTop w:val="0"/>
          <w:marBottom w:val="0"/>
          <w:divBdr>
            <w:top w:val="none" w:sz="0" w:space="0" w:color="auto"/>
            <w:left w:val="none" w:sz="0" w:space="0" w:color="auto"/>
            <w:bottom w:val="none" w:sz="0" w:space="0" w:color="auto"/>
            <w:right w:val="none" w:sz="0" w:space="0" w:color="auto"/>
          </w:divBdr>
          <w:divsChild>
            <w:div w:id="1018846559">
              <w:marLeft w:val="0"/>
              <w:marRight w:val="0"/>
              <w:marTop w:val="0"/>
              <w:marBottom w:val="0"/>
              <w:divBdr>
                <w:top w:val="none" w:sz="0" w:space="0" w:color="auto"/>
                <w:left w:val="none" w:sz="0" w:space="0" w:color="auto"/>
                <w:bottom w:val="none" w:sz="0" w:space="0" w:color="auto"/>
                <w:right w:val="none" w:sz="0" w:space="0" w:color="auto"/>
              </w:divBdr>
              <w:divsChild>
                <w:div w:id="1649624100">
                  <w:marLeft w:val="0"/>
                  <w:marRight w:val="0"/>
                  <w:marTop w:val="0"/>
                  <w:marBottom w:val="0"/>
                  <w:divBdr>
                    <w:top w:val="none" w:sz="0" w:space="0" w:color="auto"/>
                    <w:left w:val="none" w:sz="0" w:space="0" w:color="auto"/>
                    <w:bottom w:val="none" w:sz="0" w:space="0" w:color="auto"/>
                    <w:right w:val="none" w:sz="0" w:space="0" w:color="auto"/>
                  </w:divBdr>
                  <w:divsChild>
                    <w:div w:id="907113199">
                      <w:marLeft w:val="0"/>
                      <w:marRight w:val="0"/>
                      <w:marTop w:val="0"/>
                      <w:marBottom w:val="0"/>
                      <w:divBdr>
                        <w:top w:val="none" w:sz="0" w:space="0" w:color="auto"/>
                        <w:left w:val="none" w:sz="0" w:space="0" w:color="auto"/>
                        <w:bottom w:val="none" w:sz="0" w:space="0" w:color="auto"/>
                        <w:right w:val="none" w:sz="0" w:space="0" w:color="auto"/>
                      </w:divBdr>
                      <w:divsChild>
                        <w:div w:id="1899897062">
                          <w:marLeft w:val="0"/>
                          <w:marRight w:val="0"/>
                          <w:marTop w:val="0"/>
                          <w:marBottom w:val="0"/>
                          <w:divBdr>
                            <w:top w:val="none" w:sz="0" w:space="0" w:color="auto"/>
                            <w:left w:val="none" w:sz="0" w:space="0" w:color="auto"/>
                            <w:bottom w:val="none" w:sz="0" w:space="0" w:color="auto"/>
                            <w:right w:val="none" w:sz="0" w:space="0" w:color="auto"/>
                          </w:divBdr>
                          <w:divsChild>
                            <w:div w:id="64883949">
                              <w:marLeft w:val="0"/>
                              <w:marRight w:val="0"/>
                              <w:marTop w:val="0"/>
                              <w:marBottom w:val="0"/>
                              <w:divBdr>
                                <w:top w:val="none" w:sz="0" w:space="0" w:color="auto"/>
                                <w:left w:val="none" w:sz="0" w:space="0" w:color="auto"/>
                                <w:bottom w:val="none" w:sz="0" w:space="0" w:color="auto"/>
                                <w:right w:val="none" w:sz="0" w:space="0" w:color="auto"/>
                              </w:divBdr>
                              <w:divsChild>
                                <w:div w:id="22681688">
                                  <w:marLeft w:val="0"/>
                                  <w:marRight w:val="0"/>
                                  <w:marTop w:val="0"/>
                                  <w:marBottom w:val="0"/>
                                  <w:divBdr>
                                    <w:top w:val="none" w:sz="0" w:space="0" w:color="auto"/>
                                    <w:left w:val="none" w:sz="0" w:space="0" w:color="auto"/>
                                    <w:bottom w:val="none" w:sz="0" w:space="0" w:color="auto"/>
                                    <w:right w:val="none" w:sz="0" w:space="0" w:color="auto"/>
                                  </w:divBdr>
                                  <w:divsChild>
                                    <w:div w:id="97001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8386353">
      <w:bodyDiv w:val="1"/>
      <w:marLeft w:val="0"/>
      <w:marRight w:val="0"/>
      <w:marTop w:val="0"/>
      <w:marBottom w:val="0"/>
      <w:divBdr>
        <w:top w:val="none" w:sz="0" w:space="0" w:color="auto"/>
        <w:left w:val="none" w:sz="0" w:space="0" w:color="auto"/>
        <w:bottom w:val="none" w:sz="0" w:space="0" w:color="auto"/>
        <w:right w:val="none" w:sz="0" w:space="0" w:color="auto"/>
      </w:divBdr>
      <w:divsChild>
        <w:div w:id="1297299945">
          <w:marLeft w:val="0"/>
          <w:marRight w:val="0"/>
          <w:marTop w:val="0"/>
          <w:marBottom w:val="0"/>
          <w:divBdr>
            <w:top w:val="none" w:sz="0" w:space="0" w:color="auto"/>
            <w:left w:val="none" w:sz="0" w:space="0" w:color="auto"/>
            <w:bottom w:val="none" w:sz="0" w:space="0" w:color="auto"/>
            <w:right w:val="none" w:sz="0" w:space="0" w:color="auto"/>
          </w:divBdr>
          <w:divsChild>
            <w:div w:id="386417040">
              <w:marLeft w:val="0"/>
              <w:marRight w:val="0"/>
              <w:marTop w:val="0"/>
              <w:marBottom w:val="0"/>
              <w:divBdr>
                <w:top w:val="none" w:sz="0" w:space="0" w:color="auto"/>
                <w:left w:val="none" w:sz="0" w:space="0" w:color="auto"/>
                <w:bottom w:val="none" w:sz="0" w:space="0" w:color="auto"/>
                <w:right w:val="none" w:sz="0" w:space="0" w:color="auto"/>
              </w:divBdr>
              <w:divsChild>
                <w:div w:id="1493063253">
                  <w:marLeft w:val="0"/>
                  <w:marRight w:val="0"/>
                  <w:marTop w:val="0"/>
                  <w:marBottom w:val="0"/>
                  <w:divBdr>
                    <w:top w:val="none" w:sz="0" w:space="0" w:color="auto"/>
                    <w:left w:val="none" w:sz="0" w:space="0" w:color="auto"/>
                    <w:bottom w:val="none" w:sz="0" w:space="0" w:color="auto"/>
                    <w:right w:val="none" w:sz="0" w:space="0" w:color="auto"/>
                  </w:divBdr>
                  <w:divsChild>
                    <w:div w:id="1293826715">
                      <w:marLeft w:val="0"/>
                      <w:marRight w:val="0"/>
                      <w:marTop w:val="0"/>
                      <w:marBottom w:val="0"/>
                      <w:divBdr>
                        <w:top w:val="none" w:sz="0" w:space="0" w:color="auto"/>
                        <w:left w:val="none" w:sz="0" w:space="0" w:color="auto"/>
                        <w:bottom w:val="none" w:sz="0" w:space="0" w:color="auto"/>
                        <w:right w:val="none" w:sz="0" w:space="0" w:color="auto"/>
                      </w:divBdr>
                      <w:divsChild>
                        <w:div w:id="1237936774">
                          <w:marLeft w:val="0"/>
                          <w:marRight w:val="0"/>
                          <w:marTop w:val="0"/>
                          <w:marBottom w:val="0"/>
                          <w:divBdr>
                            <w:top w:val="none" w:sz="0" w:space="0" w:color="auto"/>
                            <w:left w:val="none" w:sz="0" w:space="0" w:color="auto"/>
                            <w:bottom w:val="none" w:sz="0" w:space="0" w:color="auto"/>
                            <w:right w:val="none" w:sz="0" w:space="0" w:color="auto"/>
                          </w:divBdr>
                          <w:divsChild>
                            <w:div w:id="209774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880223">
      <w:bodyDiv w:val="1"/>
      <w:marLeft w:val="0"/>
      <w:marRight w:val="0"/>
      <w:marTop w:val="0"/>
      <w:marBottom w:val="0"/>
      <w:divBdr>
        <w:top w:val="none" w:sz="0" w:space="0" w:color="auto"/>
        <w:left w:val="none" w:sz="0" w:space="0" w:color="auto"/>
        <w:bottom w:val="none" w:sz="0" w:space="0" w:color="auto"/>
        <w:right w:val="none" w:sz="0" w:space="0" w:color="auto"/>
      </w:divBdr>
      <w:divsChild>
        <w:div w:id="577784058">
          <w:marLeft w:val="0"/>
          <w:marRight w:val="0"/>
          <w:marTop w:val="0"/>
          <w:marBottom w:val="0"/>
          <w:divBdr>
            <w:top w:val="none" w:sz="0" w:space="0" w:color="auto"/>
            <w:left w:val="none" w:sz="0" w:space="0" w:color="auto"/>
            <w:bottom w:val="none" w:sz="0" w:space="0" w:color="auto"/>
            <w:right w:val="none" w:sz="0" w:space="0" w:color="auto"/>
          </w:divBdr>
          <w:divsChild>
            <w:div w:id="2062315789">
              <w:marLeft w:val="0"/>
              <w:marRight w:val="0"/>
              <w:marTop w:val="0"/>
              <w:marBottom w:val="0"/>
              <w:divBdr>
                <w:top w:val="none" w:sz="0" w:space="0" w:color="auto"/>
                <w:left w:val="none" w:sz="0" w:space="0" w:color="auto"/>
                <w:bottom w:val="none" w:sz="0" w:space="0" w:color="auto"/>
                <w:right w:val="none" w:sz="0" w:space="0" w:color="auto"/>
              </w:divBdr>
              <w:divsChild>
                <w:div w:id="1822575841">
                  <w:marLeft w:val="0"/>
                  <w:marRight w:val="0"/>
                  <w:marTop w:val="0"/>
                  <w:marBottom w:val="0"/>
                  <w:divBdr>
                    <w:top w:val="none" w:sz="0" w:space="0" w:color="auto"/>
                    <w:left w:val="none" w:sz="0" w:space="0" w:color="auto"/>
                    <w:bottom w:val="none" w:sz="0" w:space="0" w:color="auto"/>
                    <w:right w:val="none" w:sz="0" w:space="0" w:color="auto"/>
                  </w:divBdr>
                  <w:divsChild>
                    <w:div w:id="547650258">
                      <w:marLeft w:val="0"/>
                      <w:marRight w:val="0"/>
                      <w:marTop w:val="0"/>
                      <w:marBottom w:val="0"/>
                      <w:divBdr>
                        <w:top w:val="none" w:sz="0" w:space="0" w:color="auto"/>
                        <w:left w:val="none" w:sz="0" w:space="0" w:color="auto"/>
                        <w:bottom w:val="none" w:sz="0" w:space="0" w:color="auto"/>
                        <w:right w:val="none" w:sz="0" w:space="0" w:color="auto"/>
                      </w:divBdr>
                      <w:divsChild>
                        <w:div w:id="1062019115">
                          <w:marLeft w:val="0"/>
                          <w:marRight w:val="0"/>
                          <w:marTop w:val="0"/>
                          <w:marBottom w:val="0"/>
                          <w:divBdr>
                            <w:top w:val="none" w:sz="0" w:space="0" w:color="auto"/>
                            <w:left w:val="none" w:sz="0" w:space="0" w:color="auto"/>
                            <w:bottom w:val="none" w:sz="0" w:space="0" w:color="auto"/>
                            <w:right w:val="none" w:sz="0" w:space="0" w:color="auto"/>
                          </w:divBdr>
                          <w:divsChild>
                            <w:div w:id="810294586">
                              <w:marLeft w:val="0"/>
                              <w:marRight w:val="0"/>
                              <w:marTop w:val="0"/>
                              <w:marBottom w:val="0"/>
                              <w:divBdr>
                                <w:top w:val="none" w:sz="0" w:space="0" w:color="auto"/>
                                <w:left w:val="none" w:sz="0" w:space="0" w:color="auto"/>
                                <w:bottom w:val="none" w:sz="0" w:space="0" w:color="auto"/>
                                <w:right w:val="none" w:sz="0" w:space="0" w:color="auto"/>
                              </w:divBdr>
                              <w:divsChild>
                                <w:div w:id="193077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116844">
      <w:bodyDiv w:val="1"/>
      <w:marLeft w:val="0"/>
      <w:marRight w:val="0"/>
      <w:marTop w:val="0"/>
      <w:marBottom w:val="0"/>
      <w:divBdr>
        <w:top w:val="none" w:sz="0" w:space="0" w:color="auto"/>
        <w:left w:val="none" w:sz="0" w:space="0" w:color="auto"/>
        <w:bottom w:val="none" w:sz="0" w:space="0" w:color="auto"/>
        <w:right w:val="none" w:sz="0" w:space="0" w:color="auto"/>
      </w:divBdr>
      <w:divsChild>
        <w:div w:id="320156467">
          <w:marLeft w:val="0"/>
          <w:marRight w:val="0"/>
          <w:marTop w:val="0"/>
          <w:marBottom w:val="0"/>
          <w:divBdr>
            <w:top w:val="none" w:sz="0" w:space="0" w:color="auto"/>
            <w:left w:val="none" w:sz="0" w:space="0" w:color="auto"/>
            <w:bottom w:val="none" w:sz="0" w:space="0" w:color="auto"/>
            <w:right w:val="none" w:sz="0" w:space="0" w:color="auto"/>
          </w:divBdr>
          <w:divsChild>
            <w:div w:id="1909144157">
              <w:marLeft w:val="0"/>
              <w:marRight w:val="0"/>
              <w:marTop w:val="0"/>
              <w:marBottom w:val="0"/>
              <w:divBdr>
                <w:top w:val="none" w:sz="0" w:space="0" w:color="auto"/>
                <w:left w:val="none" w:sz="0" w:space="0" w:color="auto"/>
                <w:bottom w:val="none" w:sz="0" w:space="0" w:color="auto"/>
                <w:right w:val="none" w:sz="0" w:space="0" w:color="auto"/>
              </w:divBdr>
              <w:divsChild>
                <w:div w:id="1092359923">
                  <w:marLeft w:val="0"/>
                  <w:marRight w:val="0"/>
                  <w:marTop w:val="0"/>
                  <w:marBottom w:val="0"/>
                  <w:divBdr>
                    <w:top w:val="none" w:sz="0" w:space="0" w:color="auto"/>
                    <w:left w:val="none" w:sz="0" w:space="0" w:color="auto"/>
                    <w:bottom w:val="none" w:sz="0" w:space="0" w:color="auto"/>
                    <w:right w:val="none" w:sz="0" w:space="0" w:color="auto"/>
                  </w:divBdr>
                  <w:divsChild>
                    <w:div w:id="193930127">
                      <w:marLeft w:val="0"/>
                      <w:marRight w:val="0"/>
                      <w:marTop w:val="0"/>
                      <w:marBottom w:val="0"/>
                      <w:divBdr>
                        <w:top w:val="none" w:sz="0" w:space="0" w:color="auto"/>
                        <w:left w:val="none" w:sz="0" w:space="0" w:color="auto"/>
                        <w:bottom w:val="none" w:sz="0" w:space="0" w:color="auto"/>
                        <w:right w:val="none" w:sz="0" w:space="0" w:color="auto"/>
                      </w:divBdr>
                      <w:divsChild>
                        <w:div w:id="1349674261">
                          <w:marLeft w:val="0"/>
                          <w:marRight w:val="0"/>
                          <w:marTop w:val="0"/>
                          <w:marBottom w:val="0"/>
                          <w:divBdr>
                            <w:top w:val="none" w:sz="0" w:space="0" w:color="auto"/>
                            <w:left w:val="none" w:sz="0" w:space="0" w:color="auto"/>
                            <w:bottom w:val="none" w:sz="0" w:space="0" w:color="auto"/>
                            <w:right w:val="none" w:sz="0" w:space="0" w:color="auto"/>
                          </w:divBdr>
                          <w:divsChild>
                            <w:div w:id="222985991">
                              <w:marLeft w:val="0"/>
                              <w:marRight w:val="0"/>
                              <w:marTop w:val="0"/>
                              <w:marBottom w:val="0"/>
                              <w:divBdr>
                                <w:top w:val="none" w:sz="0" w:space="0" w:color="auto"/>
                                <w:left w:val="none" w:sz="0" w:space="0" w:color="auto"/>
                                <w:bottom w:val="none" w:sz="0" w:space="0" w:color="auto"/>
                                <w:right w:val="none" w:sz="0" w:space="0" w:color="auto"/>
                              </w:divBdr>
                              <w:divsChild>
                                <w:div w:id="303850850">
                                  <w:marLeft w:val="0"/>
                                  <w:marRight w:val="0"/>
                                  <w:marTop w:val="0"/>
                                  <w:marBottom w:val="0"/>
                                  <w:divBdr>
                                    <w:top w:val="none" w:sz="0" w:space="0" w:color="auto"/>
                                    <w:left w:val="none" w:sz="0" w:space="0" w:color="auto"/>
                                    <w:bottom w:val="none" w:sz="0" w:space="0" w:color="auto"/>
                                    <w:right w:val="none" w:sz="0" w:space="0" w:color="auto"/>
                                  </w:divBdr>
                                  <w:divsChild>
                                    <w:div w:id="17576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782733">
      <w:bodyDiv w:val="1"/>
      <w:marLeft w:val="0"/>
      <w:marRight w:val="0"/>
      <w:marTop w:val="0"/>
      <w:marBottom w:val="0"/>
      <w:divBdr>
        <w:top w:val="none" w:sz="0" w:space="0" w:color="auto"/>
        <w:left w:val="none" w:sz="0" w:space="0" w:color="auto"/>
        <w:bottom w:val="none" w:sz="0" w:space="0" w:color="auto"/>
        <w:right w:val="none" w:sz="0" w:space="0" w:color="auto"/>
      </w:divBdr>
    </w:div>
    <w:div w:id="915624671">
      <w:bodyDiv w:val="1"/>
      <w:marLeft w:val="0"/>
      <w:marRight w:val="0"/>
      <w:marTop w:val="0"/>
      <w:marBottom w:val="0"/>
      <w:divBdr>
        <w:top w:val="none" w:sz="0" w:space="0" w:color="auto"/>
        <w:left w:val="none" w:sz="0" w:space="0" w:color="auto"/>
        <w:bottom w:val="none" w:sz="0" w:space="0" w:color="auto"/>
        <w:right w:val="none" w:sz="0" w:space="0" w:color="auto"/>
      </w:divBdr>
    </w:div>
    <w:div w:id="946813922">
      <w:bodyDiv w:val="1"/>
      <w:marLeft w:val="0"/>
      <w:marRight w:val="0"/>
      <w:marTop w:val="0"/>
      <w:marBottom w:val="0"/>
      <w:divBdr>
        <w:top w:val="none" w:sz="0" w:space="0" w:color="auto"/>
        <w:left w:val="none" w:sz="0" w:space="0" w:color="auto"/>
        <w:bottom w:val="none" w:sz="0" w:space="0" w:color="auto"/>
        <w:right w:val="none" w:sz="0" w:space="0" w:color="auto"/>
      </w:divBdr>
      <w:divsChild>
        <w:div w:id="1314068780">
          <w:marLeft w:val="0"/>
          <w:marRight w:val="0"/>
          <w:marTop w:val="0"/>
          <w:marBottom w:val="0"/>
          <w:divBdr>
            <w:top w:val="none" w:sz="0" w:space="0" w:color="auto"/>
            <w:left w:val="none" w:sz="0" w:space="0" w:color="auto"/>
            <w:bottom w:val="none" w:sz="0" w:space="0" w:color="auto"/>
            <w:right w:val="none" w:sz="0" w:space="0" w:color="auto"/>
          </w:divBdr>
          <w:divsChild>
            <w:div w:id="779642479">
              <w:marLeft w:val="0"/>
              <w:marRight w:val="0"/>
              <w:marTop w:val="0"/>
              <w:marBottom w:val="0"/>
              <w:divBdr>
                <w:top w:val="none" w:sz="0" w:space="0" w:color="auto"/>
                <w:left w:val="none" w:sz="0" w:space="0" w:color="auto"/>
                <w:bottom w:val="none" w:sz="0" w:space="0" w:color="auto"/>
                <w:right w:val="none" w:sz="0" w:space="0" w:color="auto"/>
              </w:divBdr>
              <w:divsChild>
                <w:div w:id="1389264839">
                  <w:marLeft w:val="0"/>
                  <w:marRight w:val="0"/>
                  <w:marTop w:val="0"/>
                  <w:marBottom w:val="0"/>
                  <w:divBdr>
                    <w:top w:val="none" w:sz="0" w:space="0" w:color="auto"/>
                    <w:left w:val="none" w:sz="0" w:space="0" w:color="auto"/>
                    <w:bottom w:val="none" w:sz="0" w:space="0" w:color="auto"/>
                    <w:right w:val="none" w:sz="0" w:space="0" w:color="auto"/>
                  </w:divBdr>
                  <w:divsChild>
                    <w:div w:id="1762216153">
                      <w:marLeft w:val="0"/>
                      <w:marRight w:val="0"/>
                      <w:marTop w:val="0"/>
                      <w:marBottom w:val="0"/>
                      <w:divBdr>
                        <w:top w:val="none" w:sz="0" w:space="0" w:color="auto"/>
                        <w:left w:val="none" w:sz="0" w:space="0" w:color="auto"/>
                        <w:bottom w:val="none" w:sz="0" w:space="0" w:color="auto"/>
                        <w:right w:val="none" w:sz="0" w:space="0" w:color="auto"/>
                      </w:divBdr>
                      <w:divsChild>
                        <w:div w:id="1803883968">
                          <w:marLeft w:val="0"/>
                          <w:marRight w:val="0"/>
                          <w:marTop w:val="0"/>
                          <w:marBottom w:val="0"/>
                          <w:divBdr>
                            <w:top w:val="none" w:sz="0" w:space="0" w:color="auto"/>
                            <w:left w:val="none" w:sz="0" w:space="0" w:color="auto"/>
                            <w:bottom w:val="none" w:sz="0" w:space="0" w:color="auto"/>
                            <w:right w:val="none" w:sz="0" w:space="0" w:color="auto"/>
                          </w:divBdr>
                          <w:divsChild>
                            <w:div w:id="181248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122627">
      <w:bodyDiv w:val="1"/>
      <w:marLeft w:val="0"/>
      <w:marRight w:val="0"/>
      <w:marTop w:val="0"/>
      <w:marBottom w:val="0"/>
      <w:divBdr>
        <w:top w:val="none" w:sz="0" w:space="0" w:color="auto"/>
        <w:left w:val="none" w:sz="0" w:space="0" w:color="auto"/>
        <w:bottom w:val="none" w:sz="0" w:space="0" w:color="auto"/>
        <w:right w:val="none" w:sz="0" w:space="0" w:color="auto"/>
      </w:divBdr>
    </w:div>
    <w:div w:id="1024987443">
      <w:bodyDiv w:val="1"/>
      <w:marLeft w:val="0"/>
      <w:marRight w:val="0"/>
      <w:marTop w:val="0"/>
      <w:marBottom w:val="0"/>
      <w:divBdr>
        <w:top w:val="none" w:sz="0" w:space="0" w:color="auto"/>
        <w:left w:val="none" w:sz="0" w:space="0" w:color="auto"/>
        <w:bottom w:val="none" w:sz="0" w:space="0" w:color="auto"/>
        <w:right w:val="none" w:sz="0" w:space="0" w:color="auto"/>
      </w:divBdr>
      <w:divsChild>
        <w:div w:id="1812793830">
          <w:marLeft w:val="0"/>
          <w:marRight w:val="0"/>
          <w:marTop w:val="0"/>
          <w:marBottom w:val="0"/>
          <w:divBdr>
            <w:top w:val="none" w:sz="0" w:space="0" w:color="auto"/>
            <w:left w:val="none" w:sz="0" w:space="0" w:color="auto"/>
            <w:bottom w:val="none" w:sz="0" w:space="0" w:color="auto"/>
            <w:right w:val="none" w:sz="0" w:space="0" w:color="auto"/>
          </w:divBdr>
          <w:divsChild>
            <w:div w:id="2140368439">
              <w:marLeft w:val="0"/>
              <w:marRight w:val="0"/>
              <w:marTop w:val="0"/>
              <w:marBottom w:val="0"/>
              <w:divBdr>
                <w:top w:val="none" w:sz="0" w:space="0" w:color="auto"/>
                <w:left w:val="none" w:sz="0" w:space="0" w:color="auto"/>
                <w:bottom w:val="none" w:sz="0" w:space="0" w:color="auto"/>
                <w:right w:val="none" w:sz="0" w:space="0" w:color="auto"/>
              </w:divBdr>
              <w:divsChild>
                <w:div w:id="1865897463">
                  <w:marLeft w:val="0"/>
                  <w:marRight w:val="0"/>
                  <w:marTop w:val="0"/>
                  <w:marBottom w:val="0"/>
                  <w:divBdr>
                    <w:top w:val="none" w:sz="0" w:space="0" w:color="auto"/>
                    <w:left w:val="none" w:sz="0" w:space="0" w:color="auto"/>
                    <w:bottom w:val="none" w:sz="0" w:space="0" w:color="auto"/>
                    <w:right w:val="none" w:sz="0" w:space="0" w:color="auto"/>
                  </w:divBdr>
                  <w:divsChild>
                    <w:div w:id="1779836827">
                      <w:marLeft w:val="0"/>
                      <w:marRight w:val="0"/>
                      <w:marTop w:val="0"/>
                      <w:marBottom w:val="0"/>
                      <w:divBdr>
                        <w:top w:val="none" w:sz="0" w:space="0" w:color="auto"/>
                        <w:left w:val="none" w:sz="0" w:space="0" w:color="auto"/>
                        <w:bottom w:val="none" w:sz="0" w:space="0" w:color="auto"/>
                        <w:right w:val="none" w:sz="0" w:space="0" w:color="auto"/>
                      </w:divBdr>
                      <w:divsChild>
                        <w:div w:id="1980724295">
                          <w:marLeft w:val="0"/>
                          <w:marRight w:val="0"/>
                          <w:marTop w:val="0"/>
                          <w:marBottom w:val="0"/>
                          <w:divBdr>
                            <w:top w:val="none" w:sz="0" w:space="0" w:color="auto"/>
                            <w:left w:val="none" w:sz="0" w:space="0" w:color="auto"/>
                            <w:bottom w:val="none" w:sz="0" w:space="0" w:color="auto"/>
                            <w:right w:val="none" w:sz="0" w:space="0" w:color="auto"/>
                          </w:divBdr>
                          <w:divsChild>
                            <w:div w:id="1669164109">
                              <w:marLeft w:val="0"/>
                              <w:marRight w:val="0"/>
                              <w:marTop w:val="0"/>
                              <w:marBottom w:val="0"/>
                              <w:divBdr>
                                <w:top w:val="none" w:sz="0" w:space="0" w:color="auto"/>
                                <w:left w:val="none" w:sz="0" w:space="0" w:color="auto"/>
                                <w:bottom w:val="none" w:sz="0" w:space="0" w:color="auto"/>
                                <w:right w:val="none" w:sz="0" w:space="0" w:color="auto"/>
                              </w:divBdr>
                              <w:divsChild>
                                <w:div w:id="1944528911">
                                  <w:marLeft w:val="0"/>
                                  <w:marRight w:val="0"/>
                                  <w:marTop w:val="0"/>
                                  <w:marBottom w:val="0"/>
                                  <w:divBdr>
                                    <w:top w:val="none" w:sz="0" w:space="0" w:color="auto"/>
                                    <w:left w:val="none" w:sz="0" w:space="0" w:color="auto"/>
                                    <w:bottom w:val="none" w:sz="0" w:space="0" w:color="auto"/>
                                    <w:right w:val="none" w:sz="0" w:space="0" w:color="auto"/>
                                  </w:divBdr>
                                  <w:divsChild>
                                    <w:div w:id="116392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485344">
      <w:bodyDiv w:val="1"/>
      <w:marLeft w:val="0"/>
      <w:marRight w:val="0"/>
      <w:marTop w:val="0"/>
      <w:marBottom w:val="0"/>
      <w:divBdr>
        <w:top w:val="none" w:sz="0" w:space="0" w:color="auto"/>
        <w:left w:val="none" w:sz="0" w:space="0" w:color="auto"/>
        <w:bottom w:val="none" w:sz="0" w:space="0" w:color="auto"/>
        <w:right w:val="none" w:sz="0" w:space="0" w:color="auto"/>
      </w:divBdr>
    </w:div>
    <w:div w:id="1182813671">
      <w:bodyDiv w:val="1"/>
      <w:marLeft w:val="0"/>
      <w:marRight w:val="0"/>
      <w:marTop w:val="0"/>
      <w:marBottom w:val="0"/>
      <w:divBdr>
        <w:top w:val="none" w:sz="0" w:space="0" w:color="auto"/>
        <w:left w:val="none" w:sz="0" w:space="0" w:color="auto"/>
        <w:bottom w:val="none" w:sz="0" w:space="0" w:color="auto"/>
        <w:right w:val="none" w:sz="0" w:space="0" w:color="auto"/>
      </w:divBdr>
    </w:div>
    <w:div w:id="1412508654">
      <w:bodyDiv w:val="1"/>
      <w:marLeft w:val="0"/>
      <w:marRight w:val="0"/>
      <w:marTop w:val="0"/>
      <w:marBottom w:val="0"/>
      <w:divBdr>
        <w:top w:val="none" w:sz="0" w:space="0" w:color="auto"/>
        <w:left w:val="none" w:sz="0" w:space="0" w:color="auto"/>
        <w:bottom w:val="none" w:sz="0" w:space="0" w:color="auto"/>
        <w:right w:val="none" w:sz="0" w:space="0" w:color="auto"/>
      </w:divBdr>
    </w:div>
    <w:div w:id="1428230492">
      <w:bodyDiv w:val="1"/>
      <w:marLeft w:val="0"/>
      <w:marRight w:val="0"/>
      <w:marTop w:val="0"/>
      <w:marBottom w:val="0"/>
      <w:divBdr>
        <w:top w:val="none" w:sz="0" w:space="0" w:color="auto"/>
        <w:left w:val="none" w:sz="0" w:space="0" w:color="auto"/>
        <w:bottom w:val="none" w:sz="0" w:space="0" w:color="auto"/>
        <w:right w:val="none" w:sz="0" w:space="0" w:color="auto"/>
      </w:divBdr>
      <w:divsChild>
        <w:div w:id="1240483190">
          <w:marLeft w:val="0"/>
          <w:marRight w:val="0"/>
          <w:marTop w:val="0"/>
          <w:marBottom w:val="0"/>
          <w:divBdr>
            <w:top w:val="none" w:sz="0" w:space="0" w:color="auto"/>
            <w:left w:val="none" w:sz="0" w:space="0" w:color="auto"/>
            <w:bottom w:val="none" w:sz="0" w:space="0" w:color="auto"/>
            <w:right w:val="none" w:sz="0" w:space="0" w:color="auto"/>
          </w:divBdr>
          <w:divsChild>
            <w:div w:id="1661084233">
              <w:marLeft w:val="0"/>
              <w:marRight w:val="0"/>
              <w:marTop w:val="0"/>
              <w:marBottom w:val="0"/>
              <w:divBdr>
                <w:top w:val="none" w:sz="0" w:space="0" w:color="auto"/>
                <w:left w:val="none" w:sz="0" w:space="0" w:color="auto"/>
                <w:bottom w:val="none" w:sz="0" w:space="0" w:color="auto"/>
                <w:right w:val="none" w:sz="0" w:space="0" w:color="auto"/>
              </w:divBdr>
              <w:divsChild>
                <w:div w:id="905797234">
                  <w:marLeft w:val="0"/>
                  <w:marRight w:val="0"/>
                  <w:marTop w:val="0"/>
                  <w:marBottom w:val="0"/>
                  <w:divBdr>
                    <w:top w:val="none" w:sz="0" w:space="0" w:color="auto"/>
                    <w:left w:val="none" w:sz="0" w:space="0" w:color="auto"/>
                    <w:bottom w:val="none" w:sz="0" w:space="0" w:color="auto"/>
                    <w:right w:val="none" w:sz="0" w:space="0" w:color="auto"/>
                  </w:divBdr>
                  <w:divsChild>
                    <w:div w:id="1009672077">
                      <w:marLeft w:val="0"/>
                      <w:marRight w:val="0"/>
                      <w:marTop w:val="0"/>
                      <w:marBottom w:val="0"/>
                      <w:divBdr>
                        <w:top w:val="none" w:sz="0" w:space="0" w:color="auto"/>
                        <w:left w:val="none" w:sz="0" w:space="0" w:color="auto"/>
                        <w:bottom w:val="none" w:sz="0" w:space="0" w:color="auto"/>
                        <w:right w:val="none" w:sz="0" w:space="0" w:color="auto"/>
                      </w:divBdr>
                      <w:divsChild>
                        <w:div w:id="2040427927">
                          <w:marLeft w:val="0"/>
                          <w:marRight w:val="0"/>
                          <w:marTop w:val="0"/>
                          <w:marBottom w:val="0"/>
                          <w:divBdr>
                            <w:top w:val="none" w:sz="0" w:space="0" w:color="auto"/>
                            <w:left w:val="none" w:sz="0" w:space="0" w:color="auto"/>
                            <w:bottom w:val="none" w:sz="0" w:space="0" w:color="auto"/>
                            <w:right w:val="none" w:sz="0" w:space="0" w:color="auto"/>
                          </w:divBdr>
                          <w:divsChild>
                            <w:div w:id="134389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634885">
      <w:bodyDiv w:val="1"/>
      <w:marLeft w:val="0"/>
      <w:marRight w:val="0"/>
      <w:marTop w:val="0"/>
      <w:marBottom w:val="0"/>
      <w:divBdr>
        <w:top w:val="none" w:sz="0" w:space="0" w:color="auto"/>
        <w:left w:val="none" w:sz="0" w:space="0" w:color="auto"/>
        <w:bottom w:val="none" w:sz="0" w:space="0" w:color="auto"/>
        <w:right w:val="none" w:sz="0" w:space="0" w:color="auto"/>
      </w:divBdr>
    </w:div>
    <w:div w:id="1573390951">
      <w:bodyDiv w:val="1"/>
      <w:marLeft w:val="0"/>
      <w:marRight w:val="0"/>
      <w:marTop w:val="0"/>
      <w:marBottom w:val="0"/>
      <w:divBdr>
        <w:top w:val="none" w:sz="0" w:space="0" w:color="auto"/>
        <w:left w:val="none" w:sz="0" w:space="0" w:color="auto"/>
        <w:bottom w:val="none" w:sz="0" w:space="0" w:color="auto"/>
        <w:right w:val="none" w:sz="0" w:space="0" w:color="auto"/>
      </w:divBdr>
    </w:div>
    <w:div w:id="1611811613">
      <w:bodyDiv w:val="1"/>
      <w:marLeft w:val="0"/>
      <w:marRight w:val="0"/>
      <w:marTop w:val="0"/>
      <w:marBottom w:val="0"/>
      <w:divBdr>
        <w:top w:val="none" w:sz="0" w:space="0" w:color="auto"/>
        <w:left w:val="none" w:sz="0" w:space="0" w:color="auto"/>
        <w:bottom w:val="none" w:sz="0" w:space="0" w:color="auto"/>
        <w:right w:val="none" w:sz="0" w:space="0" w:color="auto"/>
      </w:divBdr>
    </w:div>
    <w:div w:id="1616058083">
      <w:bodyDiv w:val="1"/>
      <w:marLeft w:val="0"/>
      <w:marRight w:val="0"/>
      <w:marTop w:val="0"/>
      <w:marBottom w:val="0"/>
      <w:divBdr>
        <w:top w:val="none" w:sz="0" w:space="0" w:color="auto"/>
        <w:left w:val="none" w:sz="0" w:space="0" w:color="auto"/>
        <w:bottom w:val="none" w:sz="0" w:space="0" w:color="auto"/>
        <w:right w:val="none" w:sz="0" w:space="0" w:color="auto"/>
      </w:divBdr>
    </w:div>
    <w:div w:id="1872766869">
      <w:bodyDiv w:val="1"/>
      <w:marLeft w:val="0"/>
      <w:marRight w:val="0"/>
      <w:marTop w:val="0"/>
      <w:marBottom w:val="0"/>
      <w:divBdr>
        <w:top w:val="none" w:sz="0" w:space="0" w:color="auto"/>
        <w:left w:val="none" w:sz="0" w:space="0" w:color="auto"/>
        <w:bottom w:val="none" w:sz="0" w:space="0" w:color="auto"/>
        <w:right w:val="none" w:sz="0" w:space="0" w:color="auto"/>
      </w:divBdr>
    </w:div>
    <w:div w:id="1906379338">
      <w:bodyDiv w:val="1"/>
      <w:marLeft w:val="0"/>
      <w:marRight w:val="0"/>
      <w:marTop w:val="0"/>
      <w:marBottom w:val="0"/>
      <w:divBdr>
        <w:top w:val="none" w:sz="0" w:space="0" w:color="auto"/>
        <w:left w:val="none" w:sz="0" w:space="0" w:color="auto"/>
        <w:bottom w:val="none" w:sz="0" w:space="0" w:color="auto"/>
        <w:right w:val="none" w:sz="0" w:space="0" w:color="auto"/>
      </w:divBdr>
      <w:divsChild>
        <w:div w:id="1346328338">
          <w:marLeft w:val="0"/>
          <w:marRight w:val="0"/>
          <w:marTop w:val="0"/>
          <w:marBottom w:val="0"/>
          <w:divBdr>
            <w:top w:val="none" w:sz="0" w:space="0" w:color="auto"/>
            <w:left w:val="none" w:sz="0" w:space="0" w:color="auto"/>
            <w:bottom w:val="none" w:sz="0" w:space="0" w:color="auto"/>
            <w:right w:val="none" w:sz="0" w:space="0" w:color="auto"/>
          </w:divBdr>
          <w:divsChild>
            <w:div w:id="1932153290">
              <w:marLeft w:val="0"/>
              <w:marRight w:val="0"/>
              <w:marTop w:val="0"/>
              <w:marBottom w:val="0"/>
              <w:divBdr>
                <w:top w:val="none" w:sz="0" w:space="0" w:color="auto"/>
                <w:left w:val="none" w:sz="0" w:space="0" w:color="auto"/>
                <w:bottom w:val="none" w:sz="0" w:space="0" w:color="auto"/>
                <w:right w:val="none" w:sz="0" w:space="0" w:color="auto"/>
              </w:divBdr>
              <w:divsChild>
                <w:div w:id="2120487810">
                  <w:marLeft w:val="0"/>
                  <w:marRight w:val="0"/>
                  <w:marTop w:val="0"/>
                  <w:marBottom w:val="0"/>
                  <w:divBdr>
                    <w:top w:val="none" w:sz="0" w:space="0" w:color="auto"/>
                    <w:left w:val="none" w:sz="0" w:space="0" w:color="auto"/>
                    <w:bottom w:val="none" w:sz="0" w:space="0" w:color="auto"/>
                    <w:right w:val="none" w:sz="0" w:space="0" w:color="auto"/>
                  </w:divBdr>
                  <w:divsChild>
                    <w:div w:id="1676835655">
                      <w:marLeft w:val="0"/>
                      <w:marRight w:val="0"/>
                      <w:marTop w:val="0"/>
                      <w:marBottom w:val="0"/>
                      <w:divBdr>
                        <w:top w:val="none" w:sz="0" w:space="0" w:color="auto"/>
                        <w:left w:val="none" w:sz="0" w:space="0" w:color="auto"/>
                        <w:bottom w:val="none" w:sz="0" w:space="0" w:color="auto"/>
                        <w:right w:val="none" w:sz="0" w:space="0" w:color="auto"/>
                      </w:divBdr>
                      <w:divsChild>
                        <w:div w:id="196086570">
                          <w:marLeft w:val="0"/>
                          <w:marRight w:val="0"/>
                          <w:marTop w:val="0"/>
                          <w:marBottom w:val="0"/>
                          <w:divBdr>
                            <w:top w:val="none" w:sz="0" w:space="0" w:color="auto"/>
                            <w:left w:val="none" w:sz="0" w:space="0" w:color="auto"/>
                            <w:bottom w:val="none" w:sz="0" w:space="0" w:color="auto"/>
                            <w:right w:val="none" w:sz="0" w:space="0" w:color="auto"/>
                          </w:divBdr>
                          <w:divsChild>
                            <w:div w:id="9034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586508">
      <w:bodyDiv w:val="1"/>
      <w:marLeft w:val="0"/>
      <w:marRight w:val="0"/>
      <w:marTop w:val="0"/>
      <w:marBottom w:val="0"/>
      <w:divBdr>
        <w:top w:val="none" w:sz="0" w:space="0" w:color="auto"/>
        <w:left w:val="none" w:sz="0" w:space="0" w:color="auto"/>
        <w:bottom w:val="none" w:sz="0" w:space="0" w:color="auto"/>
        <w:right w:val="none" w:sz="0" w:space="0" w:color="auto"/>
      </w:divBdr>
    </w:div>
    <w:div w:id="1958951443">
      <w:bodyDiv w:val="1"/>
      <w:marLeft w:val="0"/>
      <w:marRight w:val="0"/>
      <w:marTop w:val="0"/>
      <w:marBottom w:val="0"/>
      <w:divBdr>
        <w:top w:val="none" w:sz="0" w:space="0" w:color="auto"/>
        <w:left w:val="none" w:sz="0" w:space="0" w:color="auto"/>
        <w:bottom w:val="none" w:sz="0" w:space="0" w:color="auto"/>
        <w:right w:val="none" w:sz="0" w:space="0" w:color="auto"/>
      </w:divBdr>
      <w:divsChild>
        <w:div w:id="151874246">
          <w:marLeft w:val="0"/>
          <w:marRight w:val="0"/>
          <w:marTop w:val="0"/>
          <w:marBottom w:val="0"/>
          <w:divBdr>
            <w:top w:val="none" w:sz="0" w:space="0" w:color="auto"/>
            <w:left w:val="none" w:sz="0" w:space="0" w:color="auto"/>
            <w:bottom w:val="none" w:sz="0" w:space="0" w:color="auto"/>
            <w:right w:val="none" w:sz="0" w:space="0" w:color="auto"/>
          </w:divBdr>
          <w:divsChild>
            <w:div w:id="152092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96694">
      <w:bodyDiv w:val="1"/>
      <w:marLeft w:val="0"/>
      <w:marRight w:val="0"/>
      <w:marTop w:val="0"/>
      <w:marBottom w:val="0"/>
      <w:divBdr>
        <w:top w:val="none" w:sz="0" w:space="0" w:color="auto"/>
        <w:left w:val="none" w:sz="0" w:space="0" w:color="auto"/>
        <w:bottom w:val="none" w:sz="0" w:space="0" w:color="auto"/>
        <w:right w:val="none" w:sz="0" w:space="0" w:color="auto"/>
      </w:divBdr>
      <w:divsChild>
        <w:div w:id="752164135">
          <w:marLeft w:val="0"/>
          <w:marRight w:val="0"/>
          <w:marTop w:val="0"/>
          <w:marBottom w:val="0"/>
          <w:divBdr>
            <w:top w:val="none" w:sz="0" w:space="0" w:color="auto"/>
            <w:left w:val="none" w:sz="0" w:space="0" w:color="auto"/>
            <w:bottom w:val="none" w:sz="0" w:space="0" w:color="auto"/>
            <w:right w:val="none" w:sz="0" w:space="0" w:color="auto"/>
          </w:divBdr>
          <w:divsChild>
            <w:div w:id="977153725">
              <w:marLeft w:val="0"/>
              <w:marRight w:val="0"/>
              <w:marTop w:val="0"/>
              <w:marBottom w:val="0"/>
              <w:divBdr>
                <w:top w:val="none" w:sz="0" w:space="0" w:color="auto"/>
                <w:left w:val="none" w:sz="0" w:space="0" w:color="auto"/>
                <w:bottom w:val="none" w:sz="0" w:space="0" w:color="auto"/>
                <w:right w:val="none" w:sz="0" w:space="0" w:color="auto"/>
              </w:divBdr>
              <w:divsChild>
                <w:div w:id="678849819">
                  <w:marLeft w:val="0"/>
                  <w:marRight w:val="0"/>
                  <w:marTop w:val="0"/>
                  <w:marBottom w:val="0"/>
                  <w:divBdr>
                    <w:top w:val="none" w:sz="0" w:space="0" w:color="auto"/>
                    <w:left w:val="none" w:sz="0" w:space="0" w:color="auto"/>
                    <w:bottom w:val="none" w:sz="0" w:space="0" w:color="auto"/>
                    <w:right w:val="none" w:sz="0" w:space="0" w:color="auto"/>
                  </w:divBdr>
                  <w:divsChild>
                    <w:div w:id="122384486">
                      <w:marLeft w:val="0"/>
                      <w:marRight w:val="0"/>
                      <w:marTop w:val="0"/>
                      <w:marBottom w:val="0"/>
                      <w:divBdr>
                        <w:top w:val="none" w:sz="0" w:space="0" w:color="auto"/>
                        <w:left w:val="none" w:sz="0" w:space="0" w:color="auto"/>
                        <w:bottom w:val="none" w:sz="0" w:space="0" w:color="auto"/>
                        <w:right w:val="none" w:sz="0" w:space="0" w:color="auto"/>
                      </w:divBdr>
                      <w:divsChild>
                        <w:div w:id="747389973">
                          <w:marLeft w:val="0"/>
                          <w:marRight w:val="0"/>
                          <w:marTop w:val="0"/>
                          <w:marBottom w:val="0"/>
                          <w:divBdr>
                            <w:top w:val="none" w:sz="0" w:space="0" w:color="auto"/>
                            <w:left w:val="none" w:sz="0" w:space="0" w:color="auto"/>
                            <w:bottom w:val="none" w:sz="0" w:space="0" w:color="auto"/>
                            <w:right w:val="none" w:sz="0" w:space="0" w:color="auto"/>
                          </w:divBdr>
                          <w:divsChild>
                            <w:div w:id="28674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767701">
      <w:bodyDiv w:val="1"/>
      <w:marLeft w:val="0"/>
      <w:marRight w:val="0"/>
      <w:marTop w:val="0"/>
      <w:marBottom w:val="0"/>
      <w:divBdr>
        <w:top w:val="none" w:sz="0" w:space="0" w:color="auto"/>
        <w:left w:val="none" w:sz="0" w:space="0" w:color="auto"/>
        <w:bottom w:val="none" w:sz="0" w:space="0" w:color="auto"/>
        <w:right w:val="none" w:sz="0" w:space="0" w:color="auto"/>
      </w:divBdr>
    </w:div>
    <w:div w:id="19991882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349">
          <w:marLeft w:val="0"/>
          <w:marRight w:val="0"/>
          <w:marTop w:val="0"/>
          <w:marBottom w:val="0"/>
          <w:divBdr>
            <w:top w:val="none" w:sz="0" w:space="0" w:color="auto"/>
            <w:left w:val="none" w:sz="0" w:space="0" w:color="auto"/>
            <w:bottom w:val="none" w:sz="0" w:space="0" w:color="auto"/>
            <w:right w:val="none" w:sz="0" w:space="0" w:color="auto"/>
          </w:divBdr>
          <w:divsChild>
            <w:div w:id="103122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83098">
      <w:bodyDiv w:val="1"/>
      <w:marLeft w:val="0"/>
      <w:marRight w:val="0"/>
      <w:marTop w:val="0"/>
      <w:marBottom w:val="0"/>
      <w:divBdr>
        <w:top w:val="none" w:sz="0" w:space="0" w:color="auto"/>
        <w:left w:val="none" w:sz="0" w:space="0" w:color="auto"/>
        <w:bottom w:val="none" w:sz="0" w:space="0" w:color="auto"/>
        <w:right w:val="none" w:sz="0" w:space="0" w:color="auto"/>
      </w:divBdr>
    </w:div>
    <w:div w:id="213224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1186/s12992-026-01203-1" TargetMode="External"/><Relationship Id="rId21" Type="http://schemas.openxmlformats.org/officeDocument/2006/relationships/image" Target="media/image14.png"/><Relationship Id="rId34" Type="http://schemas.openxmlformats.org/officeDocument/2006/relationships/hyperlink" Target="https://doi.org/10.1016/j.jretai.2023.07.005" TargetMode="External"/><Relationship Id="rId42" Type="http://schemas.openxmlformats.org/officeDocument/2006/relationships/hyperlink" Target="https://www.mbie.govt.nz/business-and-employment/business/competition-regulation-and-policy/supermarket-competition" TargetMode="External"/><Relationship Id="rId47" Type="http://schemas.openxmlformats.org/officeDocument/2006/relationships/hyperlink" Target="https://www.rbnz.govt.nz/monetary-policy/monetary-policy-statement/monetary-policy-statement-filtered-listing-page/2026/may-270/monetary-policy-statement-may-2026/web-version?utm_source=chatgpt.com" TargetMode="External"/><Relationship Id="rId50" Type="http://schemas.openxmlformats.org/officeDocument/2006/relationships/hyperlink" Target="https://stock.walmart.com/_assets/_5813cf69129ed45d080396680f549a44/walmart/db/950/9949/annual_report/Walmart+2025+Annual+Report.pdf"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https://www.comcom.govt.nz/regulated-industries/projects/market-study-into-retail-grocery-sector/?utm_source=chatgpt.com" TargetMode="External"/><Relationship Id="rId40" Type="http://schemas.openxmlformats.org/officeDocument/2006/relationships/hyperlink" Target="https://doi.org/10.1080/1177083X.2024.2418485" TargetMode="External"/><Relationship Id="rId45" Type="http://schemas.openxmlformats.org/officeDocument/2006/relationships/hyperlink" Target="https://www.oecd.org/en/publications/oecd-employment-outlook-2026_7e710f54-en/full-report/component-5.html"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oecd.org/en/publications/2026/04/foundations-for-growth-and-competitiveness-2026_f68a156b/full-report/new-zealand_c6b7a0e7.html" TargetMode="External"/><Relationship Id="rId52" Type="http://schemas.openxmlformats.org/officeDocument/2006/relationships/hyperlink" Target="https://doi.org/10.1017/jmo.2022.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hyperlink" Target="https://ideas.repec.org/p/vuw/vuwecf/33474.html?utm_source=chatgpt.com" TargetMode="External"/><Relationship Id="rId43" Type="http://schemas.openxmlformats.org/officeDocument/2006/relationships/hyperlink" Target="https://doi.org/10.1007/s11575-025-00575-7" TargetMode="External"/><Relationship Id="rId48" Type="http://schemas.openxmlformats.org/officeDocument/2006/relationships/hyperlink" Target="https://doi.org/10.1016/j.jbusres.2022.07.041" TargetMode="External"/><Relationship Id="rId8" Type="http://schemas.openxmlformats.org/officeDocument/2006/relationships/image" Target="media/image1.png"/><Relationship Id="rId51" Type="http://schemas.openxmlformats.org/officeDocument/2006/relationships/hyperlink" Target="https://corporate.walmart.com/purpose/esgrepor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080/09537287.2026.2618640" TargetMode="External"/><Relationship Id="rId38" Type="http://schemas.openxmlformats.org/officeDocument/2006/relationships/hyperlink" Target="https://www.forbes.com/sites/markfaithfull/2020/10/02/whatever-happened-to-walmarts-british-invasion/" TargetMode="External"/><Relationship Id="rId46" Type="http://schemas.openxmlformats.org/officeDocument/2006/relationships/hyperlink" Target="https://doi.org/10.2139/ssrn.6523818" TargetMode="External"/><Relationship Id="rId20" Type="http://schemas.openxmlformats.org/officeDocument/2006/relationships/image" Target="media/image13.png"/><Relationship Id="rId41" Type="http://schemas.openxmlformats.org/officeDocument/2006/relationships/hyperlink" Target="https://linksinternational.com/minimum-wage-in-new-zealand/"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016/j.ijindorg.2023.103004" TargetMode="External"/><Relationship Id="rId49" Type="http://schemas.openxmlformats.org/officeDocument/2006/relationships/hyperlink" Target="https://www.treasury.govt.nz/publications/guide/foreign-investment-policy-and-national-interes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09AA1-BC70-433D-A395-CB3AEDC24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9172</Words>
  <Characters>52284</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Naitiksinh Pareshbhai Parmar (2525945)</cp:lastModifiedBy>
  <cp:revision>2</cp:revision>
  <dcterms:created xsi:type="dcterms:W3CDTF">2026-08-14T08:28:00Z</dcterms:created>
  <dcterms:modified xsi:type="dcterms:W3CDTF">2026-08-14T08:28:00Z</dcterms:modified>
</cp:coreProperties>
</file>