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97722" w14:textId="69F4E92D" w:rsidR="004406B6" w:rsidRDefault="00452F2C" w:rsidP="004B588F">
      <w:pPr>
        <w:rPr>
          <w:rFonts w:cstheme="minorHAnsi"/>
        </w:rPr>
      </w:pPr>
      <w:r>
        <w:rPr>
          <w:rFonts w:cstheme="minorHAnsi"/>
        </w:rPr>
        <w:t>Rhys Neal</w:t>
      </w:r>
      <w:r w:rsidR="004406B6">
        <w:rPr>
          <w:rFonts w:cstheme="minorHAnsi"/>
        </w:rPr>
        <w:tab/>
      </w:r>
      <w:r w:rsidR="003F1EB9">
        <w:rPr>
          <w:rFonts w:cstheme="minorHAnsi"/>
        </w:rPr>
        <w:t>2031277</w:t>
      </w:r>
    </w:p>
    <w:p w14:paraId="5A8A7879" w14:textId="77777777" w:rsidR="00452F2C" w:rsidRDefault="00452F2C" w:rsidP="004B588F">
      <w:pPr>
        <w:rPr>
          <w:rFonts w:cstheme="minorHAnsi"/>
        </w:rPr>
      </w:pPr>
    </w:p>
    <w:p w14:paraId="4F5B8F42" w14:textId="6561230C" w:rsidR="004B588F" w:rsidRPr="001D0F76" w:rsidRDefault="004B588F" w:rsidP="004B588F">
      <w:pPr>
        <w:rPr>
          <w:rFonts w:cstheme="minorHAnsi"/>
        </w:rPr>
      </w:pPr>
      <w:r w:rsidRPr="001D0F76">
        <w:rPr>
          <w:rFonts w:cstheme="minorHAnsi"/>
        </w:rPr>
        <w:t>Essay 1:</w:t>
      </w:r>
    </w:p>
    <w:p w14:paraId="6E24D2EA" w14:textId="4C4B271E" w:rsidR="004B588F" w:rsidRPr="001D0F76" w:rsidRDefault="004B588F" w:rsidP="004B588F">
      <w:pPr>
        <w:rPr>
          <w:rFonts w:cstheme="minorHAnsi"/>
        </w:rPr>
      </w:pPr>
      <w:r w:rsidRPr="001D0F76">
        <w:rPr>
          <w:rFonts w:cstheme="minorHAnsi"/>
        </w:rPr>
        <w:t>T</w:t>
      </w:r>
      <w:r w:rsidRPr="001D0F76">
        <w:rPr>
          <w:rFonts w:cstheme="minorHAnsi"/>
        </w:rPr>
        <w:t>o evaluate how policing policies have been influenced by the effects of police misconduct, I will be focusing on two highly publicised cases which highlight the injustice that has been caused by malpractice. I will be discussing The Birmingham Six and The Cardiff Three which have both been used as examples of gross injustice as the victims were treated “guilty until proven innocent” (Blom-Cooper, 1997 and Robins, 2018), undermining the UK’s criminal justice system. In addition, I will be discussing what police policies have been brought into place to combat the misconduct issues. I will evaluate how these policies have improved public confidence in the police.</w:t>
      </w:r>
    </w:p>
    <w:p w14:paraId="15BC3FF0" w14:textId="77777777" w:rsidR="004B588F" w:rsidRPr="001D0F76" w:rsidRDefault="004B588F" w:rsidP="004B588F">
      <w:pPr>
        <w:rPr>
          <w:rFonts w:cstheme="minorHAnsi"/>
        </w:rPr>
      </w:pPr>
      <w:r w:rsidRPr="001D0F76">
        <w:rPr>
          <w:rFonts w:cstheme="minorHAnsi"/>
        </w:rPr>
        <w:t>Both cases are similar in nature as they are examples of gross miscarriages of justice with regards to how the police used outdated and damaging interviewing and investigating techniques to coerce false confessions from the victims. The victims in these cases all experienced police misconduct and malpractice during the investigation process and experienced first-hand the consequences that unregulated policing can have on an individual (Hoyle, 2019)</w:t>
      </w:r>
    </w:p>
    <w:p w14:paraId="71EDA770" w14:textId="7A28793F" w:rsidR="004B588F" w:rsidRPr="001D0F76" w:rsidRDefault="004B588F" w:rsidP="004B588F">
      <w:pPr>
        <w:rPr>
          <w:rFonts w:cstheme="minorHAnsi"/>
        </w:rPr>
      </w:pPr>
      <w:r w:rsidRPr="001D0F76">
        <w:rPr>
          <w:rFonts w:cstheme="minorHAnsi"/>
        </w:rPr>
        <w:t xml:space="preserve">The Birmingham Six were arrested and charged with murder in 1975 following recent pub and club bombings in the Birmingham area. Seventeen years later the six were released from prison </w:t>
      </w:r>
      <w:proofErr w:type="gramStart"/>
      <w:r w:rsidRPr="001D0F76">
        <w:rPr>
          <w:rFonts w:cstheme="minorHAnsi"/>
        </w:rPr>
        <w:t>as a result of</w:t>
      </w:r>
      <w:proofErr w:type="gramEnd"/>
      <w:r w:rsidRPr="001D0F76">
        <w:rPr>
          <w:rFonts w:cstheme="minorHAnsi"/>
        </w:rPr>
        <w:t xml:space="preserve"> a subsequent court hearing which overturned the original convictions. During their time in prison investigator Chris Mullins worked towards their freedom, trying to gather evidence to prove their innocence. According to an article published by the BBC an ex-police officers approached Chris Mullins with information that confirmed many of the “violent tactics” used by police officers. These tactics were instrumental in obtaining false confessions. Additionally, it mentions in the article that these tactics included bringing “dogs and shot guns into the cells and conducting mock executions” (BBC News, 2011).</w:t>
      </w:r>
    </w:p>
    <w:p w14:paraId="453D57F1" w14:textId="77777777" w:rsidR="004B588F" w:rsidRPr="001D0F76" w:rsidRDefault="004B588F" w:rsidP="004B588F">
      <w:pPr>
        <w:rPr>
          <w:rFonts w:cstheme="minorHAnsi"/>
        </w:rPr>
      </w:pPr>
      <w:r w:rsidRPr="001D0F76">
        <w:rPr>
          <w:rFonts w:cstheme="minorHAnsi"/>
        </w:rPr>
        <w:t>This case clearly displays the misconduct that was taking place from the police officers involved. By using such tactics, officers investigating these offences were not acting in accordance with any of the suspects human rights. In 1998, the Human Rights Act was introduced to eliminate such malpractices occurring by setting out several articles that police forces must adhere too when dealing with suspects in custody (Human Rights Act, 1998). One article which directly relates to how the Birmingham Six were treated whilst in police custody is Article 3. This article outlines ‘</w:t>
      </w:r>
      <w:r w:rsidRPr="001D0F76">
        <w:rPr>
          <w:rFonts w:cstheme="minorHAnsi"/>
          <w:color w:val="0B0C0C"/>
          <w:shd w:val="clear" w:color="auto" w:fill="FFFFFF"/>
        </w:rPr>
        <w:t>the prohibition of torture and inhuman or degrading treatment</w:t>
      </w:r>
      <w:r w:rsidRPr="001D0F76">
        <w:rPr>
          <w:rFonts w:cstheme="minorHAnsi"/>
        </w:rPr>
        <w:t xml:space="preserve">’ which has been implemented in response to misconduct in police investigations that have led to injustices, undermining public confidence in police processes (Human Rights Act, 1998). Creating legislation which prioritises human rights helps restore public confidence in police investigations and processes as it solidifies the importance of fair treatment. It reinforces the legal system’s objective to treat people ‘innocent until proven guilty’. </w:t>
      </w:r>
    </w:p>
    <w:p w14:paraId="5D6393E3" w14:textId="77777777" w:rsidR="004B588F" w:rsidRPr="001D0F76" w:rsidRDefault="004B588F" w:rsidP="004B588F">
      <w:pPr>
        <w:rPr>
          <w:rFonts w:cstheme="minorHAnsi"/>
        </w:rPr>
      </w:pPr>
      <w:r w:rsidRPr="001D0F76">
        <w:rPr>
          <w:rFonts w:cstheme="minorHAnsi"/>
        </w:rPr>
        <w:t>Similarly, in 1988 five individuals spent time in prison due to being falsely accused of murdering Lynette White. After an investigation was launched into the police, it was noticed that the attending officer to the scene of the murder stated that a white male was responsible. However, five black and mix-raced men were arrested for the murder and, whilst in police custody, were forced to confess. The Cardiff Three were treated in a degrading manner and not in accordance with their human rights as the officers who interviewed the then-suspects repeated badgering questions in a threatening tone, refused for them to take breaks or have water and manipulated false memories which led to wrongful confessions. The Human Rights Act of 1998 clearly states that under article 6, every person has the right to a fair trial (Human Rights Act, 1998).</w:t>
      </w:r>
    </w:p>
    <w:p w14:paraId="502D556A" w14:textId="77777777" w:rsidR="004B588F" w:rsidRPr="001D0F76" w:rsidRDefault="004B588F" w:rsidP="004B588F">
      <w:pPr>
        <w:rPr>
          <w:rFonts w:cstheme="minorHAnsi"/>
        </w:rPr>
      </w:pPr>
      <w:r w:rsidRPr="001D0F76">
        <w:rPr>
          <w:rFonts w:cstheme="minorHAnsi"/>
        </w:rPr>
        <w:lastRenderedPageBreak/>
        <w:t>An article published by the BBC stated that after a huge campaign, in 1992 the Court of Appeal ruled a “gross miscarriage of justice” had taken place. A comment is then followed from Judge Lord Justice Taylor saying, “short of physical abuse, it was hard to conceive of a more hostile and intimidatory approach by police officers, during the interview of Stephen Miller” (BBC News, 2011).</w:t>
      </w:r>
    </w:p>
    <w:p w14:paraId="76329733" w14:textId="77777777" w:rsidR="004B588F" w:rsidRPr="001D0F76" w:rsidRDefault="004B588F" w:rsidP="004B588F">
      <w:pPr>
        <w:rPr>
          <w:rFonts w:cstheme="minorHAnsi"/>
        </w:rPr>
      </w:pPr>
      <w:r w:rsidRPr="001D0F76">
        <w:rPr>
          <w:rFonts w:cstheme="minorHAnsi"/>
        </w:rPr>
        <w:t xml:space="preserve">These famous cases are a few examples of extreme police misconduct. Due to incidents such as these, new legislation has had to be introduced to ensure that the police deal with all suspects fairly and transparently. Legislation such as the Police and Criminal Evidence Act 1984 (PACE) have been created to ensure this. Under PACE there are many codes which govern a different aspect of policing. Code H under PACE was created to set out how people are treated whilst in police custody and to ensure that an interview is conducted lawfully whilst adhering to fundamental human rights (Police and Criminal Evidence Act, 1984). An article published by the Home Office sets out clear guidance for officers to follow to abide by Code H whilst dealing with detainees in custody and during interview. It sets out clear guidelines for a person’s right o legal aid, sufficient care and treatment and suitable conditions for the individual’s needs (Home Office, 2019). </w:t>
      </w:r>
    </w:p>
    <w:p w14:paraId="0DDF7B9D" w14:textId="77777777" w:rsidR="004B588F" w:rsidRPr="001D0F76" w:rsidRDefault="004B588F" w:rsidP="004B588F">
      <w:pPr>
        <w:rPr>
          <w:rFonts w:cstheme="minorHAnsi"/>
        </w:rPr>
      </w:pPr>
      <w:r w:rsidRPr="001D0F76">
        <w:rPr>
          <w:rFonts w:cstheme="minorHAnsi"/>
        </w:rPr>
        <w:t>As a result of cases such as the Birmingham Six and the Cardiff Three legislation such as PACE (Police and Criminal Act 1984) and the Human Rights Act 1998 have been adopted to improve how detainees are looked after whilst in police custody and to ensure that their human rights are being adhered to. These acts were brought in to create a balance between an individual’s rights and the powers of the police. I believe that by having such legislation allows detainees to be treated fairly and transparently which leads to the public having confidence in the police due to knowing that they are being governed by a set of rules which protects an individual’s rights. The officers who were involved in the Birmingham Six incident and the Cardiff Three were not governed by these pieces of legislation therefore did not act accordingly and instead in a manner amounting to misconduct and malpractice.</w:t>
      </w:r>
    </w:p>
    <w:p w14:paraId="5195E1B8" w14:textId="7DC04D6F" w:rsidR="004B588F" w:rsidRPr="001D0F76" w:rsidRDefault="004B588F" w:rsidP="004B588F">
      <w:pPr>
        <w:rPr>
          <w:rFonts w:cstheme="minorHAnsi"/>
        </w:rPr>
      </w:pPr>
      <w:r w:rsidRPr="001D0F76">
        <w:rPr>
          <w:rFonts w:cstheme="minorHAnsi"/>
        </w:rPr>
        <w:t xml:space="preserve">I believe that cases like this have had a significant effect on modern day policing by shaping and guiding the way that policies prioritise a person’s well-being while in the care of police custody as opposed to focusing on coerced confessions to gain quick, but usually unjust results. </w:t>
      </w:r>
    </w:p>
    <w:p w14:paraId="55679CB9" w14:textId="467F5513" w:rsidR="004B588F" w:rsidRDefault="004B588F" w:rsidP="004B588F">
      <w:pPr>
        <w:rPr>
          <w:rFonts w:cstheme="minorHAnsi"/>
        </w:rPr>
      </w:pPr>
    </w:p>
    <w:p w14:paraId="1DEF8954" w14:textId="55FCEC03" w:rsidR="00AE0DC4" w:rsidRPr="001D0F76" w:rsidRDefault="00AE0DC4" w:rsidP="004B588F">
      <w:pPr>
        <w:rPr>
          <w:rFonts w:cstheme="minorHAnsi"/>
        </w:rPr>
      </w:pPr>
      <w:r>
        <w:rPr>
          <w:rFonts w:cstheme="minorHAnsi"/>
        </w:rPr>
        <w:t>Word count: 1,023</w:t>
      </w:r>
    </w:p>
    <w:p w14:paraId="51F28322" w14:textId="77777777" w:rsidR="00450DC5" w:rsidRDefault="00450DC5" w:rsidP="004B588F">
      <w:pPr>
        <w:rPr>
          <w:rFonts w:cstheme="minorHAnsi"/>
        </w:rPr>
      </w:pPr>
    </w:p>
    <w:p w14:paraId="7322D2FD" w14:textId="76F5E22B" w:rsidR="004B588F" w:rsidRPr="001D0F76" w:rsidRDefault="004B588F" w:rsidP="004B588F">
      <w:pPr>
        <w:rPr>
          <w:rFonts w:cstheme="minorHAnsi"/>
        </w:rPr>
      </w:pPr>
      <w:r w:rsidRPr="001D0F76">
        <w:rPr>
          <w:rFonts w:cstheme="minorHAnsi"/>
        </w:rPr>
        <w:t>Essay 2:</w:t>
      </w:r>
    </w:p>
    <w:p w14:paraId="0CED8678" w14:textId="77777777" w:rsidR="004B588F" w:rsidRPr="001D0F76" w:rsidRDefault="004B588F" w:rsidP="004B588F">
      <w:pPr>
        <w:rPr>
          <w:rFonts w:cstheme="minorHAnsi"/>
        </w:rPr>
      </w:pPr>
      <w:r w:rsidRPr="001D0F76">
        <w:rPr>
          <w:rFonts w:cstheme="minorHAnsi"/>
        </w:rPr>
        <w:t>In this essay I will be discussing why certain groups are vulnerable to being targeted by Serious and Organised Crime Groups, what makes someone vulnerable, how they are targeted and exploited by these groups and what powers and policies are in place to combat this by police and other partnership agencies.</w:t>
      </w:r>
    </w:p>
    <w:p w14:paraId="0F4C6B62" w14:textId="77777777" w:rsidR="004B588F" w:rsidRPr="001D0F76" w:rsidRDefault="004B588F" w:rsidP="004B588F">
      <w:pPr>
        <w:rPr>
          <w:rFonts w:cstheme="minorHAnsi"/>
        </w:rPr>
      </w:pPr>
      <w:proofErr w:type="gramStart"/>
      <w:r w:rsidRPr="001D0F76">
        <w:rPr>
          <w:rFonts w:cstheme="minorHAnsi"/>
        </w:rPr>
        <w:t>In order to</w:t>
      </w:r>
      <w:proofErr w:type="gramEnd"/>
      <w:r w:rsidRPr="001D0F76">
        <w:rPr>
          <w:rFonts w:cstheme="minorHAnsi"/>
        </w:rPr>
        <w:t xml:space="preserve"> address these points, it is important to understand the word vulnerable and what makes someone vulnerable. The College of Policing defines the term ‘vulnerable’ as a person who is unable to take care of or protect themselves or others from harm or exploitation </w:t>
      </w:r>
      <w:proofErr w:type="gramStart"/>
      <w:r w:rsidRPr="001D0F76">
        <w:rPr>
          <w:rFonts w:cstheme="minorHAnsi"/>
        </w:rPr>
        <w:t>as a result of</w:t>
      </w:r>
      <w:proofErr w:type="gramEnd"/>
      <w:r w:rsidRPr="001D0F76">
        <w:rPr>
          <w:rFonts w:cstheme="minorHAnsi"/>
        </w:rPr>
        <w:t xml:space="preserve"> their situation or circumstances. (College </w:t>
      </w:r>
      <w:r w:rsidRPr="001D0F76">
        <w:rPr>
          <w:rStyle w:val="Hyperlink"/>
          <w:rFonts w:cstheme="minorHAnsi"/>
          <w:color w:val="auto"/>
          <w:u w:val="none"/>
        </w:rPr>
        <w:t>Of Policin</w:t>
      </w:r>
      <w:r w:rsidRPr="001D0F76">
        <w:rPr>
          <w:rFonts w:cstheme="minorHAnsi"/>
        </w:rPr>
        <w:t xml:space="preserve">g, 2020). These circumstances can be a variety of different things, including but not restricted to, individuals suffering from addictions, particularly to class A drugs, people suffering with mental health issues or learning disabilities and female sex workers (National Crime Agency, 2017). An Organised Crime Group, better known as an OCG, is defined under section 45 (6) of the Serious Crime Act 2007 as “a group which has at its purpose, or </w:t>
      </w:r>
      <w:r w:rsidRPr="001D0F76">
        <w:rPr>
          <w:rFonts w:cstheme="minorHAnsi"/>
        </w:rPr>
        <w:lastRenderedPageBreak/>
        <w:t>one of its purposes, the carrying on of criminal activities, and consists of three or more people who agree to act together to further that purpose.” (Serious Crime Act, 2007).</w:t>
      </w:r>
    </w:p>
    <w:p w14:paraId="01C05484" w14:textId="77777777" w:rsidR="004B588F" w:rsidRPr="001D0F76" w:rsidRDefault="004B588F" w:rsidP="004B588F">
      <w:pPr>
        <w:rPr>
          <w:rFonts w:cstheme="minorHAnsi"/>
        </w:rPr>
      </w:pPr>
      <w:r w:rsidRPr="001D0F76">
        <w:rPr>
          <w:rFonts w:cstheme="minorHAnsi"/>
        </w:rPr>
        <w:t xml:space="preserve">Now that we have looked at the definition for both someone who is vulnerable and an OCG, I will now be discussing how OCG groups identify vulnerable people and how they exploit them. In this stage of the essay, I will be discussing a common and popular form of exploitation used by OCG’s called cuckooing. A document produced by West Yorkshire Police states that cuckooing is the act in which a criminal group gains access and control of a vulnerable persons address to carry out illegal activities such as drug dealing, storing of drugs and production of drugs. They stated that the criminal groups do this to avoid police detection (West Yorkshire Police Report, 2020). </w:t>
      </w:r>
    </w:p>
    <w:p w14:paraId="4A76EB1F" w14:textId="77777777" w:rsidR="004B588F" w:rsidRPr="001D0F76" w:rsidRDefault="004B588F" w:rsidP="004B588F">
      <w:pPr>
        <w:rPr>
          <w:rFonts w:cstheme="minorHAnsi"/>
        </w:rPr>
      </w:pPr>
      <w:r w:rsidRPr="001D0F76">
        <w:rPr>
          <w:rFonts w:cstheme="minorHAnsi"/>
        </w:rPr>
        <w:t>There are four different kinds of cuckooing as described in an article on organised crime which outlines the development and typologies of cuckooing in modern day society and how these types affect the vulnerable people that it victimises (Spicer, Moyle and Coomber, 2019). In this stage of the essay, I will be looking at each individual type of cuckooing and analysing how the OCG’s use each one to target a variety of vulnerable people.</w:t>
      </w:r>
    </w:p>
    <w:p w14:paraId="4F26F3AF" w14:textId="77777777" w:rsidR="004B588F" w:rsidRPr="001D0F76" w:rsidRDefault="004B588F" w:rsidP="004B588F">
      <w:pPr>
        <w:rPr>
          <w:rFonts w:cstheme="minorHAnsi"/>
        </w:rPr>
      </w:pPr>
      <w:r w:rsidRPr="001D0F76">
        <w:rPr>
          <w:rFonts w:cstheme="minorHAnsi"/>
        </w:rPr>
        <w:t xml:space="preserve">The first type of cuckooing I will be looking at is described as ‘parasitic nest invasion’. In cases such as these a member of the OCG gang will often befriend a vulnerable member of the public. As stated in a journal article by Macdonald et al., these vulnerable people are usually those with characteristics such as mental illnesses, disabilities, or old age. An example of this kind of cuckooing was explained in this article whereby a runner for an OCG befriended a retired male with mental health issue in a local coffee shop. Shortly after this interaction the males home address had been taken over by the gang to store drugs, firearms and to house other runners. The male’s mental health issue meant that the OCG member was able to take advantage of his naivety towards what was happening </w:t>
      </w:r>
      <w:proofErr w:type="gramStart"/>
      <w:r w:rsidRPr="001D0F76">
        <w:rPr>
          <w:rFonts w:cstheme="minorHAnsi"/>
        </w:rPr>
        <w:t>in reality to</w:t>
      </w:r>
      <w:proofErr w:type="gramEnd"/>
      <w:r w:rsidRPr="001D0F76">
        <w:rPr>
          <w:rFonts w:cstheme="minorHAnsi"/>
        </w:rPr>
        <w:t xml:space="preserve"> gain access to his home address (Macdonald et al., 2022)</w:t>
      </w:r>
    </w:p>
    <w:p w14:paraId="245F4EE0" w14:textId="77777777" w:rsidR="004B588F" w:rsidRPr="001D0F76" w:rsidRDefault="004B588F" w:rsidP="004B588F">
      <w:pPr>
        <w:rPr>
          <w:rFonts w:cstheme="minorHAnsi"/>
        </w:rPr>
      </w:pPr>
      <w:r w:rsidRPr="001D0F76">
        <w:rPr>
          <w:rFonts w:cstheme="minorHAnsi"/>
        </w:rPr>
        <w:t>The second type of cuckooing has been defined as ‘quasi-cuckooing</w:t>
      </w:r>
      <w:proofErr w:type="gramStart"/>
      <w:r w:rsidRPr="001D0F76">
        <w:rPr>
          <w:rFonts w:cstheme="minorHAnsi"/>
        </w:rPr>
        <w:t>’(</w:t>
      </w:r>
      <w:proofErr w:type="gramEnd"/>
      <w:r w:rsidRPr="001D0F76">
        <w:rPr>
          <w:rFonts w:cstheme="minorHAnsi"/>
        </w:rPr>
        <w:t>Spicer, Moyle and Coomber, 2019). This form of cuckooing is usually targeted at the vulnerable members of society which have a dependency or addiction, such as drug and/or alcohol. Members of an OCG will make an agreement with these vulnerable people stating that they will be able to have free drugs and/or alcohol for use of their home. Often, the OCG will not fully explain the extent of the operation they look at running from the home. OCG members will often tell the exploited homeowner that they are now in debt to them, therefor allowing further use of the address to pay off this debt.</w:t>
      </w:r>
    </w:p>
    <w:p w14:paraId="7761BA18" w14:textId="77777777" w:rsidR="004B588F" w:rsidRPr="001D0F76" w:rsidRDefault="004B588F" w:rsidP="004B588F">
      <w:pPr>
        <w:rPr>
          <w:rFonts w:cstheme="minorHAnsi"/>
        </w:rPr>
      </w:pPr>
      <w:r w:rsidRPr="001D0F76">
        <w:rPr>
          <w:rFonts w:cstheme="minorHAnsi"/>
        </w:rPr>
        <w:t>The third type of cuckooing is described as ‘coupling’. This type of cuckooing is usually done by male members of an OCG. To carry this out, they will identify a vulnerable female member of the public, usually ones with drug or alcohol dependencies or ones with a previous domestic abuse history. They will then build up a relationship with these people, usually sexual in nature and then take over the home. Females involved in this type of cuckooing are usually further sexually exploited by other members of the OCG. Female victims with a history of domestic abuse and/ or drug dependencies are usually more vulnerable as victims of this as they are pre-conditioned to suffer and live with this type of behaviour which damages their mental health, making it easier for OCG members to manipulate them. The final cuckooing typology is known as ‘localised cuckooing’. This is kind of cuckooing occurs in the local area from where the gang members live. Localised cuckooing is usually a safety net for local drug dealers to keep their supply. They target local vulnerable persons to keep their supply there. These addresses are additionally used as a central point to run the drug operation from.</w:t>
      </w:r>
    </w:p>
    <w:p w14:paraId="7B2D18EF" w14:textId="77777777" w:rsidR="004B588F" w:rsidRPr="001D0F76" w:rsidRDefault="004B588F" w:rsidP="004B588F">
      <w:pPr>
        <w:rPr>
          <w:rFonts w:cstheme="minorHAnsi"/>
        </w:rPr>
      </w:pPr>
      <w:r w:rsidRPr="001D0F76">
        <w:rPr>
          <w:rFonts w:cstheme="minorHAnsi"/>
        </w:rPr>
        <w:lastRenderedPageBreak/>
        <w:t xml:space="preserve">To combat this behaviour police forces have had to adopt a wide range of powers and policies to protect these vulnerable members of the community. A key safeguarding tool used is a PPN (Public Protection Notification). A PPN is submitted by an officer after they have attended an incident whereby, they believe there to be elements of vulnerability. When completing a PPN it requires officers to assess the risk posed to the subject of the PPN by allowing them to fill out strengths and weaknesses categories. After completing a PPN officers will then share them with relevant partnership agencies, depending on what support they believe the person to require. The partnership agencies will then reach out to the subject offering them further support. By working in co-operation with other agencies the police can identify vulnerability and safeguard those most at risk (South Wales Police, 2021). </w:t>
      </w:r>
    </w:p>
    <w:p w14:paraId="3ED1AD2E" w14:textId="62F7136B" w:rsidR="004B588F" w:rsidRDefault="004B588F" w:rsidP="004B588F">
      <w:pPr>
        <w:rPr>
          <w:rFonts w:cstheme="minorHAnsi"/>
        </w:rPr>
      </w:pPr>
    </w:p>
    <w:p w14:paraId="3BB0D207" w14:textId="3C983E8B" w:rsidR="00AE0DC4" w:rsidRDefault="00AE0DC4" w:rsidP="004B588F">
      <w:pPr>
        <w:rPr>
          <w:rFonts w:cstheme="minorHAnsi"/>
        </w:rPr>
      </w:pPr>
      <w:r>
        <w:rPr>
          <w:rFonts w:cstheme="minorHAnsi"/>
        </w:rPr>
        <w:t>Word Count: 1,010</w:t>
      </w:r>
    </w:p>
    <w:p w14:paraId="670B4E7A" w14:textId="66F73344" w:rsidR="002707B6" w:rsidRDefault="002707B6" w:rsidP="004B588F">
      <w:pPr>
        <w:rPr>
          <w:rFonts w:cstheme="minorHAnsi"/>
        </w:rPr>
      </w:pPr>
    </w:p>
    <w:p w14:paraId="3476B330" w14:textId="77777777" w:rsidR="002707B6" w:rsidRPr="001D0F76" w:rsidRDefault="002707B6" w:rsidP="004B588F">
      <w:pPr>
        <w:rPr>
          <w:rFonts w:cstheme="minorHAnsi"/>
        </w:rPr>
      </w:pPr>
    </w:p>
    <w:p w14:paraId="6AC658E0" w14:textId="61EA3AFB" w:rsidR="004B588F" w:rsidRPr="001D0F76" w:rsidRDefault="004B588F" w:rsidP="004B588F">
      <w:pPr>
        <w:rPr>
          <w:rFonts w:cstheme="minorHAnsi"/>
        </w:rPr>
      </w:pPr>
      <w:r w:rsidRPr="001D0F76">
        <w:rPr>
          <w:rFonts w:cstheme="minorHAnsi"/>
        </w:rPr>
        <w:t>Essay 3:</w:t>
      </w:r>
    </w:p>
    <w:p w14:paraId="07AAE0EC" w14:textId="77777777" w:rsidR="004B588F" w:rsidRPr="001D0F76" w:rsidRDefault="004B588F" w:rsidP="004B588F">
      <w:pPr>
        <w:rPr>
          <w:rFonts w:cstheme="minorHAnsi"/>
        </w:rPr>
      </w:pPr>
      <w:r w:rsidRPr="001D0F76">
        <w:rPr>
          <w:rFonts w:cstheme="minorHAnsi"/>
        </w:rPr>
        <w:t>In this essay, I will be discussing the role of the Multi-Agency Public Protection Arrangement (MAPPA) in managing offenders. I will be explaining what MAPPA is, the reason behind MAPPA, who is a part of MAPPA and its effectiveness. Additionally, I will be evaluating the effectiveness of policing practices with regards to investigating public protection incident involving violent and sexual offences.</w:t>
      </w:r>
    </w:p>
    <w:p w14:paraId="41837B67" w14:textId="77777777" w:rsidR="004B588F" w:rsidRPr="001D0F76" w:rsidRDefault="004B588F" w:rsidP="004B588F">
      <w:pPr>
        <w:rPr>
          <w:rFonts w:cstheme="minorHAnsi"/>
        </w:rPr>
      </w:pPr>
      <w:r w:rsidRPr="001D0F76">
        <w:rPr>
          <w:rFonts w:cstheme="minorHAnsi"/>
        </w:rPr>
        <w:t>I will begin by discussing the meaning of MAPPA and what it is. MAPPA, or otherwise known as Multi-Agency Public Protection Arrangement, is the process whereby a variety of agencies such as the police, prison service and probation work together to manage and assess the risk posed by violent and sexual offenders (Nacro, 2022). To do this, they use a grading system to assess the risk posed by certain individuals. There are three categories’ offenders can be classed in, the first being Category One. Category One are for offenders who are deemed as low to medium risk of harm to others. These offenders are typically managed by normal agency management, such as the police, probation, and prison services. At category one, offenders are typically managed by a single agency such as the police and there is no major requirement for other agencies becoming involved (Unlock, 2022).</w:t>
      </w:r>
    </w:p>
    <w:p w14:paraId="6C21E4B3" w14:textId="77777777" w:rsidR="004B588F" w:rsidRPr="001D0F76" w:rsidRDefault="004B588F" w:rsidP="004B588F">
      <w:pPr>
        <w:rPr>
          <w:rFonts w:cstheme="minorHAnsi"/>
        </w:rPr>
      </w:pPr>
      <w:r w:rsidRPr="001D0F76">
        <w:rPr>
          <w:rFonts w:cstheme="minorHAnsi"/>
        </w:rPr>
        <w:t xml:space="preserve">The next category is Category Two and is for offenders that pose a high or very high risk of harm to others. Therefore, these offenders will be managed by what is called an inter-risk agency management approach. Due to the heightened risked posed by offenders in this category MAPPA meetings will be put in place for police, probationary services, and other agencies to discuss and develop an action plan for these individuals. Finally, Category Three is where the offenders that pose the highest risk of harm to others are categorised. When categorised at level three, senior management from a variety of agencies is required to oversee the offender due to the extreme threat that they pose to their local communities (Unlock, 2022). </w:t>
      </w:r>
    </w:p>
    <w:p w14:paraId="6B4F8F66" w14:textId="77777777" w:rsidR="004B588F" w:rsidRPr="001D0F76" w:rsidRDefault="004B588F" w:rsidP="004B588F">
      <w:pPr>
        <w:rPr>
          <w:rFonts w:cstheme="minorHAnsi"/>
        </w:rPr>
      </w:pPr>
      <w:r w:rsidRPr="001D0F76">
        <w:rPr>
          <w:rFonts w:cstheme="minorHAnsi"/>
        </w:rPr>
        <w:t>I will now be discussing the purpose for MAPPA and its effectiveness. According to the Thematic Inspection Report, published by the Criminal Justice Joint Inspection (CJJI), MAPPA was created “t</w:t>
      </w:r>
      <w:r w:rsidRPr="001D0F76">
        <w:rPr>
          <w:rFonts w:cstheme="minorHAnsi"/>
          <w:color w:val="202124"/>
          <w:shd w:val="clear" w:color="auto" w:fill="FFFFFF"/>
        </w:rPr>
        <w:t xml:space="preserve">o </w:t>
      </w:r>
      <w:r w:rsidRPr="001D0F76">
        <w:rPr>
          <w:rFonts w:cstheme="minorHAnsi"/>
          <w:shd w:val="clear" w:color="auto" w:fill="FFFFFF"/>
        </w:rPr>
        <w:t xml:space="preserve">help to reduce the reoffending behaviour of sexual and violent offenders in order to protect the public, including victims, from serious harm” (Criminal Justice Joint Inspection, 2011). I believe that it is important to investigate the effectiveness of MAPPA to identify whether the process works. The </w:t>
      </w:r>
      <w:r w:rsidRPr="001D0F76">
        <w:rPr>
          <w:rFonts w:cstheme="minorHAnsi"/>
          <w:shd w:val="clear" w:color="auto" w:fill="FFFFFF"/>
        </w:rPr>
        <w:lastRenderedPageBreak/>
        <w:t>key finding in this report was that</w:t>
      </w:r>
      <w:r w:rsidRPr="001D0F76">
        <w:rPr>
          <w:rFonts w:cstheme="minorHAnsi"/>
          <w:color w:val="202124"/>
          <w:shd w:val="clear" w:color="auto" w:fill="FFFFFF"/>
        </w:rPr>
        <w:t xml:space="preserve"> </w:t>
      </w:r>
      <w:r w:rsidRPr="001D0F76">
        <w:rPr>
          <w:rFonts w:cstheme="minorHAnsi"/>
        </w:rPr>
        <w:t>all reasonable action had been taken to keep the offender’s risk of harm to others to a minimum in over two-thirds of cases (</w:t>
      </w:r>
      <w:r w:rsidRPr="001D0F76">
        <w:rPr>
          <w:rFonts w:cstheme="minorHAnsi"/>
          <w:shd w:val="clear" w:color="auto" w:fill="FFFFFF"/>
        </w:rPr>
        <w:t>Criminal Justice Joint Inspection, 2011)</w:t>
      </w:r>
      <w:r w:rsidRPr="001D0F76">
        <w:rPr>
          <w:rFonts w:cstheme="minorHAnsi"/>
        </w:rPr>
        <w:t xml:space="preserve">. The MAPPA management level had decreased in half of the cases and most of the offenders had not reoffended. Finally, victims and potential victims had been protected in most cases. </w:t>
      </w:r>
    </w:p>
    <w:p w14:paraId="663D3D4E" w14:textId="77777777" w:rsidR="004B588F" w:rsidRPr="001D0F76" w:rsidRDefault="004B588F" w:rsidP="004B588F">
      <w:pPr>
        <w:rPr>
          <w:rFonts w:cstheme="minorHAnsi"/>
        </w:rPr>
      </w:pPr>
      <w:r w:rsidRPr="001D0F76">
        <w:rPr>
          <w:rFonts w:cstheme="minorHAnsi"/>
        </w:rPr>
        <w:t>Although these findings show a positive overview of the MAPPA process, there were several places to improve on as stated by the CJJI to improve the overall effectiveness of the MAPPA process. The first being, agencies that work as a part of MAPPA, when working and dealing with the information regarding the threat and harm posed by offenders were not entirely effective in managing this information.  Their approach when dealing with the offenders as mentioned by the CJJI was more reactive and short term. The CJJI added that to improve this more need to be done with regards to the grading or certain offenders (</w:t>
      </w:r>
      <w:r w:rsidRPr="001D0F76">
        <w:rPr>
          <w:rFonts w:cstheme="minorHAnsi"/>
          <w:shd w:val="clear" w:color="auto" w:fill="FFFFFF"/>
        </w:rPr>
        <w:t>Criminal Justice Joint Inspection, 2011)</w:t>
      </w:r>
      <w:r w:rsidRPr="001D0F76">
        <w:rPr>
          <w:rFonts w:cstheme="minorHAnsi"/>
        </w:rPr>
        <w:t xml:space="preserve">. </w:t>
      </w:r>
    </w:p>
    <w:p w14:paraId="5665BFE9" w14:textId="77777777" w:rsidR="004B588F" w:rsidRPr="001D0F76" w:rsidRDefault="004B588F" w:rsidP="004B588F">
      <w:pPr>
        <w:rPr>
          <w:rFonts w:cstheme="minorHAnsi"/>
        </w:rPr>
      </w:pPr>
      <w:r w:rsidRPr="001D0F76">
        <w:rPr>
          <w:rFonts w:cstheme="minorHAnsi"/>
        </w:rPr>
        <w:t>MAPPA has been used effectively by police forces within the UK according to this article as they outline and analyse the different elements of how effectively police use MAPPA and deal with the information they obtain. According to the CJJI’s findings, 98% of the time police officers correctly shared relevant information with partnership agencies in accordance with MAPPA guidance. However, it was noticed that within the police force there is a lack of communication to share this information with local community policing teams. The CJJI stated that because of this, the opportunity to gather relevant and new intelligence on these offenders was minimised. In the same report it was mentioned that in 91% of cases, all reasonable action was taken by the police to reduce the risk of harm presented. When working and managing offenders who are categorised under one of the three categories of MAPPA. Findings from the CJJI stated that in 63% of cases, there was some form oversight from senior management. However, every police officer questioned on the topic of adequate support they receive from senior management described the supervision as sufficient (</w:t>
      </w:r>
      <w:r w:rsidRPr="001D0F76">
        <w:rPr>
          <w:rFonts w:cstheme="minorHAnsi"/>
          <w:shd w:val="clear" w:color="auto" w:fill="FFFFFF"/>
        </w:rPr>
        <w:t>Criminal Justice Joint Inspection, 2011)</w:t>
      </w:r>
      <w:r w:rsidRPr="001D0F76">
        <w:rPr>
          <w:rFonts w:cstheme="minorHAnsi"/>
        </w:rPr>
        <w:t xml:space="preserve">. </w:t>
      </w:r>
    </w:p>
    <w:p w14:paraId="18804109" w14:textId="77777777" w:rsidR="004B588F" w:rsidRPr="001D0F76" w:rsidRDefault="004B588F" w:rsidP="004B588F">
      <w:pPr>
        <w:rPr>
          <w:rFonts w:cstheme="minorHAnsi"/>
        </w:rPr>
      </w:pPr>
      <w:r w:rsidRPr="001D0F76">
        <w:rPr>
          <w:rFonts w:cstheme="minorHAnsi"/>
        </w:rPr>
        <w:t xml:space="preserve">In 2015 the Ministry of Justice published an article named Re-offending Analysis of MAPPA Eligible Offenders. Within this article there are statistics to show the percentage of reoffending within the first year. The report provides statistics for all three categories. For example, within the report it highlights that for a category one offender the one year proven reoffending rate dropped from 13% in the year 2000 to 10% in 2004. In category two, there was also a decrease in the number of reoffending within the first year. According to the Ministry of Justice there was a 20% decrease between the years 2000 – 2010. Finally, in category three, for the most serious offenders there was a decrease of 45% between the years 2000 – 2010 (Ministry of Justice, 2015). </w:t>
      </w:r>
    </w:p>
    <w:p w14:paraId="0B4BC59F" w14:textId="77777777" w:rsidR="004B588F" w:rsidRPr="001D0F76" w:rsidRDefault="004B588F" w:rsidP="004B588F">
      <w:pPr>
        <w:rPr>
          <w:rFonts w:cstheme="minorHAnsi"/>
        </w:rPr>
      </w:pPr>
      <w:r w:rsidRPr="001D0F76">
        <w:rPr>
          <w:rFonts w:cstheme="minorHAnsi"/>
        </w:rPr>
        <w:t xml:space="preserve">I believe that MAPPA is an effective tool in managing the most dangerous and highest risk posing offenders in the UK. The structure of MAPPA allows a wide variety of partnership agencies to work together to manage and assess the individuals categorised within, by sharing information correctly in accordance with guidelines set out by MAPPA and data protection. It has been proven by a wide range of independent investigations that MAPPA is successful in doing this and additionally the police. However, within these independent articles there are clear weaknesses within the MAPPA structure and how the agencies share the information. This has been highlighted by the findings when looking into how the police use the information within force. </w:t>
      </w:r>
    </w:p>
    <w:p w14:paraId="71E59276" w14:textId="6FB13638" w:rsidR="004B588F" w:rsidRPr="001D0F76" w:rsidRDefault="004B588F" w:rsidP="004B588F">
      <w:pPr>
        <w:rPr>
          <w:rFonts w:cstheme="minorHAnsi"/>
        </w:rPr>
      </w:pPr>
    </w:p>
    <w:p w14:paraId="7C7A07DD" w14:textId="294A1C4B" w:rsidR="00F872D4" w:rsidRPr="001D0F76" w:rsidRDefault="00AE0DC4" w:rsidP="004B588F">
      <w:pPr>
        <w:rPr>
          <w:rFonts w:cstheme="minorHAnsi"/>
        </w:rPr>
      </w:pPr>
      <w:r>
        <w:rPr>
          <w:rFonts w:cstheme="minorHAnsi"/>
        </w:rPr>
        <w:t>Word Count: 1,014</w:t>
      </w:r>
    </w:p>
    <w:p w14:paraId="47952AEB" w14:textId="77777777" w:rsidR="002707B6" w:rsidRDefault="002707B6" w:rsidP="004B588F">
      <w:pPr>
        <w:rPr>
          <w:rFonts w:cstheme="minorHAnsi"/>
        </w:rPr>
      </w:pPr>
    </w:p>
    <w:p w14:paraId="48A9CADB" w14:textId="77777777" w:rsidR="002707B6" w:rsidRDefault="002707B6" w:rsidP="004B588F">
      <w:pPr>
        <w:rPr>
          <w:rFonts w:cstheme="minorHAnsi"/>
        </w:rPr>
      </w:pPr>
    </w:p>
    <w:p w14:paraId="6244342B" w14:textId="77777777" w:rsidR="002707B6" w:rsidRDefault="002707B6" w:rsidP="004B588F">
      <w:pPr>
        <w:rPr>
          <w:rFonts w:cstheme="minorHAnsi"/>
        </w:rPr>
      </w:pPr>
    </w:p>
    <w:p w14:paraId="20ABA012" w14:textId="77777777" w:rsidR="002707B6" w:rsidRDefault="002707B6" w:rsidP="004B588F">
      <w:pPr>
        <w:rPr>
          <w:rFonts w:cstheme="minorHAnsi"/>
        </w:rPr>
      </w:pPr>
    </w:p>
    <w:p w14:paraId="211C5B2E" w14:textId="6D924D47" w:rsidR="00F872D4" w:rsidRPr="001D0F76" w:rsidRDefault="00F872D4" w:rsidP="004B588F">
      <w:pPr>
        <w:rPr>
          <w:rFonts w:cstheme="minorHAnsi"/>
        </w:rPr>
      </w:pPr>
      <w:r w:rsidRPr="001D0F76">
        <w:rPr>
          <w:rFonts w:cstheme="minorHAnsi"/>
        </w:rPr>
        <w:t>Essay 4:</w:t>
      </w:r>
    </w:p>
    <w:p w14:paraId="1A3D1F97" w14:textId="77777777" w:rsidR="00F872D4" w:rsidRPr="001D0F76" w:rsidRDefault="00F872D4" w:rsidP="00F872D4">
      <w:pPr>
        <w:rPr>
          <w:rFonts w:cstheme="minorHAnsi"/>
        </w:rPr>
      </w:pPr>
      <w:r w:rsidRPr="001D0F76">
        <w:rPr>
          <w:rFonts w:cstheme="minorHAnsi"/>
        </w:rPr>
        <w:t>In this essay I will be critically evaluating the impact of early intervention on young offenders and you people at risk of becoming involved in gangs. Throughout this essay I will be looking at how partnership approached help to prevent and deter involvement in gang-related activities. I will be using research to support my findings.</w:t>
      </w:r>
    </w:p>
    <w:p w14:paraId="35F190AA" w14:textId="6FC251D3" w:rsidR="00F872D4" w:rsidRPr="001D0F76" w:rsidRDefault="00F872D4" w:rsidP="00F872D4">
      <w:pPr>
        <w:rPr>
          <w:rFonts w:cstheme="minorHAnsi"/>
        </w:rPr>
      </w:pPr>
      <w:r w:rsidRPr="001D0F76">
        <w:rPr>
          <w:rFonts w:cstheme="minorHAnsi"/>
        </w:rPr>
        <w:t xml:space="preserve">Early intervention is key to safeguarding those at risk of being involved in gang related activity and crime. Tony Blair used early intervention as a predominant case in his New Labour’s social and criminal justice agendas. In 2006, Blair stated in a speech the importance of an early intervention approach. He went onto say, “instead of waiting until the child goes off the rails, we should act early enough, with the right help, support and disciplined framework, to prevent </w:t>
      </w:r>
      <w:r w:rsidR="002707B6" w:rsidRPr="001D0F76">
        <w:rPr>
          <w:rFonts w:cstheme="minorHAnsi"/>
        </w:rPr>
        <w:t>it” (</w:t>
      </w:r>
      <w:r w:rsidRPr="001D0F76">
        <w:rPr>
          <w:rFonts w:cstheme="minorHAnsi"/>
        </w:rPr>
        <w:t>Blythe and Soloman, 2009).</w:t>
      </w:r>
    </w:p>
    <w:p w14:paraId="0F479510" w14:textId="77777777" w:rsidR="00F872D4" w:rsidRPr="001D0F76" w:rsidRDefault="00F872D4" w:rsidP="00F872D4">
      <w:pPr>
        <w:rPr>
          <w:rFonts w:cstheme="minorHAnsi"/>
        </w:rPr>
      </w:pPr>
      <w:r w:rsidRPr="001D0F76">
        <w:rPr>
          <w:rFonts w:cstheme="minorHAnsi"/>
        </w:rPr>
        <w:t>The Metropolitan Police (MET) have adopted a system named the Gang Violence Matrix (GVM). This system is a risk assessment tool which identifies and classifies gang members and the people at risk. The MET use a red, amber, green (RAG) method to carry out the risk assessment. For example, they use red to identify the most at-risk people and/or the most violent gang members. The MET work closely with partnership agencies to establish these rankings and they are added to the GVM when there are numerous inputs of reliable intelligence (Metropolitan Police, 2022).</w:t>
      </w:r>
    </w:p>
    <w:p w14:paraId="482E4F58" w14:textId="77777777" w:rsidR="00F872D4" w:rsidRPr="001D0F76" w:rsidRDefault="00F872D4" w:rsidP="00F872D4">
      <w:pPr>
        <w:rPr>
          <w:rFonts w:cstheme="minorHAnsi"/>
        </w:rPr>
      </w:pPr>
      <w:r w:rsidRPr="001D0F76">
        <w:rPr>
          <w:rFonts w:cstheme="minorHAnsi"/>
        </w:rPr>
        <w:t xml:space="preserve">The MET sets out that by using the GVM system it can safeguard young people at risk of being involved in gang related activity. The MET, on an online article defines a gang as “a group of young people who see themselves or are seen by others as a discernible group who engage in criminal activity” (Metropolitan Police, 2022).  Throughout the article it states that their objectives are to reduce gang violence, to safeguard those at risk and to prevent young lives being lost. </w:t>
      </w:r>
    </w:p>
    <w:p w14:paraId="33A6B637" w14:textId="77777777" w:rsidR="00F872D4" w:rsidRPr="001D0F76" w:rsidRDefault="00F872D4" w:rsidP="00F872D4">
      <w:pPr>
        <w:rPr>
          <w:rFonts w:cstheme="minorHAnsi"/>
        </w:rPr>
      </w:pPr>
      <w:r w:rsidRPr="001D0F76">
        <w:rPr>
          <w:rFonts w:cstheme="minorHAnsi"/>
        </w:rPr>
        <w:t>They set out to do this by sharing any information generated by the GMV with a variety of partnership agencies, such as schools, youth offending services, health services and rehabilitation services. The purpose of this is to aid those who require assistance leaving gangs and further safeguarding them when out. They strive to achieve this via discussing those at risk in multi-agency meetings on a borough level. From these meetings, some of the support that can be offered to those at risk include mentor schemes, assistance with their education and employment and re-location. The aim of this is to prevent and deter young people from being involved in gang related activity. The partnership agencies involved are chosen on a basis that they can provide information that “can help in positive interventions to move them away from gangs and criminality” (Metropolitan Police, 2022).</w:t>
      </w:r>
    </w:p>
    <w:p w14:paraId="1DA92E41" w14:textId="77777777" w:rsidR="00F872D4" w:rsidRPr="001D0F76" w:rsidRDefault="00F872D4" w:rsidP="00F872D4">
      <w:pPr>
        <w:rPr>
          <w:rFonts w:cstheme="minorHAnsi"/>
        </w:rPr>
      </w:pPr>
      <w:r w:rsidRPr="001D0F76">
        <w:rPr>
          <w:rFonts w:cstheme="minorHAnsi"/>
        </w:rPr>
        <w:t xml:space="preserve">The matrix however has recently been subject to scrutiny from the mayor of London who in December 2018 published a report on the GMV and identified nine elements for improvement and in the Mayor’s Office for Policing and Crime (MOPAC) report provided recommendations. These recommendations were made in the hope that transparency and accountability would increase. These recommendations included an annual review of the matrix by the MET, that the MET improves systematic data capture in all aspects of the GMV and that the MET urgently improve the way that they store, uses, and share data with other agencies (MOPAC, 2018). </w:t>
      </w:r>
    </w:p>
    <w:p w14:paraId="7E603805" w14:textId="09D29543" w:rsidR="00F872D4" w:rsidRPr="001D0F76" w:rsidRDefault="00F872D4" w:rsidP="00F872D4">
      <w:pPr>
        <w:rPr>
          <w:rFonts w:cstheme="minorHAnsi"/>
        </w:rPr>
      </w:pPr>
      <w:r w:rsidRPr="001D0F76">
        <w:rPr>
          <w:rFonts w:cstheme="minorHAnsi"/>
        </w:rPr>
        <w:lastRenderedPageBreak/>
        <w:t>An interview conducted by The LADBible on YouTube published on the 31</w:t>
      </w:r>
      <w:r w:rsidRPr="001D0F76">
        <w:rPr>
          <w:rFonts w:cstheme="minorHAnsi"/>
          <w:vertAlign w:val="superscript"/>
        </w:rPr>
        <w:t>st</w:t>
      </w:r>
      <w:r w:rsidRPr="001D0F76">
        <w:rPr>
          <w:rFonts w:cstheme="minorHAnsi"/>
        </w:rPr>
        <w:t xml:space="preserve"> of January 2021 with a former gang member, Hezron Brown discusses how Hezron became involved in gang related activity and how intervention from the probation service helped him from continuing a life of crime. During the interview Hezron explains that he did not have the best upbringing and that his mum wanted social services to take him. He later explained that in school he began acting out, which lead to him being kicked out of school and not being able to attend the area. Hezron explains how he was sat in a room with the police, his mum and teachers and his mum said, “how much she couldn’t control me and how much I was growing out of control” (</w:t>
      </w:r>
      <w:r w:rsidR="00E81EE9" w:rsidRPr="001D0F76">
        <w:rPr>
          <w:rFonts w:cstheme="minorHAnsi"/>
        </w:rPr>
        <w:t>LadBible</w:t>
      </w:r>
      <w:r w:rsidR="00366BD2" w:rsidRPr="001D0F76">
        <w:rPr>
          <w:rFonts w:cstheme="minorHAnsi"/>
        </w:rPr>
        <w:t>, 2021</w:t>
      </w:r>
      <w:r w:rsidRPr="001D0F76">
        <w:rPr>
          <w:rFonts w:cstheme="minorHAnsi"/>
        </w:rPr>
        <w:t xml:space="preserve">).  </w:t>
      </w:r>
    </w:p>
    <w:p w14:paraId="4C5211CD" w14:textId="6AE9FD92" w:rsidR="00F872D4" w:rsidRPr="001D0F76" w:rsidRDefault="00F872D4" w:rsidP="00F872D4">
      <w:pPr>
        <w:rPr>
          <w:rFonts w:cstheme="minorHAnsi"/>
        </w:rPr>
      </w:pPr>
      <w:r w:rsidRPr="001D0F76">
        <w:rPr>
          <w:rFonts w:cstheme="minorHAnsi"/>
        </w:rPr>
        <w:t>At this early stage, I believe that there was a failing in the intervention provided. As stated by Tony Blair in a speech in 2006, “you can detect and predict the children and families likely to go wrong” which I believe was clear in this case. Blair also said that it’s important to act early with the correct support and disciplined framework to prevent it</w:t>
      </w:r>
      <w:r w:rsidR="00516CAC" w:rsidRPr="001D0F76">
        <w:rPr>
          <w:rFonts w:cstheme="minorHAnsi"/>
        </w:rPr>
        <w:t xml:space="preserve"> (Blythe and Soloman, 2009)</w:t>
      </w:r>
      <w:r w:rsidRPr="001D0F76">
        <w:rPr>
          <w:rFonts w:cstheme="minorHAnsi"/>
        </w:rPr>
        <w:t>. I believe that it’s fundamental for agencies to work together to achieve the same goal. I believe that if Hezron and his mum was offered valuable support this could have stopped Hezron from becoming involved in gang culture. I understand that the onus on the police and the school alone being the answer does not work however by utilising and making other agencies with the correct skills and resources aware, early intervention strategies could have been used more effectively.</w:t>
      </w:r>
    </w:p>
    <w:p w14:paraId="21EBC4E0" w14:textId="7DAEEFC6" w:rsidR="00F872D4" w:rsidRPr="001D0F76" w:rsidRDefault="00F872D4" w:rsidP="00F872D4">
      <w:pPr>
        <w:rPr>
          <w:rFonts w:cstheme="minorHAnsi"/>
        </w:rPr>
      </w:pPr>
      <w:r w:rsidRPr="001D0F76">
        <w:rPr>
          <w:rFonts w:cstheme="minorHAnsi"/>
        </w:rPr>
        <w:t>During the interview, Hezron shares his experience of going to court and speaking to a female working for the probation service. He explained that with her help he managed to stay out prison. He added that by speaking to the probation officer it allowed him to pursue education however mentioned that this was made difficult due to his background. Eventually, he states that he beg</w:t>
      </w:r>
      <w:r w:rsidR="00516CAC" w:rsidRPr="001D0F76">
        <w:rPr>
          <w:rFonts w:cstheme="minorHAnsi"/>
        </w:rPr>
        <w:t>a</w:t>
      </w:r>
      <w:r w:rsidRPr="001D0F76">
        <w:rPr>
          <w:rFonts w:cstheme="minorHAnsi"/>
        </w:rPr>
        <w:t>n doing voluntary work at the prince’s trust. In which he has now become an ambassador for and has gone on to meet the then prince of Wales to receive the pride of Britain award</w:t>
      </w:r>
      <w:r w:rsidR="00516CAC" w:rsidRPr="001D0F76">
        <w:rPr>
          <w:rFonts w:cstheme="minorHAnsi"/>
        </w:rPr>
        <w:t xml:space="preserve"> (LadBible, 2021)</w:t>
      </w:r>
      <w:r w:rsidRPr="001D0F76">
        <w:rPr>
          <w:rFonts w:cstheme="minorHAnsi"/>
        </w:rPr>
        <w:t>.</w:t>
      </w:r>
    </w:p>
    <w:p w14:paraId="6CEC9ADE" w14:textId="072C8844" w:rsidR="00F872D4" w:rsidRPr="001D0F76" w:rsidRDefault="00F872D4" w:rsidP="00F872D4">
      <w:pPr>
        <w:rPr>
          <w:rFonts w:cstheme="minorHAnsi"/>
        </w:rPr>
      </w:pPr>
      <w:r w:rsidRPr="001D0F76">
        <w:rPr>
          <w:rFonts w:cstheme="minorHAnsi"/>
        </w:rPr>
        <w:t>I believe that systems such as the GMV are effective in preventing young offenders and young people at risk becoming involved in gangs. I believe this as the GMV works together with a variety of partnership agencies to offer the correct support to those in need. This support as previously mentioned can consist of mentor schemes, education, and housing. After reviewing Hezron’s case I believe that this is a young person that nearly slipped through the cracks and could have benefited from being on such a system. It was support from the probation service that eventually allowed him to not enter and be lost in the judicial system</w:t>
      </w:r>
      <w:r w:rsidR="008C2992" w:rsidRPr="001D0F76">
        <w:rPr>
          <w:rFonts w:cstheme="minorHAnsi"/>
        </w:rPr>
        <w:t>.</w:t>
      </w:r>
      <w:r w:rsidRPr="001D0F76">
        <w:rPr>
          <w:rFonts w:cstheme="minorHAnsi"/>
        </w:rPr>
        <w:t xml:space="preserve"> </w:t>
      </w:r>
      <w:r w:rsidR="008C2992" w:rsidRPr="001D0F76">
        <w:rPr>
          <w:rFonts w:cstheme="minorHAnsi"/>
        </w:rPr>
        <w:t>H</w:t>
      </w:r>
      <w:r w:rsidRPr="001D0F76">
        <w:rPr>
          <w:rFonts w:cstheme="minorHAnsi"/>
        </w:rPr>
        <w:t>owever</w:t>
      </w:r>
      <w:r w:rsidR="008C2992" w:rsidRPr="001D0F76">
        <w:rPr>
          <w:rFonts w:cstheme="minorHAnsi"/>
        </w:rPr>
        <w:t>,</w:t>
      </w:r>
      <w:r w:rsidRPr="001D0F76">
        <w:rPr>
          <w:rFonts w:cstheme="minorHAnsi"/>
        </w:rPr>
        <w:t xml:space="preserve"> I believe that from this stage more could have been done. The GMV is there to ensure that all relevant departments are communicating together to prevent this happening. However, after researching the GMV it still has elements to improve on. I believe with the right amendments to the GMV and partnership agencies communicating with each other effectively and in alignment with data protection this would be effective in preventing young persons at risk becoming involved in gang related activity.</w:t>
      </w:r>
    </w:p>
    <w:p w14:paraId="5E8E7576" w14:textId="77777777" w:rsidR="00F872D4" w:rsidRPr="001D0F76" w:rsidRDefault="00F872D4" w:rsidP="004B588F">
      <w:pPr>
        <w:rPr>
          <w:rFonts w:cstheme="minorHAnsi"/>
        </w:rPr>
      </w:pPr>
    </w:p>
    <w:p w14:paraId="55772220" w14:textId="56E8A906" w:rsidR="00595DD5" w:rsidRPr="001D0F76" w:rsidRDefault="00AE0DC4" w:rsidP="004B588F">
      <w:pPr>
        <w:rPr>
          <w:rFonts w:cstheme="minorHAnsi"/>
        </w:rPr>
      </w:pPr>
      <w:r>
        <w:rPr>
          <w:rFonts w:cstheme="minorHAnsi"/>
        </w:rPr>
        <w:t>Word Count: 1,1</w:t>
      </w:r>
      <w:r w:rsidR="00553530">
        <w:rPr>
          <w:rFonts w:cstheme="minorHAnsi"/>
        </w:rPr>
        <w:t>00</w:t>
      </w:r>
    </w:p>
    <w:p w14:paraId="22B96A92" w14:textId="3E3A1DA2" w:rsidR="00595DD5" w:rsidRPr="001D0F76" w:rsidRDefault="00595DD5" w:rsidP="004B588F">
      <w:pPr>
        <w:rPr>
          <w:rFonts w:cstheme="minorHAnsi"/>
        </w:rPr>
      </w:pPr>
    </w:p>
    <w:p w14:paraId="568FAB57" w14:textId="60ACFA20" w:rsidR="00595DD5" w:rsidRPr="001D0F76" w:rsidRDefault="00595DD5" w:rsidP="004B588F">
      <w:pPr>
        <w:rPr>
          <w:rFonts w:cstheme="minorHAnsi"/>
        </w:rPr>
      </w:pPr>
    </w:p>
    <w:p w14:paraId="67048F70" w14:textId="34FFB885" w:rsidR="00595DD5" w:rsidRPr="001D0F76" w:rsidRDefault="00595DD5" w:rsidP="004B588F">
      <w:pPr>
        <w:rPr>
          <w:rFonts w:cstheme="minorHAnsi"/>
        </w:rPr>
      </w:pPr>
    </w:p>
    <w:p w14:paraId="51569152" w14:textId="0111C9D0" w:rsidR="00595DD5" w:rsidRPr="001D0F76" w:rsidRDefault="00595DD5" w:rsidP="004B588F">
      <w:pPr>
        <w:rPr>
          <w:rFonts w:cstheme="minorHAnsi"/>
        </w:rPr>
      </w:pPr>
    </w:p>
    <w:p w14:paraId="2277EDEE" w14:textId="6DEF943B" w:rsidR="00595DD5" w:rsidRPr="001D0F76" w:rsidRDefault="00595DD5" w:rsidP="004B588F">
      <w:pPr>
        <w:rPr>
          <w:rFonts w:cstheme="minorHAnsi"/>
        </w:rPr>
      </w:pPr>
    </w:p>
    <w:p w14:paraId="1B169FCC" w14:textId="4DFD16D2" w:rsidR="00595DD5" w:rsidRPr="001D0F76" w:rsidRDefault="00595DD5" w:rsidP="004B588F">
      <w:pPr>
        <w:rPr>
          <w:rFonts w:cstheme="minorHAnsi"/>
        </w:rPr>
      </w:pPr>
    </w:p>
    <w:p w14:paraId="01615B99" w14:textId="0F039FE0" w:rsidR="00595DD5" w:rsidRPr="001D0F76" w:rsidRDefault="00595DD5" w:rsidP="004B588F">
      <w:pPr>
        <w:rPr>
          <w:rFonts w:cstheme="minorHAnsi"/>
        </w:rPr>
      </w:pPr>
    </w:p>
    <w:p w14:paraId="509DA90B" w14:textId="77777777" w:rsidR="002707B6" w:rsidRDefault="002707B6" w:rsidP="00595DD5">
      <w:pPr>
        <w:spacing w:line="240" w:lineRule="auto"/>
        <w:rPr>
          <w:rFonts w:cstheme="minorHAnsi"/>
        </w:rPr>
      </w:pPr>
    </w:p>
    <w:p w14:paraId="65E1949B" w14:textId="5B185C66" w:rsidR="00D01121" w:rsidRPr="001D0F76" w:rsidRDefault="00D01121" w:rsidP="00595DD5">
      <w:pPr>
        <w:spacing w:line="240" w:lineRule="auto"/>
        <w:rPr>
          <w:rFonts w:cstheme="minorHAnsi"/>
          <w:u w:val="single"/>
        </w:rPr>
      </w:pPr>
      <w:r w:rsidRPr="001D0F76">
        <w:rPr>
          <w:rFonts w:cstheme="minorHAnsi"/>
          <w:u w:val="single"/>
        </w:rPr>
        <w:t>Reference List</w:t>
      </w:r>
    </w:p>
    <w:p w14:paraId="58124D0B" w14:textId="77777777" w:rsidR="00D01121" w:rsidRPr="001D0F76" w:rsidRDefault="00D01121" w:rsidP="00595DD5">
      <w:pPr>
        <w:spacing w:line="240" w:lineRule="auto"/>
        <w:rPr>
          <w:rFonts w:cstheme="minorHAnsi"/>
        </w:rPr>
      </w:pPr>
    </w:p>
    <w:p w14:paraId="570FDA7E" w14:textId="3B416D7E" w:rsidR="00595DD5" w:rsidRPr="001D0F76" w:rsidRDefault="00595DD5" w:rsidP="00595DD5">
      <w:pPr>
        <w:spacing w:line="240" w:lineRule="auto"/>
        <w:rPr>
          <w:rFonts w:cstheme="minorHAnsi"/>
        </w:rPr>
      </w:pPr>
      <w:r w:rsidRPr="001D0F76">
        <w:rPr>
          <w:rFonts w:cstheme="minorHAnsi"/>
        </w:rPr>
        <w:t>Essay 1</w:t>
      </w:r>
    </w:p>
    <w:p w14:paraId="163E0A2A" w14:textId="77777777" w:rsidR="00595DD5" w:rsidRPr="001D0F76" w:rsidRDefault="00595DD5" w:rsidP="00595DD5">
      <w:pPr>
        <w:spacing w:line="240" w:lineRule="auto"/>
        <w:rPr>
          <w:rFonts w:cstheme="minorHAnsi"/>
        </w:rPr>
      </w:pPr>
      <w:r w:rsidRPr="001D0F76">
        <w:rPr>
          <w:rFonts w:cstheme="minorHAnsi"/>
        </w:rPr>
        <w:t xml:space="preserve">Blom-Cooper, Louis. 1997. </w:t>
      </w:r>
      <w:r w:rsidRPr="001D0F76">
        <w:rPr>
          <w:rFonts w:cstheme="minorHAnsi"/>
          <w:i/>
        </w:rPr>
        <w:t>The Birmingham Six and Other Cases: Victims of Circumstance</w:t>
      </w:r>
      <w:r w:rsidRPr="001D0F76">
        <w:rPr>
          <w:rFonts w:cstheme="minorHAnsi"/>
        </w:rPr>
        <w:t>. Gerald Duckworth &amp; Co Ltd.</w:t>
      </w:r>
    </w:p>
    <w:p w14:paraId="6518A06F" w14:textId="77777777" w:rsidR="00595DD5" w:rsidRPr="001D0F76" w:rsidRDefault="00595DD5" w:rsidP="00595DD5">
      <w:pPr>
        <w:spacing w:line="240" w:lineRule="auto"/>
        <w:rPr>
          <w:rFonts w:cstheme="minorHAnsi"/>
        </w:rPr>
      </w:pPr>
      <w:r w:rsidRPr="001D0F76">
        <w:rPr>
          <w:rFonts w:cstheme="minorHAnsi"/>
        </w:rPr>
        <w:t xml:space="preserve">Robins, Jon. 2018. </w:t>
      </w:r>
      <w:r w:rsidRPr="001D0F76">
        <w:rPr>
          <w:rFonts w:cstheme="minorHAnsi"/>
          <w:i/>
        </w:rPr>
        <w:t>Guilty until proven innocent: a study of justice in error</w:t>
      </w:r>
      <w:r w:rsidRPr="001D0F76">
        <w:rPr>
          <w:rFonts w:cstheme="minorHAnsi"/>
        </w:rPr>
        <w:t xml:space="preserve">. Biteback Publishing. </w:t>
      </w:r>
    </w:p>
    <w:p w14:paraId="7CCF9E7C" w14:textId="77777777" w:rsidR="00595DD5" w:rsidRPr="001D0F76" w:rsidRDefault="00595DD5" w:rsidP="00595DD5">
      <w:pPr>
        <w:spacing w:line="240" w:lineRule="auto"/>
        <w:rPr>
          <w:rFonts w:cstheme="minorHAnsi"/>
        </w:rPr>
      </w:pPr>
      <w:r w:rsidRPr="001D0F76">
        <w:rPr>
          <w:rFonts w:cstheme="minorHAnsi"/>
        </w:rPr>
        <w:t xml:space="preserve">Hoyle, Carolyn. 2019. </w:t>
      </w:r>
      <w:r w:rsidRPr="001D0F76">
        <w:rPr>
          <w:rFonts w:cstheme="minorHAnsi"/>
          <w:i/>
        </w:rPr>
        <w:t>Reasons to doubt: Wrongful Convictions and the Criminal Cases Review Commission</w:t>
      </w:r>
      <w:r w:rsidRPr="001D0F76">
        <w:rPr>
          <w:rFonts w:cstheme="minorHAnsi"/>
        </w:rPr>
        <w:t>. First Edition. Oxford University Press</w:t>
      </w:r>
    </w:p>
    <w:p w14:paraId="43FFE4EC" w14:textId="77777777" w:rsidR="00595DD5" w:rsidRPr="001D0F76" w:rsidRDefault="00595DD5" w:rsidP="00595DD5">
      <w:pPr>
        <w:spacing w:line="240" w:lineRule="auto"/>
        <w:rPr>
          <w:rFonts w:cstheme="minorHAnsi"/>
        </w:rPr>
      </w:pPr>
      <w:r w:rsidRPr="001D0F76">
        <w:rPr>
          <w:rFonts w:cstheme="minorHAnsi"/>
        </w:rPr>
        <w:t xml:space="preserve">Lissaman, Clare. 2011. </w:t>
      </w:r>
      <w:r w:rsidRPr="001D0F76">
        <w:rPr>
          <w:rFonts w:cstheme="minorHAnsi"/>
          <w:i/>
        </w:rPr>
        <w:t>The Birmingham Six ‘were in the wrong place at the wrong time’</w:t>
      </w:r>
      <w:r w:rsidRPr="001D0F76">
        <w:rPr>
          <w:rFonts w:cstheme="minorHAnsi"/>
        </w:rPr>
        <w:t xml:space="preserve">. BBC News. </w:t>
      </w:r>
    </w:p>
    <w:p w14:paraId="4AFDFE89" w14:textId="77777777" w:rsidR="00595DD5" w:rsidRPr="001D0F76" w:rsidRDefault="00595DD5" w:rsidP="00595DD5">
      <w:pPr>
        <w:spacing w:line="240" w:lineRule="auto"/>
        <w:rPr>
          <w:rFonts w:cstheme="minorHAnsi"/>
        </w:rPr>
      </w:pPr>
      <w:r w:rsidRPr="001D0F76">
        <w:rPr>
          <w:rFonts w:cstheme="minorHAnsi"/>
        </w:rPr>
        <w:t xml:space="preserve">The Human Rights Act, Ch. 42. 1998 </w:t>
      </w:r>
    </w:p>
    <w:p w14:paraId="0D1AAE95" w14:textId="77777777" w:rsidR="00595DD5" w:rsidRPr="001D0F76" w:rsidRDefault="00595DD5" w:rsidP="00595DD5">
      <w:pPr>
        <w:spacing w:line="240" w:lineRule="auto"/>
        <w:rPr>
          <w:rFonts w:cstheme="minorHAnsi"/>
        </w:rPr>
      </w:pPr>
      <w:r w:rsidRPr="001D0F76">
        <w:rPr>
          <w:rFonts w:cstheme="minorHAnsi"/>
        </w:rPr>
        <w:t>The Human Rights Act, Ch. 42. Article 3. 1998</w:t>
      </w:r>
    </w:p>
    <w:p w14:paraId="53A83151" w14:textId="77777777" w:rsidR="00595DD5" w:rsidRPr="001D0F76" w:rsidRDefault="00595DD5" w:rsidP="00595DD5">
      <w:pPr>
        <w:spacing w:line="240" w:lineRule="auto"/>
        <w:rPr>
          <w:rFonts w:cstheme="minorHAnsi"/>
          <w:i/>
        </w:rPr>
      </w:pPr>
      <w:r w:rsidRPr="001D0F76">
        <w:rPr>
          <w:rFonts w:cstheme="minorHAnsi"/>
        </w:rPr>
        <w:t xml:space="preserve">BBC News. 2011. </w:t>
      </w:r>
      <w:r w:rsidRPr="001D0F76">
        <w:rPr>
          <w:rFonts w:cstheme="minorHAnsi"/>
          <w:i/>
        </w:rPr>
        <w:t>Death of Yusef Abdullahi, 49, one of the Cardiff Three.</w:t>
      </w:r>
    </w:p>
    <w:p w14:paraId="7678CA30" w14:textId="77777777" w:rsidR="00595DD5" w:rsidRPr="001D0F76" w:rsidRDefault="00595DD5" w:rsidP="00595DD5">
      <w:pPr>
        <w:spacing w:line="240" w:lineRule="auto"/>
        <w:rPr>
          <w:rFonts w:cstheme="minorHAnsi"/>
        </w:rPr>
      </w:pPr>
      <w:r w:rsidRPr="001D0F76">
        <w:rPr>
          <w:rFonts w:cstheme="minorHAnsi"/>
        </w:rPr>
        <w:t>Police and Criminal Evidence Act, 1984</w:t>
      </w:r>
    </w:p>
    <w:p w14:paraId="12F18482" w14:textId="77777777" w:rsidR="00595DD5" w:rsidRPr="001D0F76" w:rsidRDefault="00595DD5" w:rsidP="00595DD5">
      <w:pPr>
        <w:spacing w:line="240" w:lineRule="auto"/>
        <w:rPr>
          <w:rFonts w:cstheme="minorHAnsi"/>
        </w:rPr>
      </w:pPr>
      <w:r w:rsidRPr="001D0F76">
        <w:rPr>
          <w:rFonts w:cstheme="minorHAnsi"/>
        </w:rPr>
        <w:t>Home Office. 2019</w:t>
      </w:r>
      <w:r w:rsidRPr="001D0F76">
        <w:rPr>
          <w:rFonts w:cstheme="minorHAnsi"/>
          <w:i/>
        </w:rPr>
        <w:t>. CODE H: Revised Code of Practice</w:t>
      </w:r>
      <w:r w:rsidRPr="001D0F76">
        <w:rPr>
          <w:rFonts w:cstheme="minorHAnsi"/>
        </w:rPr>
        <w:t>. Williams Lea Company.</w:t>
      </w:r>
    </w:p>
    <w:p w14:paraId="56752673" w14:textId="77777777" w:rsidR="00595DD5" w:rsidRPr="001D0F76" w:rsidRDefault="00595DD5" w:rsidP="00595DD5">
      <w:pPr>
        <w:spacing w:line="240" w:lineRule="auto"/>
        <w:rPr>
          <w:rFonts w:cstheme="minorHAnsi"/>
        </w:rPr>
      </w:pPr>
    </w:p>
    <w:p w14:paraId="6750DE98" w14:textId="77777777" w:rsidR="00595DD5" w:rsidRPr="001D0F76" w:rsidRDefault="00595DD5" w:rsidP="00595DD5">
      <w:pPr>
        <w:spacing w:line="240" w:lineRule="auto"/>
        <w:rPr>
          <w:rFonts w:cstheme="minorHAnsi"/>
        </w:rPr>
      </w:pPr>
      <w:r w:rsidRPr="001D0F76">
        <w:rPr>
          <w:rFonts w:cstheme="minorHAnsi"/>
        </w:rPr>
        <w:t>Essay 2</w:t>
      </w:r>
    </w:p>
    <w:p w14:paraId="24785EBD" w14:textId="77777777" w:rsidR="00595DD5" w:rsidRPr="001D0F76" w:rsidRDefault="00595DD5" w:rsidP="00595DD5">
      <w:pPr>
        <w:spacing w:line="240" w:lineRule="auto"/>
        <w:rPr>
          <w:rFonts w:cstheme="minorHAnsi"/>
          <w:i/>
        </w:rPr>
      </w:pPr>
      <w:r w:rsidRPr="001D0F76">
        <w:rPr>
          <w:rFonts w:cstheme="minorHAnsi"/>
        </w:rPr>
        <w:t xml:space="preserve">College of Policing. 2020. </w:t>
      </w:r>
      <w:r w:rsidRPr="001D0F76">
        <w:rPr>
          <w:rFonts w:cstheme="minorHAnsi"/>
          <w:i/>
        </w:rPr>
        <w:t xml:space="preserve">Recognising and Responding to Vulnerability Related Risks: Guidelines. </w:t>
      </w:r>
    </w:p>
    <w:p w14:paraId="38D73341" w14:textId="77777777" w:rsidR="00595DD5" w:rsidRPr="001D0F76" w:rsidRDefault="00595DD5" w:rsidP="00595DD5">
      <w:pPr>
        <w:spacing w:line="240" w:lineRule="auto"/>
        <w:rPr>
          <w:rFonts w:cstheme="minorHAnsi"/>
          <w:i/>
        </w:rPr>
      </w:pPr>
      <w:r w:rsidRPr="001D0F76">
        <w:rPr>
          <w:rFonts w:cstheme="minorHAnsi"/>
        </w:rPr>
        <w:t xml:space="preserve">National Crime Agency. 2017. </w:t>
      </w:r>
      <w:r w:rsidRPr="001D0F76">
        <w:rPr>
          <w:rFonts w:cstheme="minorHAnsi"/>
          <w:i/>
        </w:rPr>
        <w:t xml:space="preserve">County Lines Violence, Exploitation and Drug Supply: National Briefing Report. </w:t>
      </w:r>
    </w:p>
    <w:p w14:paraId="32D6201A" w14:textId="77777777" w:rsidR="00595DD5" w:rsidRPr="001D0F76" w:rsidRDefault="00595DD5" w:rsidP="00595DD5">
      <w:pPr>
        <w:spacing w:line="240" w:lineRule="auto"/>
        <w:rPr>
          <w:rFonts w:cstheme="minorHAnsi"/>
        </w:rPr>
      </w:pPr>
      <w:r w:rsidRPr="001D0F76">
        <w:rPr>
          <w:rFonts w:cstheme="minorHAnsi"/>
        </w:rPr>
        <w:t xml:space="preserve">Serious Crime Act, section 45 (6), 2007. </w:t>
      </w:r>
    </w:p>
    <w:p w14:paraId="5B9A56F7" w14:textId="77777777" w:rsidR="00595DD5" w:rsidRPr="001D0F76" w:rsidRDefault="00595DD5" w:rsidP="00595DD5">
      <w:pPr>
        <w:spacing w:line="240" w:lineRule="auto"/>
        <w:rPr>
          <w:rFonts w:cstheme="minorHAnsi"/>
        </w:rPr>
      </w:pPr>
      <w:r w:rsidRPr="001D0F76">
        <w:rPr>
          <w:rFonts w:cstheme="minorHAnsi"/>
        </w:rPr>
        <w:t>Crown Prosecution Service. 2019</w:t>
      </w:r>
    </w:p>
    <w:p w14:paraId="4B07338C" w14:textId="77777777" w:rsidR="00595DD5" w:rsidRPr="001D0F76" w:rsidRDefault="00595DD5" w:rsidP="00595DD5">
      <w:pPr>
        <w:spacing w:line="240" w:lineRule="auto"/>
        <w:rPr>
          <w:rFonts w:cstheme="minorHAnsi"/>
        </w:rPr>
      </w:pPr>
      <w:r w:rsidRPr="001D0F76">
        <w:rPr>
          <w:rFonts w:cstheme="minorHAnsi"/>
        </w:rPr>
        <w:t xml:space="preserve">West Yorkshire Police Report on Cuckooing, 2020. </w:t>
      </w:r>
    </w:p>
    <w:p w14:paraId="6E515853" w14:textId="77777777" w:rsidR="00595DD5" w:rsidRPr="001D0F76" w:rsidRDefault="00595DD5" w:rsidP="00595DD5">
      <w:pPr>
        <w:spacing w:line="240" w:lineRule="auto"/>
        <w:rPr>
          <w:rFonts w:cstheme="minorHAnsi"/>
        </w:rPr>
      </w:pPr>
      <w:r w:rsidRPr="001D0F76">
        <w:rPr>
          <w:rFonts w:cstheme="minorHAnsi"/>
        </w:rPr>
        <w:t xml:space="preserve">Spicer, Jack. Moyle, Leah. Coomber, Ross. 2019. </w:t>
      </w:r>
      <w:r w:rsidRPr="001D0F76">
        <w:rPr>
          <w:rFonts w:cstheme="minorHAnsi"/>
          <w:i/>
        </w:rPr>
        <w:t>The variable and evolving nature of ‘cuckooing’ as a form of criminal exploitation in street level drug markets.</w:t>
      </w:r>
      <w:r w:rsidRPr="001D0F76">
        <w:rPr>
          <w:rFonts w:cstheme="minorHAnsi"/>
        </w:rPr>
        <w:t xml:space="preserve"> Trends in Organised Crime.  </w:t>
      </w:r>
    </w:p>
    <w:p w14:paraId="41B65985" w14:textId="77777777" w:rsidR="00595DD5" w:rsidRPr="001D0F76" w:rsidRDefault="00595DD5" w:rsidP="00595DD5">
      <w:pPr>
        <w:spacing w:line="240" w:lineRule="auto"/>
        <w:rPr>
          <w:rFonts w:cstheme="minorHAnsi"/>
        </w:rPr>
      </w:pPr>
      <w:r w:rsidRPr="001D0F76">
        <w:rPr>
          <w:rFonts w:cstheme="minorHAnsi"/>
        </w:rPr>
        <w:t xml:space="preserve">Macdonald, Stephen J. Donovan, Catherine. Clayton, </w:t>
      </w:r>
      <w:proofErr w:type="gramStart"/>
      <w:r w:rsidRPr="001D0F76">
        <w:rPr>
          <w:rFonts w:cstheme="minorHAnsi"/>
        </w:rPr>
        <w:t>John</w:t>
      </w:r>
      <w:proofErr w:type="gramEnd"/>
      <w:r w:rsidRPr="001D0F76">
        <w:rPr>
          <w:rFonts w:cstheme="minorHAnsi"/>
        </w:rPr>
        <w:t xml:space="preserve"> and others. 2022. </w:t>
      </w:r>
      <w:r w:rsidRPr="001D0F76">
        <w:rPr>
          <w:rFonts w:cstheme="minorHAnsi"/>
          <w:i/>
        </w:rPr>
        <w:t>Becoming cuckooed: conceptualising the relationship between disability, home takeovers and criminal exploitation</w:t>
      </w:r>
      <w:r w:rsidRPr="001D0F76">
        <w:rPr>
          <w:rFonts w:cstheme="minorHAnsi"/>
        </w:rPr>
        <w:t xml:space="preserve">. Information UK Limited, trading as Taylor &amp; Francis Group. </w:t>
      </w:r>
    </w:p>
    <w:p w14:paraId="0B95166A" w14:textId="77777777" w:rsidR="00595DD5" w:rsidRPr="001D0F76" w:rsidRDefault="00595DD5" w:rsidP="00595DD5">
      <w:pPr>
        <w:spacing w:line="240" w:lineRule="auto"/>
        <w:rPr>
          <w:rFonts w:cstheme="minorHAnsi"/>
        </w:rPr>
      </w:pPr>
      <w:r w:rsidRPr="001D0F76">
        <w:rPr>
          <w:rFonts w:cstheme="minorHAnsi"/>
        </w:rPr>
        <w:t xml:space="preserve">South Wales Police. 2021. </w:t>
      </w:r>
      <w:r w:rsidRPr="001D0F76">
        <w:rPr>
          <w:rFonts w:cstheme="minorHAnsi"/>
          <w:i/>
        </w:rPr>
        <w:t xml:space="preserve">Adults </w:t>
      </w:r>
      <w:proofErr w:type="gramStart"/>
      <w:r w:rsidRPr="001D0F76">
        <w:rPr>
          <w:rFonts w:cstheme="minorHAnsi"/>
          <w:i/>
        </w:rPr>
        <w:t>At</w:t>
      </w:r>
      <w:proofErr w:type="gramEnd"/>
      <w:r w:rsidRPr="001D0F76">
        <w:rPr>
          <w:rFonts w:cstheme="minorHAnsi"/>
          <w:i/>
        </w:rPr>
        <w:t xml:space="preserve"> Risk</w:t>
      </w:r>
      <w:r w:rsidRPr="001D0F76">
        <w:rPr>
          <w:rFonts w:cstheme="minorHAnsi"/>
        </w:rPr>
        <w:t xml:space="preserve">. Available at: </w:t>
      </w:r>
      <w:hyperlink r:id="rId6" w:history="1">
        <w:r w:rsidRPr="001D0F76">
          <w:rPr>
            <w:rStyle w:val="Hyperlink"/>
            <w:rFonts w:cstheme="minorHAnsi"/>
          </w:rPr>
          <w:t>https://www.south-wales.police.uk/SysSiteAssets/media/downloads/south-wales/about-us/policies-and-procedures/english/adults-at-risk---english.pdf</w:t>
        </w:r>
      </w:hyperlink>
      <w:r w:rsidRPr="001D0F76">
        <w:rPr>
          <w:rFonts w:cstheme="minorHAnsi"/>
        </w:rPr>
        <w:t xml:space="preserve"> </w:t>
      </w:r>
    </w:p>
    <w:p w14:paraId="7189A4D7" w14:textId="77777777" w:rsidR="00595DD5" w:rsidRPr="001D0F76" w:rsidRDefault="00595DD5" w:rsidP="00595DD5">
      <w:pPr>
        <w:spacing w:line="240" w:lineRule="auto"/>
        <w:rPr>
          <w:rFonts w:cstheme="minorHAnsi"/>
        </w:rPr>
      </w:pPr>
    </w:p>
    <w:p w14:paraId="4885BF1F" w14:textId="77777777" w:rsidR="00595DD5" w:rsidRPr="001D0F76" w:rsidRDefault="00595DD5" w:rsidP="00595DD5">
      <w:pPr>
        <w:spacing w:line="240" w:lineRule="auto"/>
        <w:rPr>
          <w:rFonts w:cstheme="minorHAnsi"/>
        </w:rPr>
      </w:pPr>
      <w:r w:rsidRPr="001D0F76">
        <w:rPr>
          <w:rFonts w:cstheme="minorHAnsi"/>
        </w:rPr>
        <w:t>Essay 3</w:t>
      </w:r>
    </w:p>
    <w:p w14:paraId="4E01DB35" w14:textId="77777777" w:rsidR="00595DD5" w:rsidRPr="001D0F76" w:rsidRDefault="00595DD5" w:rsidP="00595DD5">
      <w:pPr>
        <w:spacing w:line="240" w:lineRule="auto"/>
        <w:rPr>
          <w:rFonts w:cstheme="minorHAnsi"/>
        </w:rPr>
      </w:pPr>
      <w:r w:rsidRPr="001D0F76">
        <w:rPr>
          <w:rFonts w:cstheme="minorHAnsi"/>
        </w:rPr>
        <w:lastRenderedPageBreak/>
        <w:t xml:space="preserve">Nacro. 2022. </w:t>
      </w:r>
      <w:r w:rsidRPr="001D0F76">
        <w:rPr>
          <w:rFonts w:cstheme="minorHAnsi"/>
          <w:i/>
        </w:rPr>
        <w:t>Advice for people under MAPPA.</w:t>
      </w:r>
      <w:r w:rsidRPr="001D0F76">
        <w:rPr>
          <w:rFonts w:cstheme="minorHAnsi"/>
        </w:rPr>
        <w:t xml:space="preserve"> Available at: </w:t>
      </w:r>
      <w:hyperlink r:id="rId7" w:history="1">
        <w:r w:rsidRPr="001D0F76">
          <w:rPr>
            <w:rStyle w:val="Hyperlink"/>
            <w:rFonts w:cstheme="minorHAnsi"/>
          </w:rPr>
          <w:t>Advice for people under MAPPA | What is MAPPA? | Nacro</w:t>
        </w:r>
      </w:hyperlink>
    </w:p>
    <w:p w14:paraId="38435D04" w14:textId="77777777" w:rsidR="00595DD5" w:rsidRPr="001D0F76" w:rsidRDefault="00595DD5" w:rsidP="00595DD5">
      <w:pPr>
        <w:spacing w:line="240" w:lineRule="auto"/>
        <w:rPr>
          <w:rFonts w:cstheme="minorHAnsi"/>
        </w:rPr>
      </w:pPr>
      <w:r w:rsidRPr="001D0F76">
        <w:rPr>
          <w:rFonts w:cstheme="minorHAnsi"/>
        </w:rPr>
        <w:t xml:space="preserve">Unlock. 2022. </w:t>
      </w:r>
      <w:r w:rsidRPr="001D0F76">
        <w:rPr>
          <w:rFonts w:cstheme="minorHAnsi"/>
          <w:i/>
        </w:rPr>
        <w:t>The Criminal Justice System: MAPPA</w:t>
      </w:r>
      <w:r w:rsidRPr="001D0F76">
        <w:rPr>
          <w:rFonts w:cstheme="minorHAnsi"/>
        </w:rPr>
        <w:t xml:space="preserve">. Available at: </w:t>
      </w:r>
      <w:hyperlink r:id="rId8" w:anchor=":~:text=The%20three%20formal%20MAPPA%20categories,Category%20Three%3A%20Other%20dangerous%20offenders" w:history="1">
        <w:r w:rsidRPr="001D0F76">
          <w:rPr>
            <w:rStyle w:val="Hyperlink"/>
            <w:rFonts w:cstheme="minorHAnsi"/>
          </w:rPr>
          <w:t>MAPPA - Unlock</w:t>
        </w:r>
      </w:hyperlink>
    </w:p>
    <w:p w14:paraId="0B54375A" w14:textId="77777777" w:rsidR="00595DD5" w:rsidRPr="001D0F76" w:rsidRDefault="00595DD5" w:rsidP="00595DD5">
      <w:pPr>
        <w:spacing w:line="240" w:lineRule="auto"/>
        <w:rPr>
          <w:rFonts w:cstheme="minorHAnsi"/>
        </w:rPr>
      </w:pPr>
      <w:r w:rsidRPr="001D0F76">
        <w:rPr>
          <w:rFonts w:cstheme="minorHAnsi"/>
        </w:rPr>
        <w:t xml:space="preserve">Criminal Justice Joint Inspection. 2011. </w:t>
      </w:r>
      <w:r w:rsidRPr="001D0F76">
        <w:rPr>
          <w:rFonts w:cstheme="minorHAnsi"/>
          <w:i/>
        </w:rPr>
        <w:t>Thematic Inspection Report: Putting the pieces together. An Inspection of Multi-Agency Public Protection Arrangements.</w:t>
      </w:r>
      <w:r w:rsidRPr="001D0F76">
        <w:rPr>
          <w:rFonts w:cstheme="minorHAnsi"/>
        </w:rPr>
        <w:t xml:space="preserve"> HMI Probation and HMI Constabulary. </w:t>
      </w:r>
    </w:p>
    <w:p w14:paraId="38DC2374" w14:textId="77777777" w:rsidR="00595DD5" w:rsidRPr="001D0F76" w:rsidRDefault="00595DD5" w:rsidP="00595DD5">
      <w:pPr>
        <w:spacing w:line="240" w:lineRule="auto"/>
        <w:rPr>
          <w:rFonts w:cstheme="minorHAnsi"/>
        </w:rPr>
      </w:pPr>
      <w:r w:rsidRPr="001D0F76">
        <w:rPr>
          <w:rFonts w:cstheme="minorHAnsi"/>
        </w:rPr>
        <w:t xml:space="preserve">Bryant, Stephanie and Lovbakke, Jorgen.  2015. </w:t>
      </w:r>
      <w:r w:rsidRPr="001D0F76">
        <w:rPr>
          <w:rFonts w:cstheme="minorHAnsi"/>
          <w:i/>
        </w:rPr>
        <w:t>Re-offending Analysis of MAPPA Eligible Offenders</w:t>
      </w:r>
      <w:r w:rsidRPr="001D0F76">
        <w:rPr>
          <w:rFonts w:cstheme="minorHAnsi"/>
        </w:rPr>
        <w:t xml:space="preserve">. Ministry of Justice. Analytical Series. </w:t>
      </w:r>
    </w:p>
    <w:p w14:paraId="7048F5F9" w14:textId="77777777" w:rsidR="00595DD5" w:rsidRPr="001D0F76" w:rsidRDefault="00595DD5" w:rsidP="00595DD5">
      <w:pPr>
        <w:spacing w:line="240" w:lineRule="auto"/>
        <w:rPr>
          <w:rFonts w:cstheme="minorHAnsi"/>
        </w:rPr>
      </w:pPr>
    </w:p>
    <w:p w14:paraId="3A1153AF" w14:textId="77777777" w:rsidR="00595DD5" w:rsidRPr="001D0F76" w:rsidRDefault="00595DD5" w:rsidP="00595DD5">
      <w:pPr>
        <w:spacing w:line="240" w:lineRule="auto"/>
        <w:rPr>
          <w:rFonts w:cstheme="minorHAnsi"/>
        </w:rPr>
      </w:pPr>
      <w:r w:rsidRPr="001D0F76">
        <w:rPr>
          <w:rFonts w:cstheme="minorHAnsi"/>
        </w:rPr>
        <w:t>Essay 4</w:t>
      </w:r>
    </w:p>
    <w:p w14:paraId="45C42EB9" w14:textId="77777777" w:rsidR="00595DD5" w:rsidRPr="001D0F76" w:rsidRDefault="00595DD5" w:rsidP="00595DD5">
      <w:pPr>
        <w:spacing w:line="240" w:lineRule="auto"/>
        <w:rPr>
          <w:rFonts w:cstheme="minorHAnsi"/>
        </w:rPr>
      </w:pPr>
      <w:r w:rsidRPr="001D0F76">
        <w:rPr>
          <w:rFonts w:cstheme="minorHAnsi"/>
        </w:rPr>
        <w:t xml:space="preserve">Blythe, Maggie. Solomon, Enver. 2009. </w:t>
      </w:r>
      <w:r w:rsidRPr="001D0F76">
        <w:rPr>
          <w:rFonts w:cstheme="minorHAnsi"/>
          <w:i/>
        </w:rPr>
        <w:t>Prevention and Youth Crime: Is Early Intervention Working?</w:t>
      </w:r>
      <w:r w:rsidRPr="001D0F76">
        <w:rPr>
          <w:rFonts w:cstheme="minorHAnsi"/>
        </w:rPr>
        <w:t xml:space="preserve"> Policy Press.</w:t>
      </w:r>
    </w:p>
    <w:p w14:paraId="12415A5C" w14:textId="623A23EA" w:rsidR="00595DD5" w:rsidRPr="001D0F76" w:rsidRDefault="00595DD5" w:rsidP="00595DD5">
      <w:pPr>
        <w:spacing w:line="240" w:lineRule="auto"/>
        <w:rPr>
          <w:rFonts w:cstheme="minorHAnsi"/>
        </w:rPr>
      </w:pPr>
      <w:r w:rsidRPr="001D0F76">
        <w:rPr>
          <w:rFonts w:cstheme="minorHAnsi"/>
        </w:rPr>
        <w:t>Metropolitan Police. 2022</w:t>
      </w:r>
      <w:r w:rsidRPr="001D0F76">
        <w:rPr>
          <w:rFonts w:cstheme="minorHAnsi"/>
          <w:i/>
        </w:rPr>
        <w:t>. Gangs violence matrix</w:t>
      </w:r>
      <w:r w:rsidRPr="001D0F76">
        <w:rPr>
          <w:rFonts w:cstheme="minorHAnsi"/>
        </w:rPr>
        <w:t xml:space="preserve">. Available at: </w:t>
      </w:r>
      <w:hyperlink r:id="rId9" w:history="1">
        <w:r w:rsidRPr="001D0F76">
          <w:rPr>
            <w:rStyle w:val="Hyperlink"/>
            <w:rFonts w:cstheme="minorHAnsi"/>
          </w:rPr>
          <w:t>https://www.met.police.uk/police-forces/metropolitan-police/areas/about-us/about-the-met/gangs-violence-matrix/</w:t>
        </w:r>
      </w:hyperlink>
      <w:r w:rsidRPr="001D0F76">
        <w:rPr>
          <w:rFonts w:cstheme="minorHAnsi"/>
        </w:rPr>
        <w:t xml:space="preserve"> </w:t>
      </w:r>
    </w:p>
    <w:p w14:paraId="15B78F98" w14:textId="5BB12912" w:rsidR="00F872D4" w:rsidRPr="001D0F76" w:rsidRDefault="001630FC" w:rsidP="00595DD5">
      <w:pPr>
        <w:spacing w:line="240" w:lineRule="auto"/>
        <w:rPr>
          <w:rFonts w:cstheme="minorHAnsi"/>
        </w:rPr>
      </w:pPr>
      <w:r w:rsidRPr="001D0F76">
        <w:rPr>
          <w:rFonts w:cstheme="minorHAnsi"/>
        </w:rPr>
        <w:t xml:space="preserve">Mayor’s Office for Policing and Crime. </w:t>
      </w:r>
      <w:r w:rsidR="00E81EE9" w:rsidRPr="001D0F76">
        <w:rPr>
          <w:rFonts w:cstheme="minorHAnsi"/>
        </w:rPr>
        <w:t xml:space="preserve">2018. </w:t>
      </w:r>
      <w:r w:rsidR="00366BD2" w:rsidRPr="001D0F76">
        <w:rPr>
          <w:rFonts w:cstheme="minorHAnsi"/>
          <w:i/>
          <w:iCs/>
        </w:rPr>
        <w:t>Review of the Metropolitan Police Service</w:t>
      </w:r>
      <w:r w:rsidR="009E79D0" w:rsidRPr="001D0F76">
        <w:rPr>
          <w:rFonts w:cstheme="minorHAnsi"/>
          <w:i/>
          <w:iCs/>
        </w:rPr>
        <w:t xml:space="preserve"> Gangs Violence Matrix: Update on the Implementation of the MOPAC recommendations.</w:t>
      </w:r>
      <w:r w:rsidR="009E79D0" w:rsidRPr="001D0F76">
        <w:rPr>
          <w:rFonts w:cstheme="minorHAnsi"/>
        </w:rPr>
        <w:t xml:space="preserve"> </w:t>
      </w:r>
      <w:r w:rsidR="00F0430F" w:rsidRPr="001D0F76">
        <w:rPr>
          <w:rFonts w:cstheme="minorHAnsi"/>
        </w:rPr>
        <w:t xml:space="preserve">Available at: </w:t>
      </w:r>
      <w:hyperlink r:id="rId10" w:history="1">
        <w:r w:rsidR="00F0430F" w:rsidRPr="001D0F76">
          <w:rPr>
            <w:rStyle w:val="Hyperlink"/>
            <w:rFonts w:cstheme="minorHAnsi"/>
          </w:rPr>
          <w:t>Review of the Metropolitan Police Service Gangs Violence Matrix: Update on the implementation of the by Iconic Media Solutions - Issuu</w:t>
        </w:r>
      </w:hyperlink>
    </w:p>
    <w:p w14:paraId="368177F9" w14:textId="2FD838EE" w:rsidR="00F0430F" w:rsidRPr="001D0F76" w:rsidRDefault="00F0430F" w:rsidP="00595DD5">
      <w:pPr>
        <w:spacing w:line="240" w:lineRule="auto"/>
        <w:rPr>
          <w:rFonts w:cstheme="minorHAnsi"/>
        </w:rPr>
      </w:pPr>
      <w:r w:rsidRPr="001D0F76">
        <w:rPr>
          <w:rFonts w:cstheme="minorHAnsi"/>
        </w:rPr>
        <w:t>LadBible</w:t>
      </w:r>
      <w:r w:rsidR="00DF76AB" w:rsidRPr="001D0F76">
        <w:rPr>
          <w:rFonts w:cstheme="minorHAnsi"/>
        </w:rPr>
        <w:t xml:space="preserve">, 2021. Interview with Hezron Brown. </w:t>
      </w:r>
      <w:r w:rsidR="00DF76AB" w:rsidRPr="001D0F76">
        <w:rPr>
          <w:rFonts w:cstheme="minorHAnsi"/>
          <w:i/>
          <w:iCs/>
        </w:rPr>
        <w:t xml:space="preserve">From Gang </w:t>
      </w:r>
      <w:r w:rsidR="004B717E" w:rsidRPr="001D0F76">
        <w:rPr>
          <w:rFonts w:cstheme="minorHAnsi"/>
          <w:i/>
          <w:iCs/>
        </w:rPr>
        <w:t>Member</w:t>
      </w:r>
      <w:r w:rsidR="00DF76AB" w:rsidRPr="001D0F76">
        <w:rPr>
          <w:rFonts w:cstheme="minorHAnsi"/>
          <w:i/>
          <w:iCs/>
        </w:rPr>
        <w:t xml:space="preserve"> to Meeting Prince Charles</w:t>
      </w:r>
      <w:r w:rsidR="004B717E" w:rsidRPr="001D0F76">
        <w:rPr>
          <w:rFonts w:cstheme="minorHAnsi"/>
          <w:i/>
          <w:iCs/>
        </w:rPr>
        <w:t>.</w:t>
      </w:r>
      <w:r w:rsidR="004B717E" w:rsidRPr="001D0F76">
        <w:rPr>
          <w:rFonts w:cstheme="minorHAnsi"/>
        </w:rPr>
        <w:t xml:space="preserve"> Available at: </w:t>
      </w:r>
      <w:hyperlink r:id="rId11" w:history="1">
        <w:r w:rsidR="004B717E" w:rsidRPr="001D0F76">
          <w:rPr>
            <w:rStyle w:val="Hyperlink"/>
            <w:rFonts w:cstheme="minorHAnsi"/>
          </w:rPr>
          <w:t xml:space="preserve">From Gang Member </w:t>
        </w:r>
        <w:proofErr w:type="gramStart"/>
        <w:r w:rsidR="004B717E" w:rsidRPr="001D0F76">
          <w:rPr>
            <w:rStyle w:val="Hyperlink"/>
            <w:rFonts w:cstheme="minorHAnsi"/>
          </w:rPr>
          <w:t>To</w:t>
        </w:r>
        <w:proofErr w:type="gramEnd"/>
        <w:r w:rsidR="004B717E" w:rsidRPr="001D0F76">
          <w:rPr>
            <w:rStyle w:val="Hyperlink"/>
            <w:rFonts w:cstheme="minorHAnsi"/>
          </w:rPr>
          <w:t xml:space="preserve"> Meeting Prince Charles | Minutes With | UNILAD | @LADbible TV - YouTube</w:t>
        </w:r>
      </w:hyperlink>
      <w:r w:rsidR="004B717E" w:rsidRPr="001D0F76">
        <w:rPr>
          <w:rFonts w:cstheme="minorHAnsi"/>
        </w:rPr>
        <w:t xml:space="preserve"> </w:t>
      </w:r>
    </w:p>
    <w:p w14:paraId="0C7DF43F" w14:textId="77777777" w:rsidR="00595DD5" w:rsidRPr="004B588F" w:rsidRDefault="00595DD5" w:rsidP="004B588F">
      <w:pPr>
        <w:rPr>
          <w:rFonts w:cstheme="minorHAnsi"/>
        </w:rPr>
      </w:pPr>
    </w:p>
    <w:p w14:paraId="43DC6776" w14:textId="77777777" w:rsidR="00B057B6" w:rsidRDefault="00574614"/>
    <w:sectPr w:rsidR="00B057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E7B17" w14:textId="77777777" w:rsidR="00574614" w:rsidRDefault="00574614" w:rsidP="004B588F">
      <w:pPr>
        <w:spacing w:after="0" w:line="240" w:lineRule="auto"/>
      </w:pPr>
      <w:r>
        <w:separator/>
      </w:r>
    </w:p>
  </w:endnote>
  <w:endnote w:type="continuationSeparator" w:id="0">
    <w:p w14:paraId="628BC55B" w14:textId="77777777" w:rsidR="00574614" w:rsidRDefault="00574614" w:rsidP="004B58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4D208" w14:textId="77777777" w:rsidR="00574614" w:rsidRDefault="00574614" w:rsidP="004B588F">
      <w:pPr>
        <w:spacing w:after="0" w:line="240" w:lineRule="auto"/>
      </w:pPr>
      <w:r>
        <w:separator/>
      </w:r>
    </w:p>
  </w:footnote>
  <w:footnote w:type="continuationSeparator" w:id="0">
    <w:p w14:paraId="73B62A66" w14:textId="77777777" w:rsidR="00574614" w:rsidRDefault="00574614" w:rsidP="004B58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88F"/>
    <w:rsid w:val="001630FC"/>
    <w:rsid w:val="001D0F76"/>
    <w:rsid w:val="002707B6"/>
    <w:rsid w:val="00366BD2"/>
    <w:rsid w:val="003F1EB9"/>
    <w:rsid w:val="004406B6"/>
    <w:rsid w:val="00450DC5"/>
    <w:rsid w:val="00452F2C"/>
    <w:rsid w:val="004B588F"/>
    <w:rsid w:val="004B717E"/>
    <w:rsid w:val="00516CAC"/>
    <w:rsid w:val="00553530"/>
    <w:rsid w:val="00574614"/>
    <w:rsid w:val="00595DD5"/>
    <w:rsid w:val="00890A2D"/>
    <w:rsid w:val="008C2992"/>
    <w:rsid w:val="009E79D0"/>
    <w:rsid w:val="00AE0DC4"/>
    <w:rsid w:val="00C20569"/>
    <w:rsid w:val="00D01121"/>
    <w:rsid w:val="00DF76AB"/>
    <w:rsid w:val="00E81EE9"/>
    <w:rsid w:val="00F0430F"/>
    <w:rsid w:val="00F87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09D6FE"/>
  <w15:chartTrackingRefBased/>
  <w15:docId w15:val="{B466CB74-BCE8-4634-8729-97889ED32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8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B58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lock.org.uk/advice/mappa/"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acro.org.uk/criminal-record-support-service/support-for-individuals/advice-prisoners-people-licence-sex-offenders-mappa/advice-people-mappa/"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outh-wales.police.uk/SysSiteAssets/media/downloads/south-wales/about-us/policies-and-procedures/english/adults-at-risk---english.pdf" TargetMode="External"/><Relationship Id="rId11" Type="http://schemas.openxmlformats.org/officeDocument/2006/relationships/hyperlink" Target="https://www.youtube.com/watch?v=wE8A0odLSAA" TargetMode="External"/><Relationship Id="rId5" Type="http://schemas.openxmlformats.org/officeDocument/2006/relationships/endnotes" Target="endnotes.xml"/><Relationship Id="rId10" Type="http://schemas.openxmlformats.org/officeDocument/2006/relationships/hyperlink" Target="https://issuu.com/erencan-iconicmediasolutions.c/docs/review_of_the_metropolitan_police_s_aa2c94ac190805/1?ff" TargetMode="External"/><Relationship Id="rId4" Type="http://schemas.openxmlformats.org/officeDocument/2006/relationships/footnotes" Target="footnotes.xml"/><Relationship Id="rId9" Type="http://schemas.openxmlformats.org/officeDocument/2006/relationships/hyperlink" Target="https://www.met.police.uk/police-forces/metropolitan-police/areas/about-us/about-the-met/gangs-violence-matr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9</Pages>
  <Words>4398</Words>
  <Characters>25069</Characters>
  <Application>Microsoft Office Word</Application>
  <DocSecurity>0</DocSecurity>
  <Lines>208</Lines>
  <Paragraphs>58</Paragraphs>
  <ScaleCrop>false</ScaleCrop>
  <Company>Gwent Police</Company>
  <LinksUpToDate>false</LinksUpToDate>
  <CharactersWithSpaces>29409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Neal, Rhys</dc:creator>
  <cp:keywords/>
  <dc:description/>
  <cp:lastModifiedBy>Neal, Rhys</cp:lastModifiedBy>
  <cp:revision>21</cp:revision>
  <dcterms:created xsi:type="dcterms:W3CDTF">2022-11-14T20:00:00Z</dcterms:created>
  <dcterms:modified xsi:type="dcterms:W3CDTF">2022-11-14T20:39:00Z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2022-11-14T20:00:22Z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1321cf30-915f-4918-bfed-aeb8c14df3b4</vt:lpwstr>
  </property>
  <property fmtid="{D5CDD505-2E9C-101B-9397-08002B2CF9AE}" pid="8" name="MSIP_Label_f2acd28b-79a3-4a0f-b0ff-4b75658b1549_ContentBits">
    <vt:lpwstr>0</vt:lpwstr>
  </property>
</Properties>
</file>