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C98C3" w14:textId="77777777" w:rsidR="00C342BF" w:rsidRPr="001D6B2E" w:rsidRDefault="00000000">
      <w:pPr>
        <w:spacing w:after="360"/>
        <w:jc w:val="center"/>
      </w:pPr>
      <w:r w:rsidRPr="001D6B2E">
        <w:rPr>
          <w:noProof/>
        </w:rPr>
        <w:drawing>
          <wp:inline distT="0" distB="0" distL="0" distR="0" wp14:anchorId="3A6AE824" wp14:editId="325887F8">
            <wp:extent cx="3383280" cy="187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8"/>
                    <a:stretch>
                      <a:fillRect/>
                    </a:stretch>
                  </pic:blipFill>
                  <pic:spPr>
                    <a:xfrm>
                      <a:off x="0" y="0"/>
                      <a:ext cx="3383280" cy="1879600"/>
                    </a:xfrm>
                    <a:prstGeom prst="rect">
                      <a:avLst/>
                    </a:prstGeom>
                  </pic:spPr>
                </pic:pic>
              </a:graphicData>
            </a:graphic>
          </wp:inline>
        </w:drawing>
      </w:r>
    </w:p>
    <w:p w14:paraId="363D450F" w14:textId="77777777" w:rsidR="00C342BF" w:rsidRPr="001D6B2E" w:rsidRDefault="00000000">
      <w:pPr>
        <w:spacing w:after="160"/>
        <w:jc w:val="center"/>
      </w:pPr>
      <w:r w:rsidRPr="001D6B2E">
        <w:rPr>
          <w:b/>
          <w:sz w:val="28"/>
        </w:rPr>
        <w:t>University of Wales Trinity Saint David</w:t>
      </w:r>
    </w:p>
    <w:p w14:paraId="678F3095" w14:textId="77777777" w:rsidR="00C342BF" w:rsidRPr="001D6B2E" w:rsidRDefault="00000000">
      <w:pPr>
        <w:spacing w:after="160"/>
        <w:jc w:val="center"/>
      </w:pPr>
      <w:r w:rsidRPr="001D6B2E">
        <w:t>Institute of Inner-City Learning, London Campus</w:t>
      </w:r>
    </w:p>
    <w:p w14:paraId="7B479FB0" w14:textId="77777777" w:rsidR="00C342BF" w:rsidRPr="001D6B2E" w:rsidRDefault="00000000">
      <w:pPr>
        <w:spacing w:after="160"/>
        <w:jc w:val="center"/>
      </w:pPr>
      <w:r w:rsidRPr="001D6B2E">
        <w:t>MBA International Business</w:t>
      </w:r>
    </w:p>
    <w:p w14:paraId="05C621CC" w14:textId="77777777" w:rsidR="00C342BF" w:rsidRPr="001D6B2E" w:rsidRDefault="00000000">
      <w:pPr>
        <w:spacing w:after="400"/>
        <w:jc w:val="center"/>
      </w:pPr>
      <w:r w:rsidRPr="001D6B2E">
        <w:t>LCMB7035 Dissertation</w:t>
      </w:r>
    </w:p>
    <w:p w14:paraId="1D0B3028" w14:textId="77777777" w:rsidR="00C342BF" w:rsidRPr="001D6B2E" w:rsidRDefault="00000000">
      <w:pPr>
        <w:spacing w:after="240"/>
        <w:jc w:val="center"/>
      </w:pPr>
      <w:r w:rsidRPr="001D6B2E">
        <w:rPr>
          <w:b/>
          <w:sz w:val="28"/>
        </w:rPr>
        <w:t>Dissertation</w:t>
      </w:r>
    </w:p>
    <w:p w14:paraId="514325FA" w14:textId="77777777" w:rsidR="00C342BF" w:rsidRPr="001D6B2E" w:rsidRDefault="00000000">
      <w:pPr>
        <w:spacing w:after="480"/>
        <w:jc w:val="center"/>
      </w:pPr>
      <w:r w:rsidRPr="001D6B2E">
        <w:rPr>
          <w:b/>
          <w:sz w:val="32"/>
        </w:rPr>
        <w:t>Energy Affordability and Vulnerable Customers in the UK Retail Energy Sector: A Comparative Study of British Gas and Octopus Energy</w:t>
      </w:r>
    </w:p>
    <w:p w14:paraId="1814D18C" w14:textId="77777777" w:rsidR="00C342BF" w:rsidRPr="001D6B2E" w:rsidRDefault="00000000">
      <w:pPr>
        <w:jc w:val="center"/>
      </w:pPr>
      <w:r w:rsidRPr="001D6B2E">
        <w:t>Student name: Kamrul Islam Bayazid</w:t>
      </w:r>
    </w:p>
    <w:p w14:paraId="71B7A6A6" w14:textId="77777777" w:rsidR="00C342BF" w:rsidRPr="001D6B2E" w:rsidRDefault="00000000">
      <w:pPr>
        <w:jc w:val="center"/>
      </w:pPr>
      <w:r w:rsidRPr="001D6B2E">
        <w:t>Student ID: 2506580</w:t>
      </w:r>
    </w:p>
    <w:p w14:paraId="2D811063" w14:textId="77777777" w:rsidR="00C342BF" w:rsidRPr="001D6B2E" w:rsidRDefault="00000000">
      <w:pPr>
        <w:jc w:val="center"/>
      </w:pPr>
      <w:r w:rsidRPr="001D6B2E">
        <w:t>Email: 2506580@student.uwtsd.ac.uk</w:t>
      </w:r>
    </w:p>
    <w:p w14:paraId="4B5E76F6" w14:textId="77777777" w:rsidR="00C342BF" w:rsidRPr="001D6B2E" w:rsidRDefault="00000000">
      <w:pPr>
        <w:jc w:val="center"/>
      </w:pPr>
      <w:r w:rsidRPr="001D6B2E">
        <w:t>Supervisor: Dr Amir Homayounfard</w:t>
      </w:r>
    </w:p>
    <w:p w14:paraId="0206A2C6" w14:textId="77777777" w:rsidR="00C9746E" w:rsidRDefault="00000000">
      <w:r w:rsidRPr="001D6B2E">
        <w:br w:type="page"/>
      </w:r>
    </w:p>
    <w:p w14:paraId="539F2C84" w14:textId="77777777" w:rsidR="00C342BF" w:rsidRPr="001D6B2E" w:rsidRDefault="00000000">
      <w:pPr>
        <w:pStyle w:val="Heading1"/>
        <w:spacing w:after="80"/>
        <w:rPr>
          <w:rFonts w:ascii="Times New Roman" w:hAnsi="Times New Roman" w:cs="Times New Roman"/>
        </w:rPr>
      </w:pPr>
      <w:r>
        <w:lastRenderedPageBreak/>
        <w:t>AI Acknowledgement</w:t>
      </w:r>
    </w:p>
    <w:p w14:paraId="1C7BB2B4" w14:textId="77777777" w:rsidR="00C342BF" w:rsidRPr="001D6B2E" w:rsidRDefault="00000000">
      <w:pPr>
        <w:jc w:val="both"/>
      </w:pPr>
      <w:r>
        <w:t>Generative AI tools were used only within permitted boundaries for source-search support, proofreading and student-directed graphics. They were not used to collect primary data or to replace the researcher's responsibility for source verification, analysis, interpretation and the final submitted argument.</w:t>
      </w:r>
      <w:r>
        <w:br w:type="page"/>
      </w:r>
    </w:p>
    <w:p w14:paraId="50835957" w14:textId="77777777" w:rsidR="00C9746E" w:rsidRPr="00C9746E" w:rsidRDefault="00C9746E" w:rsidP="00C9746E">
      <w:pPr>
        <w:pStyle w:val="Heading1"/>
        <w:rPr>
          <w:rFonts w:ascii="Times New Roman" w:hAnsi="Times New Roman" w:cs="Times New Roman"/>
          <w:szCs w:val="36"/>
        </w:rPr>
      </w:pPr>
      <w:r w:rsidRPr="00C9746E">
        <w:rPr>
          <w:rFonts w:ascii="Times New Roman" w:hAnsi="Times New Roman" w:cs="Times New Roman"/>
          <w:szCs w:val="36"/>
        </w:rPr>
        <w:lastRenderedPageBreak/>
        <w:t>Acknowledgement</w:t>
      </w:r>
    </w:p>
    <w:p w14:paraId="5A07300D" w14:textId="77777777" w:rsidR="00C9746E" w:rsidRDefault="00C9746E" w:rsidP="00C9746E">
      <w:pPr>
        <w:spacing w:after="200"/>
        <w:jc w:val="both"/>
      </w:pPr>
      <w:r>
        <w:t xml:space="preserve">I would like to thank my supervisor, Dr Amir Homayounfard, for his guidance and support during this dissertation. His advice helped me understand the research process and complete this study. I would also like to thank the University of Wales Trinity Saint David for giving me the opportunity to complete this research as part of my MBA International Business </w:t>
      </w:r>
      <w:proofErr w:type="spellStart"/>
      <w:r>
        <w:t>programme</w:t>
      </w:r>
      <w:proofErr w:type="spellEnd"/>
      <w:r>
        <w:t>. Finally, I am thankful to the people who supported and encouraged me during my studies. Their support helped me stay focused and complete this dissertation.</w:t>
      </w:r>
      <w:r>
        <w:br w:type="page"/>
      </w:r>
    </w:p>
    <w:p w14:paraId="60CB4D92" w14:textId="77777777" w:rsidR="00C61975" w:rsidRDefault="00000000">
      <w:pPr>
        <w:pStyle w:val="Heading1"/>
      </w:pPr>
      <w:r>
        <w:lastRenderedPageBreak/>
        <w:t>Declaration</w:t>
      </w:r>
    </w:p>
    <w:p w14:paraId="726BB4A0" w14:textId="77777777" w:rsidR="00C61975" w:rsidRDefault="00000000">
      <w:r>
        <w:t>I confirm that this dissertation represents my own academic work and that all sources have been acknowledged using UWTSD Harvard referencing.</w:t>
      </w:r>
      <w:r>
        <w:br w:type="page"/>
      </w:r>
    </w:p>
    <w:p w14:paraId="28FD4F1E" w14:textId="77777777" w:rsidR="00C342BF" w:rsidRPr="001D6B2E" w:rsidRDefault="00000000">
      <w:pPr>
        <w:pStyle w:val="Heading1"/>
        <w:spacing w:before="240" w:after="80"/>
        <w:rPr>
          <w:rFonts w:ascii="Times New Roman" w:hAnsi="Times New Roman" w:cs="Times New Roman"/>
        </w:rPr>
      </w:pPr>
      <w:r w:rsidRPr="001D6B2E">
        <w:rPr>
          <w:rFonts w:ascii="Times New Roman" w:eastAsia="Times New Roman" w:hAnsi="Times New Roman" w:cs="Times New Roman"/>
        </w:rPr>
        <w:lastRenderedPageBreak/>
        <w:t>Abstract</w:t>
      </w:r>
    </w:p>
    <w:p w14:paraId="18D10871" w14:textId="77777777" w:rsidR="00C342BF" w:rsidRPr="001D6B2E" w:rsidRDefault="00163987">
      <w:pPr>
        <w:jc w:val="both"/>
      </w:pPr>
      <w:r w:rsidRPr="001D6B2E">
        <w:rPr>
          <w:szCs w:val="24"/>
        </w:rPr>
        <w:t>This dissertation examines how British Gas and Octopus Energy communicate support for energy affordability and customers in vulnerable circumstances, and what implications for trust arise from their messages. A secondary qualitative case design was used. British Gas and Octopus Energy formed the focal cases, while E.ON Next, OVO Energy and EDF Energy provided bounded benchmarks. Supplier pages, reports, academic literature and Ofgem evidence were analysed using framework-guided document analysis and thematic synthesis. The findings show that British Gas uses a distributed architecture</w:t>
      </w:r>
      <w:r w:rsidR="00CB3882" w:rsidRPr="001D6B2E">
        <w:rPr>
          <w:szCs w:val="24"/>
        </w:rPr>
        <w:t>. It</w:t>
      </w:r>
      <w:r w:rsidRPr="001D6B2E">
        <w:rPr>
          <w:szCs w:val="24"/>
        </w:rPr>
        <w:t xml:space="preserve"> link</w:t>
      </w:r>
      <w:r w:rsidR="00CB3882" w:rsidRPr="001D6B2E">
        <w:rPr>
          <w:szCs w:val="24"/>
        </w:rPr>
        <w:t>s the</w:t>
      </w:r>
      <w:r w:rsidRPr="001D6B2E">
        <w:rPr>
          <w:szCs w:val="24"/>
        </w:rPr>
        <w:t xml:space="preserve"> supplier routes with an independently governed trust</w:t>
      </w:r>
      <w:r w:rsidR="00CB3882" w:rsidRPr="001D6B2E">
        <w:rPr>
          <w:szCs w:val="24"/>
        </w:rPr>
        <w:t xml:space="preserve">. </w:t>
      </w:r>
      <w:r w:rsidRPr="001D6B2E">
        <w:rPr>
          <w:szCs w:val="24"/>
        </w:rPr>
        <w:t>Octopus provides an integrated financial, practical, digital and specialist-support package. Across the five suppliers, credibility depended less on the presence of schemes than on access, recognition of changing circumstances, evidence quality, policy-delivery consistency and accountable remediation.</w:t>
      </w:r>
      <w:r w:rsidR="00CB3882" w:rsidRPr="001D6B2E">
        <w:t xml:space="preserve"> </w:t>
      </w:r>
      <w:r w:rsidR="00CB3882" w:rsidRPr="001D6B2E">
        <w:rPr>
          <w:szCs w:val="24"/>
        </w:rPr>
        <w:t>The dissertation explains how relational service trust can be further developed by introducing a credibility filter that links support communication with competence, benevolence and integrity signals</w:t>
      </w:r>
      <w:r w:rsidRPr="001D6B2E">
        <w:rPr>
          <w:szCs w:val="24"/>
        </w:rPr>
        <w:t>. It does not claim that communication caused customer trust. The study recommends support journeys, navigable eligibility, comparable performance reporting, operational assurance and transparent remediation.</w:t>
      </w:r>
    </w:p>
    <w:p w14:paraId="263DA906" w14:textId="77777777" w:rsidR="00C342BF" w:rsidRPr="001D6B2E" w:rsidRDefault="00000000">
      <w:r w:rsidRPr="001D6B2E">
        <w:br w:type="page"/>
      </w:r>
    </w:p>
    <w:p w14:paraId="268A1A15" w14:textId="77777777" w:rsidR="00C342BF" w:rsidRPr="001D6B2E" w:rsidRDefault="00000000">
      <w:pPr>
        <w:spacing w:after="280"/>
        <w:jc w:val="center"/>
      </w:pPr>
      <w:r w:rsidRPr="001D6B2E">
        <w:rPr>
          <w:b/>
          <w:sz w:val="28"/>
        </w:rPr>
        <w:lastRenderedPageBreak/>
        <w:t>Table of Contents</w:t>
      </w:r>
    </w:p>
    <w:p w14:paraId="1B17555F" w14:textId="77777777" w:rsidR="00C342BF" w:rsidRPr="001D6B2E" w:rsidRDefault="00000000">
      <w:pPr>
        <w:tabs>
          <w:tab w:val="right" w:leader="dot" w:pos="9000"/>
        </w:tabs>
        <w:spacing w:after="60" w:line="276" w:lineRule="auto"/>
      </w:pPr>
      <w:r>
        <w:t>Chapter 1: Introduction and Rationale</w:t>
      </w:r>
      <w:r>
        <w:tab/>
        <w:t>9</w:t>
      </w:r>
    </w:p>
    <w:p w14:paraId="6932EAC3" w14:textId="77777777" w:rsidR="00C342BF" w:rsidRPr="001D6B2E" w:rsidRDefault="00000000">
      <w:pPr>
        <w:tabs>
          <w:tab w:val="right" w:leader="dot" w:pos="9000"/>
        </w:tabs>
        <w:spacing w:after="60" w:line="276" w:lineRule="auto"/>
        <w:ind w:left="360"/>
      </w:pPr>
      <w:r>
        <w:t>1.1 Research Background</w:t>
      </w:r>
      <w:r>
        <w:tab/>
        <w:t>9</w:t>
      </w:r>
    </w:p>
    <w:p w14:paraId="61651F18" w14:textId="77777777" w:rsidR="00C342BF" w:rsidRPr="001D6B2E" w:rsidRDefault="00000000">
      <w:pPr>
        <w:tabs>
          <w:tab w:val="right" w:leader="dot" w:pos="9000"/>
        </w:tabs>
        <w:spacing w:after="60" w:line="276" w:lineRule="auto"/>
        <w:ind w:left="360"/>
      </w:pPr>
      <w:r>
        <w:t>1.2 Research Rationale</w:t>
      </w:r>
      <w:r>
        <w:tab/>
        <w:t>10</w:t>
      </w:r>
    </w:p>
    <w:p w14:paraId="7F66B6E7" w14:textId="77777777" w:rsidR="00C342BF" w:rsidRPr="001D6B2E" w:rsidRDefault="00000000">
      <w:pPr>
        <w:tabs>
          <w:tab w:val="right" w:leader="dot" w:pos="9000"/>
        </w:tabs>
        <w:spacing w:after="60" w:line="276" w:lineRule="auto"/>
        <w:ind w:left="360"/>
      </w:pPr>
      <w:r>
        <w:t>1.3 Research Contribution and Motivation</w:t>
      </w:r>
      <w:r>
        <w:tab/>
        <w:t>13</w:t>
      </w:r>
    </w:p>
    <w:p w14:paraId="2283BE4C" w14:textId="77777777" w:rsidR="00C342BF" w:rsidRPr="001D6B2E" w:rsidRDefault="00000000">
      <w:pPr>
        <w:tabs>
          <w:tab w:val="right" w:leader="dot" w:pos="9000"/>
        </w:tabs>
        <w:spacing w:after="60" w:line="276" w:lineRule="auto"/>
        <w:ind w:left="360"/>
      </w:pPr>
      <w:r>
        <w:t>1.4 Research Aim, Objectives and Research Question</w:t>
      </w:r>
      <w:r>
        <w:tab/>
        <w:t>14</w:t>
      </w:r>
    </w:p>
    <w:p w14:paraId="33281F2F" w14:textId="77777777" w:rsidR="00C342BF" w:rsidRPr="001D6B2E" w:rsidRDefault="00000000">
      <w:pPr>
        <w:tabs>
          <w:tab w:val="right" w:leader="dot" w:pos="9000"/>
        </w:tabs>
        <w:spacing w:after="60" w:line="276" w:lineRule="auto"/>
        <w:ind w:left="360"/>
      </w:pPr>
      <w:r>
        <w:t>1.5 Dissertation Structure</w:t>
      </w:r>
      <w:r>
        <w:tab/>
        <w:t>15</w:t>
      </w:r>
    </w:p>
    <w:p w14:paraId="2541230B" w14:textId="77777777" w:rsidR="00C342BF" w:rsidRPr="001D6B2E" w:rsidRDefault="00000000">
      <w:pPr>
        <w:tabs>
          <w:tab w:val="right" w:leader="dot" w:pos="9000"/>
        </w:tabs>
        <w:spacing w:after="60" w:line="276" w:lineRule="auto"/>
      </w:pPr>
      <w:r>
        <w:t>Chapter 2: Literature Review</w:t>
      </w:r>
      <w:r>
        <w:tab/>
        <w:t>16</w:t>
      </w:r>
    </w:p>
    <w:p w14:paraId="4EEA3616" w14:textId="77777777" w:rsidR="00C342BF" w:rsidRPr="001D6B2E" w:rsidRDefault="00000000">
      <w:pPr>
        <w:tabs>
          <w:tab w:val="right" w:leader="dot" w:pos="9000"/>
        </w:tabs>
        <w:spacing w:after="60" w:line="276" w:lineRule="auto"/>
        <w:ind w:left="360"/>
      </w:pPr>
      <w:r>
        <w:t>2.1 Introduction</w:t>
      </w:r>
      <w:r>
        <w:tab/>
        <w:t>16</w:t>
      </w:r>
    </w:p>
    <w:p w14:paraId="0A29C2B6" w14:textId="77777777" w:rsidR="00C342BF" w:rsidRPr="001D6B2E" w:rsidRDefault="00000000">
      <w:pPr>
        <w:tabs>
          <w:tab w:val="right" w:leader="dot" w:pos="9000"/>
        </w:tabs>
        <w:spacing w:after="60" w:line="276" w:lineRule="auto"/>
        <w:ind w:left="360"/>
      </w:pPr>
      <w:r>
        <w:t>2.2 Thematic Overview of the Literature</w:t>
      </w:r>
      <w:r>
        <w:tab/>
        <w:t>16</w:t>
      </w:r>
    </w:p>
    <w:p w14:paraId="7F1F75FD" w14:textId="77777777" w:rsidR="00C342BF" w:rsidRPr="001D6B2E" w:rsidRDefault="00000000">
      <w:pPr>
        <w:tabs>
          <w:tab w:val="right" w:leader="dot" w:pos="9000"/>
        </w:tabs>
        <w:spacing w:after="60" w:line="276" w:lineRule="auto"/>
        <w:ind w:left="360"/>
      </w:pPr>
      <w:r>
        <w:t>2.3 Theoretical Foundation and Contribution</w:t>
      </w:r>
      <w:r>
        <w:tab/>
        <w:t>22</w:t>
      </w:r>
    </w:p>
    <w:p w14:paraId="74FE5BC0" w14:textId="77777777" w:rsidR="00C342BF" w:rsidRPr="001D6B2E" w:rsidRDefault="00000000">
      <w:pPr>
        <w:tabs>
          <w:tab w:val="right" w:leader="dot" w:pos="9000"/>
        </w:tabs>
        <w:spacing w:after="60" w:line="276" w:lineRule="auto"/>
        <w:ind w:left="360"/>
      </w:pPr>
      <w:r>
        <w:t>2.4 Theoretical Framework</w:t>
      </w:r>
      <w:r>
        <w:tab/>
        <w:t>23</w:t>
      </w:r>
    </w:p>
    <w:p w14:paraId="5D12C3B8" w14:textId="77777777" w:rsidR="00C342BF" w:rsidRPr="001D6B2E" w:rsidRDefault="00000000">
      <w:pPr>
        <w:tabs>
          <w:tab w:val="right" w:leader="dot" w:pos="9000"/>
        </w:tabs>
        <w:spacing w:after="60" w:line="276" w:lineRule="auto"/>
        <w:ind w:left="360"/>
      </w:pPr>
      <w:r>
        <w:t>2.5 Summary Table of Key Literature</w:t>
      </w:r>
      <w:r>
        <w:tab/>
        <w:t>25</w:t>
      </w:r>
    </w:p>
    <w:p w14:paraId="33EB4422" w14:textId="77777777" w:rsidR="00C342BF" w:rsidRPr="001D6B2E" w:rsidRDefault="00000000">
      <w:pPr>
        <w:tabs>
          <w:tab w:val="right" w:leader="dot" w:pos="9000"/>
        </w:tabs>
        <w:spacing w:after="60" w:line="276" w:lineRule="auto"/>
        <w:ind w:left="360"/>
      </w:pPr>
      <w:r>
        <w:t>2.6 Conclusion</w:t>
      </w:r>
      <w:r>
        <w:tab/>
        <w:t>29</w:t>
      </w:r>
    </w:p>
    <w:p w14:paraId="63A1A178" w14:textId="77777777" w:rsidR="00C342BF" w:rsidRPr="001D6B2E" w:rsidRDefault="00000000">
      <w:pPr>
        <w:tabs>
          <w:tab w:val="right" w:leader="dot" w:pos="9000"/>
        </w:tabs>
        <w:spacing w:after="60" w:line="276" w:lineRule="auto"/>
      </w:pPr>
      <w:r>
        <w:t>Chapter 3: Methodology</w:t>
      </w:r>
      <w:r>
        <w:tab/>
        <w:t>30</w:t>
      </w:r>
    </w:p>
    <w:p w14:paraId="4ABC5F9F" w14:textId="77777777" w:rsidR="00C342BF" w:rsidRPr="001D6B2E" w:rsidRDefault="00000000">
      <w:pPr>
        <w:tabs>
          <w:tab w:val="right" w:leader="dot" w:pos="9000"/>
        </w:tabs>
        <w:spacing w:after="60" w:line="276" w:lineRule="auto"/>
        <w:ind w:left="360"/>
      </w:pPr>
      <w:r>
        <w:t>3.1 Introduction</w:t>
      </w:r>
      <w:r>
        <w:tab/>
        <w:t>30</w:t>
      </w:r>
    </w:p>
    <w:p w14:paraId="37AD273C" w14:textId="77777777" w:rsidR="00C342BF" w:rsidRPr="001D6B2E" w:rsidRDefault="00000000">
      <w:pPr>
        <w:tabs>
          <w:tab w:val="right" w:leader="dot" w:pos="9000"/>
        </w:tabs>
        <w:spacing w:after="60" w:line="276" w:lineRule="auto"/>
        <w:ind w:left="360"/>
      </w:pPr>
      <w:r>
        <w:t>3.2 Research Philosophy, Approach and Design</w:t>
      </w:r>
      <w:r>
        <w:tab/>
        <w:t>30</w:t>
      </w:r>
    </w:p>
    <w:p w14:paraId="08C705C9" w14:textId="77777777" w:rsidR="00C342BF" w:rsidRPr="001D6B2E" w:rsidRDefault="00000000">
      <w:pPr>
        <w:tabs>
          <w:tab w:val="right" w:leader="dot" w:pos="9000"/>
        </w:tabs>
        <w:spacing w:after="60" w:line="276" w:lineRule="auto"/>
        <w:ind w:left="360"/>
      </w:pPr>
      <w:r>
        <w:t>3.3 Justification for Case Study Methodology</w:t>
      </w:r>
      <w:r>
        <w:tab/>
        <w:t>32</w:t>
      </w:r>
    </w:p>
    <w:p w14:paraId="5635B374" w14:textId="77777777" w:rsidR="00C342BF" w:rsidRPr="001D6B2E" w:rsidRDefault="00000000">
      <w:pPr>
        <w:tabs>
          <w:tab w:val="right" w:leader="dot" w:pos="9000"/>
        </w:tabs>
        <w:spacing w:after="60" w:line="276" w:lineRule="auto"/>
        <w:ind w:left="360"/>
      </w:pPr>
      <w:r>
        <w:t>3.4 Case Selection and Sampling Strategy</w:t>
      </w:r>
      <w:r>
        <w:tab/>
        <w:t>33</w:t>
      </w:r>
    </w:p>
    <w:p w14:paraId="65325543" w14:textId="77777777" w:rsidR="00C342BF" w:rsidRPr="001D6B2E" w:rsidRDefault="00000000">
      <w:pPr>
        <w:tabs>
          <w:tab w:val="right" w:leader="dot" w:pos="9000"/>
        </w:tabs>
        <w:spacing w:after="60" w:line="276" w:lineRule="auto"/>
        <w:ind w:left="360"/>
      </w:pPr>
      <w:r>
        <w:t>3.5 Data Sources and Data Collection</w:t>
      </w:r>
      <w:r>
        <w:tab/>
        <w:t>34</w:t>
      </w:r>
    </w:p>
    <w:p w14:paraId="56FDC94D" w14:textId="77777777" w:rsidR="00C342BF" w:rsidRPr="001D6B2E" w:rsidRDefault="00000000">
      <w:pPr>
        <w:tabs>
          <w:tab w:val="right" w:leader="dot" w:pos="9000"/>
        </w:tabs>
        <w:spacing w:after="60" w:line="276" w:lineRule="auto"/>
        <w:ind w:left="360"/>
      </w:pPr>
      <w:r>
        <w:t>3.6 Data Analysis Approach</w:t>
      </w:r>
      <w:r>
        <w:tab/>
        <w:t>35</w:t>
      </w:r>
    </w:p>
    <w:p w14:paraId="61206045" w14:textId="77777777" w:rsidR="00C342BF" w:rsidRPr="001D6B2E" w:rsidRDefault="00000000">
      <w:pPr>
        <w:tabs>
          <w:tab w:val="right" w:leader="dot" w:pos="9000"/>
        </w:tabs>
        <w:spacing w:after="60" w:line="276" w:lineRule="auto"/>
        <w:ind w:left="360"/>
      </w:pPr>
      <w:r>
        <w:t>3.7 Research Quality and Rigour</w:t>
      </w:r>
      <w:r>
        <w:tab/>
        <w:t>36</w:t>
      </w:r>
    </w:p>
    <w:p w14:paraId="321A13FB" w14:textId="77777777" w:rsidR="00C342BF" w:rsidRPr="001D6B2E" w:rsidRDefault="00000000">
      <w:pPr>
        <w:tabs>
          <w:tab w:val="right" w:leader="dot" w:pos="9000"/>
        </w:tabs>
        <w:spacing w:after="60" w:line="276" w:lineRule="auto"/>
        <w:ind w:left="360"/>
      </w:pPr>
      <w:r>
        <w:t>3.8 Ethical Considerations</w:t>
      </w:r>
      <w:r>
        <w:tab/>
        <w:t>36</w:t>
      </w:r>
    </w:p>
    <w:p w14:paraId="2D7D40A7" w14:textId="77777777" w:rsidR="00C342BF" w:rsidRPr="001D6B2E" w:rsidRDefault="00000000">
      <w:pPr>
        <w:tabs>
          <w:tab w:val="right" w:leader="dot" w:pos="9000"/>
        </w:tabs>
        <w:spacing w:after="60" w:line="276" w:lineRule="auto"/>
        <w:ind w:left="360"/>
      </w:pPr>
      <w:r>
        <w:t>3.9 Chapter Summary</w:t>
      </w:r>
      <w:r>
        <w:tab/>
        <w:t>37</w:t>
      </w:r>
    </w:p>
    <w:p w14:paraId="3926108C" w14:textId="77777777" w:rsidR="00C342BF" w:rsidRPr="001D6B2E" w:rsidRDefault="00000000">
      <w:pPr>
        <w:tabs>
          <w:tab w:val="right" w:leader="dot" w:pos="9000"/>
        </w:tabs>
        <w:spacing w:after="60" w:line="276" w:lineRule="auto"/>
      </w:pPr>
      <w:r>
        <w:t>Chapter 4: Findings</w:t>
      </w:r>
      <w:r>
        <w:tab/>
        <w:t>38</w:t>
      </w:r>
    </w:p>
    <w:p w14:paraId="0455A873" w14:textId="77777777" w:rsidR="00C342BF" w:rsidRPr="001D6B2E" w:rsidRDefault="00000000">
      <w:pPr>
        <w:tabs>
          <w:tab w:val="right" w:leader="dot" w:pos="9000"/>
        </w:tabs>
        <w:spacing w:after="60" w:line="276" w:lineRule="auto"/>
        <w:ind w:left="360"/>
      </w:pPr>
      <w:r>
        <w:t>4.1 Introduction</w:t>
      </w:r>
      <w:r>
        <w:tab/>
        <w:t>38</w:t>
      </w:r>
    </w:p>
    <w:p w14:paraId="652BF23B" w14:textId="77777777" w:rsidR="00C342BF" w:rsidRPr="001D6B2E" w:rsidRDefault="00000000">
      <w:pPr>
        <w:tabs>
          <w:tab w:val="right" w:leader="dot" w:pos="9000"/>
        </w:tabs>
        <w:spacing w:after="60" w:line="276" w:lineRule="auto"/>
        <w:ind w:left="360"/>
      </w:pPr>
      <w:r>
        <w:t>4.2 Case Study 1: British Gas</w:t>
      </w:r>
      <w:r>
        <w:tab/>
        <w:t>39</w:t>
      </w:r>
    </w:p>
    <w:p w14:paraId="61F8B2F3" w14:textId="77777777" w:rsidR="00C342BF" w:rsidRPr="001D6B2E" w:rsidRDefault="00000000">
      <w:pPr>
        <w:tabs>
          <w:tab w:val="right" w:leader="dot" w:pos="9000"/>
        </w:tabs>
        <w:spacing w:after="60" w:line="276" w:lineRule="auto"/>
        <w:ind w:left="360"/>
      </w:pPr>
      <w:r>
        <w:t>4.3 Case Study 2: Octopus Energy</w:t>
      </w:r>
      <w:r>
        <w:tab/>
        <w:t>40</w:t>
      </w:r>
    </w:p>
    <w:p w14:paraId="1CF5F53D" w14:textId="77777777" w:rsidR="00C342BF" w:rsidRPr="001D6B2E" w:rsidRDefault="00000000">
      <w:pPr>
        <w:tabs>
          <w:tab w:val="right" w:leader="dot" w:pos="9000"/>
        </w:tabs>
        <w:spacing w:after="60" w:line="276" w:lineRule="auto"/>
        <w:ind w:left="360"/>
      </w:pPr>
      <w:r>
        <w:t>4.4 Case Study 3: E.ON Next</w:t>
      </w:r>
      <w:r>
        <w:tab/>
        <w:t>41</w:t>
      </w:r>
    </w:p>
    <w:p w14:paraId="22CDDA49" w14:textId="77777777" w:rsidR="00C342BF" w:rsidRPr="001D6B2E" w:rsidRDefault="00000000">
      <w:pPr>
        <w:tabs>
          <w:tab w:val="right" w:leader="dot" w:pos="9000"/>
        </w:tabs>
        <w:spacing w:after="60" w:line="276" w:lineRule="auto"/>
        <w:ind w:left="360"/>
      </w:pPr>
      <w:r>
        <w:t>4.5 Case Study 4: OVO Energy</w:t>
      </w:r>
      <w:r>
        <w:tab/>
        <w:t>42</w:t>
      </w:r>
    </w:p>
    <w:p w14:paraId="4E3BF40A" w14:textId="77777777" w:rsidR="00C342BF" w:rsidRPr="001D6B2E" w:rsidRDefault="00000000">
      <w:pPr>
        <w:tabs>
          <w:tab w:val="right" w:leader="dot" w:pos="9000"/>
        </w:tabs>
        <w:spacing w:after="60" w:line="276" w:lineRule="auto"/>
        <w:ind w:left="360"/>
      </w:pPr>
      <w:r>
        <w:t>4.6 Case Study 5: EDF Energy</w:t>
      </w:r>
      <w:r>
        <w:tab/>
        <w:t>43</w:t>
      </w:r>
    </w:p>
    <w:p w14:paraId="6D0E1572" w14:textId="77777777" w:rsidR="00C342BF" w:rsidRPr="001D6B2E" w:rsidRDefault="00000000">
      <w:pPr>
        <w:tabs>
          <w:tab w:val="right" w:leader="dot" w:pos="9000"/>
        </w:tabs>
        <w:spacing w:after="60" w:line="276" w:lineRule="auto"/>
        <w:ind w:left="360"/>
      </w:pPr>
      <w:r>
        <w:t>4.7 Summary of Cross-Case Analysis</w:t>
      </w:r>
      <w:r>
        <w:tab/>
        <w:t>44</w:t>
      </w:r>
    </w:p>
    <w:p w14:paraId="5059B33E" w14:textId="77777777" w:rsidR="00C342BF" w:rsidRPr="001D6B2E" w:rsidRDefault="00000000">
      <w:pPr>
        <w:tabs>
          <w:tab w:val="right" w:leader="dot" w:pos="9000"/>
        </w:tabs>
        <w:spacing w:after="60" w:line="276" w:lineRule="auto"/>
        <w:ind w:left="360"/>
      </w:pPr>
      <w:r>
        <w:t>4.8 Chapter Summary</w:t>
      </w:r>
      <w:r>
        <w:tab/>
        <w:t>46</w:t>
      </w:r>
    </w:p>
    <w:p w14:paraId="1C3E42E4" w14:textId="77777777" w:rsidR="00C342BF" w:rsidRPr="001D6B2E" w:rsidRDefault="00000000">
      <w:pPr>
        <w:tabs>
          <w:tab w:val="right" w:leader="dot" w:pos="9000"/>
        </w:tabs>
        <w:spacing w:after="60" w:line="276" w:lineRule="auto"/>
      </w:pPr>
      <w:r>
        <w:t>Chapter 5: Discussion and Analysis</w:t>
      </w:r>
      <w:r>
        <w:tab/>
        <w:t>48</w:t>
      </w:r>
    </w:p>
    <w:p w14:paraId="1B98F7DA" w14:textId="77777777" w:rsidR="00C342BF" w:rsidRPr="001D6B2E" w:rsidRDefault="00000000">
      <w:pPr>
        <w:tabs>
          <w:tab w:val="right" w:leader="dot" w:pos="9000"/>
        </w:tabs>
        <w:spacing w:after="60" w:line="276" w:lineRule="auto"/>
        <w:ind w:left="360"/>
      </w:pPr>
      <w:r>
        <w:t>5.1 Purpose and Positioning</w:t>
      </w:r>
      <w:r>
        <w:tab/>
        <w:t>48</w:t>
      </w:r>
    </w:p>
    <w:p w14:paraId="5669238F" w14:textId="77777777" w:rsidR="00C342BF" w:rsidRPr="001D6B2E" w:rsidRDefault="00000000">
      <w:pPr>
        <w:tabs>
          <w:tab w:val="right" w:leader="dot" w:pos="9000"/>
        </w:tabs>
        <w:spacing w:after="60" w:line="276" w:lineRule="auto"/>
        <w:ind w:left="360"/>
      </w:pPr>
      <w:r>
        <w:t>5.2 Analytical Framework and Logic</w:t>
      </w:r>
      <w:r>
        <w:tab/>
        <w:t>48</w:t>
      </w:r>
    </w:p>
    <w:p w14:paraId="1A861C16" w14:textId="77777777" w:rsidR="00C342BF" w:rsidRPr="001D6B2E" w:rsidRDefault="00000000">
      <w:pPr>
        <w:tabs>
          <w:tab w:val="right" w:leader="dot" w:pos="9000"/>
        </w:tabs>
        <w:spacing w:after="60" w:line="276" w:lineRule="auto"/>
        <w:ind w:left="360"/>
      </w:pPr>
      <w:r>
        <w:lastRenderedPageBreak/>
        <w:t>5.3 Cross-Case Synthesis: Comparison with the Literature</w:t>
      </w:r>
      <w:r>
        <w:tab/>
        <w:t>49</w:t>
      </w:r>
    </w:p>
    <w:p w14:paraId="25F04A7D" w14:textId="77777777" w:rsidR="00C342BF" w:rsidRPr="001D6B2E" w:rsidRDefault="00000000">
      <w:pPr>
        <w:tabs>
          <w:tab w:val="right" w:leader="dot" w:pos="9000"/>
        </w:tabs>
        <w:spacing w:after="60" w:line="276" w:lineRule="auto"/>
        <w:ind w:left="360"/>
      </w:pPr>
      <w:r>
        <w:t>5.4 Integration with the Theoretical Framework</w:t>
      </w:r>
      <w:r>
        <w:tab/>
        <w:t>53</w:t>
      </w:r>
    </w:p>
    <w:p w14:paraId="0E6676BA" w14:textId="77777777" w:rsidR="00C342BF" w:rsidRPr="001D6B2E" w:rsidRDefault="00000000">
      <w:pPr>
        <w:tabs>
          <w:tab w:val="right" w:leader="dot" w:pos="9000"/>
        </w:tabs>
        <w:spacing w:after="60" w:line="276" w:lineRule="auto"/>
        <w:ind w:left="360"/>
      </w:pPr>
      <w:r>
        <w:t>5.5 Robustness Considerations</w:t>
      </w:r>
      <w:r>
        <w:tab/>
        <w:t>53</w:t>
      </w:r>
    </w:p>
    <w:p w14:paraId="0BE584D5" w14:textId="77777777" w:rsidR="00C342BF" w:rsidRPr="001D6B2E" w:rsidRDefault="00000000">
      <w:pPr>
        <w:tabs>
          <w:tab w:val="right" w:leader="dot" w:pos="9000"/>
        </w:tabs>
        <w:spacing w:after="60" w:line="276" w:lineRule="auto"/>
        <w:ind w:left="360"/>
      </w:pPr>
      <w:r>
        <w:t>5.6 Practical Synthesis: Bridge to Chapter 6</w:t>
      </w:r>
      <w:r>
        <w:tab/>
        <w:t>54</w:t>
      </w:r>
    </w:p>
    <w:p w14:paraId="7F2588E3" w14:textId="77777777" w:rsidR="00C342BF" w:rsidRPr="001D6B2E" w:rsidRDefault="00000000">
      <w:pPr>
        <w:tabs>
          <w:tab w:val="right" w:leader="dot" w:pos="9000"/>
        </w:tabs>
        <w:spacing w:after="60" w:line="276" w:lineRule="auto"/>
        <w:ind w:left="360"/>
      </w:pPr>
      <w:r>
        <w:t>5.7 Chapter Summary</w:t>
      </w:r>
      <w:r>
        <w:tab/>
        <w:t>55</w:t>
      </w:r>
    </w:p>
    <w:p w14:paraId="5E015E6E" w14:textId="77777777" w:rsidR="00C342BF" w:rsidRPr="001D6B2E" w:rsidRDefault="00000000">
      <w:pPr>
        <w:tabs>
          <w:tab w:val="right" w:leader="dot" w:pos="9000"/>
        </w:tabs>
        <w:spacing w:after="60" w:line="276" w:lineRule="auto"/>
      </w:pPr>
      <w:r>
        <w:t>Chapter 6: Conclusion</w:t>
      </w:r>
      <w:r>
        <w:tab/>
        <w:t>56</w:t>
      </w:r>
    </w:p>
    <w:p w14:paraId="75908670" w14:textId="77777777" w:rsidR="00C342BF" w:rsidRPr="001D6B2E" w:rsidRDefault="00000000">
      <w:pPr>
        <w:tabs>
          <w:tab w:val="right" w:leader="dot" w:pos="9000"/>
        </w:tabs>
        <w:spacing w:after="60" w:line="276" w:lineRule="auto"/>
        <w:ind w:left="360"/>
      </w:pPr>
      <w:r>
        <w:t>6.1 Introduction</w:t>
      </w:r>
      <w:r>
        <w:tab/>
        <w:t>56</w:t>
      </w:r>
    </w:p>
    <w:p w14:paraId="448266C8" w14:textId="77777777" w:rsidR="00C342BF" w:rsidRPr="001D6B2E" w:rsidRDefault="00000000">
      <w:pPr>
        <w:tabs>
          <w:tab w:val="right" w:leader="dot" w:pos="9000"/>
        </w:tabs>
        <w:spacing w:after="60" w:line="276" w:lineRule="auto"/>
        <w:ind w:left="360"/>
      </w:pPr>
      <w:r>
        <w:t>6.2 Brief Summary of Key Findings</w:t>
      </w:r>
      <w:r>
        <w:tab/>
        <w:t>56</w:t>
      </w:r>
    </w:p>
    <w:p w14:paraId="59ADD64E" w14:textId="77777777" w:rsidR="00C342BF" w:rsidRPr="001D6B2E" w:rsidRDefault="00000000">
      <w:pPr>
        <w:tabs>
          <w:tab w:val="right" w:leader="dot" w:pos="9000"/>
        </w:tabs>
        <w:spacing w:after="60" w:line="276" w:lineRule="auto"/>
        <w:ind w:left="360"/>
      </w:pPr>
      <w:r>
        <w:t>6.3 Theoretical Implications</w:t>
      </w:r>
      <w:r>
        <w:tab/>
        <w:t>57</w:t>
      </w:r>
    </w:p>
    <w:p w14:paraId="7D034B65" w14:textId="77777777" w:rsidR="00C342BF" w:rsidRPr="001D6B2E" w:rsidRDefault="00000000">
      <w:pPr>
        <w:tabs>
          <w:tab w:val="right" w:leader="dot" w:pos="9000"/>
        </w:tabs>
        <w:spacing w:after="60" w:line="276" w:lineRule="auto"/>
        <w:ind w:left="360"/>
      </w:pPr>
      <w:r>
        <w:t>6.4 Managerial Implications</w:t>
      </w:r>
      <w:r>
        <w:tab/>
        <w:t>59</w:t>
      </w:r>
    </w:p>
    <w:p w14:paraId="02705276" w14:textId="77777777" w:rsidR="00C342BF" w:rsidRPr="001D6B2E" w:rsidRDefault="00000000">
      <w:pPr>
        <w:tabs>
          <w:tab w:val="right" w:leader="dot" w:pos="9000"/>
        </w:tabs>
        <w:spacing w:after="60" w:line="276" w:lineRule="auto"/>
        <w:ind w:left="360"/>
      </w:pPr>
      <w:r>
        <w:t>6.5 Limitations and Directions for Future Research</w:t>
      </w:r>
      <w:r>
        <w:tab/>
        <w:t>61</w:t>
      </w:r>
    </w:p>
    <w:p w14:paraId="2A183A95" w14:textId="77777777" w:rsidR="00C342BF" w:rsidRPr="001D6B2E" w:rsidRDefault="00000000">
      <w:pPr>
        <w:tabs>
          <w:tab w:val="right" w:leader="dot" w:pos="9000"/>
        </w:tabs>
        <w:spacing w:after="60" w:line="276" w:lineRule="auto"/>
        <w:ind w:left="360"/>
      </w:pPr>
      <w:r>
        <w:t>6.6 Closing Statement</w:t>
      </w:r>
      <w:r>
        <w:tab/>
        <w:t>61</w:t>
      </w:r>
    </w:p>
    <w:p w14:paraId="7E8C2511" w14:textId="77777777" w:rsidR="00C342BF" w:rsidRPr="001D6B2E" w:rsidRDefault="00000000">
      <w:pPr>
        <w:tabs>
          <w:tab w:val="right" w:leader="dot" w:pos="9000"/>
        </w:tabs>
        <w:spacing w:after="60" w:line="276" w:lineRule="auto"/>
      </w:pPr>
      <w:r>
        <w:t>References</w:t>
      </w:r>
      <w:r>
        <w:tab/>
        <w:t>63</w:t>
      </w:r>
    </w:p>
    <w:p w14:paraId="61770432" w14:textId="77777777" w:rsidR="00C342BF" w:rsidRPr="001D6B2E" w:rsidRDefault="00000000">
      <w:pPr>
        <w:tabs>
          <w:tab w:val="right" w:leader="dot" w:pos="9000"/>
        </w:tabs>
        <w:spacing w:after="60" w:line="276" w:lineRule="auto"/>
      </w:pPr>
      <w:r>
        <w:t>Appendices</w:t>
      </w:r>
      <w:r>
        <w:tab/>
        <w:t>69</w:t>
      </w:r>
    </w:p>
    <w:p w14:paraId="2DE8D825" w14:textId="77777777" w:rsidR="00C342BF" w:rsidRPr="001D6B2E" w:rsidRDefault="00000000">
      <w:r w:rsidRPr="001D6B2E">
        <w:br w:type="page"/>
      </w:r>
    </w:p>
    <w:p w14:paraId="58B8BF15" w14:textId="77777777" w:rsidR="00C342BF" w:rsidRPr="001D6B2E" w:rsidRDefault="00000000">
      <w:pPr>
        <w:spacing w:after="200"/>
        <w:jc w:val="center"/>
      </w:pPr>
      <w:r w:rsidRPr="001D6B2E">
        <w:rPr>
          <w:b/>
          <w:sz w:val="28"/>
        </w:rPr>
        <w:lastRenderedPageBreak/>
        <w:t>List of Figures</w:t>
      </w:r>
    </w:p>
    <w:p w14:paraId="428778F2" w14:textId="77777777" w:rsidR="00C342BF" w:rsidRPr="001D6B2E" w:rsidRDefault="00000000">
      <w:pPr>
        <w:tabs>
          <w:tab w:val="right" w:leader="dot" w:pos="9000"/>
        </w:tabs>
        <w:spacing w:after="60" w:line="276" w:lineRule="auto"/>
      </w:pPr>
      <w:r>
        <w:t>Figure 1.1: Affordability indicators supporting the theoretical justification.</w:t>
      </w:r>
      <w:r>
        <w:tab/>
        <w:t>12</w:t>
      </w:r>
    </w:p>
    <w:p w14:paraId="6237C077" w14:textId="77777777" w:rsidR="00C342BF" w:rsidRPr="001D6B2E" w:rsidRDefault="00000000">
      <w:pPr>
        <w:tabs>
          <w:tab w:val="right" w:leader="dot" w:pos="9000"/>
        </w:tabs>
        <w:spacing w:after="60" w:line="276" w:lineRule="auto"/>
      </w:pPr>
      <w:r>
        <w:t>Figure 1.2: Monetary components of the British Gas settlement response supporting the practical justification.</w:t>
      </w:r>
      <w:r>
        <w:tab/>
        <w:t>13</w:t>
      </w:r>
    </w:p>
    <w:p w14:paraId="0FDF8C4B" w14:textId="77777777" w:rsidR="00C342BF" w:rsidRPr="001D6B2E" w:rsidRDefault="00000000">
      <w:pPr>
        <w:tabs>
          <w:tab w:val="right" w:leader="dot" w:pos="9000"/>
        </w:tabs>
        <w:spacing w:after="60" w:line="276" w:lineRule="auto"/>
      </w:pPr>
      <w:r>
        <w:t>Figure 2.1: Theoretical Framework for Energy Affordability Support Communication and Supplier Trustworthiness</w:t>
      </w:r>
      <w:r>
        <w:tab/>
        <w:t>24</w:t>
      </w:r>
    </w:p>
    <w:p w14:paraId="0E15E4C7" w14:textId="77777777" w:rsidR="00C342BF" w:rsidRPr="001D6B2E" w:rsidRDefault="00000000">
      <w:pPr>
        <w:tabs>
          <w:tab w:val="right" w:leader="dot" w:pos="9000"/>
        </w:tabs>
        <w:spacing w:after="60" w:line="276" w:lineRule="auto"/>
      </w:pPr>
      <w:r>
        <w:t>Figure 3.1: Research Onion (Saunders et al., 2019)</w:t>
      </w:r>
      <w:r>
        <w:tab/>
        <w:t>32</w:t>
      </w:r>
    </w:p>
    <w:p w14:paraId="78F65D5D" w14:textId="77777777" w:rsidR="00C342BF" w:rsidRPr="001D6B2E" w:rsidRDefault="00000000">
      <w:pPr>
        <w:tabs>
          <w:tab w:val="right" w:leader="dot" w:pos="9000"/>
        </w:tabs>
        <w:spacing w:after="60" w:line="276" w:lineRule="auto"/>
      </w:pPr>
      <w:r>
        <w:t>Figure 4.1: Overall and customer-service satisfaction by supplier (%).</w:t>
      </w:r>
      <w:r>
        <w:tab/>
        <w:t>45</w:t>
      </w:r>
    </w:p>
    <w:p w14:paraId="1E68A608" w14:textId="77777777" w:rsidR="00C342BF" w:rsidRPr="001D6B2E" w:rsidRDefault="00000000">
      <w:pPr>
        <w:tabs>
          <w:tab w:val="right" w:leader="dot" w:pos="9000"/>
        </w:tabs>
        <w:spacing w:after="60" w:line="276" w:lineRule="auto"/>
      </w:pPr>
      <w:r>
        <w:t>Figure 4.2: Regulatory and market evidence timeline, 2022-2026. Sources: Ofgem (2022a; 2022b; 2023a; 2024b; 2024d; 2025b; 2025c; 2026a; 2026e).</w:t>
      </w:r>
      <w:r>
        <w:tab/>
        <w:t>46</w:t>
      </w:r>
    </w:p>
    <w:p w14:paraId="2FB6544E" w14:textId="77777777" w:rsidR="00C342BF" w:rsidRPr="001D6B2E" w:rsidRDefault="00000000">
      <w:pPr>
        <w:spacing w:before="280" w:after="200"/>
        <w:jc w:val="center"/>
      </w:pPr>
      <w:r w:rsidRPr="001D6B2E">
        <w:rPr>
          <w:b/>
          <w:sz w:val="28"/>
        </w:rPr>
        <w:t>List of Tables</w:t>
      </w:r>
    </w:p>
    <w:p w14:paraId="00CCEE2F" w14:textId="77777777" w:rsidR="00C342BF" w:rsidRPr="001D6B2E" w:rsidRDefault="00000000">
      <w:pPr>
        <w:tabs>
          <w:tab w:val="right" w:leader="dot" w:pos="9000"/>
        </w:tabs>
        <w:spacing w:after="60" w:line="276" w:lineRule="auto"/>
      </w:pPr>
      <w:r>
        <w:t>Table 2.1: Literature evidence supporting the theoretical framework and analytical dimensions.</w:t>
      </w:r>
      <w:r>
        <w:tab/>
        <w:t>28</w:t>
      </w:r>
    </w:p>
    <w:p w14:paraId="50DA3D3E" w14:textId="77777777" w:rsidR="00C342BF" w:rsidRPr="001D6B2E" w:rsidRDefault="00000000">
      <w:pPr>
        <w:tabs>
          <w:tab w:val="right" w:leader="dot" w:pos="9000"/>
        </w:tabs>
        <w:spacing w:after="60" w:line="276" w:lineRule="auto"/>
      </w:pPr>
      <w:r>
        <w:t>Table 3.1: Company selection and analytical roles.</w:t>
      </w:r>
      <w:r>
        <w:tab/>
        <w:t>33</w:t>
      </w:r>
    </w:p>
    <w:p w14:paraId="5F6C47E4" w14:textId="77777777" w:rsidR="00C342BF" w:rsidRPr="001D6B2E" w:rsidRDefault="00000000">
      <w:pPr>
        <w:tabs>
          <w:tab w:val="right" w:leader="dot" w:pos="9000"/>
        </w:tabs>
        <w:spacing w:after="60" w:line="276" w:lineRule="auto"/>
      </w:pPr>
      <w:r>
        <w:t>Table 4.1: Profile of the documentary evidence used in the five cases. Shared regulatory sources apply to more than one case.</w:t>
      </w:r>
      <w:r>
        <w:tab/>
        <w:t>38</w:t>
      </w:r>
    </w:p>
    <w:p w14:paraId="580EEF5C" w14:textId="77777777" w:rsidR="00C342BF" w:rsidRPr="001D6B2E" w:rsidRDefault="00000000">
      <w:pPr>
        <w:tabs>
          <w:tab w:val="right" w:leader="dot" w:pos="9000"/>
        </w:tabs>
        <w:spacing w:after="60" w:line="276" w:lineRule="auto"/>
      </w:pPr>
      <w:r>
        <w:t>Table 4.2: Cross-case summary of support communication and outcome evidence</w:t>
      </w:r>
      <w:r>
        <w:tab/>
        <w:t>46</w:t>
      </w:r>
    </w:p>
    <w:p w14:paraId="50018E16" w14:textId="77777777" w:rsidR="00C342BF" w:rsidRPr="001D6B2E" w:rsidRDefault="00000000">
      <w:pPr>
        <w:tabs>
          <w:tab w:val="right" w:leader="dot" w:pos="9000"/>
        </w:tabs>
        <w:spacing w:after="60" w:line="276" w:lineRule="auto"/>
      </w:pPr>
      <w:r>
        <w:t>Table A1: Data used in Figure 4.1. Values are survey estimates and are not causal measures of support communication.</w:t>
      </w:r>
      <w:r>
        <w:tab/>
        <w:t>69</w:t>
      </w:r>
    </w:p>
    <w:p w14:paraId="66B4D0E2" w14:textId="77777777" w:rsidR="00C342BF" w:rsidRPr="001D6B2E" w:rsidRDefault="00000000">
      <w:pPr>
        <w:tabs>
          <w:tab w:val="right" w:leader="dot" w:pos="9000"/>
        </w:tabs>
        <w:spacing w:after="60" w:line="276" w:lineRule="auto"/>
      </w:pPr>
      <w:r>
        <w:t>Table A2: Source chronology used in Figure 4.2.</w:t>
      </w:r>
      <w:r>
        <w:tab/>
        <w:t>69</w:t>
      </w:r>
    </w:p>
    <w:p w14:paraId="41BE67B6" w14:textId="77777777" w:rsidR="00C342BF" w:rsidRPr="001D6B2E" w:rsidRDefault="00000000">
      <w:pPr>
        <w:tabs>
          <w:tab w:val="right" w:leader="dot" w:pos="9000"/>
        </w:tabs>
        <w:spacing w:after="60" w:line="276" w:lineRule="auto"/>
      </w:pPr>
      <w:r>
        <w:t>Table B1: Alignment of Chapter 4 findings with the research objectives and subsequent interpretation.</w:t>
      </w:r>
      <w:r>
        <w:tab/>
        <w:t>70</w:t>
      </w:r>
    </w:p>
    <w:p w14:paraId="409D8364" w14:textId="77777777" w:rsidR="00C342BF" w:rsidRPr="001D6B2E" w:rsidRDefault="00000000">
      <w:r w:rsidRPr="001D6B2E">
        <w:br w:type="page"/>
      </w:r>
    </w:p>
    <w:p w14:paraId="75C657BC" w14:textId="77777777" w:rsidR="00C342BF" w:rsidRPr="001D6B2E" w:rsidRDefault="00000000">
      <w:pPr>
        <w:pStyle w:val="Heading1"/>
        <w:spacing w:before="240" w:after="80"/>
        <w:rPr>
          <w:rFonts w:ascii="Times New Roman" w:hAnsi="Times New Roman" w:cs="Times New Roman"/>
        </w:rPr>
      </w:pPr>
      <w:r w:rsidRPr="001D6B2E">
        <w:rPr>
          <w:rFonts w:ascii="Times New Roman" w:eastAsia="Times New Roman" w:hAnsi="Times New Roman" w:cs="Times New Roman"/>
        </w:rPr>
        <w:lastRenderedPageBreak/>
        <w:t>Chapter 1: Introduction and Rationale</w:t>
      </w:r>
    </w:p>
    <w:p w14:paraId="5520C147"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1.1 Research Background</w:t>
      </w:r>
    </w:p>
    <w:p w14:paraId="64A3B5E7" w14:textId="77777777" w:rsidR="008B0C35" w:rsidRPr="001D6B2E" w:rsidRDefault="008B0C35" w:rsidP="008B0C35">
      <w:pPr>
        <w:jc w:val="both"/>
      </w:pPr>
      <w:r w:rsidRPr="001D6B2E">
        <w:t>In the UK, retail energy is an essential-service market in which commercial performance, regulation and customer support intersect. Access to gas and electricity affects heating, cooking, health and household debt management. Energy affordability has been a strategic and social challenge for suppliers, regulators and policymakers since the energy price shock that occurred after 2021. The price cap limits the unit rate and standing charge suppliers may impose, rather than a household's total bill, as higher consumption results in higher costs (Ofgem, 2026b).</w:t>
      </w:r>
      <w:r w:rsidR="00C04C86" w:rsidRPr="001D6B2E">
        <w:t xml:space="preserve"> Some customers in vulnerable circumstances may require more energy due to disability, medical equipment, age, poor housing or caring responsibility.</w:t>
      </w:r>
    </w:p>
    <w:p w14:paraId="77865B72" w14:textId="77777777" w:rsidR="008B0C35" w:rsidRPr="001D6B2E" w:rsidRDefault="008B0C35" w:rsidP="008B0C35">
      <w:pPr>
        <w:jc w:val="both"/>
      </w:pPr>
      <w:r w:rsidRPr="001D6B2E">
        <w:t xml:space="preserve">The sector is complex because wholesale costs, debt recovery, digital service channels and political scrutiny shape customer relationships. </w:t>
      </w:r>
      <w:r w:rsidR="000A10C0" w:rsidRPr="000A10C0">
        <w:t>Clear supplier communication is important because customers may evaluate suppliers during periods of arrears or when seeking hardship support.</w:t>
      </w:r>
    </w:p>
    <w:p w14:paraId="786F2044" w14:textId="77777777" w:rsidR="008B0C35" w:rsidRPr="001D6B2E" w:rsidRDefault="00847116" w:rsidP="008B0C35">
      <w:pPr>
        <w:jc w:val="both"/>
      </w:pPr>
      <w:r w:rsidRPr="001D6B2E">
        <w:rPr>
          <w:szCs w:val="24"/>
        </w:rPr>
        <w:t xml:space="preserve">The latest DESNZ fuel poverty release estimates that 9.4 percent of households in England, equal to 2.36 million households, were in fuel poverty in 2025 under the </w:t>
      </w:r>
      <w:proofErr w:type="gramStart"/>
      <w:r w:rsidRPr="001D6B2E">
        <w:rPr>
          <w:szCs w:val="24"/>
        </w:rPr>
        <w:t>Low Income</w:t>
      </w:r>
      <w:proofErr w:type="gramEnd"/>
      <w:r w:rsidRPr="001D6B2E">
        <w:rPr>
          <w:szCs w:val="24"/>
        </w:rPr>
        <w:t xml:space="preserve"> Low Energy Efficiency metric, while 7.63 million households exceeded the 10 percent affordability threshold after housing costs (DESNZ, 2026). DESNZ also projects an overall fuel poverty gap of £896 million in 2025 (DESNZ, 2026). Affordability is therefore not only a consequence of a past crisis but an enduring market condition that continues to shape how suppliers are evaluated.</w:t>
      </w:r>
    </w:p>
    <w:p w14:paraId="5A35DAA5" w14:textId="77777777" w:rsidR="008B0C35" w:rsidRPr="001D6B2E" w:rsidRDefault="008B0C35" w:rsidP="008B0C35">
      <w:pPr>
        <w:jc w:val="both"/>
      </w:pPr>
      <w:r w:rsidRPr="001D6B2E">
        <w:rPr>
          <w:szCs w:val="24"/>
        </w:rPr>
        <w:t>Regulatory obligations create additional pressure. Ofgem states that suppliers should negotiate affordable payment plans with customers experiencing difficulty and may offer payment breaks, reductions, additional time to pay, hardship funds and energy-saving advice (Ofgem, 2026c). Ofgem's Priority Services Register also lists additional support for customers who, due to their age, pregnancy, disability, medical condition, language difficulties, bereavement, hospital stay or loss of employment, may require extra support (Ofgem, 2026d). For energy retailers, supplying electricity and gas alone is insufficient. They must also communicate support in ways that customers can find, understand and assess as credible.</w:t>
      </w:r>
    </w:p>
    <w:p w14:paraId="5F11D537" w14:textId="77777777" w:rsidR="008B0C35" w:rsidRPr="001D6B2E" w:rsidRDefault="008B0C35" w:rsidP="008B0C35">
      <w:pPr>
        <w:jc w:val="both"/>
      </w:pPr>
      <w:r w:rsidRPr="001D6B2E">
        <w:rPr>
          <w:szCs w:val="24"/>
        </w:rPr>
        <w:lastRenderedPageBreak/>
        <w:t>British Gas and Octopus Energy provide useful contrasting cases. British Gas is a long-established supplier connected to the British Gas Energy Trust, an independent charity solely funded by British Gas since 2004 that provides debt relief grants, small grants, advice projects and outreach (British Gas Energy Trust, 2026). Octo Assist is Octopus Energy's challenger-style support offer, a £40 million customer-help fund offering grants, standing charge waivers, personalised account support, electric blankets and thermal-camera loans (Octopus Energy, 2022a). The contrast is sharpened by Ofgem's £20 million payment to the Voluntary Redress Fund and up to £70 million of debt write-off for vulnerable customers, as well as its voluntary support package for prepayment customers (Ofgem, 2026a).</w:t>
      </w:r>
    </w:p>
    <w:p w14:paraId="4A2D80B0" w14:textId="77777777" w:rsidR="00C342BF" w:rsidRPr="001D6B2E" w:rsidRDefault="008B0C35" w:rsidP="008B0C35">
      <w:pPr>
        <w:jc w:val="both"/>
      </w:pPr>
      <w:r w:rsidRPr="001D6B2E">
        <w:t>The analysis is based on the UK retail energy sector but the focus is largely on Great Britain, as Ofgem regulates the energy sector in Great Britain, while the contextualisation of fuel poverty statistics is based on England (Ofgem, 2026f; DESNZ, 2026). The separately-regulated energy market in Northern Ireland is not included. The main unit of analysis is publicly available affordability and vulnerable-customer communications from British Gas and Octopus Energy from 2020 to June 2026. Regulatory, government, academic, industry and media evidence provides contextualisation and triangulation; these sources are not used to directly measure private company operations or customer experiences.</w:t>
      </w:r>
    </w:p>
    <w:p w14:paraId="4EAEB462"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1.2 Research Rationale</w:t>
      </w:r>
    </w:p>
    <w:p w14:paraId="1F4AE247"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1.2.1 Theoretical Justification</w:t>
      </w:r>
    </w:p>
    <w:p w14:paraId="16D78CFF" w14:textId="77777777" w:rsidR="008B0C35" w:rsidRPr="001D6B2E" w:rsidRDefault="008B0C35" w:rsidP="008B0C35">
      <w:pPr>
        <w:jc w:val="both"/>
      </w:pPr>
      <w:r w:rsidRPr="001D6B2E">
        <w:t>Previous studies show that income is not the only factor shaping energy affordability. It is widely accepted that fuel poverty arises through the interaction of income, energy prices, housing energy efficiency and household need (Boardman, 1991; Bouzarovski and Petrova, 2015). This energy vulnerability research also indicates that hardship is defined by practical constraints, health needs, coping strategies and multiple types of energy vulnerability, beyond the official categories (Middlemiss and Gillard, 2015; Powells, Scott and Stockton, 2025; Simcock et al., 2021; Thomson, Snell and Bouzarovski, 2017). Trust research similarly shows that customers evaluate service providers through their perceived competence, reliability and benevolence (Sirdeshmukh, Singh and Sabol, 2002).</w:t>
      </w:r>
    </w:p>
    <w:p w14:paraId="6648C5E3" w14:textId="77777777" w:rsidR="008B0C35" w:rsidRPr="001D6B2E" w:rsidRDefault="008B0C35" w:rsidP="008B0C35">
      <w:pPr>
        <w:jc w:val="both"/>
      </w:pPr>
      <w:r w:rsidRPr="001D6B2E">
        <w:t xml:space="preserve">What remains less clearly understood is how supplier support communication is linked to perceived supplier trustworthiness in an essential-service context. A substantial literature examines fuel poverty and trust, but the research literature in fuel poverty tends to focus on household hardship and policy drivers, while trust research tends to be more general about </w:t>
      </w:r>
      <w:r w:rsidRPr="001D6B2E">
        <w:lastRenderedPageBreak/>
        <w:t>service relationships. Vulnerable customers meet suppliers in a practical way, such as via web pages, payment assistance pathways, grant information, Priority Services Register information, complaints processes and public responses to regulatory criticism. The literature, therefore, provides a basis for examining how support is made visible, understood and credible in supplier-oriented communication. This is particularly the case if there is a loss of trust arising from billing, debt, meter or service issues.</w:t>
      </w:r>
    </w:p>
    <w:p w14:paraId="10DC7899" w14:textId="77777777" w:rsidR="008B0C35" w:rsidRPr="001D6B2E" w:rsidRDefault="008B0C35" w:rsidP="008B0C35">
      <w:pPr>
        <w:jc w:val="both"/>
      </w:pPr>
      <w:r w:rsidRPr="001D6B2E">
        <w:t>If customers have a limited amount of time and money, or they are not confident that they will find the communication they need, the quality of supplier communication becomes particularly important. Language of eligibility, accessible pathways and transparent explanations can minimise uncertainty and the lack of clarity or pathways may deter early enquiry. The study can analyse these issues through public documents without claiming to measure private customer attitudes or outcomes.</w:t>
      </w:r>
    </w:p>
    <w:p w14:paraId="750B44F8" w14:textId="77777777" w:rsidR="008B0C35" w:rsidRPr="001D6B2E" w:rsidRDefault="008B0C35" w:rsidP="008B0C35">
      <w:pPr>
        <w:jc w:val="both"/>
      </w:pPr>
      <w:r w:rsidRPr="001D6B2E">
        <w:t>A contextual gap is also evident. Research on energy poverty tends to be aimed at the household, at policies or at national indicators, while literature on the strategic management of service provision tends to be centred on customer trust while giving insufficient attention to the specific communication issues that emerge in providing essential services. The Great Britain retail-energy market provides a suitable comparative setting as vulnerability, affordability and public scrutiny intersect. A comparative case approach can thus reveal not only what is being claimed by each supplier, but how the various patterns of support communication appear in the same regulatory context.</w:t>
      </w:r>
    </w:p>
    <w:p w14:paraId="4C61D18F" w14:textId="77777777" w:rsidR="00C342BF" w:rsidRPr="001D6B2E" w:rsidRDefault="008B0C35" w:rsidP="008B0C35">
      <w:pPr>
        <w:jc w:val="both"/>
      </w:pPr>
      <w:r w:rsidRPr="001D6B2E">
        <w:t>The limited comparative understanding of public communications about affordability support for customers in vulnerable circumstances by GB-regulated retail energy suppliers is the gap addressed here through the concepts of trust, access and accountability. British Gas and Octopus Energy provide contrasting public support profiles – one being an incumbent supplier with an independently governed charitable trust and the recent regulatory spotlight, and the other a challenger supplier that presents a customer-centred, digitally oriented support model. Comparing them can sharpen understanding of the trustworthiness implications of communication in essential services that are regulated.</w:t>
      </w:r>
    </w:p>
    <w:p w14:paraId="5FB13157" w14:textId="77777777" w:rsidR="00C342BF" w:rsidRPr="001D6B2E" w:rsidRDefault="00000000">
      <w:pPr>
        <w:keepNext/>
        <w:jc w:val="center"/>
      </w:pPr>
      <w:r w:rsidRPr="001D6B2E">
        <w:rPr>
          <w:noProof/>
        </w:rPr>
        <w:lastRenderedPageBreak/>
        <w:drawing>
          <wp:inline distT="0" distB="0" distL="0" distR="0" wp14:anchorId="0964F53C" wp14:editId="0120C4DC">
            <wp:extent cx="5394960" cy="28997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nergy_affordability_context.png"/>
                    <pic:cNvPicPr/>
                  </pic:nvPicPr>
                  <pic:blipFill>
                    <a:blip r:embed="rId9"/>
                    <a:stretch>
                      <a:fillRect/>
                    </a:stretch>
                  </pic:blipFill>
                  <pic:spPr>
                    <a:xfrm>
                      <a:off x="0" y="0"/>
                      <a:ext cx="5394960" cy="2899791"/>
                    </a:xfrm>
                    <a:prstGeom prst="rect">
                      <a:avLst/>
                    </a:prstGeom>
                  </pic:spPr>
                </pic:pic>
              </a:graphicData>
            </a:graphic>
          </wp:inline>
        </w:drawing>
      </w:r>
    </w:p>
    <w:p w14:paraId="2BBEC101" w14:textId="77777777" w:rsidR="00C342BF" w:rsidRPr="001D6B2E" w:rsidRDefault="00000000">
      <w:pPr>
        <w:pStyle w:val="Caption"/>
        <w:spacing w:line="360" w:lineRule="auto"/>
        <w:jc w:val="center"/>
      </w:pPr>
      <w:r w:rsidRPr="001D6B2E">
        <w:t>Figure 1.1: Affordability indicators supporting the theoretical justification. Source: DESNZ (2026), 2025 data for England.</w:t>
      </w:r>
    </w:p>
    <w:p w14:paraId="4FFF1A81"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1.2.2 Practical Justification</w:t>
      </w:r>
    </w:p>
    <w:p w14:paraId="08A8AA39" w14:textId="77777777" w:rsidR="008B0C35" w:rsidRPr="001D6B2E" w:rsidRDefault="008B0C35" w:rsidP="008B0C35">
      <w:pPr>
        <w:jc w:val="both"/>
      </w:pPr>
      <w:r w:rsidRPr="001D6B2E">
        <w:rPr>
          <w:szCs w:val="24"/>
        </w:rPr>
        <w:t>The importance of this topic for managers, regulators and customers is demonstrated by the scale of affordability pressures and regulatory expectations. 7.63 million households are above the 10 percent affordability threshold, and so supplier communication may shape whether customers recognise available assistance, understand eligibility and seek help earlier (DESNZ, 2026). Suppliers are expected to negotiate affordable plans with customers experiencing payment difficulty and explain available support routes and access requirements (Ofgem, 2026c). Inadequate communication may contribute to complaint escalation, reputational damage, regulatory scrutiny and weaker perceived supplier trustworthiness.</w:t>
      </w:r>
    </w:p>
    <w:p w14:paraId="4996FAA3" w14:textId="77777777" w:rsidR="00C342BF" w:rsidRPr="001D6B2E" w:rsidRDefault="008B0C35" w:rsidP="008B0C35">
      <w:pPr>
        <w:jc w:val="both"/>
      </w:pPr>
      <w:r w:rsidRPr="001D6B2E">
        <w:t>The British Gas case demonstrates the risk. Ofgem found that British Gas had not met the required standards for the installation of prepayment meters, and had violated licence conditions which were intended to safeguard customers in vulnerable situations (Ofgem, 2026a). For British Gas, the independently governed British Gas Energy Trust raises questions about how charitable support is explained alongside core supplier practice. While the Octo Assist fund communicates innovation and targeted assistance, the fund description acknowledges that not all customers are eligible to receive additional support (Octopus Energy, 2022a).</w:t>
      </w:r>
    </w:p>
    <w:p w14:paraId="401A2651" w14:textId="77777777" w:rsidR="00C342BF" w:rsidRPr="001D6B2E" w:rsidRDefault="00000000">
      <w:pPr>
        <w:keepNext/>
        <w:jc w:val="center"/>
      </w:pPr>
      <w:r w:rsidRPr="001D6B2E">
        <w:rPr>
          <w:noProof/>
        </w:rPr>
        <w:lastRenderedPageBreak/>
        <w:drawing>
          <wp:inline distT="0" distB="0" distL="0" distR="0" wp14:anchorId="612CD907" wp14:editId="108EC8B9">
            <wp:extent cx="5394960" cy="289979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fgem_british_gas_settlement.png"/>
                    <pic:cNvPicPr/>
                  </pic:nvPicPr>
                  <pic:blipFill>
                    <a:blip r:embed="rId10"/>
                    <a:stretch>
                      <a:fillRect/>
                    </a:stretch>
                  </pic:blipFill>
                  <pic:spPr>
                    <a:xfrm>
                      <a:off x="0" y="0"/>
                      <a:ext cx="5394960" cy="2899791"/>
                    </a:xfrm>
                    <a:prstGeom prst="rect">
                      <a:avLst/>
                    </a:prstGeom>
                  </pic:spPr>
                </pic:pic>
              </a:graphicData>
            </a:graphic>
          </wp:inline>
        </w:drawing>
      </w:r>
    </w:p>
    <w:p w14:paraId="463CC8DE" w14:textId="77777777" w:rsidR="00C342BF" w:rsidRPr="001D6B2E" w:rsidRDefault="00000000">
      <w:pPr>
        <w:pStyle w:val="Caption"/>
        <w:spacing w:line="360" w:lineRule="auto"/>
        <w:jc w:val="center"/>
      </w:pPr>
      <w:r w:rsidRPr="001D6B2E">
        <w:t>Figure 1.2: Monetary components of the British Gas settlement response supporting the practical justification. Source: Ofgem (2026a); the £70 million debt-write-off figure is an upper limit.</w:t>
      </w:r>
    </w:p>
    <w:p w14:paraId="24F2C584" w14:textId="77777777" w:rsidR="00C342BF" w:rsidRPr="001D6B2E" w:rsidRDefault="00091F5C">
      <w:pPr>
        <w:jc w:val="both"/>
      </w:pPr>
      <w:r w:rsidRPr="001D6B2E">
        <w:rPr>
          <w:szCs w:val="24"/>
        </w:rPr>
        <w:t xml:space="preserve">The managerial pain point is that suppliers must balance cost control, fair debt management, regulatory expectations and customer empathy at the same time. </w:t>
      </w:r>
      <w:r w:rsidR="000A10C0" w:rsidRPr="000A10C0">
        <w:rPr>
          <w:szCs w:val="24"/>
        </w:rPr>
        <w:t>A poorly structured support journey may delay initial contact and increase arrears; an overly promotional support message may appear insensitive when customers cannot access the support described.</w:t>
      </w:r>
      <w:r w:rsidR="000A10C0">
        <w:rPr>
          <w:szCs w:val="24"/>
        </w:rPr>
        <w:t xml:space="preserve"> </w:t>
      </w:r>
      <w:r w:rsidRPr="001D6B2E">
        <w:rPr>
          <w:szCs w:val="24"/>
        </w:rPr>
        <w:t>The opportunity cost is therefore both social and commercial. Clearer communication may support earlier intervention, help reduce complaint escalation and improve the accessibility of vulnerable- customer protection</w:t>
      </w:r>
      <w:r w:rsidR="0011663F" w:rsidRPr="001D6B2E">
        <w:rPr>
          <w:szCs w:val="24"/>
        </w:rPr>
        <w:t>.</w:t>
      </w:r>
    </w:p>
    <w:p w14:paraId="10901CC4"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1.3 Research Contribution and Motivation</w:t>
      </w:r>
    </w:p>
    <w:p w14:paraId="03AC4D72" w14:textId="77777777" w:rsidR="00F228AD" w:rsidRPr="001D6B2E" w:rsidRDefault="0011663F" w:rsidP="00F228AD">
      <w:pPr>
        <w:jc w:val="both"/>
      </w:pPr>
      <w:r w:rsidRPr="001D6B2E">
        <w:rPr>
          <w:szCs w:val="24"/>
        </w:rPr>
        <w:t>This study is motivated by the need to connect energy vulnerability and trust literature with the real communication choices made by energy suppliers. Theoretically, it contributes by bringing together energy vulnerability, supplier communication and consumer trust in one comparative framework</w:t>
      </w:r>
      <w:r w:rsidR="00F228AD" w:rsidRPr="001D6B2E">
        <w:t>. It explores the visibility of support through affordability support, vulnerability recognition, eligibility language, access routes and accountability signals.</w:t>
      </w:r>
    </w:p>
    <w:p w14:paraId="0423B169" w14:textId="77777777" w:rsidR="00F228AD" w:rsidRPr="001D6B2E" w:rsidRDefault="00F228AD" w:rsidP="00F228AD">
      <w:pPr>
        <w:jc w:val="both"/>
      </w:pPr>
      <w:r w:rsidRPr="001D6B2E">
        <w:rPr>
          <w:szCs w:val="24"/>
        </w:rPr>
        <w:t xml:space="preserve">Empirically, the study contributes through a comparative secondary-document design. Case-study logic is warranted when the purpose is to gain an understanding of how a contemporary phenomenon is enacted in a real organisational setting (Eisenhardt, 1989; Yin, 2018). British Gas and Octopus Energy are not selected because one is assumed to be better than the other. They are selected because their different organisational histories, support architectures and reputational positions enable cross-case comparison. This can help to identify patterns when </w:t>
      </w:r>
      <w:r w:rsidRPr="001D6B2E">
        <w:rPr>
          <w:szCs w:val="24"/>
        </w:rPr>
        <w:lastRenderedPageBreak/>
        <w:t>it comes to communicating support from both incumbent and challenger suppliers within a regulated market.</w:t>
      </w:r>
    </w:p>
    <w:p w14:paraId="6859B5F3" w14:textId="77777777" w:rsidR="00F228AD" w:rsidRPr="001D6B2E" w:rsidRDefault="00F228AD" w:rsidP="00F228AD">
      <w:pPr>
        <w:jc w:val="both"/>
      </w:pPr>
      <w:r w:rsidRPr="001D6B2E">
        <w:t>The dissertation also has a practical dimension, offering a framework for supplier communication and perceived trustworthiness. This framework can be used to assess whether communication on affordability is visible, specific, accessible, targeted and accountable. It can also help managers identify where support pages, hardship schemes and vulnerability processes require clearer explanation. The value of the study is in its emphasis on communication credibility and implications for perceived supplier trustworthiness rather than on fuel-poverty policy in the UK retail energy sector.</w:t>
      </w:r>
    </w:p>
    <w:p w14:paraId="54A61CF1" w14:textId="77777777" w:rsidR="00C342BF" w:rsidRPr="001D6B2E" w:rsidRDefault="00F228AD" w:rsidP="00F228AD">
      <w:pPr>
        <w:jc w:val="both"/>
      </w:pPr>
      <w:r w:rsidRPr="001D6B2E">
        <w:t xml:space="preserve">This work is inspired by the way companies in essential-service industries cope with affordability pressures while retaining customer trust. </w:t>
      </w:r>
      <w:r w:rsidR="0011663F" w:rsidRPr="001D6B2E">
        <w:rPr>
          <w:szCs w:val="24"/>
        </w:rPr>
        <w:t xml:space="preserve">Energy suppliers cannot solve fuel poverty alone, but they do control how they explain help, </w:t>
      </w:r>
      <w:proofErr w:type="spellStart"/>
      <w:r w:rsidR="0011663F" w:rsidRPr="001D6B2E">
        <w:rPr>
          <w:szCs w:val="24"/>
        </w:rPr>
        <w:t>recognise</w:t>
      </w:r>
      <w:proofErr w:type="spellEnd"/>
      <w:r w:rsidR="0011663F" w:rsidRPr="001D6B2E">
        <w:rPr>
          <w:szCs w:val="24"/>
        </w:rPr>
        <w:t xml:space="preserve"> vulnerability, respond to failure and present accountability.</w:t>
      </w:r>
    </w:p>
    <w:p w14:paraId="03B13873"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1.4 Research Aim, Objectives and Research Question</w:t>
      </w:r>
    </w:p>
    <w:p w14:paraId="40CF40A9"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1.4.1 Research Aim</w:t>
      </w:r>
    </w:p>
    <w:p w14:paraId="69F065AA" w14:textId="77777777" w:rsidR="00C342BF" w:rsidRPr="001D6B2E" w:rsidRDefault="00000000">
      <w:pPr>
        <w:jc w:val="both"/>
      </w:pPr>
      <w:r w:rsidRPr="001D6B2E">
        <w:t>The aim of this research is to critically examine how British Gas and Octopus Energy communicate support for energy affordability and vulnerable customers in the UK retail energy sector using secondary evidence, with regulatory analysis focused on Great Britain and contextual fuel-poverty evidence drawn from England.</w:t>
      </w:r>
    </w:p>
    <w:p w14:paraId="46791588"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1.4.2 Research Objectives</w:t>
      </w:r>
    </w:p>
    <w:p w14:paraId="2E3BD607" w14:textId="77777777" w:rsidR="00C342BF" w:rsidRPr="001D6B2E" w:rsidRDefault="00000000">
      <w:pPr>
        <w:jc w:val="both"/>
      </w:pPr>
      <w:r w:rsidRPr="001D6B2E">
        <w:t>The research objectives are:</w:t>
      </w:r>
    </w:p>
    <w:p w14:paraId="488E994B" w14:textId="77777777" w:rsidR="00C342BF" w:rsidRPr="001D6B2E" w:rsidRDefault="00000000">
      <w:pPr>
        <w:jc w:val="both"/>
      </w:pPr>
      <w:r w:rsidRPr="001D6B2E">
        <w:t>1. To identify and compare how British Gas and Octopus Energy communicate support for customers experiencing payment difficulty, fuel poverty or vulnerable circumstances.</w:t>
      </w:r>
    </w:p>
    <w:p w14:paraId="219BA86A" w14:textId="77777777" w:rsidR="00C342BF" w:rsidRPr="001D6B2E" w:rsidRDefault="00000000">
      <w:pPr>
        <w:jc w:val="both"/>
      </w:pPr>
      <w:r w:rsidRPr="001D6B2E">
        <w:t>2. To analyse how the accessibility, transparency, targeting and accountability of these communications may influence perceived supplier trustworthiness in the UK retail energy sector.</w:t>
      </w:r>
    </w:p>
    <w:p w14:paraId="6B98C000"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1.4.3 Research Question</w:t>
      </w:r>
    </w:p>
    <w:p w14:paraId="5E0AA381" w14:textId="77777777" w:rsidR="00C342BF" w:rsidRPr="001D6B2E" w:rsidRDefault="00000000">
      <w:pPr>
        <w:jc w:val="both"/>
      </w:pPr>
      <w:r w:rsidRPr="001D6B2E">
        <w:t>The research question is:</w:t>
      </w:r>
    </w:p>
    <w:p w14:paraId="592F6E18" w14:textId="77777777" w:rsidR="00C342BF" w:rsidRPr="001D6B2E" w:rsidRDefault="00000000">
      <w:pPr>
        <w:jc w:val="both"/>
      </w:pPr>
      <w:r w:rsidRPr="001D6B2E">
        <w:lastRenderedPageBreak/>
        <w:t>1. How do British Gas and Octopus Energy communicate support for energy affordability and vulnerable customers, and what trust-related implications emerge from comparing their publicly available communications?</w:t>
      </w:r>
    </w:p>
    <w:p w14:paraId="0B9F6D95" w14:textId="77777777" w:rsidR="00C342BF" w:rsidRPr="001D6B2E" w:rsidRDefault="00000000">
      <w:pPr>
        <w:jc w:val="both"/>
      </w:pPr>
      <w:r w:rsidRPr="001D6B2E">
        <w:t>These objectives and the research question are feasible through a secondary qualitative case-study design because the analysis focuses on public supplier communications, Ofgem and government documents, academic literature, industry commentary and credible media evidence. The study did not collect primary data from customers, employees or managers.</w:t>
      </w:r>
    </w:p>
    <w:p w14:paraId="7E3B9EF4"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1.5 Dissertation Structure</w:t>
      </w:r>
    </w:p>
    <w:p w14:paraId="504DEED3" w14:textId="77777777" w:rsidR="00C342BF" w:rsidRPr="001D6B2E" w:rsidRDefault="00F228AD">
      <w:pPr>
        <w:jc w:val="both"/>
      </w:pPr>
      <w:r w:rsidRPr="001D6B2E">
        <w:rPr>
          <w:szCs w:val="24"/>
        </w:rPr>
        <w:t>The dissertation is organised as follows. Chapter 2 reviews academic and policy literature concerning the themes of fuel poverty, vulnerability and supplier communication and trust. The secondary qualitative methodology, the selection of sources, the framework-guided document analysis and ethical position are explained in Chapter 3. The two focal and three bounded benchmark cases are presented in Chapter 4. Chapter 5 discusses the cross-case findings and addresses the research question based on the literature. Chapter 6 concludes the dissertation by summarising its contribution, limitations, recommendations and future research priorities.</w:t>
      </w:r>
    </w:p>
    <w:p w14:paraId="58CFFBFA" w14:textId="77777777" w:rsidR="00C342BF" w:rsidRPr="001D6B2E" w:rsidRDefault="00000000">
      <w:pPr>
        <w:pStyle w:val="Heading1"/>
        <w:pageBreakBefore/>
        <w:spacing w:before="240" w:after="80"/>
        <w:rPr>
          <w:rFonts w:ascii="Times New Roman" w:hAnsi="Times New Roman" w:cs="Times New Roman"/>
        </w:rPr>
      </w:pPr>
      <w:r w:rsidRPr="001D6B2E">
        <w:rPr>
          <w:rFonts w:ascii="Times New Roman" w:eastAsia="Times New Roman" w:hAnsi="Times New Roman" w:cs="Times New Roman"/>
        </w:rPr>
        <w:lastRenderedPageBreak/>
        <w:t>Chapter 2: Literature Review</w:t>
      </w:r>
    </w:p>
    <w:p w14:paraId="3E02922B"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2.1 Introduction</w:t>
      </w:r>
    </w:p>
    <w:p w14:paraId="03AE4820" w14:textId="77777777" w:rsidR="00AD293A" w:rsidRPr="001D6B2E" w:rsidRDefault="00AD293A" w:rsidP="00AD293A">
      <w:pPr>
        <w:jc w:val="both"/>
      </w:pPr>
      <w:r w:rsidRPr="001D6B2E">
        <w:t>This chapter reviews the key literature underpinning the research on how British Gas and Octopus Energy communicate support for energy affordability and customers in vulnerable circumstances. Chapter 1 already demonstrated that affordability extends beyond income and prices to include the capacity to understand bills, identify support and navigate suppliers in crisis. The review thus centres on energy vulnerability, support, supplier communication and perceived supplier trustworthiness.</w:t>
      </w:r>
    </w:p>
    <w:p w14:paraId="5011B88F" w14:textId="77777777" w:rsidR="00AD293A" w:rsidRPr="001D6B2E" w:rsidRDefault="00AD293A" w:rsidP="00AD293A">
      <w:pPr>
        <w:jc w:val="both"/>
      </w:pPr>
      <w:r w:rsidRPr="001D6B2E">
        <w:t>The discussion is bounded in three ways. First, it views affordability as a UK retail-energy issue, albeit with consideration of the variations in measurement and regulation across countries. Secondly, vulnerability is dynamic and relational rather than a fixed customer label. Thirdly, the study examines trust-related implications of observable communication rather than directly measuring trust, because it analyses public secondary evidence rather than interviews or survey responses. As in Chapter 1, empirical emphasis is placed on public communication of the two suppliers, with Ofgem evidence covering Great Britain, and fuel-poverty statistics from DESNZ covering England.</w:t>
      </w:r>
    </w:p>
    <w:p w14:paraId="52E223FC" w14:textId="77777777" w:rsidR="00C342BF" w:rsidRPr="001D6B2E" w:rsidRDefault="00AD293A" w:rsidP="00AD293A">
      <w:pPr>
        <w:jc w:val="both"/>
      </w:pPr>
      <w:r w:rsidRPr="001D6B2E">
        <w:t>The chapter is thematically organised. Section 2.2 discusses affordability and vulnerability, energy justice, supplier communication and trust in essential services. The relational service trust perspective is described in Section 2.3. The coding framework for Chapter 4 and the synthesis framework for Chapter 5 are laid out in Section 2.4. The key literature is summarised in Section 2.5, and Section 2.6 concludes the review and establishes the transition to methodology.</w:t>
      </w:r>
    </w:p>
    <w:p w14:paraId="488B52D0"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2.2 Thematic Overview of the Literature</w:t>
      </w:r>
    </w:p>
    <w:p w14:paraId="23F4CE5B"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2.2.1 Energy affordability, fuel poverty and the construction of vulnerability</w:t>
      </w:r>
    </w:p>
    <w:p w14:paraId="019D35E8" w14:textId="77777777" w:rsidR="00AD293A" w:rsidRPr="001D6B2E" w:rsidRDefault="00AD293A" w:rsidP="00AD293A">
      <w:pPr>
        <w:jc w:val="both"/>
      </w:pPr>
      <w:r w:rsidRPr="001D6B2E">
        <w:t xml:space="preserve">The definition of fuel poverty has traditionally been based on the relationship between household resources and the cost of providing an adequate level of warmth. Boardman (1991) emphasised the importance of affordability by demonstrating that the use of domestic energy is limited by low income, inefficient housing, and high energy costs. This challenges the assumption that higher bills are a direct result of excessive household energy consumption, </w:t>
      </w:r>
      <w:r w:rsidRPr="001D6B2E">
        <w:lastRenderedPageBreak/>
        <w:t>though a threshold model may make hardship seem more constant than shifting needs and coping mechanisms.</w:t>
      </w:r>
    </w:p>
    <w:p w14:paraId="0729A548" w14:textId="77777777" w:rsidR="00AD293A" w:rsidRPr="001D6B2E" w:rsidRDefault="00AD293A" w:rsidP="00AD293A">
      <w:pPr>
        <w:jc w:val="both"/>
      </w:pPr>
      <w:r w:rsidRPr="001D6B2E">
        <w:t>Later research expanded the analysis to energy deprivation and vulnerability. Bouzarovski and Petrova (2015) propose that deprivation is created through the interaction of material conditions, energy systems and social inequality. Middlemiss and Gillard (2015) demonstrate that vulnerability encompasses health, housing, social relations, coping skills and managing energy use. Simcock et al. (2021) further note that intersecting factors such as transport poverty, disability, age and geographic isolation can intensify disadvantage. Comparative evidence also links energy poverty to health and wellbeing, supporting the view of affordability as more than a spending threshold (Thomson, Snell and Bouzarovski, 2017).</w:t>
      </w:r>
    </w:p>
    <w:p w14:paraId="63B65DC6" w14:textId="77777777" w:rsidR="00AD293A" w:rsidRPr="001D6B2E" w:rsidRDefault="00AD293A" w:rsidP="00AD293A">
      <w:pPr>
        <w:jc w:val="both"/>
      </w:pPr>
      <w:r w:rsidRPr="001D6B2E">
        <w:t>Ofgem's Consumer Vulnerability Strategy defines vulnerability as being caused by personal circumstances, market conditions or a combination of both. Its outcomes require suppliers to identify needs, give bills that are easier to understand, and give support based on the ability to pay, while avoiding the exclusion that can occur as a result of language or digital capability (Ofgem, 2025b). Similarly, Ofgem noted that, for the most part, participants did not refer to themselves as vulnerable despite large barriers (Ofgem, 2024c). Therefore, a system that waits for customers to adopt an official label may fail to reach people whose needs remain unrecognised.</w:t>
      </w:r>
    </w:p>
    <w:p w14:paraId="6638571F" w14:textId="77777777" w:rsidR="00AD293A" w:rsidRPr="001D6B2E" w:rsidRDefault="00AD293A" w:rsidP="00AD293A">
      <w:pPr>
        <w:jc w:val="both"/>
      </w:pPr>
      <w:r w:rsidRPr="001D6B2E">
        <w:rPr>
          <w:szCs w:val="24"/>
        </w:rPr>
        <w:t>Fixed eligibility rules are challenged in recent work. Powells, Scott and Stockton (2025) demonstrate that such flexible regimes can uncover fuel poverty that has been unrecognised through narrower categories. This advances identification practice but says less about supplier communication after need has been recognised. Ofgem's debt-support research is based on 31 in-depth interviews in Great Britain, which reflects positive and negative service experiences, and was purposively sampled to provide insight into experience rather than prevalence (Ofgem, 2024a). While these government statistics offer valuable policy context, the England-specific fuel-poverty indicator cannot explain how supplier support is communicated or understood (DESNZ, 2026).</w:t>
      </w:r>
    </w:p>
    <w:p w14:paraId="1A732EDC" w14:textId="77777777" w:rsidR="00C342BF" w:rsidRPr="001D6B2E" w:rsidRDefault="00AD293A" w:rsidP="00AD293A">
      <w:pPr>
        <w:jc w:val="both"/>
      </w:pPr>
      <w:r w:rsidRPr="001D6B2E">
        <w:t xml:space="preserve">Three conclusions emerge from the literature. Affordability is multi-dimensional, vulnerability can be temporary, cumulative or hidden, and access to support is in part dependent upon the way in which need is acknowledged and communicated. Analysis of how suppliers translate these principles into customer-facing support communication remains less developed. This research examines whether British Gas and Octopus Energy make support </w:t>
      </w:r>
      <w:r w:rsidRPr="001D6B2E">
        <w:lastRenderedPageBreak/>
        <w:t>visible, intelligible and usable. It does not assume that a message constitutes assistance; it identifies the conditions under which communicated support appears available and credible.</w:t>
      </w:r>
    </w:p>
    <w:p w14:paraId="4FD9654B"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2.2.2 Energy justice, recognition and unequal access to support</w:t>
      </w:r>
    </w:p>
    <w:p w14:paraId="620FD100" w14:textId="77777777" w:rsidR="000E32CA" w:rsidRPr="001D6B2E" w:rsidRDefault="000A10C0" w:rsidP="000E32CA">
      <w:pPr>
        <w:jc w:val="both"/>
      </w:pPr>
      <w:r w:rsidRPr="000A10C0">
        <w:t>The concept of energy justice offers a more comprehensive explanation of the importance of affordability and vulnerability.</w:t>
      </w:r>
      <w:r>
        <w:t xml:space="preserve"> </w:t>
      </w:r>
      <w:r w:rsidR="00AD293A" w:rsidRPr="001D6B2E">
        <w:t>Walker and Day (2012) describe fuel poverty as injustice related to distribution, recognition and procedure.</w:t>
      </w:r>
      <w:r w:rsidR="000E32CA" w:rsidRPr="001D6B2E">
        <w:t xml:space="preserve"> </w:t>
      </w:r>
      <w:r w:rsidRPr="000A10C0">
        <w:t xml:space="preserve">Distribution concerns who </w:t>
      </w:r>
      <w:proofErr w:type="gramStart"/>
      <w:r w:rsidRPr="000A10C0">
        <w:t>bears</w:t>
      </w:r>
      <w:proofErr w:type="gramEnd"/>
      <w:r w:rsidRPr="000A10C0">
        <w:t xml:space="preserve"> costs and receives support; recognition concerns whether different needs are acknowledged; procedure concerns inclusion and fairness in decision-making.</w:t>
      </w:r>
      <w:r>
        <w:t xml:space="preserve"> </w:t>
      </w:r>
      <w:r w:rsidR="000E32CA" w:rsidRPr="001D6B2E">
        <w:t>Jenkins et al. (2016) combine these and apply them to the entire energy system, from consumption to policy implementation.</w:t>
      </w:r>
    </w:p>
    <w:p w14:paraId="13D1D647" w14:textId="77777777" w:rsidR="00AD293A" w:rsidRPr="001D6B2E" w:rsidRDefault="000E32CA" w:rsidP="00AD293A">
      <w:pPr>
        <w:jc w:val="both"/>
      </w:pPr>
      <w:r w:rsidRPr="001D6B2E">
        <w:t>This focus moves away from the question of support availability to how support is delivered. A payment plan is only useful and valuable when customers have access to it, can understand it and can negotiate it without pressure to pay more than they can afford. While a Priority Services register can identify needs, identification may not actually reach the customer if the customer is not aware where to access the register, or if the process</w:t>
      </w:r>
      <w:r w:rsidR="00092A4B">
        <w:t xml:space="preserve"> </w:t>
      </w:r>
      <w:r w:rsidR="00092A4B" w:rsidRPr="00092A4B">
        <w:t>assumes digital confidence</w:t>
      </w:r>
      <w:r w:rsidRPr="001D6B2E">
        <w:t>.</w:t>
      </w:r>
    </w:p>
    <w:p w14:paraId="74161D22" w14:textId="77777777" w:rsidR="00AD293A" w:rsidRPr="001D6B2E" w:rsidRDefault="00AD293A" w:rsidP="00AD293A">
      <w:pPr>
        <w:jc w:val="both"/>
      </w:pPr>
      <w:r w:rsidRPr="001D6B2E">
        <w:t>Bouzarovski and Petrova (2015) demonstrate that deprivation is inbuilt in infrastructures and institutions, making it harder to attribute hardship to households. A bottom-up perspective on lived and managed vulnerability is provided by Middlemiss and Gillard (2015). These perspectives position suppliers as institutional gatekeepers: not the primary drivers of fuel poverty, but as players shaping fuel poverty in the market arena.</w:t>
      </w:r>
    </w:p>
    <w:p w14:paraId="0F689C2A" w14:textId="77777777" w:rsidR="00AD293A" w:rsidRPr="001D6B2E" w:rsidRDefault="00AD293A" w:rsidP="00AD293A">
      <w:pPr>
        <w:jc w:val="both"/>
      </w:pPr>
      <w:r w:rsidRPr="001D6B2E">
        <w:t>The justice literature has limits for this research. It provides normative guidance, but does not always indicate where to find signals of justice on a supplier webpage, grant description, bill explanation and public response to criticism. Although valuable, this literature does not directly provide a language for analysing customer-support communication because much of it focuses on policy, infrastructure or transition decisions. In the absence of a document establishing the fairness of an underlying practice, these aspects of recognition, distribution and procedure have to be expressed in terms of observable communication aspects of a practice.</w:t>
      </w:r>
    </w:p>
    <w:p w14:paraId="3B3B9FA5" w14:textId="77777777" w:rsidR="00F32089" w:rsidRPr="001D6B2E" w:rsidRDefault="00AD293A" w:rsidP="00F32089">
      <w:pPr>
        <w:jc w:val="both"/>
        <w:rPr>
          <w:szCs w:val="24"/>
        </w:rPr>
      </w:pPr>
      <w:r w:rsidRPr="001D6B2E">
        <w:rPr>
          <w:szCs w:val="24"/>
        </w:rPr>
        <w:t>Ofgem's evidence illustrates this translation problem. Ofgem (2024c) found that consumers valued a more proactive, empathetic, and accessible service, but some felt they needed little assistance, and their circumstances did not fit conventional support categories. The Consumer</w:t>
      </w:r>
      <w:r w:rsidR="00F32089" w:rsidRPr="001D6B2E">
        <w:rPr>
          <w:szCs w:val="24"/>
        </w:rPr>
        <w:t xml:space="preserve"> Vulnerability Strategy addresses these through individual communications, flexible methods </w:t>
      </w:r>
      <w:r w:rsidR="00F32089" w:rsidRPr="001D6B2E">
        <w:rPr>
          <w:szCs w:val="24"/>
        </w:rPr>
        <w:lastRenderedPageBreak/>
        <w:t>of payment and support based on ability to pay (Ofgem, 2025b). These expectations work as pragmatic justice parameters: visibility and clarity relate to procedure, tailored recognition is about difference, ability to pay support is about distribution.</w:t>
      </w:r>
    </w:p>
    <w:p w14:paraId="7968531B" w14:textId="77777777" w:rsidR="00C342BF" w:rsidRPr="001D6B2E" w:rsidRDefault="00F32089" w:rsidP="00AD293A">
      <w:pPr>
        <w:jc w:val="both"/>
      </w:pPr>
      <w:r w:rsidRPr="001D6B2E">
        <w:rPr>
          <w:szCs w:val="24"/>
        </w:rPr>
        <w:t xml:space="preserve">This theme is </w:t>
      </w:r>
      <w:r w:rsidR="00092A4B" w:rsidRPr="00092A4B">
        <w:rPr>
          <w:szCs w:val="24"/>
        </w:rPr>
        <w:t>used</w:t>
      </w:r>
      <w:r w:rsidR="00092A4B">
        <w:rPr>
          <w:szCs w:val="24"/>
        </w:rPr>
        <w:t xml:space="preserve"> </w:t>
      </w:r>
      <w:r w:rsidRPr="001D6B2E">
        <w:rPr>
          <w:szCs w:val="24"/>
        </w:rPr>
        <w:t xml:space="preserve">as a guide for the coding frame, although it is not the only theory. The energy justice perspective is used to explain the reinforcement or weakening of exclusion through communication; </w:t>
      </w:r>
      <w:r w:rsidR="00092A4B" w:rsidRPr="00092A4B">
        <w:rPr>
          <w:szCs w:val="24"/>
        </w:rPr>
        <w:t>the trust perspective is used</w:t>
      </w:r>
      <w:r w:rsidR="00092A4B">
        <w:rPr>
          <w:szCs w:val="24"/>
        </w:rPr>
        <w:t xml:space="preserve"> </w:t>
      </w:r>
      <w:r w:rsidR="000A10C0" w:rsidRPr="000A10C0">
        <w:rPr>
          <w:szCs w:val="24"/>
        </w:rPr>
        <w:t>to explain why a message may be interpreted as a sign of competence, benevolence or integrity.</w:t>
      </w:r>
      <w:r w:rsidR="000A10C0">
        <w:rPr>
          <w:szCs w:val="24"/>
        </w:rPr>
        <w:t xml:space="preserve"> </w:t>
      </w:r>
      <w:r w:rsidRPr="001D6B2E">
        <w:rPr>
          <w:szCs w:val="24"/>
        </w:rPr>
        <w:t>The comparison between British Gas and Octopus Energy does not focus on the connection in terms of delivering or achieving results for customers, but rather in the context of regulation.</w:t>
      </w:r>
    </w:p>
    <w:p w14:paraId="32492EAB"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2.2.3 Supplier communication, accessibility and service encounters</w:t>
      </w:r>
    </w:p>
    <w:p w14:paraId="3C901357" w14:textId="77777777" w:rsidR="00AD293A" w:rsidRPr="001D6B2E" w:rsidRDefault="00AD293A" w:rsidP="00AD293A">
      <w:pPr>
        <w:jc w:val="both"/>
      </w:pPr>
      <w:r w:rsidRPr="001D6B2E">
        <w:t>Retail-energy communication extends beyond advertising. It includes bills, tariff descriptions, arrears notices, payment-help pages, hardship-fund information, vulnerability routes, complaints responses and regulatory disclosures. These are service encounters because they shape the information and action routes available to customers. When communication is complex, hidden or impersonal, it can obstruct access to help; when it is clear and personal, it can provide an initial route to support.</w:t>
      </w:r>
    </w:p>
    <w:p w14:paraId="7E42B370" w14:textId="77777777" w:rsidR="00AD293A" w:rsidRPr="001D6B2E" w:rsidRDefault="00AD293A" w:rsidP="00AD293A">
      <w:pPr>
        <w:jc w:val="both"/>
      </w:pPr>
      <w:r w:rsidRPr="001D6B2E">
        <w:t>Ambrosio-Albala et al. (2020) are particularly pertinent. The secondary analysis of 197 interviews about their day-to-day experiences of energy poverty, alongside a survey by Ofgem, revealed that knowledge of suppliers, tariffs and grants was only valuable when coupled with access to means to change their situation. Market engagement was also influenced by trust and loyalty to an existing supplier. The lived-experience and survey evidence challenge the fully informed switcher model. However, its limitation is that it examines household accounts rather than comparing providers' public communications.</w:t>
      </w:r>
    </w:p>
    <w:p w14:paraId="5FEAD0CA" w14:textId="77777777" w:rsidR="00AD293A" w:rsidRPr="001D6B2E" w:rsidRDefault="00AD293A" w:rsidP="00AD293A">
      <w:pPr>
        <w:jc w:val="both"/>
      </w:pPr>
      <w:r w:rsidRPr="001D6B2E">
        <w:t>Ofgem's research indicates that communication is experienced through contact, understanding bills, quality of response and tone of voice. Some debt-support interviewees were not aware of arrears, and others valued responses that considered their circumstances (Ofgem, 2024a). Although it does not provide a population measure, the study identifies mechanisms against which public documents can be evaluated – making contact routes clear, offering realistic options, explaining debt, and avoiding stigmatising language.</w:t>
      </w:r>
    </w:p>
    <w:p w14:paraId="4E58AE06" w14:textId="77777777" w:rsidR="00AD293A" w:rsidRPr="001D6B2E" w:rsidRDefault="00AD293A" w:rsidP="00AD293A">
      <w:pPr>
        <w:jc w:val="both"/>
      </w:pPr>
      <w:r w:rsidRPr="001D6B2E">
        <w:t xml:space="preserve">Accessibility is brought into question by digitalisation. Online support may help boost speed and visibility for customers who have good Internet access but may not reach people with less advanced technology, language difficulties or complicated situations. Ofgem (2025b) has </w:t>
      </w:r>
      <w:r w:rsidRPr="001D6B2E">
        <w:lastRenderedPageBreak/>
        <w:t>stated that customers should not be excluded as a result of their digital skills and that communication should be tailored and easy to understand. Technically available information and practically available support are thus two different things: a lengthy webpage may contain relevant information but create a high cognitive load for a customer in crisis.</w:t>
      </w:r>
    </w:p>
    <w:p w14:paraId="3B18F173" w14:textId="77777777" w:rsidR="00AD293A" w:rsidRPr="001D6B2E" w:rsidRDefault="00AD293A" w:rsidP="00AD293A">
      <w:pPr>
        <w:jc w:val="both"/>
      </w:pPr>
      <w:r w:rsidRPr="001D6B2E">
        <w:t>Similarly, organisational selectivity can affect communication evidence. Supplier web pages are purposeful statements which represent selected schemes and processes but have not been verified independently in terms of delivery. Regulatory documents are external checks but tend to be about non-compliance, standards and enforcement outcomes. Media reporting can be a source of contestation and reputational pressure, while at the same time being influenced by news values. The study therefore brings together different source types and differentiates between the claims of a supplier and independent evidence.</w:t>
      </w:r>
    </w:p>
    <w:p w14:paraId="46F39761" w14:textId="77777777" w:rsidR="00C342BF" w:rsidRPr="001D6B2E" w:rsidRDefault="0011663F" w:rsidP="00AD293A">
      <w:pPr>
        <w:jc w:val="both"/>
      </w:pPr>
      <w:r w:rsidRPr="001D6B2E">
        <w:rPr>
          <w:szCs w:val="24"/>
        </w:rPr>
        <w:t>For this research, accessibility is an observable property rather than a guaranteed outcome. Accessibility is assessed through visibility, plain language, clear route, eligibility explanations, and alternative contact and recognition for different circumstances. Transparency issues are related to conditions, exclusions, funding and limits. Targeting concerns payment difficulty, fuel poverty and specific circumstances rather than a single fixed customer category. Accountability concerns monitoring, correction, external oversight and responses to criticism. These dimensions relate justice to trust but do not imply having access to internal performance.</w:t>
      </w:r>
    </w:p>
    <w:p w14:paraId="0A032C79"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2.2.4 Consumer trust, credibility and accountability in essential services</w:t>
      </w:r>
    </w:p>
    <w:p w14:paraId="36CDD554" w14:textId="77777777" w:rsidR="00AD293A" w:rsidRPr="001D6B2E" w:rsidRDefault="00AD293A" w:rsidP="00AD293A">
      <w:pPr>
        <w:jc w:val="both"/>
      </w:pPr>
      <w:r w:rsidRPr="001D6B2E">
        <w:t>Trust is generally defined as the willingness to be vulnerable, with positive expectations of another party's actions. Trust is more complicated than brand choice for energy customers, who rely on suppliers for billing, payment options and continuity. Continued use may reflect switching constraints or dependence rather than confidence in a supplier's fairness or competence. The meaning of trust should not be limited to satisfaction or loyalty, but rather viewed as a relationship condition.</w:t>
      </w:r>
    </w:p>
    <w:p w14:paraId="117DDA46" w14:textId="77777777" w:rsidR="00AD293A" w:rsidRPr="001D6B2E" w:rsidRDefault="00AD293A" w:rsidP="00AD293A">
      <w:pPr>
        <w:jc w:val="both"/>
      </w:pPr>
      <w:r w:rsidRPr="001D6B2E">
        <w:t xml:space="preserve">Morgan and Hunt (1994) put trust and commitment at the heart of relationship marketing within the framework of their commitment trust theory. Sirdeshmukh, Singh and Sabol (2002) associate consumer trust with provider competence and benevolence during encounters and in organisational policies. Mayer, Davis and Schoorman (1995) identify three factors that precede perceived trustworthiness: ability, benevolence and integrity. These models provide a structured interpretation: a defined support pathway may signal </w:t>
      </w:r>
      <w:r w:rsidRPr="001D6B2E">
        <w:lastRenderedPageBreak/>
        <w:t>competence, circumstances-sensitive provision may signal benevolence, and transparent limits or acknowledged failures may signal integrity.</w:t>
      </w:r>
    </w:p>
    <w:p w14:paraId="242B7258" w14:textId="77777777" w:rsidR="00AD293A" w:rsidRPr="001D6B2E" w:rsidRDefault="00AD293A" w:rsidP="00AD293A">
      <w:pPr>
        <w:jc w:val="both"/>
      </w:pPr>
      <w:r w:rsidRPr="001D6B2E">
        <w:t>There is evidence from the energy markets to back up these dimensions. Ambrosio-Albala et al. (2020) link supplier trust to loyalty and unwillingness to change, particularly among energy-poor households. Ofgem's 2025 tracking survey reported that 62 per cent trusted their own supplier to treat them fairly, compared with 41 per cent who trusted the sector overall, while 58 per cent found the market complex (Ofgem, 2025a). These findings do not show that a specific message caused trust, but they justify examining supplier communication.</w:t>
      </w:r>
    </w:p>
    <w:p w14:paraId="31CE5550" w14:textId="77777777" w:rsidR="00AD293A" w:rsidRPr="001D6B2E" w:rsidRDefault="00AD293A" w:rsidP="00AD293A">
      <w:pPr>
        <w:jc w:val="both"/>
      </w:pPr>
      <w:r w:rsidRPr="001D6B2E">
        <w:t>Credibility is associated with, but not the same as, trust. Credibility is a judgement about the apparent believability, support and consistency with conduct; trust is a more general judgement about a relationship. Here, credibility links communication with trust-related interpretation. Plausibility may be enhanced by providing specific information, evidence of eligibility, measurable support, clear explanations and recognition of limitations. Ambiguous language, obscured pathways or disconnects between the support narratives and regulatory findings can create tension.</w:t>
      </w:r>
    </w:p>
    <w:p w14:paraId="53ABB281" w14:textId="77777777" w:rsidR="00AD293A" w:rsidRPr="001D6B2E" w:rsidRDefault="00AD293A" w:rsidP="00AD293A">
      <w:pPr>
        <w:jc w:val="both"/>
      </w:pPr>
      <w:r w:rsidRPr="001D6B2E">
        <w:t>Accountability is treated as an observable trustworthiness indicator. Monitoring, complaints, external review, remedial action and regulatory response can all indicate whether a supplier is open to scrutiny. Ofgem's outcomes concern more than a scheme's existence, including communication quality, protection against exclusion and appropriate scheme outcomes (Ofgem, 2025b). The reading of public support messages should therefore be accompanied by evidence relating to safeguards and a single regulatory event should not define everything about the service.</w:t>
      </w:r>
    </w:p>
    <w:p w14:paraId="7CEBF3E6" w14:textId="77777777" w:rsidR="00C342BF" w:rsidRPr="001D6B2E" w:rsidRDefault="00AD293A" w:rsidP="00AD293A">
      <w:pPr>
        <w:jc w:val="both"/>
      </w:pPr>
      <w:r w:rsidRPr="001D6B2E">
        <w:t>The problem is that trust research is based on surveys or outcomes of the relationship, whilst vulnerability research on need, policy or justice does not involve the study of credibility signals in supplier communication. A documentary study cannot measure trust directly, but it can identify how suppliers invite trust, what evidence supports that invitation and where conduct contradicts it. The comparison will thus focus on the extent to which an incumbent and a challenger convey the same dimensions of trust, within the same regulatory framework.</w:t>
      </w:r>
    </w:p>
    <w:p w14:paraId="02F8B41F"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lastRenderedPageBreak/>
        <w:t>2.3 Theoretical Foundation and Contribution</w:t>
      </w:r>
    </w:p>
    <w:p w14:paraId="1A22BC97"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2.3.1 Relational service trust perspective</w:t>
      </w:r>
    </w:p>
    <w:p w14:paraId="41A9B098" w14:textId="77777777" w:rsidR="00C75E3F" w:rsidRPr="001D6B2E" w:rsidRDefault="00C75E3F" w:rsidP="00C75E3F">
      <w:pPr>
        <w:jc w:val="both"/>
      </w:pPr>
      <w:r w:rsidRPr="001D6B2E">
        <w:t>The study takes a relational service trust perspective drawing on Commitment-Trust Theory (Morgan and Hunt, 1994), the integrative model of organisational trust (Mayer, Davis and Schoorman, 1995) and the consumer-trust model (Sirdeshmukh, Singh and Sabol, 2002). These works collectively conceptualise trust as a relational judgement formed under uncertainty, not satisfaction or repeat buying. The central constructs are perceived competence, benevolence, integrity, credibility, dependence and willingness to engage.</w:t>
      </w:r>
    </w:p>
    <w:p w14:paraId="25E8897E" w14:textId="77777777" w:rsidR="00C75E3F" w:rsidRPr="001D6B2E" w:rsidRDefault="00C75E3F" w:rsidP="00C75E3F">
      <w:pPr>
        <w:jc w:val="both"/>
      </w:pPr>
      <w:r w:rsidRPr="001D6B2E">
        <w:rPr>
          <w:szCs w:val="24"/>
        </w:rPr>
        <w:t>This perspective is applied to an essential-service setting. Customers cannot readily postpone energy use, and those in payment difficulty may have limited capacity to compare tariffs or switch supplier. Supplier communication is an observable interface through which the provider communicates its capabilities, expected conduct and the basis for assessing its claims. The study maps accessibility and clarity onto competence, targeting and accommodation onto benevolence, and transparency and accountability onto integrity. This is an analytical rather than psychological approach: the study does not claim that a webpage produces trust.</w:t>
      </w:r>
    </w:p>
    <w:p w14:paraId="64EF6B2E" w14:textId="77777777" w:rsidR="00C75E3F" w:rsidRPr="001D6B2E" w:rsidRDefault="00C75E3F" w:rsidP="00C75E3F">
      <w:pPr>
        <w:jc w:val="both"/>
      </w:pPr>
      <w:r w:rsidRPr="001D6B2E">
        <w:t>Energy justice explains inequalities in distribution, recognition and procedure but does not fully explain the relational process through which a message becomes credible. A rational-switching model would underestimate dependence, social circumstances and limited resources (Ambrosio-Albala et al., 2020). A reputation-based approach could reduce support to image management while overlooking bills, payment plans and remedies. The organising theory of relational trust is therefore combined with energy-justice and vulnerability perspectives that provide context and critical criteria.</w:t>
      </w:r>
    </w:p>
    <w:p w14:paraId="4FEFBDB2" w14:textId="77777777" w:rsidR="00C342BF" w:rsidRPr="001D6B2E" w:rsidRDefault="00C75E3F" w:rsidP="00C75E3F">
      <w:pPr>
        <w:jc w:val="both"/>
      </w:pPr>
      <w:r w:rsidRPr="001D6B2E">
        <w:t>The study does not create a new theory; instead, it specifies the analysis of public support communication in a regulated essential-service market in terms of relational trust constructs. A comparison of British Gas and Octopus Energy can demonstrate how different signals of competence, benevolence and integrity can be made visible, and where the stated support clashes with access conditions or scrutiny. The contribution is a context-specific communicative explanation of how how communication may strengthen or weaken perceived trustworthiness.</w:t>
      </w:r>
    </w:p>
    <w:p w14:paraId="3B4D246A"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lastRenderedPageBreak/>
        <w:t>2.4 Theoretical Framework</w:t>
      </w:r>
    </w:p>
    <w:p w14:paraId="197ACCAE"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2.4.1 Framework purpose</w:t>
      </w:r>
    </w:p>
    <w:p w14:paraId="170ADE58" w14:textId="77777777" w:rsidR="00C75E3F" w:rsidRPr="001D6B2E" w:rsidRDefault="00C75E3F" w:rsidP="00C75E3F">
      <w:pPr>
        <w:jc w:val="both"/>
      </w:pPr>
      <w:r w:rsidRPr="001D6B2E">
        <w:t>The framework translates the literature into a structure for case analysis. It connects conditions that enable affordability and vulnerability, suppliers' communication practices, and the signals of trustworthiness that can be derived from those practices. It is sensitising, but not predictive—it guides interpretation of the Chapter 4 evidence without predicting which supplier will appear stronger.</w:t>
      </w:r>
    </w:p>
    <w:p w14:paraId="1700931D" w14:textId="77777777" w:rsidR="00C75E3F" w:rsidRPr="001D6B2E" w:rsidRDefault="00C75E3F" w:rsidP="00C75E3F">
      <w:pPr>
        <w:pStyle w:val="Heading3"/>
        <w:rPr>
          <w:rFonts w:ascii="Times New Roman" w:hAnsi="Times New Roman" w:cs="Times New Roman"/>
          <w:color w:val="1F497D" w:themeColor="text2"/>
        </w:rPr>
      </w:pPr>
      <w:r w:rsidRPr="001D6B2E">
        <w:rPr>
          <w:rFonts w:ascii="Times New Roman" w:hAnsi="Times New Roman" w:cs="Times New Roman"/>
        </w:rPr>
        <w:t>2.4.2 Framework components</w:t>
      </w:r>
    </w:p>
    <w:p w14:paraId="0C187B68" w14:textId="77777777" w:rsidR="00C75E3F" w:rsidRPr="001D6B2E" w:rsidRDefault="00C75E3F" w:rsidP="00C75E3F">
      <w:pPr>
        <w:jc w:val="both"/>
      </w:pPr>
      <w:r w:rsidRPr="001D6B2E">
        <w:t>The first is the affordability and vulnerability context – fuel poverty, energy costs, income, housing efficiency and needs related to age, disability, health, caring responsibilities, language and digital accessibility. These pressures can overlap and change (Boardman, 1991; Middlemiss and Gillard, 2015; Simcock et al., 2021). This prevents communication from being interpreted separately from the conditions in which support is needed.</w:t>
      </w:r>
    </w:p>
    <w:p w14:paraId="2242FD48" w14:textId="77777777" w:rsidR="00C75E3F" w:rsidRPr="001D6B2E" w:rsidRDefault="00C75E3F" w:rsidP="00C75E3F">
      <w:pPr>
        <w:jc w:val="both"/>
      </w:pPr>
      <w:r w:rsidRPr="001D6B2E">
        <w:t>The second component is supplier support communication, which is assessed through four dimensions. Accessibility and visibility consider whether customers can find support and understand the entry paths and use appropriate channels. Clarity and eligibility consider whether bills, payment plans, grants and vulnerability routes are explained in plain language with clear conditions and limits. Targeting and accommodation refers to whether different circumstances are recognised and support is offered depending on the ability to pay. Transparency and accountability consider whether evidence, funding, monitoring, complaints, external oversight, remediation and regulatory relationships are explained. These dimensions are based on Ofgem and the justice and communication literature (Ofgem, 2024a; Ofgem, 2025b).</w:t>
      </w:r>
    </w:p>
    <w:p w14:paraId="7EFB64FB" w14:textId="77777777" w:rsidR="00C75E3F" w:rsidRPr="001D6B2E" w:rsidRDefault="00C75E3F" w:rsidP="00C75E3F">
      <w:pPr>
        <w:jc w:val="both"/>
      </w:pPr>
      <w:r w:rsidRPr="001D6B2E">
        <w:t>The third is perceived supplier trustworthiness (competence, benevolence and integrity). Competence is whether the supplier's communication conveys the ability to provide a coherent process; benevolence is whether the supplier's communication conveys understanding, flexibility and respect for hardship; integrity concerns whether the supplier's communication conveys messages that appear honest, consistent and open to scrutiny. The constructs are adapted from Mayer, Davis and Schoorman (1995) and Sirdeshmukh, Singh and Sabol (2002). The analysis identifies evaluative indicators rather than asserting that a supplier possesses these attributes.</w:t>
      </w:r>
    </w:p>
    <w:p w14:paraId="0D5DE95F" w14:textId="77777777" w:rsidR="00C75E3F" w:rsidRPr="001D6B2E" w:rsidRDefault="00C75E3F" w:rsidP="00C75E3F">
      <w:pPr>
        <w:jc w:val="both"/>
      </w:pPr>
      <w:r w:rsidRPr="001D6B2E">
        <w:lastRenderedPageBreak/>
        <w:t>The fourth component is the regulatory and market context. Each message has a meaning that is influenced by Ofgem standards and payment and debt rules, vulnerability outcomes, market complexity and the public profiles of British Gas and Octopus Energy. Interpretation of a message may vary according to supporting evidence, independent administration, regulatory findings or remedial responses. This supports comparison without implying that the providers are equivalent in history, size or service model.</w:t>
      </w:r>
    </w:p>
    <w:p w14:paraId="66CEA279" w14:textId="77777777" w:rsidR="00C342BF" w:rsidRPr="001D6B2E" w:rsidRDefault="00C75E3F" w:rsidP="00C75E3F">
      <w:pPr>
        <w:jc w:val="both"/>
      </w:pPr>
      <w:r w:rsidRPr="001D6B2E">
        <w:t>These are trust-related implications: confidence in a support route, willingness to contact the supplier, perceived fairness and perceived reliability. They are not outcomes that are measured. They are interpretations based on a comparison of signals of communication with secondary evidence concerning customer experiences and market trust. In this context, this boundary prevents public text from being considered as proof of behaviour.</w:t>
      </w:r>
    </w:p>
    <w:p w14:paraId="203BE84E" w14:textId="77777777" w:rsidR="00C342BF" w:rsidRPr="001D6B2E" w:rsidRDefault="00000000">
      <w:pPr>
        <w:keepNext/>
        <w:jc w:val="center"/>
      </w:pPr>
      <w:r w:rsidRPr="001D6B2E">
        <w:rPr>
          <w:noProof/>
        </w:rPr>
        <w:drawing>
          <wp:inline distT="0" distB="0" distL="0" distR="0" wp14:anchorId="50B724B7" wp14:editId="1D087393">
            <wp:extent cx="5577840" cy="266496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nergy_affordability_support_trust_conceptual_framework.png"/>
                    <pic:cNvPicPr/>
                  </pic:nvPicPr>
                  <pic:blipFill>
                    <a:blip r:embed="rId11"/>
                    <a:stretch>
                      <a:fillRect/>
                    </a:stretch>
                  </pic:blipFill>
                  <pic:spPr>
                    <a:xfrm>
                      <a:off x="0" y="0"/>
                      <a:ext cx="5577840" cy="2664968"/>
                    </a:xfrm>
                    <a:prstGeom prst="rect">
                      <a:avLst/>
                    </a:prstGeom>
                  </pic:spPr>
                </pic:pic>
              </a:graphicData>
            </a:graphic>
          </wp:inline>
        </w:drawing>
      </w:r>
    </w:p>
    <w:p w14:paraId="354BC4D7" w14:textId="77777777" w:rsidR="00C342BF" w:rsidRPr="001D6B2E" w:rsidRDefault="00000000">
      <w:pPr>
        <w:pStyle w:val="Caption"/>
        <w:spacing w:line="360" w:lineRule="auto"/>
        <w:jc w:val="center"/>
      </w:pPr>
      <w:r w:rsidRPr="001D6B2E">
        <w:t>Figure 2.1: Theoretical Framework for Energy Affordability Support Communication and Supplier Trustworthiness</w:t>
      </w:r>
    </w:p>
    <w:p w14:paraId="36CB310A"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2.4.3 Use in the case analysis and contribution</w:t>
      </w:r>
    </w:p>
    <w:p w14:paraId="2C252AAB" w14:textId="77777777" w:rsidR="00C75E3F" w:rsidRPr="001D6B2E" w:rsidRDefault="00C75E3F" w:rsidP="00C75E3F">
      <w:pPr>
        <w:jc w:val="both"/>
      </w:pPr>
      <w:r w:rsidRPr="001D6B2E">
        <w:t>Each Chapter 4 document was coded for supplier, source, context, customer problem, support message, four communication dimensions and trustworthiness signal. Supplier claims were distinguished from independent evidence, while meaningful absences such as unexplained eligibility or inaccessible routes were also recorded.</w:t>
      </w:r>
    </w:p>
    <w:p w14:paraId="28E2BA63" w14:textId="77777777" w:rsidR="00C75E3F" w:rsidRPr="001D6B2E" w:rsidRDefault="0011663F" w:rsidP="00C75E3F">
      <w:pPr>
        <w:jc w:val="both"/>
      </w:pPr>
      <w:r w:rsidRPr="001D6B2E">
        <w:rPr>
          <w:szCs w:val="24"/>
        </w:rPr>
        <w:t>Chapter 5 compares how the suppliers organise these dimensions, how messages correspond with competence, benevolence and integrity, and how external evidence corroborates, qualifies or challenges their narratives. The framework may be refined if an overlooked dimension emerges, and that refinement is reported transparently.</w:t>
      </w:r>
    </w:p>
    <w:p w14:paraId="1D1540C2" w14:textId="77777777" w:rsidR="00C75E3F" w:rsidRPr="001D6B2E" w:rsidRDefault="00C75E3F" w:rsidP="00C75E3F">
      <w:pPr>
        <w:pStyle w:val="Heading2"/>
        <w:rPr>
          <w:rFonts w:ascii="Times New Roman" w:hAnsi="Times New Roman" w:cs="Times New Roman"/>
          <w:color w:val="1F497D" w:themeColor="text2"/>
          <w:szCs w:val="28"/>
        </w:rPr>
      </w:pPr>
      <w:r w:rsidRPr="001D6B2E">
        <w:rPr>
          <w:rFonts w:ascii="Times New Roman" w:hAnsi="Times New Roman" w:cs="Times New Roman"/>
          <w:szCs w:val="28"/>
        </w:rPr>
        <w:lastRenderedPageBreak/>
        <w:t>2.5 Summary Table of Key Literature</w:t>
      </w:r>
    </w:p>
    <w:p w14:paraId="53620F51" w14:textId="77777777" w:rsidR="00C75E3F" w:rsidRPr="001D6B2E" w:rsidRDefault="00C75E3F" w:rsidP="00C75E3F">
      <w:pPr>
        <w:jc w:val="both"/>
      </w:pPr>
      <w:r>
        <w:t>Table 2.1 presents the literature evidence supporting the theoretical framework and analytical dimensions.</w:t>
      </w:r>
    </w:p>
    <w:p w14:paraId="73F28325" w14:textId="77777777" w:rsidR="00C75E3F" w:rsidRPr="001D6B2E" w:rsidRDefault="00C75E3F" w:rsidP="00C75E3F">
      <w:pPr>
        <w:jc w:val="both"/>
      </w:pPr>
      <w:r w:rsidRPr="001D6B2E">
        <w:t>It links the literature on affordability, vulnerability and justice with trust research concerning competence, benevolence and integrity. These ideas are translated into observable support-communication criteria drawn from regulatory and empirical sources. Combined, the sources make the comparison of supplier messages with external evidence methodologically warranted, while public claims remain distinct from direct measures of customer trust.</w:t>
      </w:r>
    </w:p>
    <w:p w14:paraId="399E11C9" w14:textId="77777777" w:rsidR="00C342BF" w:rsidRPr="001D6B2E" w:rsidRDefault="00C342BF">
      <w:pPr>
        <w:sectPr w:rsidR="00C342BF" w:rsidRPr="001D6B2E">
          <w:footerReference w:type="default" r:id="rId12"/>
          <w:footerReference w:type="first" r:id="rId13"/>
          <w:pgSz w:w="11909" w:h="16834"/>
          <w:pgMar w:top="1440" w:right="1440" w:bottom="1440" w:left="1440" w:header="720" w:footer="720" w:gutter="0"/>
          <w:cols w:space="720"/>
          <w:titlePg/>
          <w:docGrid w:linePitch="360"/>
        </w:sectPr>
      </w:pPr>
    </w:p>
    <w:p w14:paraId="001D22B7" w14:textId="77777777" w:rsidR="00C342BF" w:rsidRPr="001D6B2E" w:rsidRDefault="00000000">
      <w:pPr>
        <w:pStyle w:val="Heading3"/>
        <w:rPr>
          <w:rFonts w:ascii="Times New Roman" w:hAnsi="Times New Roman" w:cs="Times New Roman"/>
        </w:rPr>
      </w:pPr>
      <w:r>
        <w:lastRenderedPageBreak/>
        <w:t>Table 2.1: Summary of Key Literature</w:t>
      </w:r>
    </w:p>
    <w:tbl>
      <w:tblPr>
        <w:tblStyle w:val="TableGrid"/>
        <w:tblW w:w="14670" w:type="dxa"/>
        <w:tblLayout w:type="fixed"/>
        <w:tblLook w:val="04A0" w:firstRow="1" w:lastRow="0" w:firstColumn="1" w:lastColumn="0" w:noHBand="0" w:noVBand="1"/>
      </w:tblPr>
      <w:tblGrid>
        <w:gridCol w:w="1296"/>
        <w:gridCol w:w="1296"/>
        <w:gridCol w:w="1458"/>
        <w:gridCol w:w="2430"/>
        <w:gridCol w:w="1440"/>
        <w:gridCol w:w="3240"/>
        <w:gridCol w:w="3510"/>
      </w:tblGrid>
      <w:tr w:rsidR="00C342BF" w:rsidRPr="001D6B2E" w14:paraId="6ADB6B67" w14:textId="77777777" w:rsidTr="00A216DC">
        <w:trPr>
          <w:cantSplit/>
          <w:tblHeader/>
        </w:trPr>
        <w:tc>
          <w:tcPr>
            <w:tcW w:w="1296" w:type="dxa"/>
            <w:shd w:val="clear" w:color="auto" w:fill="444444"/>
            <w:tcMar>
              <w:top w:w="75" w:type="dxa"/>
              <w:left w:w="90" w:type="dxa"/>
              <w:bottom w:w="75" w:type="dxa"/>
              <w:right w:w="90" w:type="dxa"/>
            </w:tcMar>
            <w:vAlign w:val="center"/>
          </w:tcPr>
          <w:p w14:paraId="78C98006" w14:textId="77777777" w:rsidR="00C342BF" w:rsidRPr="001D6B2E" w:rsidRDefault="00000000">
            <w:pPr>
              <w:spacing w:after="40" w:line="240" w:lineRule="auto"/>
              <w:jc w:val="center"/>
            </w:pPr>
            <w:r w:rsidRPr="001D6B2E">
              <w:rPr>
                <w:b/>
                <w:color w:val="FFFFFF"/>
                <w:sz w:val="15"/>
              </w:rPr>
              <w:t>Author(s) and year</w:t>
            </w:r>
          </w:p>
        </w:tc>
        <w:tc>
          <w:tcPr>
            <w:tcW w:w="1296" w:type="dxa"/>
            <w:shd w:val="clear" w:color="auto" w:fill="444444"/>
            <w:tcMar>
              <w:top w:w="75" w:type="dxa"/>
              <w:left w:w="90" w:type="dxa"/>
              <w:bottom w:w="75" w:type="dxa"/>
              <w:right w:w="90" w:type="dxa"/>
            </w:tcMar>
            <w:vAlign w:val="center"/>
          </w:tcPr>
          <w:p w14:paraId="65415333" w14:textId="77777777" w:rsidR="00C342BF" w:rsidRPr="001D6B2E" w:rsidRDefault="00000000">
            <w:pPr>
              <w:spacing w:after="40" w:line="240" w:lineRule="auto"/>
              <w:jc w:val="center"/>
            </w:pPr>
            <w:r w:rsidRPr="001D6B2E">
              <w:rPr>
                <w:b/>
                <w:color w:val="FFFFFF"/>
                <w:sz w:val="15"/>
              </w:rPr>
              <w:t>Theory or framework</w:t>
            </w:r>
          </w:p>
        </w:tc>
        <w:tc>
          <w:tcPr>
            <w:tcW w:w="1458" w:type="dxa"/>
            <w:shd w:val="clear" w:color="auto" w:fill="444444"/>
            <w:tcMar>
              <w:top w:w="75" w:type="dxa"/>
              <w:left w:w="90" w:type="dxa"/>
              <w:bottom w:w="75" w:type="dxa"/>
              <w:right w:w="90" w:type="dxa"/>
            </w:tcMar>
            <w:vAlign w:val="center"/>
          </w:tcPr>
          <w:p w14:paraId="1621BEB2" w14:textId="77777777" w:rsidR="00C342BF" w:rsidRPr="001D6B2E" w:rsidRDefault="00000000">
            <w:pPr>
              <w:spacing w:after="40" w:line="240" w:lineRule="auto"/>
              <w:jc w:val="center"/>
            </w:pPr>
            <w:r w:rsidRPr="001D6B2E">
              <w:rPr>
                <w:b/>
                <w:color w:val="FFFFFF"/>
                <w:sz w:val="15"/>
              </w:rPr>
              <w:t>Key constructs/themes</w:t>
            </w:r>
          </w:p>
        </w:tc>
        <w:tc>
          <w:tcPr>
            <w:tcW w:w="2430" w:type="dxa"/>
            <w:shd w:val="clear" w:color="auto" w:fill="444444"/>
            <w:tcMar>
              <w:top w:w="75" w:type="dxa"/>
              <w:left w:w="90" w:type="dxa"/>
              <w:bottom w:w="75" w:type="dxa"/>
              <w:right w:w="90" w:type="dxa"/>
            </w:tcMar>
            <w:vAlign w:val="center"/>
          </w:tcPr>
          <w:p w14:paraId="279D6D1C" w14:textId="77777777" w:rsidR="00C342BF" w:rsidRPr="001D6B2E" w:rsidRDefault="00000000">
            <w:pPr>
              <w:spacing w:after="40" w:line="240" w:lineRule="auto"/>
              <w:jc w:val="center"/>
            </w:pPr>
            <w:r w:rsidRPr="001D6B2E">
              <w:rPr>
                <w:b/>
                <w:color w:val="FFFFFF"/>
                <w:sz w:val="15"/>
              </w:rPr>
              <w:t>Methodology</w:t>
            </w:r>
          </w:p>
        </w:tc>
        <w:tc>
          <w:tcPr>
            <w:tcW w:w="1440" w:type="dxa"/>
            <w:shd w:val="clear" w:color="auto" w:fill="444444"/>
            <w:tcMar>
              <w:top w:w="75" w:type="dxa"/>
              <w:left w:w="90" w:type="dxa"/>
              <w:bottom w:w="75" w:type="dxa"/>
              <w:right w:w="90" w:type="dxa"/>
            </w:tcMar>
            <w:vAlign w:val="center"/>
          </w:tcPr>
          <w:p w14:paraId="5D6F98B9" w14:textId="77777777" w:rsidR="00C342BF" w:rsidRPr="001D6B2E" w:rsidRDefault="00000000">
            <w:pPr>
              <w:spacing w:after="40" w:line="240" w:lineRule="auto"/>
              <w:jc w:val="center"/>
            </w:pPr>
            <w:r w:rsidRPr="001D6B2E">
              <w:rPr>
                <w:b/>
                <w:color w:val="FFFFFF"/>
                <w:sz w:val="15"/>
              </w:rPr>
              <w:t>Key findings</w:t>
            </w:r>
          </w:p>
        </w:tc>
        <w:tc>
          <w:tcPr>
            <w:tcW w:w="3240" w:type="dxa"/>
            <w:shd w:val="clear" w:color="auto" w:fill="444444"/>
            <w:tcMar>
              <w:top w:w="75" w:type="dxa"/>
              <w:left w:w="90" w:type="dxa"/>
              <w:bottom w:w="75" w:type="dxa"/>
              <w:right w:w="90" w:type="dxa"/>
            </w:tcMar>
            <w:vAlign w:val="center"/>
          </w:tcPr>
          <w:p w14:paraId="1D42CAF9" w14:textId="77777777" w:rsidR="00C342BF" w:rsidRPr="001D6B2E" w:rsidRDefault="00000000">
            <w:pPr>
              <w:spacing w:after="40" w:line="240" w:lineRule="auto"/>
              <w:jc w:val="center"/>
            </w:pPr>
            <w:r w:rsidRPr="001D6B2E">
              <w:rPr>
                <w:b/>
                <w:color w:val="FFFFFF"/>
                <w:sz w:val="15"/>
              </w:rPr>
              <w:t>Limitations or gaps</w:t>
            </w:r>
          </w:p>
        </w:tc>
        <w:tc>
          <w:tcPr>
            <w:tcW w:w="3510" w:type="dxa"/>
            <w:shd w:val="clear" w:color="auto" w:fill="444444"/>
            <w:tcMar>
              <w:top w:w="75" w:type="dxa"/>
              <w:left w:w="90" w:type="dxa"/>
              <w:bottom w:w="75" w:type="dxa"/>
              <w:right w:w="90" w:type="dxa"/>
            </w:tcMar>
            <w:vAlign w:val="center"/>
          </w:tcPr>
          <w:p w14:paraId="26717D2A" w14:textId="77777777" w:rsidR="00C342BF" w:rsidRPr="001D6B2E" w:rsidRDefault="00000000">
            <w:pPr>
              <w:spacing w:after="40" w:line="240" w:lineRule="auto"/>
              <w:jc w:val="center"/>
            </w:pPr>
            <w:r w:rsidRPr="001D6B2E">
              <w:rPr>
                <w:b/>
                <w:color w:val="FFFFFF"/>
                <w:sz w:val="15"/>
              </w:rPr>
              <w:t>Relevance to this study</w:t>
            </w:r>
          </w:p>
        </w:tc>
      </w:tr>
      <w:tr w:rsidR="00C342BF" w:rsidRPr="001D6B2E" w14:paraId="032CA0D1" w14:textId="77777777" w:rsidTr="00A216DC">
        <w:trPr>
          <w:cantSplit/>
        </w:trPr>
        <w:tc>
          <w:tcPr>
            <w:tcW w:w="1296" w:type="dxa"/>
            <w:tcMar>
              <w:top w:w="75" w:type="dxa"/>
              <w:left w:w="90" w:type="dxa"/>
              <w:bottom w:w="75" w:type="dxa"/>
              <w:right w:w="90" w:type="dxa"/>
            </w:tcMar>
            <w:vAlign w:val="center"/>
          </w:tcPr>
          <w:p w14:paraId="7EB442A1" w14:textId="77777777" w:rsidR="00C342BF" w:rsidRPr="001D6B2E" w:rsidRDefault="00000000">
            <w:pPr>
              <w:spacing w:after="40" w:line="240" w:lineRule="auto"/>
            </w:pPr>
            <w:r w:rsidRPr="001D6B2E">
              <w:rPr>
                <w:sz w:val="15"/>
              </w:rPr>
              <w:t>Boardman (1991)</w:t>
            </w:r>
          </w:p>
        </w:tc>
        <w:tc>
          <w:tcPr>
            <w:tcW w:w="1296" w:type="dxa"/>
            <w:tcMar>
              <w:top w:w="75" w:type="dxa"/>
              <w:left w:w="90" w:type="dxa"/>
              <w:bottom w:w="75" w:type="dxa"/>
              <w:right w:w="90" w:type="dxa"/>
            </w:tcMar>
            <w:vAlign w:val="center"/>
          </w:tcPr>
          <w:p w14:paraId="646D1033" w14:textId="77777777" w:rsidR="00C342BF" w:rsidRPr="001D6B2E" w:rsidRDefault="00000000">
            <w:pPr>
              <w:spacing w:after="40" w:line="240" w:lineRule="auto"/>
            </w:pPr>
            <w:r w:rsidRPr="001D6B2E">
              <w:rPr>
                <w:sz w:val="15"/>
              </w:rPr>
              <w:t>Fuel-poverty affordability model</w:t>
            </w:r>
          </w:p>
        </w:tc>
        <w:tc>
          <w:tcPr>
            <w:tcW w:w="1458" w:type="dxa"/>
            <w:tcMar>
              <w:top w:w="75" w:type="dxa"/>
              <w:left w:w="90" w:type="dxa"/>
              <w:bottom w:w="75" w:type="dxa"/>
              <w:right w:w="90" w:type="dxa"/>
            </w:tcMar>
            <w:vAlign w:val="center"/>
          </w:tcPr>
          <w:p w14:paraId="47135C27" w14:textId="77777777" w:rsidR="00C342BF" w:rsidRPr="001D6B2E" w:rsidRDefault="00000000">
            <w:pPr>
              <w:spacing w:after="40" w:line="240" w:lineRule="auto"/>
            </w:pPr>
            <w:r w:rsidRPr="001D6B2E">
              <w:rPr>
                <w:sz w:val="15"/>
              </w:rPr>
              <w:t>Income, energy costs, adequate warmth, housing efficiency</w:t>
            </w:r>
          </w:p>
        </w:tc>
        <w:tc>
          <w:tcPr>
            <w:tcW w:w="2430" w:type="dxa"/>
            <w:tcMar>
              <w:top w:w="75" w:type="dxa"/>
              <w:left w:w="90" w:type="dxa"/>
              <w:bottom w:w="75" w:type="dxa"/>
              <w:right w:w="90" w:type="dxa"/>
            </w:tcMar>
            <w:vAlign w:val="center"/>
          </w:tcPr>
          <w:p w14:paraId="4CC32606" w14:textId="77777777" w:rsidR="00C342BF" w:rsidRPr="001D6B2E" w:rsidRDefault="00000000">
            <w:pPr>
              <w:spacing w:after="40" w:line="240" w:lineRule="auto"/>
            </w:pPr>
            <w:r w:rsidRPr="001D6B2E">
              <w:rPr>
                <w:sz w:val="15"/>
              </w:rPr>
              <w:t>Foundational conceptual and policy analysis</w:t>
            </w:r>
          </w:p>
        </w:tc>
        <w:tc>
          <w:tcPr>
            <w:tcW w:w="1440" w:type="dxa"/>
            <w:tcMar>
              <w:top w:w="75" w:type="dxa"/>
              <w:left w:w="90" w:type="dxa"/>
              <w:bottom w:w="75" w:type="dxa"/>
              <w:right w:w="90" w:type="dxa"/>
            </w:tcMar>
            <w:vAlign w:val="center"/>
          </w:tcPr>
          <w:p w14:paraId="7596968F" w14:textId="77777777" w:rsidR="00C342BF" w:rsidRPr="001D6B2E" w:rsidRDefault="00000000">
            <w:pPr>
              <w:spacing w:after="40" w:line="240" w:lineRule="auto"/>
            </w:pPr>
            <w:r w:rsidRPr="001D6B2E">
              <w:rPr>
                <w:sz w:val="15"/>
              </w:rPr>
              <w:t>Fuel poverty links household resources and energy requirements</w:t>
            </w:r>
          </w:p>
        </w:tc>
        <w:tc>
          <w:tcPr>
            <w:tcW w:w="3240" w:type="dxa"/>
            <w:tcMar>
              <w:top w:w="75" w:type="dxa"/>
              <w:left w:w="90" w:type="dxa"/>
              <w:bottom w:w="75" w:type="dxa"/>
              <w:right w:w="90" w:type="dxa"/>
            </w:tcMar>
            <w:vAlign w:val="center"/>
          </w:tcPr>
          <w:p w14:paraId="2D1AD8BF" w14:textId="77777777" w:rsidR="00C342BF" w:rsidRPr="001D6B2E" w:rsidRDefault="00000000">
            <w:pPr>
              <w:spacing w:after="40" w:line="240" w:lineRule="auto"/>
            </w:pPr>
            <w:r w:rsidRPr="001D6B2E">
              <w:rPr>
                <w:sz w:val="15"/>
              </w:rPr>
              <w:t>Threshold framing can understate changing needs and lived experience</w:t>
            </w:r>
          </w:p>
        </w:tc>
        <w:tc>
          <w:tcPr>
            <w:tcW w:w="3510" w:type="dxa"/>
            <w:tcMar>
              <w:top w:w="75" w:type="dxa"/>
              <w:left w:w="90" w:type="dxa"/>
              <w:bottom w:w="75" w:type="dxa"/>
              <w:right w:w="90" w:type="dxa"/>
            </w:tcMar>
            <w:vAlign w:val="center"/>
          </w:tcPr>
          <w:p w14:paraId="79F9E755" w14:textId="77777777" w:rsidR="00C342BF" w:rsidRPr="001D6B2E" w:rsidRDefault="00000000">
            <w:pPr>
              <w:spacing w:after="40" w:line="240" w:lineRule="auto"/>
            </w:pPr>
            <w:r w:rsidRPr="001D6B2E">
              <w:rPr>
                <w:sz w:val="15"/>
              </w:rPr>
              <w:t>Defines the affordability problem</w:t>
            </w:r>
          </w:p>
        </w:tc>
      </w:tr>
      <w:tr w:rsidR="00C342BF" w:rsidRPr="001D6B2E" w14:paraId="2CB13B64" w14:textId="77777777" w:rsidTr="00A216DC">
        <w:trPr>
          <w:cantSplit/>
        </w:trPr>
        <w:tc>
          <w:tcPr>
            <w:tcW w:w="1296" w:type="dxa"/>
            <w:shd w:val="clear" w:color="auto" w:fill="F3F4F6"/>
            <w:tcMar>
              <w:top w:w="75" w:type="dxa"/>
              <w:left w:w="90" w:type="dxa"/>
              <w:bottom w:w="75" w:type="dxa"/>
              <w:right w:w="90" w:type="dxa"/>
            </w:tcMar>
            <w:vAlign w:val="center"/>
          </w:tcPr>
          <w:p w14:paraId="62222BD8" w14:textId="77777777" w:rsidR="00C342BF" w:rsidRPr="001D6B2E" w:rsidRDefault="00000000">
            <w:pPr>
              <w:spacing w:after="40" w:line="240" w:lineRule="auto"/>
            </w:pPr>
            <w:r w:rsidRPr="001D6B2E">
              <w:rPr>
                <w:sz w:val="15"/>
              </w:rPr>
              <w:t>Walker and Day (2012)</w:t>
            </w:r>
          </w:p>
        </w:tc>
        <w:tc>
          <w:tcPr>
            <w:tcW w:w="1296" w:type="dxa"/>
            <w:shd w:val="clear" w:color="auto" w:fill="F3F4F6"/>
            <w:tcMar>
              <w:top w:w="75" w:type="dxa"/>
              <w:left w:w="90" w:type="dxa"/>
              <w:bottom w:w="75" w:type="dxa"/>
              <w:right w:w="90" w:type="dxa"/>
            </w:tcMar>
            <w:vAlign w:val="center"/>
          </w:tcPr>
          <w:p w14:paraId="53F8E6F8" w14:textId="77777777" w:rsidR="00C342BF" w:rsidRPr="001D6B2E" w:rsidRDefault="00000000">
            <w:pPr>
              <w:spacing w:after="40" w:line="240" w:lineRule="auto"/>
            </w:pPr>
            <w:r w:rsidRPr="001D6B2E">
              <w:rPr>
                <w:sz w:val="15"/>
              </w:rPr>
              <w:t>Energy justice</w:t>
            </w:r>
          </w:p>
        </w:tc>
        <w:tc>
          <w:tcPr>
            <w:tcW w:w="1458" w:type="dxa"/>
            <w:shd w:val="clear" w:color="auto" w:fill="F3F4F6"/>
            <w:tcMar>
              <w:top w:w="75" w:type="dxa"/>
              <w:left w:w="90" w:type="dxa"/>
              <w:bottom w:w="75" w:type="dxa"/>
              <w:right w:w="90" w:type="dxa"/>
            </w:tcMar>
            <w:vAlign w:val="center"/>
          </w:tcPr>
          <w:p w14:paraId="0EC19F59" w14:textId="77777777" w:rsidR="00C342BF" w:rsidRPr="001D6B2E" w:rsidRDefault="00000000">
            <w:pPr>
              <w:spacing w:after="40" w:line="240" w:lineRule="auto"/>
            </w:pPr>
            <w:r w:rsidRPr="001D6B2E">
              <w:rPr>
                <w:sz w:val="15"/>
              </w:rPr>
              <w:t>Distribution, recognition, procedure</w:t>
            </w:r>
          </w:p>
        </w:tc>
        <w:tc>
          <w:tcPr>
            <w:tcW w:w="2430" w:type="dxa"/>
            <w:shd w:val="clear" w:color="auto" w:fill="F3F4F6"/>
            <w:tcMar>
              <w:top w:w="75" w:type="dxa"/>
              <w:left w:w="90" w:type="dxa"/>
              <w:bottom w:w="75" w:type="dxa"/>
              <w:right w:w="90" w:type="dxa"/>
            </w:tcMar>
            <w:vAlign w:val="center"/>
          </w:tcPr>
          <w:p w14:paraId="350AD859" w14:textId="77777777" w:rsidR="00C342BF" w:rsidRPr="001D6B2E" w:rsidRDefault="00000000">
            <w:pPr>
              <w:spacing w:after="40" w:line="240" w:lineRule="auto"/>
            </w:pPr>
            <w:r w:rsidRPr="001D6B2E">
              <w:rPr>
                <w:sz w:val="15"/>
              </w:rPr>
              <w:t>Conceptual and policy analysis</w:t>
            </w:r>
          </w:p>
        </w:tc>
        <w:tc>
          <w:tcPr>
            <w:tcW w:w="1440" w:type="dxa"/>
            <w:shd w:val="clear" w:color="auto" w:fill="F3F4F6"/>
            <w:tcMar>
              <w:top w:w="75" w:type="dxa"/>
              <w:left w:w="90" w:type="dxa"/>
              <w:bottom w:w="75" w:type="dxa"/>
              <w:right w:w="90" w:type="dxa"/>
            </w:tcMar>
            <w:vAlign w:val="center"/>
          </w:tcPr>
          <w:p w14:paraId="7C1A9EF4" w14:textId="77777777" w:rsidR="00C342BF" w:rsidRPr="001D6B2E" w:rsidRDefault="00000000">
            <w:pPr>
              <w:spacing w:after="40" w:line="240" w:lineRule="auto"/>
            </w:pPr>
            <w:r w:rsidRPr="001D6B2E">
              <w:rPr>
                <w:sz w:val="15"/>
              </w:rPr>
              <w:t>Fuel poverty is an injustice, not only a household deficit</w:t>
            </w:r>
          </w:p>
        </w:tc>
        <w:tc>
          <w:tcPr>
            <w:tcW w:w="3240" w:type="dxa"/>
            <w:shd w:val="clear" w:color="auto" w:fill="F3F4F6"/>
            <w:tcMar>
              <w:top w:w="75" w:type="dxa"/>
              <w:left w:w="90" w:type="dxa"/>
              <w:bottom w:w="75" w:type="dxa"/>
              <w:right w:w="90" w:type="dxa"/>
            </w:tcMar>
            <w:vAlign w:val="center"/>
          </w:tcPr>
          <w:p w14:paraId="2450E191" w14:textId="77777777" w:rsidR="00C342BF" w:rsidRPr="001D6B2E" w:rsidRDefault="00000000">
            <w:pPr>
              <w:spacing w:after="40" w:line="240" w:lineRule="auto"/>
            </w:pPr>
            <w:r w:rsidRPr="001D6B2E">
              <w:rPr>
                <w:sz w:val="15"/>
              </w:rPr>
              <w:t>Normative dimensions need operationalisation in supplier documents</w:t>
            </w:r>
          </w:p>
        </w:tc>
        <w:tc>
          <w:tcPr>
            <w:tcW w:w="3510" w:type="dxa"/>
            <w:shd w:val="clear" w:color="auto" w:fill="F3F4F6"/>
            <w:tcMar>
              <w:top w:w="75" w:type="dxa"/>
              <w:left w:w="90" w:type="dxa"/>
              <w:bottom w:w="75" w:type="dxa"/>
              <w:right w:w="90" w:type="dxa"/>
            </w:tcMar>
            <w:vAlign w:val="center"/>
          </w:tcPr>
          <w:p w14:paraId="4DEA32F2" w14:textId="77777777" w:rsidR="00C342BF" w:rsidRPr="001D6B2E" w:rsidRDefault="00000000">
            <w:pPr>
              <w:spacing w:after="40" w:line="240" w:lineRule="auto"/>
            </w:pPr>
            <w:r w:rsidRPr="001D6B2E">
              <w:rPr>
                <w:sz w:val="15"/>
              </w:rPr>
              <w:t>Supports communication-as-access analysis</w:t>
            </w:r>
          </w:p>
        </w:tc>
      </w:tr>
      <w:tr w:rsidR="00C342BF" w:rsidRPr="001D6B2E" w14:paraId="3B4CA029" w14:textId="77777777" w:rsidTr="00A216DC">
        <w:trPr>
          <w:cantSplit/>
        </w:trPr>
        <w:tc>
          <w:tcPr>
            <w:tcW w:w="1296" w:type="dxa"/>
            <w:tcMar>
              <w:top w:w="75" w:type="dxa"/>
              <w:left w:w="90" w:type="dxa"/>
              <w:bottom w:w="75" w:type="dxa"/>
              <w:right w:w="90" w:type="dxa"/>
            </w:tcMar>
            <w:vAlign w:val="center"/>
          </w:tcPr>
          <w:p w14:paraId="26403E20" w14:textId="77777777" w:rsidR="00C342BF" w:rsidRPr="001D6B2E" w:rsidRDefault="00000000">
            <w:pPr>
              <w:spacing w:after="40" w:line="240" w:lineRule="auto"/>
            </w:pPr>
            <w:r w:rsidRPr="001D6B2E">
              <w:rPr>
                <w:sz w:val="15"/>
              </w:rPr>
              <w:t>Bouzarovski and Petrova (2015)</w:t>
            </w:r>
          </w:p>
        </w:tc>
        <w:tc>
          <w:tcPr>
            <w:tcW w:w="1296" w:type="dxa"/>
            <w:tcMar>
              <w:top w:w="75" w:type="dxa"/>
              <w:left w:w="90" w:type="dxa"/>
              <w:bottom w:w="75" w:type="dxa"/>
              <w:right w:w="90" w:type="dxa"/>
            </w:tcMar>
            <w:vAlign w:val="center"/>
          </w:tcPr>
          <w:p w14:paraId="099C2074" w14:textId="77777777" w:rsidR="00C342BF" w:rsidRPr="001D6B2E" w:rsidRDefault="00000000">
            <w:pPr>
              <w:spacing w:after="40" w:line="240" w:lineRule="auto"/>
            </w:pPr>
            <w:r w:rsidRPr="001D6B2E">
              <w:rPr>
                <w:sz w:val="15"/>
              </w:rPr>
              <w:t>Energy deprivation framework</w:t>
            </w:r>
          </w:p>
        </w:tc>
        <w:tc>
          <w:tcPr>
            <w:tcW w:w="1458" w:type="dxa"/>
            <w:tcMar>
              <w:top w:w="75" w:type="dxa"/>
              <w:left w:w="90" w:type="dxa"/>
              <w:bottom w:w="75" w:type="dxa"/>
              <w:right w:w="90" w:type="dxa"/>
            </w:tcMar>
            <w:vAlign w:val="center"/>
          </w:tcPr>
          <w:p w14:paraId="4595B8EA" w14:textId="77777777" w:rsidR="00C342BF" w:rsidRPr="001D6B2E" w:rsidRDefault="00000000">
            <w:pPr>
              <w:spacing w:after="40" w:line="240" w:lineRule="auto"/>
            </w:pPr>
            <w:r w:rsidRPr="001D6B2E">
              <w:rPr>
                <w:sz w:val="15"/>
              </w:rPr>
              <w:t>Material conditions, systems, social inequality</w:t>
            </w:r>
          </w:p>
        </w:tc>
        <w:tc>
          <w:tcPr>
            <w:tcW w:w="2430" w:type="dxa"/>
            <w:tcMar>
              <w:top w:w="75" w:type="dxa"/>
              <w:left w:w="90" w:type="dxa"/>
              <w:bottom w:w="75" w:type="dxa"/>
              <w:right w:w="90" w:type="dxa"/>
            </w:tcMar>
            <w:vAlign w:val="center"/>
          </w:tcPr>
          <w:p w14:paraId="1BE3BA62" w14:textId="77777777" w:rsidR="00C342BF" w:rsidRPr="001D6B2E" w:rsidRDefault="00000000">
            <w:pPr>
              <w:spacing w:after="40" w:line="240" w:lineRule="auto"/>
            </w:pPr>
            <w:r w:rsidRPr="001D6B2E">
              <w:rPr>
                <w:sz w:val="15"/>
              </w:rPr>
              <w:t>Conceptual synthesis</w:t>
            </w:r>
          </w:p>
        </w:tc>
        <w:tc>
          <w:tcPr>
            <w:tcW w:w="1440" w:type="dxa"/>
            <w:tcMar>
              <w:top w:w="75" w:type="dxa"/>
              <w:left w:w="90" w:type="dxa"/>
              <w:bottom w:w="75" w:type="dxa"/>
              <w:right w:w="90" w:type="dxa"/>
            </w:tcMar>
            <w:vAlign w:val="center"/>
          </w:tcPr>
          <w:p w14:paraId="0A71FF1F" w14:textId="77777777" w:rsidR="00C342BF" w:rsidRPr="001D6B2E" w:rsidRDefault="00000000">
            <w:pPr>
              <w:spacing w:after="40" w:line="240" w:lineRule="auto"/>
            </w:pPr>
            <w:r w:rsidRPr="001D6B2E">
              <w:rPr>
                <w:sz w:val="15"/>
              </w:rPr>
              <w:t>Energy deprivation is produced through interacting infrastructures and institutions</w:t>
            </w:r>
          </w:p>
        </w:tc>
        <w:tc>
          <w:tcPr>
            <w:tcW w:w="3240" w:type="dxa"/>
            <w:tcMar>
              <w:top w:w="75" w:type="dxa"/>
              <w:left w:w="90" w:type="dxa"/>
              <w:bottom w:w="75" w:type="dxa"/>
              <w:right w:w="90" w:type="dxa"/>
            </w:tcMar>
            <w:vAlign w:val="center"/>
          </w:tcPr>
          <w:p w14:paraId="5255009B" w14:textId="77777777" w:rsidR="00C342BF" w:rsidRPr="001D6B2E" w:rsidRDefault="00000000">
            <w:pPr>
              <w:spacing w:after="40" w:line="240" w:lineRule="auto"/>
            </w:pPr>
            <w:r w:rsidRPr="001D6B2E">
              <w:rPr>
                <w:sz w:val="15"/>
              </w:rPr>
              <w:t>Less focus on supplier-facing communication</w:t>
            </w:r>
          </w:p>
        </w:tc>
        <w:tc>
          <w:tcPr>
            <w:tcW w:w="3510" w:type="dxa"/>
            <w:tcMar>
              <w:top w:w="75" w:type="dxa"/>
              <w:left w:w="90" w:type="dxa"/>
              <w:bottom w:w="75" w:type="dxa"/>
              <w:right w:w="90" w:type="dxa"/>
            </w:tcMar>
            <w:vAlign w:val="center"/>
          </w:tcPr>
          <w:p w14:paraId="22052AEE" w14:textId="77777777" w:rsidR="00C342BF" w:rsidRPr="001D6B2E" w:rsidRDefault="00000000">
            <w:pPr>
              <w:spacing w:after="40" w:line="240" w:lineRule="auto"/>
            </w:pPr>
            <w:r w:rsidRPr="001D6B2E">
              <w:rPr>
                <w:sz w:val="15"/>
              </w:rPr>
              <w:t>Places affordability within market and social structures</w:t>
            </w:r>
          </w:p>
        </w:tc>
      </w:tr>
      <w:tr w:rsidR="00C342BF" w:rsidRPr="001D6B2E" w14:paraId="53B48BC1" w14:textId="77777777" w:rsidTr="00A216DC">
        <w:trPr>
          <w:cantSplit/>
        </w:trPr>
        <w:tc>
          <w:tcPr>
            <w:tcW w:w="1296" w:type="dxa"/>
            <w:shd w:val="clear" w:color="auto" w:fill="F3F4F6"/>
            <w:tcMar>
              <w:top w:w="75" w:type="dxa"/>
              <w:left w:w="90" w:type="dxa"/>
              <w:bottom w:w="75" w:type="dxa"/>
              <w:right w:w="90" w:type="dxa"/>
            </w:tcMar>
            <w:vAlign w:val="center"/>
          </w:tcPr>
          <w:p w14:paraId="05A92B7A" w14:textId="77777777" w:rsidR="00C342BF" w:rsidRPr="001D6B2E" w:rsidRDefault="00000000">
            <w:pPr>
              <w:spacing w:after="40" w:line="240" w:lineRule="auto"/>
            </w:pPr>
            <w:r w:rsidRPr="001D6B2E">
              <w:rPr>
                <w:sz w:val="15"/>
              </w:rPr>
              <w:t>Middlemiss and Gillard (2015)</w:t>
            </w:r>
          </w:p>
        </w:tc>
        <w:tc>
          <w:tcPr>
            <w:tcW w:w="1296" w:type="dxa"/>
            <w:shd w:val="clear" w:color="auto" w:fill="F3F4F6"/>
            <w:tcMar>
              <w:top w:w="75" w:type="dxa"/>
              <w:left w:w="90" w:type="dxa"/>
              <w:bottom w:w="75" w:type="dxa"/>
              <w:right w:w="90" w:type="dxa"/>
            </w:tcMar>
            <w:vAlign w:val="center"/>
          </w:tcPr>
          <w:p w14:paraId="45F58DFC" w14:textId="77777777" w:rsidR="00C342BF" w:rsidRPr="001D6B2E" w:rsidRDefault="00000000">
            <w:pPr>
              <w:spacing w:after="40" w:line="240" w:lineRule="auto"/>
            </w:pPr>
            <w:r w:rsidRPr="001D6B2E">
              <w:rPr>
                <w:sz w:val="15"/>
              </w:rPr>
              <w:t>Lived energy vulnerability</w:t>
            </w:r>
          </w:p>
        </w:tc>
        <w:tc>
          <w:tcPr>
            <w:tcW w:w="1458" w:type="dxa"/>
            <w:shd w:val="clear" w:color="auto" w:fill="F3F4F6"/>
            <w:tcMar>
              <w:top w:w="75" w:type="dxa"/>
              <w:left w:w="90" w:type="dxa"/>
              <w:bottom w:w="75" w:type="dxa"/>
              <w:right w:w="90" w:type="dxa"/>
            </w:tcMar>
            <w:vAlign w:val="center"/>
          </w:tcPr>
          <w:p w14:paraId="7854CBE5" w14:textId="77777777" w:rsidR="00C342BF" w:rsidRPr="001D6B2E" w:rsidRDefault="00000000">
            <w:pPr>
              <w:spacing w:after="40" w:line="240" w:lineRule="auto"/>
            </w:pPr>
            <w:r w:rsidRPr="001D6B2E">
              <w:rPr>
                <w:sz w:val="15"/>
              </w:rPr>
              <w:t>Health, housing, coping, social relations, capability</w:t>
            </w:r>
          </w:p>
        </w:tc>
        <w:tc>
          <w:tcPr>
            <w:tcW w:w="2430" w:type="dxa"/>
            <w:shd w:val="clear" w:color="auto" w:fill="F3F4F6"/>
            <w:tcMar>
              <w:top w:w="75" w:type="dxa"/>
              <w:left w:w="90" w:type="dxa"/>
              <w:bottom w:w="75" w:type="dxa"/>
              <w:right w:w="90" w:type="dxa"/>
            </w:tcMar>
            <w:vAlign w:val="center"/>
          </w:tcPr>
          <w:p w14:paraId="681EF7BD" w14:textId="77777777" w:rsidR="00C342BF" w:rsidRPr="001D6B2E" w:rsidRDefault="00000000">
            <w:pPr>
              <w:spacing w:after="40" w:line="240" w:lineRule="auto"/>
            </w:pPr>
            <w:r w:rsidRPr="001D6B2E">
              <w:rPr>
                <w:sz w:val="15"/>
              </w:rPr>
              <w:t>Qualitative lived-experience research</w:t>
            </w:r>
          </w:p>
        </w:tc>
        <w:tc>
          <w:tcPr>
            <w:tcW w:w="1440" w:type="dxa"/>
            <w:shd w:val="clear" w:color="auto" w:fill="F3F4F6"/>
            <w:tcMar>
              <w:top w:w="75" w:type="dxa"/>
              <w:left w:w="90" w:type="dxa"/>
              <w:bottom w:w="75" w:type="dxa"/>
              <w:right w:w="90" w:type="dxa"/>
            </w:tcMar>
            <w:vAlign w:val="center"/>
          </w:tcPr>
          <w:p w14:paraId="07130EEA" w14:textId="77777777" w:rsidR="00C342BF" w:rsidRPr="001D6B2E" w:rsidRDefault="00000000">
            <w:pPr>
              <w:spacing w:after="40" w:line="240" w:lineRule="auto"/>
            </w:pPr>
            <w:r w:rsidRPr="001D6B2E">
              <w:rPr>
                <w:sz w:val="15"/>
              </w:rPr>
              <w:t>Vulnerability is multidimensional and experienced in everyday life</w:t>
            </w:r>
          </w:p>
        </w:tc>
        <w:tc>
          <w:tcPr>
            <w:tcW w:w="3240" w:type="dxa"/>
            <w:shd w:val="clear" w:color="auto" w:fill="F3F4F6"/>
            <w:tcMar>
              <w:top w:w="75" w:type="dxa"/>
              <w:left w:w="90" w:type="dxa"/>
              <w:bottom w:w="75" w:type="dxa"/>
              <w:right w:w="90" w:type="dxa"/>
            </w:tcMar>
            <w:vAlign w:val="center"/>
          </w:tcPr>
          <w:p w14:paraId="012FE727" w14:textId="77777777" w:rsidR="00C342BF" w:rsidRPr="001D6B2E" w:rsidRDefault="00000000">
            <w:pPr>
              <w:spacing w:after="40" w:line="240" w:lineRule="auto"/>
            </w:pPr>
            <w:r w:rsidRPr="001D6B2E">
              <w:rPr>
                <w:sz w:val="15"/>
              </w:rPr>
              <w:t>Context-specific qualitative evidence is not a market-wide measure</w:t>
            </w:r>
          </w:p>
        </w:tc>
        <w:tc>
          <w:tcPr>
            <w:tcW w:w="3510" w:type="dxa"/>
            <w:shd w:val="clear" w:color="auto" w:fill="F3F4F6"/>
            <w:tcMar>
              <w:top w:w="75" w:type="dxa"/>
              <w:left w:w="90" w:type="dxa"/>
              <w:bottom w:w="75" w:type="dxa"/>
              <w:right w:w="90" w:type="dxa"/>
            </w:tcMar>
            <w:vAlign w:val="center"/>
          </w:tcPr>
          <w:p w14:paraId="25C362DD" w14:textId="77777777" w:rsidR="00C342BF" w:rsidRPr="001D6B2E" w:rsidRDefault="00000000">
            <w:pPr>
              <w:spacing w:after="40" w:line="240" w:lineRule="auto"/>
            </w:pPr>
            <w:r w:rsidRPr="001D6B2E">
              <w:rPr>
                <w:sz w:val="15"/>
              </w:rPr>
              <w:t>Supports dynamic vulnerability coding</w:t>
            </w:r>
          </w:p>
        </w:tc>
      </w:tr>
      <w:tr w:rsidR="00C342BF" w:rsidRPr="001D6B2E" w14:paraId="420EE9F1" w14:textId="77777777" w:rsidTr="00A216DC">
        <w:trPr>
          <w:cantSplit/>
        </w:trPr>
        <w:tc>
          <w:tcPr>
            <w:tcW w:w="1296" w:type="dxa"/>
            <w:tcMar>
              <w:top w:w="75" w:type="dxa"/>
              <w:left w:w="90" w:type="dxa"/>
              <w:bottom w:w="75" w:type="dxa"/>
              <w:right w:w="90" w:type="dxa"/>
            </w:tcMar>
            <w:vAlign w:val="center"/>
          </w:tcPr>
          <w:p w14:paraId="50625DCA" w14:textId="77777777" w:rsidR="00C342BF" w:rsidRPr="001D6B2E" w:rsidRDefault="00000000">
            <w:pPr>
              <w:spacing w:after="40" w:line="240" w:lineRule="auto"/>
            </w:pPr>
            <w:r w:rsidRPr="001D6B2E">
              <w:rPr>
                <w:sz w:val="15"/>
              </w:rPr>
              <w:t>Jenkins et al. (2016)</w:t>
            </w:r>
          </w:p>
        </w:tc>
        <w:tc>
          <w:tcPr>
            <w:tcW w:w="1296" w:type="dxa"/>
            <w:tcMar>
              <w:top w:w="75" w:type="dxa"/>
              <w:left w:w="90" w:type="dxa"/>
              <w:bottom w:w="75" w:type="dxa"/>
              <w:right w:w="90" w:type="dxa"/>
            </w:tcMar>
            <w:vAlign w:val="center"/>
          </w:tcPr>
          <w:p w14:paraId="68B4FB7A" w14:textId="77777777" w:rsidR="00C342BF" w:rsidRPr="001D6B2E" w:rsidRDefault="00000000">
            <w:pPr>
              <w:spacing w:after="40" w:line="240" w:lineRule="auto"/>
            </w:pPr>
            <w:r w:rsidRPr="001D6B2E">
              <w:rPr>
                <w:sz w:val="15"/>
              </w:rPr>
              <w:t>Energy justice framework</w:t>
            </w:r>
          </w:p>
        </w:tc>
        <w:tc>
          <w:tcPr>
            <w:tcW w:w="1458" w:type="dxa"/>
            <w:tcMar>
              <w:top w:w="75" w:type="dxa"/>
              <w:left w:w="90" w:type="dxa"/>
              <w:bottom w:w="75" w:type="dxa"/>
              <w:right w:w="90" w:type="dxa"/>
            </w:tcMar>
            <w:vAlign w:val="center"/>
          </w:tcPr>
          <w:p w14:paraId="02206325" w14:textId="77777777" w:rsidR="00C342BF" w:rsidRPr="001D6B2E" w:rsidRDefault="00000000">
            <w:pPr>
              <w:spacing w:after="40" w:line="240" w:lineRule="auto"/>
            </w:pPr>
            <w:r w:rsidRPr="001D6B2E">
              <w:rPr>
                <w:sz w:val="15"/>
              </w:rPr>
              <w:t>Distributional, recognitional and procedural justice</w:t>
            </w:r>
          </w:p>
        </w:tc>
        <w:tc>
          <w:tcPr>
            <w:tcW w:w="2430" w:type="dxa"/>
            <w:tcMar>
              <w:top w:w="75" w:type="dxa"/>
              <w:left w:w="90" w:type="dxa"/>
              <w:bottom w:w="75" w:type="dxa"/>
              <w:right w:w="90" w:type="dxa"/>
            </w:tcMar>
            <w:vAlign w:val="center"/>
          </w:tcPr>
          <w:p w14:paraId="2F884488" w14:textId="77777777" w:rsidR="00C342BF" w:rsidRPr="001D6B2E" w:rsidRDefault="00000000">
            <w:pPr>
              <w:spacing w:after="40" w:line="240" w:lineRule="auto"/>
            </w:pPr>
            <w:r w:rsidRPr="001D6B2E">
              <w:rPr>
                <w:sz w:val="15"/>
              </w:rPr>
              <w:t>Conceptual review</w:t>
            </w:r>
          </w:p>
        </w:tc>
        <w:tc>
          <w:tcPr>
            <w:tcW w:w="1440" w:type="dxa"/>
            <w:tcMar>
              <w:top w:w="75" w:type="dxa"/>
              <w:left w:w="90" w:type="dxa"/>
              <w:bottom w:w="75" w:type="dxa"/>
              <w:right w:w="90" w:type="dxa"/>
            </w:tcMar>
            <w:vAlign w:val="center"/>
          </w:tcPr>
          <w:p w14:paraId="19B9D0D4" w14:textId="77777777" w:rsidR="00C342BF" w:rsidRPr="001D6B2E" w:rsidRDefault="00000000">
            <w:pPr>
              <w:spacing w:after="40" w:line="240" w:lineRule="auto"/>
            </w:pPr>
            <w:r w:rsidRPr="001D6B2E">
              <w:rPr>
                <w:sz w:val="15"/>
              </w:rPr>
              <w:t>Justice principles should apply across the energy system</w:t>
            </w:r>
          </w:p>
        </w:tc>
        <w:tc>
          <w:tcPr>
            <w:tcW w:w="3240" w:type="dxa"/>
            <w:tcMar>
              <w:top w:w="75" w:type="dxa"/>
              <w:left w:w="90" w:type="dxa"/>
              <w:bottom w:w="75" w:type="dxa"/>
              <w:right w:w="90" w:type="dxa"/>
            </w:tcMar>
            <w:vAlign w:val="center"/>
          </w:tcPr>
          <w:p w14:paraId="088D2112" w14:textId="77777777" w:rsidR="00C342BF" w:rsidRPr="001D6B2E" w:rsidRDefault="00000000">
            <w:pPr>
              <w:spacing w:after="40" w:line="240" w:lineRule="auto"/>
            </w:pPr>
            <w:r w:rsidRPr="001D6B2E">
              <w:rPr>
                <w:sz w:val="15"/>
              </w:rPr>
              <w:t>Does not specify detailed communication indicators</w:t>
            </w:r>
          </w:p>
        </w:tc>
        <w:tc>
          <w:tcPr>
            <w:tcW w:w="3510" w:type="dxa"/>
            <w:tcMar>
              <w:top w:w="75" w:type="dxa"/>
              <w:left w:w="90" w:type="dxa"/>
              <w:bottom w:w="75" w:type="dxa"/>
              <w:right w:w="90" w:type="dxa"/>
            </w:tcMar>
            <w:vAlign w:val="center"/>
          </w:tcPr>
          <w:p w14:paraId="293A7107" w14:textId="77777777" w:rsidR="00C342BF" w:rsidRPr="001D6B2E" w:rsidRDefault="00000000">
            <w:pPr>
              <w:spacing w:after="40" w:line="240" w:lineRule="auto"/>
            </w:pPr>
            <w:r w:rsidRPr="001D6B2E">
              <w:rPr>
                <w:sz w:val="15"/>
              </w:rPr>
              <w:t>Provides the critical lens for support access</w:t>
            </w:r>
          </w:p>
        </w:tc>
      </w:tr>
      <w:tr w:rsidR="00C342BF" w:rsidRPr="001D6B2E" w14:paraId="14256A89" w14:textId="77777777" w:rsidTr="00A216DC">
        <w:trPr>
          <w:cantSplit/>
        </w:trPr>
        <w:tc>
          <w:tcPr>
            <w:tcW w:w="1296" w:type="dxa"/>
            <w:shd w:val="clear" w:color="auto" w:fill="F3F4F6"/>
            <w:tcMar>
              <w:top w:w="75" w:type="dxa"/>
              <w:left w:w="90" w:type="dxa"/>
              <w:bottom w:w="75" w:type="dxa"/>
              <w:right w:w="90" w:type="dxa"/>
            </w:tcMar>
            <w:vAlign w:val="center"/>
          </w:tcPr>
          <w:p w14:paraId="51319891" w14:textId="77777777" w:rsidR="00C342BF" w:rsidRPr="001D6B2E" w:rsidRDefault="00000000">
            <w:pPr>
              <w:spacing w:after="40" w:line="240" w:lineRule="auto"/>
            </w:pPr>
            <w:r w:rsidRPr="001D6B2E">
              <w:rPr>
                <w:sz w:val="15"/>
              </w:rPr>
              <w:t>Thomson, Snell and Bouzarovski (2017)</w:t>
            </w:r>
          </w:p>
        </w:tc>
        <w:tc>
          <w:tcPr>
            <w:tcW w:w="1296" w:type="dxa"/>
            <w:shd w:val="clear" w:color="auto" w:fill="F3F4F6"/>
            <w:tcMar>
              <w:top w:w="75" w:type="dxa"/>
              <w:left w:w="90" w:type="dxa"/>
              <w:bottom w:w="75" w:type="dxa"/>
              <w:right w:w="90" w:type="dxa"/>
            </w:tcMar>
            <w:vAlign w:val="center"/>
          </w:tcPr>
          <w:p w14:paraId="76B6E098" w14:textId="77777777" w:rsidR="00C342BF" w:rsidRPr="001D6B2E" w:rsidRDefault="00000000">
            <w:pPr>
              <w:spacing w:after="40" w:line="240" w:lineRule="auto"/>
            </w:pPr>
            <w:r w:rsidRPr="001D6B2E">
              <w:rPr>
                <w:sz w:val="15"/>
              </w:rPr>
              <w:t>Energy poverty and wellbeing</w:t>
            </w:r>
          </w:p>
        </w:tc>
        <w:tc>
          <w:tcPr>
            <w:tcW w:w="1458" w:type="dxa"/>
            <w:shd w:val="clear" w:color="auto" w:fill="F3F4F6"/>
            <w:tcMar>
              <w:top w:w="75" w:type="dxa"/>
              <w:left w:w="90" w:type="dxa"/>
              <w:bottom w:w="75" w:type="dxa"/>
              <w:right w:w="90" w:type="dxa"/>
            </w:tcMar>
            <w:vAlign w:val="center"/>
          </w:tcPr>
          <w:p w14:paraId="60D312F7" w14:textId="77777777" w:rsidR="00C342BF" w:rsidRPr="001D6B2E" w:rsidRDefault="00000000">
            <w:pPr>
              <w:spacing w:after="40" w:line="240" w:lineRule="auto"/>
            </w:pPr>
            <w:r w:rsidRPr="001D6B2E">
              <w:rPr>
                <w:sz w:val="15"/>
              </w:rPr>
              <w:t>Health, wellbeing, energy deprivation</w:t>
            </w:r>
          </w:p>
        </w:tc>
        <w:tc>
          <w:tcPr>
            <w:tcW w:w="2430" w:type="dxa"/>
            <w:shd w:val="clear" w:color="auto" w:fill="F3F4F6"/>
            <w:tcMar>
              <w:top w:w="75" w:type="dxa"/>
              <w:left w:w="90" w:type="dxa"/>
              <w:bottom w:w="75" w:type="dxa"/>
              <w:right w:w="90" w:type="dxa"/>
            </w:tcMar>
            <w:vAlign w:val="center"/>
          </w:tcPr>
          <w:p w14:paraId="1C8B6F37" w14:textId="77777777" w:rsidR="00C342BF" w:rsidRPr="001D6B2E" w:rsidRDefault="00000000">
            <w:pPr>
              <w:spacing w:after="40" w:line="240" w:lineRule="auto"/>
            </w:pPr>
            <w:r w:rsidRPr="001D6B2E">
              <w:rPr>
                <w:sz w:val="15"/>
              </w:rPr>
              <w:t>Comparative quantitative study</w:t>
            </w:r>
          </w:p>
        </w:tc>
        <w:tc>
          <w:tcPr>
            <w:tcW w:w="1440" w:type="dxa"/>
            <w:shd w:val="clear" w:color="auto" w:fill="F3F4F6"/>
            <w:tcMar>
              <w:top w:w="75" w:type="dxa"/>
              <w:left w:w="90" w:type="dxa"/>
              <w:bottom w:w="75" w:type="dxa"/>
              <w:right w:w="90" w:type="dxa"/>
            </w:tcMar>
            <w:vAlign w:val="center"/>
          </w:tcPr>
          <w:p w14:paraId="2C365085" w14:textId="77777777" w:rsidR="00C342BF" w:rsidRPr="001D6B2E" w:rsidRDefault="00000000">
            <w:pPr>
              <w:spacing w:after="40" w:line="240" w:lineRule="auto"/>
            </w:pPr>
            <w:r w:rsidRPr="001D6B2E">
              <w:rPr>
                <w:sz w:val="15"/>
              </w:rPr>
              <w:t>Energy poverty is associated with wider wellbeing concerns</w:t>
            </w:r>
          </w:p>
        </w:tc>
        <w:tc>
          <w:tcPr>
            <w:tcW w:w="3240" w:type="dxa"/>
            <w:shd w:val="clear" w:color="auto" w:fill="F3F4F6"/>
            <w:tcMar>
              <w:top w:w="75" w:type="dxa"/>
              <w:left w:w="90" w:type="dxa"/>
              <w:bottom w:w="75" w:type="dxa"/>
              <w:right w:w="90" w:type="dxa"/>
            </w:tcMar>
            <w:vAlign w:val="center"/>
          </w:tcPr>
          <w:p w14:paraId="3ABBD95B" w14:textId="77777777" w:rsidR="00C342BF" w:rsidRPr="001D6B2E" w:rsidRDefault="00000000">
            <w:pPr>
              <w:spacing w:after="40" w:line="240" w:lineRule="auto"/>
            </w:pPr>
            <w:r w:rsidRPr="001D6B2E">
              <w:rPr>
                <w:sz w:val="15"/>
              </w:rPr>
              <w:t>Cross-country indicators may mask local mechanisms</w:t>
            </w:r>
          </w:p>
        </w:tc>
        <w:tc>
          <w:tcPr>
            <w:tcW w:w="3510" w:type="dxa"/>
            <w:shd w:val="clear" w:color="auto" w:fill="F3F4F6"/>
            <w:tcMar>
              <w:top w:w="75" w:type="dxa"/>
              <w:left w:w="90" w:type="dxa"/>
              <w:bottom w:w="75" w:type="dxa"/>
              <w:right w:w="90" w:type="dxa"/>
            </w:tcMar>
            <w:vAlign w:val="center"/>
          </w:tcPr>
          <w:p w14:paraId="538E4622" w14:textId="77777777" w:rsidR="00C342BF" w:rsidRPr="001D6B2E" w:rsidRDefault="00000000">
            <w:pPr>
              <w:spacing w:after="40" w:line="240" w:lineRule="auto"/>
            </w:pPr>
            <w:r w:rsidRPr="001D6B2E">
              <w:rPr>
                <w:sz w:val="15"/>
              </w:rPr>
              <w:t>Establishes the human significance of affordability</w:t>
            </w:r>
          </w:p>
        </w:tc>
      </w:tr>
      <w:tr w:rsidR="00C342BF" w:rsidRPr="001D6B2E" w14:paraId="6D38BE3F" w14:textId="77777777" w:rsidTr="00A216DC">
        <w:trPr>
          <w:cantSplit/>
        </w:trPr>
        <w:tc>
          <w:tcPr>
            <w:tcW w:w="1296" w:type="dxa"/>
            <w:tcMar>
              <w:top w:w="75" w:type="dxa"/>
              <w:left w:w="90" w:type="dxa"/>
              <w:bottom w:w="75" w:type="dxa"/>
              <w:right w:w="90" w:type="dxa"/>
            </w:tcMar>
            <w:vAlign w:val="center"/>
          </w:tcPr>
          <w:p w14:paraId="7A74B79F" w14:textId="77777777" w:rsidR="00C342BF" w:rsidRPr="001D6B2E" w:rsidRDefault="00000000">
            <w:pPr>
              <w:spacing w:after="40" w:line="240" w:lineRule="auto"/>
            </w:pPr>
            <w:r w:rsidRPr="001D6B2E">
              <w:rPr>
                <w:sz w:val="15"/>
              </w:rPr>
              <w:t>Mayer, Davis and Schoorman (1995)</w:t>
            </w:r>
          </w:p>
        </w:tc>
        <w:tc>
          <w:tcPr>
            <w:tcW w:w="1296" w:type="dxa"/>
            <w:tcMar>
              <w:top w:w="75" w:type="dxa"/>
              <w:left w:w="90" w:type="dxa"/>
              <w:bottom w:w="75" w:type="dxa"/>
              <w:right w:w="90" w:type="dxa"/>
            </w:tcMar>
            <w:vAlign w:val="center"/>
          </w:tcPr>
          <w:p w14:paraId="6AB55541" w14:textId="77777777" w:rsidR="00C342BF" w:rsidRPr="001D6B2E" w:rsidRDefault="00000000">
            <w:pPr>
              <w:spacing w:after="40" w:line="240" w:lineRule="auto"/>
            </w:pPr>
            <w:r w:rsidRPr="001D6B2E">
              <w:rPr>
                <w:sz w:val="15"/>
              </w:rPr>
              <w:t>Integrative organizational trust model</w:t>
            </w:r>
          </w:p>
        </w:tc>
        <w:tc>
          <w:tcPr>
            <w:tcW w:w="1458" w:type="dxa"/>
            <w:tcMar>
              <w:top w:w="75" w:type="dxa"/>
              <w:left w:w="90" w:type="dxa"/>
              <w:bottom w:w="75" w:type="dxa"/>
              <w:right w:w="90" w:type="dxa"/>
            </w:tcMar>
            <w:vAlign w:val="center"/>
          </w:tcPr>
          <w:p w14:paraId="4994A09D" w14:textId="77777777" w:rsidR="00C342BF" w:rsidRPr="001D6B2E" w:rsidRDefault="00000000">
            <w:pPr>
              <w:spacing w:after="40" w:line="240" w:lineRule="auto"/>
            </w:pPr>
            <w:r w:rsidRPr="001D6B2E">
              <w:rPr>
                <w:sz w:val="15"/>
              </w:rPr>
              <w:t>Ability, benevolence, integrity, risk</w:t>
            </w:r>
          </w:p>
        </w:tc>
        <w:tc>
          <w:tcPr>
            <w:tcW w:w="2430" w:type="dxa"/>
            <w:tcMar>
              <w:top w:w="75" w:type="dxa"/>
              <w:left w:w="90" w:type="dxa"/>
              <w:bottom w:w="75" w:type="dxa"/>
              <w:right w:w="90" w:type="dxa"/>
            </w:tcMar>
            <w:vAlign w:val="center"/>
          </w:tcPr>
          <w:p w14:paraId="65E2867E" w14:textId="77777777" w:rsidR="00C342BF" w:rsidRPr="001D6B2E" w:rsidRDefault="00000000">
            <w:pPr>
              <w:spacing w:after="40" w:line="240" w:lineRule="auto"/>
            </w:pPr>
            <w:r w:rsidRPr="001D6B2E">
              <w:rPr>
                <w:sz w:val="15"/>
              </w:rPr>
              <w:t>Theoretical model</w:t>
            </w:r>
          </w:p>
        </w:tc>
        <w:tc>
          <w:tcPr>
            <w:tcW w:w="1440" w:type="dxa"/>
            <w:tcMar>
              <w:top w:w="75" w:type="dxa"/>
              <w:left w:w="90" w:type="dxa"/>
              <w:bottom w:w="75" w:type="dxa"/>
              <w:right w:w="90" w:type="dxa"/>
            </w:tcMar>
            <w:vAlign w:val="center"/>
          </w:tcPr>
          <w:p w14:paraId="3E4E7959" w14:textId="77777777" w:rsidR="00C342BF" w:rsidRPr="001D6B2E" w:rsidRDefault="00000000">
            <w:pPr>
              <w:spacing w:after="40" w:line="240" w:lineRule="auto"/>
            </w:pPr>
            <w:r w:rsidRPr="001D6B2E">
              <w:rPr>
                <w:sz w:val="15"/>
              </w:rPr>
              <w:t>Trustworthiness judgements precede willingness to accept risk</w:t>
            </w:r>
          </w:p>
        </w:tc>
        <w:tc>
          <w:tcPr>
            <w:tcW w:w="3240" w:type="dxa"/>
            <w:tcMar>
              <w:top w:w="75" w:type="dxa"/>
              <w:left w:w="90" w:type="dxa"/>
              <w:bottom w:w="75" w:type="dxa"/>
              <w:right w:w="90" w:type="dxa"/>
            </w:tcMar>
            <w:vAlign w:val="center"/>
          </w:tcPr>
          <w:p w14:paraId="6392228C" w14:textId="77777777" w:rsidR="00C342BF" w:rsidRPr="001D6B2E" w:rsidRDefault="00000000">
            <w:pPr>
              <w:spacing w:after="40" w:line="240" w:lineRule="auto"/>
            </w:pPr>
            <w:r w:rsidRPr="001D6B2E">
              <w:rPr>
                <w:sz w:val="15"/>
              </w:rPr>
              <w:t>Developed mainly at organizational level</w:t>
            </w:r>
          </w:p>
        </w:tc>
        <w:tc>
          <w:tcPr>
            <w:tcW w:w="3510" w:type="dxa"/>
            <w:tcMar>
              <w:top w:w="75" w:type="dxa"/>
              <w:left w:w="90" w:type="dxa"/>
              <w:bottom w:w="75" w:type="dxa"/>
              <w:right w:w="90" w:type="dxa"/>
            </w:tcMar>
            <w:vAlign w:val="center"/>
          </w:tcPr>
          <w:p w14:paraId="78443F2E" w14:textId="77777777" w:rsidR="00C342BF" w:rsidRPr="001D6B2E" w:rsidRDefault="00000000">
            <w:pPr>
              <w:spacing w:after="40" w:line="240" w:lineRule="auto"/>
            </w:pPr>
            <w:r w:rsidRPr="001D6B2E">
              <w:rPr>
                <w:sz w:val="15"/>
              </w:rPr>
              <w:t>Supplies the three trustworthiness dimensions</w:t>
            </w:r>
          </w:p>
        </w:tc>
      </w:tr>
      <w:tr w:rsidR="00C342BF" w:rsidRPr="001D6B2E" w14:paraId="120CEE4A" w14:textId="77777777" w:rsidTr="00A216DC">
        <w:trPr>
          <w:cantSplit/>
        </w:trPr>
        <w:tc>
          <w:tcPr>
            <w:tcW w:w="1296" w:type="dxa"/>
            <w:shd w:val="clear" w:color="auto" w:fill="F3F4F6"/>
            <w:tcMar>
              <w:top w:w="75" w:type="dxa"/>
              <w:left w:w="90" w:type="dxa"/>
              <w:bottom w:w="75" w:type="dxa"/>
              <w:right w:w="90" w:type="dxa"/>
            </w:tcMar>
            <w:vAlign w:val="center"/>
          </w:tcPr>
          <w:p w14:paraId="34E75E5D" w14:textId="77777777" w:rsidR="00C342BF" w:rsidRPr="001D6B2E" w:rsidRDefault="00000000">
            <w:pPr>
              <w:spacing w:after="40" w:line="240" w:lineRule="auto"/>
            </w:pPr>
            <w:r w:rsidRPr="001D6B2E">
              <w:rPr>
                <w:sz w:val="15"/>
              </w:rPr>
              <w:t>Morgan and Hunt (1994)</w:t>
            </w:r>
          </w:p>
        </w:tc>
        <w:tc>
          <w:tcPr>
            <w:tcW w:w="1296" w:type="dxa"/>
            <w:shd w:val="clear" w:color="auto" w:fill="F3F4F6"/>
            <w:tcMar>
              <w:top w:w="75" w:type="dxa"/>
              <w:left w:w="90" w:type="dxa"/>
              <w:bottom w:w="75" w:type="dxa"/>
              <w:right w:w="90" w:type="dxa"/>
            </w:tcMar>
            <w:vAlign w:val="center"/>
          </w:tcPr>
          <w:p w14:paraId="2B1BE9C8" w14:textId="77777777" w:rsidR="00C342BF" w:rsidRPr="001D6B2E" w:rsidRDefault="00000000">
            <w:pPr>
              <w:spacing w:after="40" w:line="240" w:lineRule="auto"/>
            </w:pPr>
            <w:r w:rsidRPr="001D6B2E">
              <w:rPr>
                <w:sz w:val="15"/>
              </w:rPr>
              <w:t>Commitment-Trust Theory</w:t>
            </w:r>
          </w:p>
        </w:tc>
        <w:tc>
          <w:tcPr>
            <w:tcW w:w="1458" w:type="dxa"/>
            <w:shd w:val="clear" w:color="auto" w:fill="F3F4F6"/>
            <w:tcMar>
              <w:top w:w="75" w:type="dxa"/>
              <w:left w:w="90" w:type="dxa"/>
              <w:bottom w:w="75" w:type="dxa"/>
              <w:right w:w="90" w:type="dxa"/>
            </w:tcMar>
            <w:vAlign w:val="center"/>
          </w:tcPr>
          <w:p w14:paraId="68E468E2" w14:textId="77777777" w:rsidR="00C342BF" w:rsidRPr="001D6B2E" w:rsidRDefault="00000000">
            <w:pPr>
              <w:spacing w:after="40" w:line="240" w:lineRule="auto"/>
            </w:pPr>
            <w:r w:rsidRPr="001D6B2E">
              <w:rPr>
                <w:sz w:val="15"/>
              </w:rPr>
              <w:t>Trust, commitment, relationship exchange</w:t>
            </w:r>
          </w:p>
        </w:tc>
        <w:tc>
          <w:tcPr>
            <w:tcW w:w="2430" w:type="dxa"/>
            <w:shd w:val="clear" w:color="auto" w:fill="F3F4F6"/>
            <w:tcMar>
              <w:top w:w="75" w:type="dxa"/>
              <w:left w:w="90" w:type="dxa"/>
              <w:bottom w:w="75" w:type="dxa"/>
              <w:right w:w="90" w:type="dxa"/>
            </w:tcMar>
            <w:vAlign w:val="center"/>
          </w:tcPr>
          <w:p w14:paraId="1D988E08" w14:textId="77777777" w:rsidR="00C342BF" w:rsidRPr="001D6B2E" w:rsidRDefault="00000000">
            <w:pPr>
              <w:spacing w:after="40" w:line="240" w:lineRule="auto"/>
            </w:pPr>
            <w:r w:rsidRPr="001D6B2E">
              <w:rPr>
                <w:sz w:val="15"/>
              </w:rPr>
              <w:t>Relationship-marketing theory</w:t>
            </w:r>
          </w:p>
        </w:tc>
        <w:tc>
          <w:tcPr>
            <w:tcW w:w="1440" w:type="dxa"/>
            <w:shd w:val="clear" w:color="auto" w:fill="F3F4F6"/>
            <w:tcMar>
              <w:top w:w="75" w:type="dxa"/>
              <w:left w:w="90" w:type="dxa"/>
              <w:bottom w:w="75" w:type="dxa"/>
              <w:right w:w="90" w:type="dxa"/>
            </w:tcMar>
            <w:vAlign w:val="center"/>
          </w:tcPr>
          <w:p w14:paraId="008D79EA" w14:textId="77777777" w:rsidR="00C342BF" w:rsidRPr="001D6B2E" w:rsidRDefault="00000000">
            <w:pPr>
              <w:spacing w:after="40" w:line="240" w:lineRule="auto"/>
            </w:pPr>
            <w:r w:rsidRPr="001D6B2E">
              <w:rPr>
                <w:sz w:val="15"/>
              </w:rPr>
              <w:t>Trust is central to durable relational exchange</w:t>
            </w:r>
          </w:p>
        </w:tc>
        <w:tc>
          <w:tcPr>
            <w:tcW w:w="3240" w:type="dxa"/>
            <w:shd w:val="clear" w:color="auto" w:fill="F3F4F6"/>
            <w:tcMar>
              <w:top w:w="75" w:type="dxa"/>
              <w:left w:w="90" w:type="dxa"/>
              <w:bottom w:w="75" w:type="dxa"/>
              <w:right w:w="90" w:type="dxa"/>
            </w:tcMar>
            <w:vAlign w:val="center"/>
          </w:tcPr>
          <w:p w14:paraId="4E8AB18A" w14:textId="77777777" w:rsidR="00C342BF" w:rsidRPr="001D6B2E" w:rsidRDefault="00000000">
            <w:pPr>
              <w:spacing w:after="40" w:line="240" w:lineRule="auto"/>
            </w:pPr>
            <w:r w:rsidRPr="001D6B2E">
              <w:rPr>
                <w:sz w:val="15"/>
              </w:rPr>
              <w:t>Commercial relationship assumptions need adaptation to essential services</w:t>
            </w:r>
          </w:p>
        </w:tc>
        <w:tc>
          <w:tcPr>
            <w:tcW w:w="3510" w:type="dxa"/>
            <w:shd w:val="clear" w:color="auto" w:fill="F3F4F6"/>
            <w:tcMar>
              <w:top w:w="75" w:type="dxa"/>
              <w:left w:w="90" w:type="dxa"/>
              <w:bottom w:w="75" w:type="dxa"/>
              <w:right w:w="90" w:type="dxa"/>
            </w:tcMar>
            <w:vAlign w:val="center"/>
          </w:tcPr>
          <w:p w14:paraId="39C9E96E" w14:textId="77777777" w:rsidR="00C342BF" w:rsidRPr="001D6B2E" w:rsidRDefault="00000000">
            <w:pPr>
              <w:spacing w:after="40" w:line="240" w:lineRule="auto"/>
            </w:pPr>
            <w:r w:rsidRPr="001D6B2E">
              <w:rPr>
                <w:sz w:val="15"/>
              </w:rPr>
              <w:t>Establishes trust as the organising relationship construct</w:t>
            </w:r>
          </w:p>
        </w:tc>
      </w:tr>
      <w:tr w:rsidR="00C342BF" w:rsidRPr="001D6B2E" w14:paraId="4391D862" w14:textId="77777777" w:rsidTr="00A216DC">
        <w:trPr>
          <w:cantSplit/>
        </w:trPr>
        <w:tc>
          <w:tcPr>
            <w:tcW w:w="1296" w:type="dxa"/>
            <w:tcMar>
              <w:top w:w="75" w:type="dxa"/>
              <w:left w:w="90" w:type="dxa"/>
              <w:bottom w:w="75" w:type="dxa"/>
              <w:right w:w="90" w:type="dxa"/>
            </w:tcMar>
            <w:vAlign w:val="center"/>
          </w:tcPr>
          <w:p w14:paraId="151E51BF" w14:textId="77777777" w:rsidR="00C342BF" w:rsidRPr="001D6B2E" w:rsidRDefault="00000000">
            <w:pPr>
              <w:spacing w:after="40" w:line="240" w:lineRule="auto"/>
            </w:pPr>
            <w:r w:rsidRPr="001D6B2E">
              <w:rPr>
                <w:sz w:val="15"/>
              </w:rPr>
              <w:t>Sirdeshmukh, Singh and Sabol (2002)</w:t>
            </w:r>
          </w:p>
        </w:tc>
        <w:tc>
          <w:tcPr>
            <w:tcW w:w="1296" w:type="dxa"/>
            <w:tcMar>
              <w:top w:w="75" w:type="dxa"/>
              <w:left w:w="90" w:type="dxa"/>
              <w:bottom w:w="75" w:type="dxa"/>
              <w:right w:w="90" w:type="dxa"/>
            </w:tcMar>
            <w:vAlign w:val="center"/>
          </w:tcPr>
          <w:p w14:paraId="4732BD17" w14:textId="77777777" w:rsidR="00C342BF" w:rsidRPr="001D6B2E" w:rsidRDefault="00000000">
            <w:pPr>
              <w:spacing w:after="40" w:line="240" w:lineRule="auto"/>
            </w:pPr>
            <w:r w:rsidRPr="001D6B2E">
              <w:rPr>
                <w:sz w:val="15"/>
              </w:rPr>
              <w:t>Consumer trust-value-loyalty model</w:t>
            </w:r>
          </w:p>
        </w:tc>
        <w:tc>
          <w:tcPr>
            <w:tcW w:w="1458" w:type="dxa"/>
            <w:tcMar>
              <w:top w:w="75" w:type="dxa"/>
              <w:left w:w="90" w:type="dxa"/>
              <w:bottom w:w="75" w:type="dxa"/>
              <w:right w:w="90" w:type="dxa"/>
            </w:tcMar>
            <w:vAlign w:val="center"/>
          </w:tcPr>
          <w:p w14:paraId="008CF7BF" w14:textId="77777777" w:rsidR="00C342BF" w:rsidRPr="001D6B2E" w:rsidRDefault="00000000">
            <w:pPr>
              <w:spacing w:after="40" w:line="240" w:lineRule="auto"/>
            </w:pPr>
            <w:r w:rsidRPr="001D6B2E">
              <w:rPr>
                <w:sz w:val="15"/>
              </w:rPr>
              <w:t>Competence, benevolence, value, loyalty</w:t>
            </w:r>
          </w:p>
        </w:tc>
        <w:tc>
          <w:tcPr>
            <w:tcW w:w="2430" w:type="dxa"/>
            <w:tcMar>
              <w:top w:w="75" w:type="dxa"/>
              <w:left w:w="90" w:type="dxa"/>
              <w:bottom w:w="75" w:type="dxa"/>
              <w:right w:w="90" w:type="dxa"/>
            </w:tcMar>
            <w:vAlign w:val="center"/>
          </w:tcPr>
          <w:p w14:paraId="3B090C70" w14:textId="77777777" w:rsidR="00C342BF" w:rsidRPr="001D6B2E" w:rsidRDefault="00000000">
            <w:pPr>
              <w:spacing w:after="40" w:line="240" w:lineRule="auto"/>
            </w:pPr>
            <w:r w:rsidRPr="001D6B2E">
              <w:rPr>
                <w:sz w:val="15"/>
              </w:rPr>
              <w:t>Consumer-service theory and empirical model</w:t>
            </w:r>
          </w:p>
        </w:tc>
        <w:tc>
          <w:tcPr>
            <w:tcW w:w="1440" w:type="dxa"/>
            <w:tcMar>
              <w:top w:w="75" w:type="dxa"/>
              <w:left w:w="90" w:type="dxa"/>
              <w:bottom w:w="75" w:type="dxa"/>
              <w:right w:w="90" w:type="dxa"/>
            </w:tcMar>
            <w:vAlign w:val="center"/>
          </w:tcPr>
          <w:p w14:paraId="652F0B6A" w14:textId="77777777" w:rsidR="00C342BF" w:rsidRPr="001D6B2E" w:rsidRDefault="00000000">
            <w:pPr>
              <w:spacing w:after="40" w:line="240" w:lineRule="auto"/>
            </w:pPr>
            <w:r w:rsidRPr="001D6B2E">
              <w:rPr>
                <w:sz w:val="15"/>
              </w:rPr>
              <w:t>Provider conduct and policies shape consumer trust</w:t>
            </w:r>
          </w:p>
        </w:tc>
        <w:tc>
          <w:tcPr>
            <w:tcW w:w="3240" w:type="dxa"/>
            <w:tcMar>
              <w:top w:w="75" w:type="dxa"/>
              <w:left w:w="90" w:type="dxa"/>
              <w:bottom w:w="75" w:type="dxa"/>
              <w:right w:w="90" w:type="dxa"/>
            </w:tcMar>
            <w:vAlign w:val="center"/>
          </w:tcPr>
          <w:p w14:paraId="58D5C7EF" w14:textId="77777777" w:rsidR="00C342BF" w:rsidRPr="001D6B2E" w:rsidRDefault="00000000">
            <w:pPr>
              <w:spacing w:after="40" w:line="240" w:lineRule="auto"/>
            </w:pPr>
            <w:r w:rsidRPr="001D6B2E">
              <w:rPr>
                <w:sz w:val="15"/>
              </w:rPr>
              <w:t>Outcome focus is broader than communication alone</w:t>
            </w:r>
          </w:p>
        </w:tc>
        <w:tc>
          <w:tcPr>
            <w:tcW w:w="3510" w:type="dxa"/>
            <w:tcMar>
              <w:top w:w="75" w:type="dxa"/>
              <w:left w:w="90" w:type="dxa"/>
              <w:bottom w:w="75" w:type="dxa"/>
              <w:right w:w="90" w:type="dxa"/>
            </w:tcMar>
            <w:vAlign w:val="center"/>
          </w:tcPr>
          <w:p w14:paraId="1C640148" w14:textId="77777777" w:rsidR="00C342BF" w:rsidRPr="001D6B2E" w:rsidRDefault="00000000">
            <w:pPr>
              <w:spacing w:after="40" w:line="240" w:lineRule="auto"/>
            </w:pPr>
            <w:r w:rsidRPr="001D6B2E">
              <w:rPr>
                <w:sz w:val="15"/>
              </w:rPr>
              <w:t>Connects supplier conduct signals to trust-related implications</w:t>
            </w:r>
          </w:p>
        </w:tc>
      </w:tr>
      <w:tr w:rsidR="00C342BF" w:rsidRPr="001D6B2E" w14:paraId="42AD065F" w14:textId="77777777" w:rsidTr="00A216DC">
        <w:trPr>
          <w:cantSplit/>
        </w:trPr>
        <w:tc>
          <w:tcPr>
            <w:tcW w:w="1296" w:type="dxa"/>
            <w:shd w:val="clear" w:color="auto" w:fill="F3F4F6"/>
            <w:tcMar>
              <w:top w:w="75" w:type="dxa"/>
              <w:left w:w="90" w:type="dxa"/>
              <w:bottom w:w="75" w:type="dxa"/>
              <w:right w:w="90" w:type="dxa"/>
            </w:tcMar>
            <w:vAlign w:val="center"/>
          </w:tcPr>
          <w:p w14:paraId="4D270E67" w14:textId="77777777" w:rsidR="00C342BF" w:rsidRPr="001D6B2E" w:rsidRDefault="00000000">
            <w:pPr>
              <w:spacing w:after="40" w:line="240" w:lineRule="auto"/>
            </w:pPr>
            <w:r w:rsidRPr="001D6B2E">
              <w:rPr>
                <w:sz w:val="15"/>
              </w:rPr>
              <w:lastRenderedPageBreak/>
              <w:t>Ambrosio-Albala et al. (2020)</w:t>
            </w:r>
          </w:p>
        </w:tc>
        <w:tc>
          <w:tcPr>
            <w:tcW w:w="1296" w:type="dxa"/>
            <w:shd w:val="clear" w:color="auto" w:fill="F3F4F6"/>
            <w:tcMar>
              <w:top w:w="75" w:type="dxa"/>
              <w:left w:w="90" w:type="dxa"/>
              <w:bottom w:w="75" w:type="dxa"/>
              <w:right w:w="90" w:type="dxa"/>
            </w:tcMar>
            <w:vAlign w:val="center"/>
          </w:tcPr>
          <w:p w14:paraId="6E606759" w14:textId="77777777" w:rsidR="00C342BF" w:rsidRPr="001D6B2E" w:rsidRDefault="00000000">
            <w:pPr>
              <w:spacing w:after="40" w:line="240" w:lineRule="auto"/>
            </w:pPr>
            <w:r w:rsidRPr="001D6B2E">
              <w:rPr>
                <w:sz w:val="15"/>
              </w:rPr>
              <w:t>Relational market perspective</w:t>
            </w:r>
          </w:p>
        </w:tc>
        <w:tc>
          <w:tcPr>
            <w:tcW w:w="1458" w:type="dxa"/>
            <w:shd w:val="clear" w:color="auto" w:fill="F3F4F6"/>
            <w:tcMar>
              <w:top w:w="75" w:type="dxa"/>
              <w:left w:w="90" w:type="dxa"/>
              <w:bottom w:w="75" w:type="dxa"/>
              <w:right w:w="90" w:type="dxa"/>
            </w:tcMar>
            <w:vAlign w:val="center"/>
          </w:tcPr>
          <w:p w14:paraId="0369AAAF" w14:textId="77777777" w:rsidR="00C342BF" w:rsidRPr="001D6B2E" w:rsidRDefault="00000000">
            <w:pPr>
              <w:spacing w:after="40" w:line="240" w:lineRule="auto"/>
            </w:pPr>
            <w:r w:rsidRPr="001D6B2E">
              <w:rPr>
                <w:sz w:val="15"/>
              </w:rPr>
              <w:t>Trust, loyalty, information, socio-economic attachments</w:t>
            </w:r>
          </w:p>
        </w:tc>
        <w:tc>
          <w:tcPr>
            <w:tcW w:w="2430" w:type="dxa"/>
            <w:shd w:val="clear" w:color="auto" w:fill="F3F4F6"/>
            <w:tcMar>
              <w:top w:w="75" w:type="dxa"/>
              <w:left w:w="90" w:type="dxa"/>
              <w:bottom w:w="75" w:type="dxa"/>
              <w:right w:w="90" w:type="dxa"/>
            </w:tcMar>
            <w:vAlign w:val="center"/>
          </w:tcPr>
          <w:p w14:paraId="07C5BDE4" w14:textId="77777777" w:rsidR="00C342BF" w:rsidRPr="001D6B2E" w:rsidRDefault="00000000">
            <w:pPr>
              <w:spacing w:after="40" w:line="240" w:lineRule="auto"/>
            </w:pPr>
            <w:r w:rsidRPr="001D6B2E">
              <w:rPr>
                <w:sz w:val="15"/>
              </w:rPr>
              <w:t>Secondary qualitative analysis plus Ofgem survey</w:t>
            </w:r>
          </w:p>
        </w:tc>
        <w:tc>
          <w:tcPr>
            <w:tcW w:w="1440" w:type="dxa"/>
            <w:shd w:val="clear" w:color="auto" w:fill="F3F4F6"/>
            <w:tcMar>
              <w:top w:w="75" w:type="dxa"/>
              <w:left w:w="90" w:type="dxa"/>
              <w:bottom w:w="75" w:type="dxa"/>
              <w:right w:w="90" w:type="dxa"/>
            </w:tcMar>
            <w:vAlign w:val="center"/>
          </w:tcPr>
          <w:p w14:paraId="48127DCA" w14:textId="77777777" w:rsidR="00C342BF" w:rsidRPr="001D6B2E" w:rsidRDefault="00000000">
            <w:pPr>
              <w:spacing w:after="40" w:line="240" w:lineRule="auto"/>
            </w:pPr>
            <w:r w:rsidRPr="001D6B2E">
              <w:rPr>
                <w:sz w:val="15"/>
              </w:rPr>
              <w:t>Energy-poor households do not engage as fully rational market actors</w:t>
            </w:r>
          </w:p>
        </w:tc>
        <w:tc>
          <w:tcPr>
            <w:tcW w:w="3240" w:type="dxa"/>
            <w:shd w:val="clear" w:color="auto" w:fill="F3F4F6"/>
            <w:tcMar>
              <w:top w:w="75" w:type="dxa"/>
              <w:left w:w="90" w:type="dxa"/>
              <w:bottom w:w="75" w:type="dxa"/>
              <w:right w:w="90" w:type="dxa"/>
            </w:tcMar>
            <w:vAlign w:val="center"/>
          </w:tcPr>
          <w:p w14:paraId="08707D70" w14:textId="77777777" w:rsidR="00C342BF" w:rsidRPr="001D6B2E" w:rsidRDefault="00000000">
            <w:pPr>
              <w:spacing w:after="40" w:line="240" w:lineRule="auto"/>
            </w:pPr>
            <w:r w:rsidRPr="001D6B2E">
              <w:rPr>
                <w:sz w:val="15"/>
              </w:rPr>
              <w:t>Does not compare supplier communication systematically</w:t>
            </w:r>
          </w:p>
        </w:tc>
        <w:tc>
          <w:tcPr>
            <w:tcW w:w="3510" w:type="dxa"/>
            <w:shd w:val="clear" w:color="auto" w:fill="F3F4F6"/>
            <w:tcMar>
              <w:top w:w="75" w:type="dxa"/>
              <w:left w:w="90" w:type="dxa"/>
              <w:bottom w:w="75" w:type="dxa"/>
              <w:right w:w="90" w:type="dxa"/>
            </w:tcMar>
            <w:vAlign w:val="center"/>
          </w:tcPr>
          <w:p w14:paraId="5E88D700" w14:textId="77777777" w:rsidR="00C342BF" w:rsidRPr="001D6B2E" w:rsidRDefault="00000000">
            <w:pPr>
              <w:spacing w:after="40" w:line="240" w:lineRule="auto"/>
            </w:pPr>
            <w:r w:rsidRPr="001D6B2E">
              <w:rPr>
                <w:sz w:val="15"/>
              </w:rPr>
              <w:t>Directly links information, trust and energy-poor market engagement</w:t>
            </w:r>
          </w:p>
        </w:tc>
      </w:tr>
      <w:tr w:rsidR="00C342BF" w:rsidRPr="001D6B2E" w14:paraId="51AA1EA9" w14:textId="77777777" w:rsidTr="00A216DC">
        <w:trPr>
          <w:cantSplit/>
        </w:trPr>
        <w:tc>
          <w:tcPr>
            <w:tcW w:w="1296" w:type="dxa"/>
            <w:tcMar>
              <w:top w:w="75" w:type="dxa"/>
              <w:left w:w="90" w:type="dxa"/>
              <w:bottom w:w="75" w:type="dxa"/>
              <w:right w:w="90" w:type="dxa"/>
            </w:tcMar>
            <w:vAlign w:val="center"/>
          </w:tcPr>
          <w:p w14:paraId="02DA4F85" w14:textId="77777777" w:rsidR="00C342BF" w:rsidRPr="001D6B2E" w:rsidRDefault="00000000">
            <w:pPr>
              <w:spacing w:after="40" w:line="240" w:lineRule="auto"/>
            </w:pPr>
            <w:r w:rsidRPr="001D6B2E">
              <w:rPr>
                <w:sz w:val="15"/>
              </w:rPr>
              <w:t>Simcock et al. (2021)</w:t>
            </w:r>
          </w:p>
        </w:tc>
        <w:tc>
          <w:tcPr>
            <w:tcW w:w="1296" w:type="dxa"/>
            <w:tcMar>
              <w:top w:w="75" w:type="dxa"/>
              <w:left w:w="90" w:type="dxa"/>
              <w:bottom w:w="75" w:type="dxa"/>
              <w:right w:w="90" w:type="dxa"/>
            </w:tcMar>
            <w:vAlign w:val="center"/>
          </w:tcPr>
          <w:p w14:paraId="0C294F1A" w14:textId="77777777" w:rsidR="00C342BF" w:rsidRPr="001D6B2E" w:rsidRDefault="00000000">
            <w:pPr>
              <w:spacing w:after="40" w:line="240" w:lineRule="auto"/>
            </w:pPr>
            <w:r w:rsidRPr="001D6B2E">
              <w:rPr>
                <w:sz w:val="15"/>
              </w:rPr>
              <w:t>Double energy vulnerability</w:t>
            </w:r>
          </w:p>
        </w:tc>
        <w:tc>
          <w:tcPr>
            <w:tcW w:w="1458" w:type="dxa"/>
            <w:tcMar>
              <w:top w:w="75" w:type="dxa"/>
              <w:left w:w="90" w:type="dxa"/>
              <w:bottom w:w="75" w:type="dxa"/>
              <w:right w:w="90" w:type="dxa"/>
            </w:tcMar>
            <w:vAlign w:val="center"/>
          </w:tcPr>
          <w:p w14:paraId="27CC4B40" w14:textId="77777777" w:rsidR="00C342BF" w:rsidRPr="001D6B2E" w:rsidRDefault="00000000">
            <w:pPr>
              <w:spacing w:after="40" w:line="240" w:lineRule="auto"/>
            </w:pPr>
            <w:r w:rsidRPr="001D6B2E">
              <w:rPr>
                <w:sz w:val="15"/>
              </w:rPr>
              <w:t>Overlapping energy and transport disadvantage</w:t>
            </w:r>
          </w:p>
        </w:tc>
        <w:tc>
          <w:tcPr>
            <w:tcW w:w="2430" w:type="dxa"/>
            <w:tcMar>
              <w:top w:w="75" w:type="dxa"/>
              <w:left w:w="90" w:type="dxa"/>
              <w:bottom w:w="75" w:type="dxa"/>
              <w:right w:w="90" w:type="dxa"/>
            </w:tcMar>
            <w:vAlign w:val="center"/>
          </w:tcPr>
          <w:p w14:paraId="636FA690" w14:textId="77777777" w:rsidR="00C342BF" w:rsidRPr="001D6B2E" w:rsidRDefault="00000000">
            <w:pPr>
              <w:spacing w:after="40" w:line="240" w:lineRule="auto"/>
            </w:pPr>
            <w:r w:rsidRPr="001D6B2E">
              <w:rPr>
                <w:sz w:val="15"/>
              </w:rPr>
              <w:t>Systematic and narrative review</w:t>
            </w:r>
          </w:p>
        </w:tc>
        <w:tc>
          <w:tcPr>
            <w:tcW w:w="1440" w:type="dxa"/>
            <w:tcMar>
              <w:top w:w="75" w:type="dxa"/>
              <w:left w:w="90" w:type="dxa"/>
              <w:bottom w:w="75" w:type="dxa"/>
              <w:right w:w="90" w:type="dxa"/>
            </w:tcMar>
            <w:vAlign w:val="center"/>
          </w:tcPr>
          <w:p w14:paraId="4D55C87A" w14:textId="77777777" w:rsidR="00C342BF" w:rsidRPr="001D6B2E" w:rsidRDefault="00000000">
            <w:pPr>
              <w:spacing w:after="40" w:line="240" w:lineRule="auto"/>
            </w:pPr>
            <w:r w:rsidRPr="001D6B2E">
              <w:rPr>
                <w:sz w:val="15"/>
              </w:rPr>
              <w:t>Multiple disadvantages can compound vulnerability</w:t>
            </w:r>
          </w:p>
        </w:tc>
        <w:tc>
          <w:tcPr>
            <w:tcW w:w="3240" w:type="dxa"/>
            <w:tcMar>
              <w:top w:w="75" w:type="dxa"/>
              <w:left w:w="90" w:type="dxa"/>
              <w:bottom w:w="75" w:type="dxa"/>
              <w:right w:w="90" w:type="dxa"/>
            </w:tcMar>
            <w:vAlign w:val="center"/>
          </w:tcPr>
          <w:p w14:paraId="6EF8D09A" w14:textId="77777777" w:rsidR="00C342BF" w:rsidRPr="001D6B2E" w:rsidRDefault="00000000">
            <w:pPr>
              <w:spacing w:after="40" w:line="240" w:lineRule="auto"/>
            </w:pPr>
            <w:r w:rsidRPr="001D6B2E">
              <w:rPr>
                <w:sz w:val="15"/>
              </w:rPr>
              <w:t>Global North evidence is heterogeneous</w:t>
            </w:r>
          </w:p>
        </w:tc>
        <w:tc>
          <w:tcPr>
            <w:tcW w:w="3510" w:type="dxa"/>
            <w:tcMar>
              <w:top w:w="75" w:type="dxa"/>
              <w:left w:w="90" w:type="dxa"/>
              <w:bottom w:w="75" w:type="dxa"/>
              <w:right w:w="90" w:type="dxa"/>
            </w:tcMar>
            <w:vAlign w:val="center"/>
          </w:tcPr>
          <w:p w14:paraId="5A678D71" w14:textId="77777777" w:rsidR="00C342BF" w:rsidRPr="001D6B2E" w:rsidRDefault="00000000">
            <w:pPr>
              <w:spacing w:after="40" w:line="240" w:lineRule="auto"/>
            </w:pPr>
            <w:r w:rsidRPr="001D6B2E">
              <w:rPr>
                <w:sz w:val="15"/>
              </w:rPr>
              <w:t>Supports intersectional and dynamic customer coding</w:t>
            </w:r>
          </w:p>
        </w:tc>
      </w:tr>
      <w:tr w:rsidR="00C342BF" w:rsidRPr="001D6B2E" w14:paraId="0E775763" w14:textId="77777777" w:rsidTr="00A216DC">
        <w:trPr>
          <w:cantSplit/>
        </w:trPr>
        <w:tc>
          <w:tcPr>
            <w:tcW w:w="1296" w:type="dxa"/>
            <w:shd w:val="clear" w:color="auto" w:fill="F3F4F6"/>
            <w:tcMar>
              <w:top w:w="75" w:type="dxa"/>
              <w:left w:w="90" w:type="dxa"/>
              <w:bottom w:w="75" w:type="dxa"/>
              <w:right w:w="90" w:type="dxa"/>
            </w:tcMar>
            <w:vAlign w:val="center"/>
          </w:tcPr>
          <w:p w14:paraId="066727D8" w14:textId="77777777" w:rsidR="00C342BF" w:rsidRPr="001D6B2E" w:rsidRDefault="00000000">
            <w:pPr>
              <w:spacing w:after="40" w:line="240" w:lineRule="auto"/>
            </w:pPr>
            <w:r w:rsidRPr="001D6B2E">
              <w:rPr>
                <w:sz w:val="15"/>
              </w:rPr>
              <w:t>Ofgem (2024a)</w:t>
            </w:r>
          </w:p>
        </w:tc>
        <w:tc>
          <w:tcPr>
            <w:tcW w:w="1296" w:type="dxa"/>
            <w:shd w:val="clear" w:color="auto" w:fill="F3F4F6"/>
            <w:tcMar>
              <w:top w:w="75" w:type="dxa"/>
              <w:left w:w="90" w:type="dxa"/>
              <w:bottom w:w="75" w:type="dxa"/>
              <w:right w:w="90" w:type="dxa"/>
            </w:tcMar>
            <w:vAlign w:val="center"/>
          </w:tcPr>
          <w:p w14:paraId="3E7032E8" w14:textId="77777777" w:rsidR="00C342BF" w:rsidRPr="001D6B2E" w:rsidRDefault="00000000">
            <w:pPr>
              <w:spacing w:after="40" w:line="240" w:lineRule="auto"/>
            </w:pPr>
            <w:r w:rsidRPr="001D6B2E">
              <w:rPr>
                <w:sz w:val="15"/>
              </w:rPr>
              <w:t>Affordability-support evidence</w:t>
            </w:r>
          </w:p>
        </w:tc>
        <w:tc>
          <w:tcPr>
            <w:tcW w:w="1458" w:type="dxa"/>
            <w:shd w:val="clear" w:color="auto" w:fill="F3F4F6"/>
            <w:tcMar>
              <w:top w:w="75" w:type="dxa"/>
              <w:left w:w="90" w:type="dxa"/>
              <w:bottom w:w="75" w:type="dxa"/>
              <w:right w:w="90" w:type="dxa"/>
            </w:tcMar>
            <w:vAlign w:val="center"/>
          </w:tcPr>
          <w:p w14:paraId="715DB2EA" w14:textId="77777777" w:rsidR="00C342BF" w:rsidRPr="001D6B2E" w:rsidRDefault="00000000">
            <w:pPr>
              <w:spacing w:after="40" w:line="240" w:lineRule="auto"/>
            </w:pPr>
            <w:r w:rsidRPr="001D6B2E">
              <w:rPr>
                <w:sz w:val="15"/>
              </w:rPr>
              <w:t>Debt, bill understanding, contact, empathy, options</w:t>
            </w:r>
          </w:p>
        </w:tc>
        <w:tc>
          <w:tcPr>
            <w:tcW w:w="2430" w:type="dxa"/>
            <w:shd w:val="clear" w:color="auto" w:fill="F3F4F6"/>
            <w:tcMar>
              <w:top w:w="75" w:type="dxa"/>
              <w:left w:w="90" w:type="dxa"/>
              <w:bottom w:w="75" w:type="dxa"/>
              <w:right w:w="90" w:type="dxa"/>
            </w:tcMar>
            <w:vAlign w:val="center"/>
          </w:tcPr>
          <w:p w14:paraId="32A5A389" w14:textId="77777777" w:rsidR="00C342BF" w:rsidRPr="001D6B2E" w:rsidRDefault="00000000">
            <w:pPr>
              <w:spacing w:after="40" w:line="240" w:lineRule="auto"/>
            </w:pPr>
            <w:r w:rsidRPr="001D6B2E">
              <w:rPr>
                <w:sz w:val="15"/>
              </w:rPr>
              <w:t>31 qualitative interviews in Great Britain</w:t>
            </w:r>
          </w:p>
        </w:tc>
        <w:tc>
          <w:tcPr>
            <w:tcW w:w="1440" w:type="dxa"/>
            <w:shd w:val="clear" w:color="auto" w:fill="F3F4F6"/>
            <w:tcMar>
              <w:top w:w="75" w:type="dxa"/>
              <w:left w:w="90" w:type="dxa"/>
              <w:bottom w:w="75" w:type="dxa"/>
              <w:right w:w="90" w:type="dxa"/>
            </w:tcMar>
            <w:vAlign w:val="center"/>
          </w:tcPr>
          <w:p w14:paraId="177F813C" w14:textId="77777777" w:rsidR="00C342BF" w:rsidRPr="001D6B2E" w:rsidRDefault="00000000">
            <w:pPr>
              <w:spacing w:after="40" w:line="240" w:lineRule="auto"/>
            </w:pPr>
            <w:r w:rsidRPr="001D6B2E">
              <w:rPr>
                <w:sz w:val="15"/>
              </w:rPr>
              <w:t>Experiences vary; customers value understanding and suitable options</w:t>
            </w:r>
          </w:p>
        </w:tc>
        <w:tc>
          <w:tcPr>
            <w:tcW w:w="3240" w:type="dxa"/>
            <w:shd w:val="clear" w:color="auto" w:fill="F3F4F6"/>
            <w:tcMar>
              <w:top w:w="75" w:type="dxa"/>
              <w:left w:w="90" w:type="dxa"/>
              <w:bottom w:w="75" w:type="dxa"/>
              <w:right w:w="90" w:type="dxa"/>
            </w:tcMar>
            <w:vAlign w:val="center"/>
          </w:tcPr>
          <w:p w14:paraId="118D92B2" w14:textId="77777777" w:rsidR="00C342BF" w:rsidRPr="001D6B2E" w:rsidRDefault="00000000">
            <w:pPr>
              <w:spacing w:after="40" w:line="240" w:lineRule="auto"/>
            </w:pPr>
            <w:r w:rsidRPr="001D6B2E">
              <w:rPr>
                <w:sz w:val="15"/>
              </w:rPr>
              <w:t>Small purposive sample; timing overlaps with standards change</w:t>
            </w:r>
          </w:p>
        </w:tc>
        <w:tc>
          <w:tcPr>
            <w:tcW w:w="3510" w:type="dxa"/>
            <w:shd w:val="clear" w:color="auto" w:fill="F3F4F6"/>
            <w:tcMar>
              <w:top w:w="75" w:type="dxa"/>
              <w:left w:w="90" w:type="dxa"/>
              <w:bottom w:w="75" w:type="dxa"/>
              <w:right w:w="90" w:type="dxa"/>
            </w:tcMar>
            <w:vAlign w:val="center"/>
          </w:tcPr>
          <w:p w14:paraId="7F417D78" w14:textId="77777777" w:rsidR="00C342BF" w:rsidRPr="001D6B2E" w:rsidRDefault="00000000">
            <w:pPr>
              <w:spacing w:after="40" w:line="240" w:lineRule="auto"/>
            </w:pPr>
            <w:r w:rsidRPr="001D6B2E">
              <w:rPr>
                <w:sz w:val="15"/>
              </w:rPr>
              <w:t>Provides external criteria for communication quality</w:t>
            </w:r>
          </w:p>
        </w:tc>
      </w:tr>
      <w:tr w:rsidR="00C342BF" w:rsidRPr="001D6B2E" w14:paraId="00C57248" w14:textId="77777777" w:rsidTr="00A216DC">
        <w:trPr>
          <w:cantSplit/>
        </w:trPr>
        <w:tc>
          <w:tcPr>
            <w:tcW w:w="1296" w:type="dxa"/>
            <w:tcMar>
              <w:top w:w="75" w:type="dxa"/>
              <w:left w:w="90" w:type="dxa"/>
              <w:bottom w:w="75" w:type="dxa"/>
              <w:right w:w="90" w:type="dxa"/>
            </w:tcMar>
            <w:vAlign w:val="center"/>
          </w:tcPr>
          <w:p w14:paraId="13602EEF" w14:textId="77777777" w:rsidR="00C342BF" w:rsidRPr="001D6B2E" w:rsidRDefault="00000000">
            <w:pPr>
              <w:spacing w:after="40" w:line="240" w:lineRule="auto"/>
            </w:pPr>
            <w:r w:rsidRPr="001D6B2E">
              <w:rPr>
                <w:sz w:val="15"/>
              </w:rPr>
              <w:t>Ofgem (2024c)</w:t>
            </w:r>
          </w:p>
        </w:tc>
        <w:tc>
          <w:tcPr>
            <w:tcW w:w="1296" w:type="dxa"/>
            <w:tcMar>
              <w:top w:w="75" w:type="dxa"/>
              <w:left w:w="90" w:type="dxa"/>
              <w:bottom w:w="75" w:type="dxa"/>
              <w:right w:w="90" w:type="dxa"/>
            </w:tcMar>
            <w:vAlign w:val="center"/>
          </w:tcPr>
          <w:p w14:paraId="6BF5429D" w14:textId="77777777" w:rsidR="00C342BF" w:rsidRPr="001D6B2E" w:rsidRDefault="00000000">
            <w:pPr>
              <w:spacing w:after="40" w:line="240" w:lineRule="auto"/>
            </w:pPr>
            <w:r w:rsidRPr="001D6B2E">
              <w:rPr>
                <w:sz w:val="15"/>
              </w:rPr>
              <w:t>Lived vulnerability evidence</w:t>
            </w:r>
          </w:p>
        </w:tc>
        <w:tc>
          <w:tcPr>
            <w:tcW w:w="1458" w:type="dxa"/>
            <w:tcMar>
              <w:top w:w="75" w:type="dxa"/>
              <w:left w:w="90" w:type="dxa"/>
              <w:bottom w:w="75" w:type="dxa"/>
              <w:right w:w="90" w:type="dxa"/>
            </w:tcMar>
            <w:vAlign w:val="center"/>
          </w:tcPr>
          <w:p w14:paraId="3B097F4A" w14:textId="77777777" w:rsidR="00C342BF" w:rsidRPr="001D6B2E" w:rsidRDefault="00000000">
            <w:pPr>
              <w:spacing w:after="40" w:line="240" w:lineRule="auto"/>
            </w:pPr>
            <w:r w:rsidRPr="001D6B2E">
              <w:rPr>
                <w:sz w:val="15"/>
              </w:rPr>
              <w:t>Dynamic vulnerability, personalised support, access</w:t>
            </w:r>
          </w:p>
        </w:tc>
        <w:tc>
          <w:tcPr>
            <w:tcW w:w="2430" w:type="dxa"/>
            <w:tcMar>
              <w:top w:w="75" w:type="dxa"/>
              <w:left w:w="90" w:type="dxa"/>
              <w:bottom w:w="75" w:type="dxa"/>
              <w:right w:w="90" w:type="dxa"/>
            </w:tcMar>
            <w:vAlign w:val="center"/>
          </w:tcPr>
          <w:p w14:paraId="76651644" w14:textId="77777777" w:rsidR="00C342BF" w:rsidRPr="001D6B2E" w:rsidRDefault="00000000">
            <w:pPr>
              <w:spacing w:after="40" w:line="240" w:lineRule="auto"/>
            </w:pPr>
            <w:r w:rsidRPr="001D6B2E">
              <w:rPr>
                <w:sz w:val="15"/>
              </w:rPr>
              <w:t>Diary study and follow-up interviews with 40 consumers</w:t>
            </w:r>
          </w:p>
        </w:tc>
        <w:tc>
          <w:tcPr>
            <w:tcW w:w="1440" w:type="dxa"/>
            <w:tcMar>
              <w:top w:w="75" w:type="dxa"/>
              <w:left w:w="90" w:type="dxa"/>
              <w:bottom w:w="75" w:type="dxa"/>
              <w:right w:w="90" w:type="dxa"/>
            </w:tcMar>
            <w:vAlign w:val="center"/>
          </w:tcPr>
          <w:p w14:paraId="1F142D7C" w14:textId="77777777" w:rsidR="00C342BF" w:rsidRPr="001D6B2E" w:rsidRDefault="00000000">
            <w:pPr>
              <w:spacing w:after="40" w:line="240" w:lineRule="auto"/>
            </w:pPr>
            <w:r w:rsidRPr="001D6B2E">
              <w:rPr>
                <w:sz w:val="15"/>
              </w:rPr>
              <w:t>Vulnerability is often not self-identified; proactive help is desired</w:t>
            </w:r>
          </w:p>
        </w:tc>
        <w:tc>
          <w:tcPr>
            <w:tcW w:w="3240" w:type="dxa"/>
            <w:tcMar>
              <w:top w:w="75" w:type="dxa"/>
              <w:left w:w="90" w:type="dxa"/>
              <w:bottom w:w="75" w:type="dxa"/>
              <w:right w:w="90" w:type="dxa"/>
            </w:tcMar>
            <w:vAlign w:val="center"/>
          </w:tcPr>
          <w:p w14:paraId="6421AE69" w14:textId="77777777" w:rsidR="00C342BF" w:rsidRPr="001D6B2E" w:rsidRDefault="00000000">
            <w:pPr>
              <w:spacing w:after="40" w:line="240" w:lineRule="auto"/>
            </w:pPr>
            <w:r w:rsidRPr="001D6B2E">
              <w:rPr>
                <w:sz w:val="15"/>
              </w:rPr>
              <w:t>Qualitative design illuminates mechanisms, not prevalence</w:t>
            </w:r>
          </w:p>
        </w:tc>
        <w:tc>
          <w:tcPr>
            <w:tcW w:w="3510" w:type="dxa"/>
            <w:tcMar>
              <w:top w:w="75" w:type="dxa"/>
              <w:left w:w="90" w:type="dxa"/>
              <w:bottom w:w="75" w:type="dxa"/>
              <w:right w:w="90" w:type="dxa"/>
            </w:tcMar>
            <w:vAlign w:val="center"/>
          </w:tcPr>
          <w:p w14:paraId="7B2CCD1B" w14:textId="77777777" w:rsidR="00C342BF" w:rsidRPr="001D6B2E" w:rsidRDefault="00000000">
            <w:pPr>
              <w:spacing w:after="40" w:line="240" w:lineRule="auto"/>
            </w:pPr>
            <w:r w:rsidRPr="001D6B2E">
              <w:rPr>
                <w:sz w:val="15"/>
              </w:rPr>
              <w:t>Supports recognition and accessibility dimensions</w:t>
            </w:r>
          </w:p>
        </w:tc>
      </w:tr>
      <w:tr w:rsidR="00C342BF" w:rsidRPr="001D6B2E" w14:paraId="1A81C09A" w14:textId="77777777" w:rsidTr="00A216DC">
        <w:trPr>
          <w:cantSplit/>
        </w:trPr>
        <w:tc>
          <w:tcPr>
            <w:tcW w:w="1296" w:type="dxa"/>
            <w:shd w:val="clear" w:color="auto" w:fill="F3F4F6"/>
            <w:tcMar>
              <w:top w:w="75" w:type="dxa"/>
              <w:left w:w="90" w:type="dxa"/>
              <w:bottom w:w="75" w:type="dxa"/>
              <w:right w:w="90" w:type="dxa"/>
            </w:tcMar>
            <w:vAlign w:val="center"/>
          </w:tcPr>
          <w:p w14:paraId="31BDF62B" w14:textId="77777777" w:rsidR="00C342BF" w:rsidRPr="001D6B2E" w:rsidRDefault="00000000">
            <w:pPr>
              <w:spacing w:after="40" w:line="240" w:lineRule="auto"/>
            </w:pPr>
            <w:r w:rsidRPr="001D6B2E">
              <w:rPr>
                <w:sz w:val="15"/>
              </w:rPr>
              <w:t>Ofgem (2025b)</w:t>
            </w:r>
          </w:p>
        </w:tc>
        <w:tc>
          <w:tcPr>
            <w:tcW w:w="1296" w:type="dxa"/>
            <w:shd w:val="clear" w:color="auto" w:fill="F3F4F6"/>
            <w:tcMar>
              <w:top w:w="75" w:type="dxa"/>
              <w:left w:w="90" w:type="dxa"/>
              <w:bottom w:w="75" w:type="dxa"/>
              <w:right w:w="90" w:type="dxa"/>
            </w:tcMar>
            <w:vAlign w:val="center"/>
          </w:tcPr>
          <w:p w14:paraId="5F99AA6F" w14:textId="77777777" w:rsidR="00C342BF" w:rsidRPr="001D6B2E" w:rsidRDefault="00000000">
            <w:pPr>
              <w:spacing w:after="40" w:line="240" w:lineRule="auto"/>
            </w:pPr>
            <w:r w:rsidRPr="001D6B2E">
              <w:rPr>
                <w:sz w:val="15"/>
              </w:rPr>
              <w:t>Consumer Vulnerability Strategy</w:t>
            </w:r>
          </w:p>
        </w:tc>
        <w:tc>
          <w:tcPr>
            <w:tcW w:w="1458" w:type="dxa"/>
            <w:shd w:val="clear" w:color="auto" w:fill="F3F4F6"/>
            <w:tcMar>
              <w:top w:w="75" w:type="dxa"/>
              <w:left w:w="90" w:type="dxa"/>
              <w:bottom w:w="75" w:type="dxa"/>
              <w:right w:w="90" w:type="dxa"/>
            </w:tcMar>
            <w:vAlign w:val="center"/>
          </w:tcPr>
          <w:p w14:paraId="252C4F5C" w14:textId="77777777" w:rsidR="00C342BF" w:rsidRPr="001D6B2E" w:rsidRDefault="00000000">
            <w:pPr>
              <w:spacing w:after="40" w:line="240" w:lineRule="auto"/>
            </w:pPr>
            <w:r w:rsidRPr="001D6B2E">
              <w:rPr>
                <w:sz w:val="15"/>
              </w:rPr>
              <w:t>Tailored communication, ability to pay, inclusion, resolution</w:t>
            </w:r>
          </w:p>
        </w:tc>
        <w:tc>
          <w:tcPr>
            <w:tcW w:w="2430" w:type="dxa"/>
            <w:shd w:val="clear" w:color="auto" w:fill="F3F4F6"/>
            <w:tcMar>
              <w:top w:w="75" w:type="dxa"/>
              <w:left w:w="90" w:type="dxa"/>
              <w:bottom w:w="75" w:type="dxa"/>
              <w:right w:w="90" w:type="dxa"/>
            </w:tcMar>
            <w:vAlign w:val="center"/>
          </w:tcPr>
          <w:p w14:paraId="2FED554A" w14:textId="77777777" w:rsidR="00C342BF" w:rsidRPr="001D6B2E" w:rsidRDefault="00000000">
            <w:pPr>
              <w:spacing w:after="40" w:line="240" w:lineRule="auto"/>
            </w:pPr>
            <w:r w:rsidRPr="001D6B2E">
              <w:rPr>
                <w:sz w:val="15"/>
              </w:rPr>
              <w:t>Regulatory strategy and outcomes framework</w:t>
            </w:r>
          </w:p>
        </w:tc>
        <w:tc>
          <w:tcPr>
            <w:tcW w:w="1440" w:type="dxa"/>
            <w:shd w:val="clear" w:color="auto" w:fill="F3F4F6"/>
            <w:tcMar>
              <w:top w:w="75" w:type="dxa"/>
              <w:left w:w="90" w:type="dxa"/>
              <w:bottom w:w="75" w:type="dxa"/>
              <w:right w:w="90" w:type="dxa"/>
            </w:tcMar>
            <w:vAlign w:val="center"/>
          </w:tcPr>
          <w:p w14:paraId="3EEDBBB1" w14:textId="77777777" w:rsidR="00C342BF" w:rsidRPr="001D6B2E" w:rsidRDefault="00000000">
            <w:pPr>
              <w:spacing w:after="40" w:line="240" w:lineRule="auto"/>
            </w:pPr>
            <w:r w:rsidRPr="001D6B2E">
              <w:rPr>
                <w:sz w:val="15"/>
              </w:rPr>
              <w:t>Suppliers should provide clear, flexible and non-excluding support</w:t>
            </w:r>
          </w:p>
        </w:tc>
        <w:tc>
          <w:tcPr>
            <w:tcW w:w="3240" w:type="dxa"/>
            <w:shd w:val="clear" w:color="auto" w:fill="F3F4F6"/>
            <w:tcMar>
              <w:top w:w="75" w:type="dxa"/>
              <w:left w:w="90" w:type="dxa"/>
              <w:bottom w:w="75" w:type="dxa"/>
              <w:right w:w="90" w:type="dxa"/>
            </w:tcMar>
            <w:vAlign w:val="center"/>
          </w:tcPr>
          <w:p w14:paraId="41465DE7" w14:textId="77777777" w:rsidR="00C342BF" w:rsidRPr="001D6B2E" w:rsidRDefault="00000000">
            <w:pPr>
              <w:spacing w:after="40" w:line="240" w:lineRule="auto"/>
            </w:pPr>
            <w:r w:rsidRPr="001D6B2E">
              <w:rPr>
                <w:sz w:val="15"/>
              </w:rPr>
              <w:t>Standards specify expectations more than customer-level effects</w:t>
            </w:r>
          </w:p>
        </w:tc>
        <w:tc>
          <w:tcPr>
            <w:tcW w:w="3510" w:type="dxa"/>
            <w:shd w:val="clear" w:color="auto" w:fill="F3F4F6"/>
            <w:tcMar>
              <w:top w:w="75" w:type="dxa"/>
              <w:left w:w="90" w:type="dxa"/>
              <w:bottom w:w="75" w:type="dxa"/>
              <w:right w:w="90" w:type="dxa"/>
            </w:tcMar>
            <w:vAlign w:val="center"/>
          </w:tcPr>
          <w:p w14:paraId="438D3046" w14:textId="77777777" w:rsidR="00C342BF" w:rsidRPr="001D6B2E" w:rsidRDefault="00000000">
            <w:pPr>
              <w:spacing w:after="40" w:line="240" w:lineRule="auto"/>
            </w:pPr>
            <w:r w:rsidRPr="001D6B2E">
              <w:rPr>
                <w:sz w:val="15"/>
              </w:rPr>
              <w:t>Provides current regulatory benchmark</w:t>
            </w:r>
          </w:p>
        </w:tc>
      </w:tr>
      <w:tr w:rsidR="00C342BF" w:rsidRPr="001D6B2E" w14:paraId="437C7920" w14:textId="77777777" w:rsidTr="00A216DC">
        <w:trPr>
          <w:cantSplit/>
        </w:trPr>
        <w:tc>
          <w:tcPr>
            <w:tcW w:w="1296" w:type="dxa"/>
            <w:tcMar>
              <w:top w:w="75" w:type="dxa"/>
              <w:left w:w="90" w:type="dxa"/>
              <w:bottom w:w="75" w:type="dxa"/>
              <w:right w:w="90" w:type="dxa"/>
            </w:tcMar>
            <w:vAlign w:val="center"/>
          </w:tcPr>
          <w:p w14:paraId="7EC69F3F" w14:textId="77777777" w:rsidR="00C342BF" w:rsidRPr="001D6B2E" w:rsidRDefault="00000000">
            <w:pPr>
              <w:spacing w:after="40" w:line="240" w:lineRule="auto"/>
            </w:pPr>
            <w:r w:rsidRPr="001D6B2E">
              <w:rPr>
                <w:sz w:val="15"/>
              </w:rPr>
              <w:t>Ofgem (2025a)</w:t>
            </w:r>
          </w:p>
        </w:tc>
        <w:tc>
          <w:tcPr>
            <w:tcW w:w="1296" w:type="dxa"/>
            <w:tcMar>
              <w:top w:w="75" w:type="dxa"/>
              <w:left w:w="90" w:type="dxa"/>
              <w:bottom w:w="75" w:type="dxa"/>
              <w:right w:w="90" w:type="dxa"/>
            </w:tcMar>
            <w:vAlign w:val="center"/>
          </w:tcPr>
          <w:p w14:paraId="24D822C8" w14:textId="77777777" w:rsidR="00C342BF" w:rsidRPr="001D6B2E" w:rsidRDefault="00000000">
            <w:pPr>
              <w:spacing w:after="40" w:line="240" w:lineRule="auto"/>
            </w:pPr>
            <w:r w:rsidRPr="001D6B2E">
              <w:rPr>
                <w:sz w:val="15"/>
              </w:rPr>
              <w:t>Consumer market conditions tracking</w:t>
            </w:r>
          </w:p>
        </w:tc>
        <w:tc>
          <w:tcPr>
            <w:tcW w:w="1458" w:type="dxa"/>
            <w:tcMar>
              <w:top w:w="75" w:type="dxa"/>
              <w:left w:w="90" w:type="dxa"/>
              <w:bottom w:w="75" w:type="dxa"/>
              <w:right w:w="90" w:type="dxa"/>
            </w:tcMar>
            <w:vAlign w:val="center"/>
          </w:tcPr>
          <w:p w14:paraId="12BB25E8" w14:textId="77777777" w:rsidR="00C342BF" w:rsidRPr="001D6B2E" w:rsidRDefault="00000000">
            <w:pPr>
              <w:spacing w:after="40" w:line="240" w:lineRule="auto"/>
            </w:pPr>
            <w:r w:rsidRPr="001D6B2E">
              <w:rPr>
                <w:sz w:val="15"/>
              </w:rPr>
              <w:t>Complexity, fairness, sector and supplier trust</w:t>
            </w:r>
          </w:p>
        </w:tc>
        <w:tc>
          <w:tcPr>
            <w:tcW w:w="2430" w:type="dxa"/>
            <w:tcMar>
              <w:top w:w="75" w:type="dxa"/>
              <w:left w:w="90" w:type="dxa"/>
              <w:bottom w:w="75" w:type="dxa"/>
              <w:right w:w="90" w:type="dxa"/>
            </w:tcMar>
            <w:vAlign w:val="center"/>
          </w:tcPr>
          <w:p w14:paraId="30A9E131" w14:textId="77777777" w:rsidR="00C342BF" w:rsidRPr="001D6B2E" w:rsidRDefault="00000000">
            <w:pPr>
              <w:spacing w:after="40" w:line="240" w:lineRule="auto"/>
            </w:pPr>
            <w:r w:rsidRPr="001D6B2E">
              <w:rPr>
                <w:sz w:val="15"/>
              </w:rPr>
              <w:t>Mixed-mode survey of 3,458 GB respondents</w:t>
            </w:r>
          </w:p>
        </w:tc>
        <w:tc>
          <w:tcPr>
            <w:tcW w:w="1440" w:type="dxa"/>
            <w:tcMar>
              <w:top w:w="75" w:type="dxa"/>
              <w:left w:w="90" w:type="dxa"/>
              <w:bottom w:w="75" w:type="dxa"/>
              <w:right w:w="90" w:type="dxa"/>
            </w:tcMar>
            <w:vAlign w:val="center"/>
          </w:tcPr>
          <w:p w14:paraId="0030D937" w14:textId="77777777" w:rsidR="00C342BF" w:rsidRPr="001D6B2E" w:rsidRDefault="00000000">
            <w:pPr>
              <w:spacing w:after="40" w:line="240" w:lineRule="auto"/>
            </w:pPr>
            <w:r w:rsidRPr="001D6B2E">
              <w:rPr>
                <w:sz w:val="15"/>
              </w:rPr>
              <w:t>Trust in own supplier exceeds trust in sector; complexity remains high</w:t>
            </w:r>
          </w:p>
        </w:tc>
        <w:tc>
          <w:tcPr>
            <w:tcW w:w="3240" w:type="dxa"/>
            <w:tcMar>
              <w:top w:w="75" w:type="dxa"/>
              <w:left w:w="90" w:type="dxa"/>
              <w:bottom w:w="75" w:type="dxa"/>
              <w:right w:w="90" w:type="dxa"/>
            </w:tcMar>
            <w:vAlign w:val="center"/>
          </w:tcPr>
          <w:p w14:paraId="6D09C03C" w14:textId="77777777" w:rsidR="00C342BF" w:rsidRPr="001D6B2E" w:rsidRDefault="00000000">
            <w:pPr>
              <w:spacing w:after="40" w:line="240" w:lineRule="auto"/>
            </w:pPr>
            <w:r w:rsidRPr="001D6B2E">
              <w:rPr>
                <w:sz w:val="15"/>
              </w:rPr>
              <w:t>Aggregate survey cannot explain message-level mechanisms</w:t>
            </w:r>
          </w:p>
        </w:tc>
        <w:tc>
          <w:tcPr>
            <w:tcW w:w="3510" w:type="dxa"/>
            <w:tcMar>
              <w:top w:w="75" w:type="dxa"/>
              <w:left w:w="90" w:type="dxa"/>
              <w:bottom w:w="75" w:type="dxa"/>
              <w:right w:w="90" w:type="dxa"/>
            </w:tcMar>
            <w:vAlign w:val="center"/>
          </w:tcPr>
          <w:p w14:paraId="2A20B2EA" w14:textId="77777777" w:rsidR="00C342BF" w:rsidRPr="001D6B2E" w:rsidRDefault="00000000">
            <w:pPr>
              <w:spacing w:after="40" w:line="240" w:lineRule="auto"/>
            </w:pPr>
            <w:r w:rsidRPr="001D6B2E">
              <w:rPr>
                <w:sz w:val="15"/>
              </w:rPr>
              <w:t>Contextualises the trust-related interpretation</w:t>
            </w:r>
          </w:p>
        </w:tc>
      </w:tr>
      <w:tr w:rsidR="00C342BF" w:rsidRPr="001D6B2E" w14:paraId="4D2B3792" w14:textId="77777777" w:rsidTr="00A216DC">
        <w:trPr>
          <w:cantSplit/>
        </w:trPr>
        <w:tc>
          <w:tcPr>
            <w:tcW w:w="1296" w:type="dxa"/>
            <w:shd w:val="clear" w:color="auto" w:fill="F3F4F6"/>
            <w:tcMar>
              <w:top w:w="75" w:type="dxa"/>
              <w:left w:w="90" w:type="dxa"/>
              <w:bottom w:w="75" w:type="dxa"/>
              <w:right w:w="90" w:type="dxa"/>
            </w:tcMar>
            <w:vAlign w:val="center"/>
          </w:tcPr>
          <w:p w14:paraId="193F8A5B" w14:textId="77777777" w:rsidR="00C342BF" w:rsidRPr="001D6B2E" w:rsidRDefault="00000000">
            <w:pPr>
              <w:spacing w:after="40" w:line="240" w:lineRule="auto"/>
            </w:pPr>
            <w:r w:rsidRPr="001D6B2E">
              <w:rPr>
                <w:sz w:val="15"/>
              </w:rPr>
              <w:t>Powells, Scott and Stockton (2025)</w:t>
            </w:r>
          </w:p>
        </w:tc>
        <w:tc>
          <w:tcPr>
            <w:tcW w:w="1296" w:type="dxa"/>
            <w:shd w:val="clear" w:color="auto" w:fill="F3F4F6"/>
            <w:tcMar>
              <w:top w:w="75" w:type="dxa"/>
              <w:left w:w="90" w:type="dxa"/>
              <w:bottom w:w="75" w:type="dxa"/>
              <w:right w:w="90" w:type="dxa"/>
            </w:tcMar>
            <w:vAlign w:val="center"/>
          </w:tcPr>
          <w:p w14:paraId="35AB94B5" w14:textId="77777777" w:rsidR="00C342BF" w:rsidRPr="001D6B2E" w:rsidRDefault="00000000">
            <w:pPr>
              <w:spacing w:after="40" w:line="240" w:lineRule="auto"/>
            </w:pPr>
            <w:r w:rsidRPr="001D6B2E">
              <w:rPr>
                <w:sz w:val="15"/>
              </w:rPr>
              <w:t>Flexible fuel-poverty identification</w:t>
            </w:r>
          </w:p>
        </w:tc>
        <w:tc>
          <w:tcPr>
            <w:tcW w:w="1458" w:type="dxa"/>
            <w:shd w:val="clear" w:color="auto" w:fill="F3F4F6"/>
            <w:tcMar>
              <w:top w:w="75" w:type="dxa"/>
              <w:left w:w="90" w:type="dxa"/>
              <w:bottom w:w="75" w:type="dxa"/>
              <w:right w:w="90" w:type="dxa"/>
            </w:tcMar>
            <w:vAlign w:val="center"/>
          </w:tcPr>
          <w:p w14:paraId="1274C0D1" w14:textId="77777777" w:rsidR="00C342BF" w:rsidRPr="001D6B2E" w:rsidRDefault="00000000">
            <w:pPr>
              <w:spacing w:after="40" w:line="240" w:lineRule="auto"/>
            </w:pPr>
            <w:r w:rsidRPr="001D6B2E">
              <w:rPr>
                <w:sz w:val="15"/>
              </w:rPr>
              <w:t>Eligibility, visibility, administrative recognition</w:t>
            </w:r>
          </w:p>
        </w:tc>
        <w:tc>
          <w:tcPr>
            <w:tcW w:w="2430" w:type="dxa"/>
            <w:shd w:val="clear" w:color="auto" w:fill="F3F4F6"/>
            <w:tcMar>
              <w:top w:w="75" w:type="dxa"/>
              <w:left w:w="90" w:type="dxa"/>
              <w:bottom w:w="75" w:type="dxa"/>
              <w:right w:w="90" w:type="dxa"/>
            </w:tcMar>
            <w:vAlign w:val="center"/>
          </w:tcPr>
          <w:p w14:paraId="2415DC55" w14:textId="77777777" w:rsidR="00C342BF" w:rsidRPr="001D6B2E" w:rsidRDefault="00000000">
            <w:pPr>
              <w:spacing w:after="40" w:line="240" w:lineRule="auto"/>
            </w:pPr>
            <w:r w:rsidRPr="001D6B2E">
              <w:rPr>
                <w:sz w:val="15"/>
              </w:rPr>
              <w:t>UK policy and empirical analysis</w:t>
            </w:r>
          </w:p>
        </w:tc>
        <w:tc>
          <w:tcPr>
            <w:tcW w:w="1440" w:type="dxa"/>
            <w:shd w:val="clear" w:color="auto" w:fill="F3F4F6"/>
            <w:tcMar>
              <w:top w:w="75" w:type="dxa"/>
              <w:left w:w="90" w:type="dxa"/>
              <w:bottom w:w="75" w:type="dxa"/>
              <w:right w:w="90" w:type="dxa"/>
            </w:tcMar>
            <w:vAlign w:val="center"/>
          </w:tcPr>
          <w:p w14:paraId="75B26A83" w14:textId="77777777" w:rsidR="00C342BF" w:rsidRPr="001D6B2E" w:rsidRDefault="00000000">
            <w:pPr>
              <w:spacing w:after="40" w:line="240" w:lineRule="auto"/>
            </w:pPr>
            <w:r w:rsidRPr="001D6B2E">
              <w:rPr>
                <w:sz w:val="15"/>
              </w:rPr>
              <w:t>Flexible regimes can reveal otherwise missed fuel poverty</w:t>
            </w:r>
          </w:p>
        </w:tc>
        <w:tc>
          <w:tcPr>
            <w:tcW w:w="3240" w:type="dxa"/>
            <w:shd w:val="clear" w:color="auto" w:fill="F3F4F6"/>
            <w:tcMar>
              <w:top w:w="75" w:type="dxa"/>
              <w:left w:w="90" w:type="dxa"/>
              <w:bottom w:w="75" w:type="dxa"/>
              <w:right w:w="90" w:type="dxa"/>
            </w:tcMar>
            <w:vAlign w:val="center"/>
          </w:tcPr>
          <w:p w14:paraId="58AD2849" w14:textId="77777777" w:rsidR="00C342BF" w:rsidRPr="001D6B2E" w:rsidRDefault="00000000">
            <w:pPr>
              <w:spacing w:after="40" w:line="240" w:lineRule="auto"/>
            </w:pPr>
            <w:r w:rsidRPr="001D6B2E">
              <w:rPr>
                <w:sz w:val="15"/>
              </w:rPr>
              <w:t>Focuses on identification rather than communication</w:t>
            </w:r>
          </w:p>
        </w:tc>
        <w:tc>
          <w:tcPr>
            <w:tcW w:w="3510" w:type="dxa"/>
            <w:shd w:val="clear" w:color="auto" w:fill="F3F4F6"/>
            <w:tcMar>
              <w:top w:w="75" w:type="dxa"/>
              <w:left w:w="90" w:type="dxa"/>
              <w:bottom w:w="75" w:type="dxa"/>
              <w:right w:w="90" w:type="dxa"/>
            </w:tcMar>
            <w:vAlign w:val="center"/>
          </w:tcPr>
          <w:p w14:paraId="05EF6CBD" w14:textId="77777777" w:rsidR="00C342BF" w:rsidRPr="001D6B2E" w:rsidRDefault="00000000">
            <w:pPr>
              <w:spacing w:after="40" w:line="240" w:lineRule="auto"/>
            </w:pPr>
            <w:r w:rsidRPr="001D6B2E">
              <w:rPr>
                <w:sz w:val="15"/>
              </w:rPr>
              <w:t>Supports critique of fixed customer categories</w:t>
            </w:r>
          </w:p>
        </w:tc>
      </w:tr>
    </w:tbl>
    <w:p w14:paraId="0DFFBCA0" w14:textId="77777777" w:rsidR="00C342BF" w:rsidRPr="001D6B2E" w:rsidRDefault="00000000">
      <w:pPr>
        <w:pStyle w:val="Caption"/>
        <w:spacing w:line="360" w:lineRule="auto"/>
        <w:jc w:val="center"/>
      </w:pPr>
      <w:r>
        <w:t>Table 2.1: Literature evidence supporting the theoretical framework and analytical dimensions.</w:t>
      </w:r>
    </w:p>
    <w:p w14:paraId="26F3FEC6" w14:textId="77777777" w:rsidR="00C342BF" w:rsidRPr="001D6B2E" w:rsidRDefault="00C342BF">
      <w:pPr>
        <w:sectPr w:rsidR="00C342BF" w:rsidRPr="001D6B2E">
          <w:footerReference w:type="default" r:id="rId14"/>
          <w:pgSz w:w="16834" w:h="11909" w:orient="landscape"/>
          <w:pgMar w:top="1440" w:right="1440" w:bottom="1440" w:left="1440" w:header="720" w:footer="720" w:gutter="0"/>
          <w:cols w:space="720"/>
          <w:docGrid w:linePitch="360"/>
        </w:sectPr>
      </w:pPr>
    </w:p>
    <w:p w14:paraId="7981B1B1" w14:textId="77777777" w:rsidR="00C75E3F" w:rsidRPr="001D6B2E" w:rsidRDefault="00C75E3F" w:rsidP="00C75E3F">
      <w:pPr>
        <w:pStyle w:val="Heading2"/>
        <w:rPr>
          <w:rFonts w:ascii="Times New Roman" w:hAnsi="Times New Roman" w:cs="Times New Roman"/>
          <w:color w:val="1F497D" w:themeColor="text2"/>
          <w:szCs w:val="28"/>
        </w:rPr>
      </w:pPr>
      <w:r w:rsidRPr="001D6B2E">
        <w:rPr>
          <w:rFonts w:ascii="Times New Roman" w:hAnsi="Times New Roman" w:cs="Times New Roman"/>
          <w:szCs w:val="28"/>
        </w:rPr>
        <w:lastRenderedPageBreak/>
        <w:t>2.6 Conclusion</w:t>
      </w:r>
    </w:p>
    <w:p w14:paraId="7F8AC33D" w14:textId="77777777" w:rsidR="00C75E3F" w:rsidRPr="001D6B2E" w:rsidRDefault="00C75E3F" w:rsidP="00C75E3F">
      <w:pPr>
        <w:jc w:val="both"/>
      </w:pPr>
      <w:r w:rsidRPr="001D6B2E">
        <w:t>The literature demonstrates that the research problem cannot be separated from the aspects of affordability, vulnerability, justice, communication and trust. Research on fuel poverty helps to understand how these factors of income, housing and prices interact, and how hardship can be hidden, dynamic and overlapping. Energy-justice scholarship further shows that recognition, distribution and procedure are as important as the existence of a scheme for fair support provision. From a communication research perspective, observable communication features include bill clarity, visibility and contact routes, individualised language and feasible payment methods.</w:t>
      </w:r>
    </w:p>
    <w:p w14:paraId="0971099A" w14:textId="77777777" w:rsidR="00C75E3F" w:rsidRPr="001D6B2E" w:rsidRDefault="00C75E3F" w:rsidP="00C75E3F">
      <w:pPr>
        <w:jc w:val="both"/>
      </w:pPr>
      <w:r w:rsidRPr="001D6B2E">
        <w:t>The principal research gap is the limited comparative analysis of how these principles are communicated by the various retail energy suppliers and the way such communication can be interpreted as evidence of competence, benevolence or integrity. Relational service trust serves as the organising theory but is linked with justice and vulnerability work, thereby ensuring that trust is not divorced from unequal circumstances. The framework represents this position through four communication dimensions and three trustworthiness dimensions.</w:t>
      </w:r>
    </w:p>
    <w:p w14:paraId="508A17F6" w14:textId="77777777" w:rsidR="00C75E3F" w:rsidRPr="001D6B2E" w:rsidRDefault="00C75E3F" w:rsidP="00C75E3F">
      <w:pPr>
        <w:jc w:val="both"/>
      </w:pPr>
      <w:r w:rsidRPr="001D6B2E">
        <w:rPr>
          <w:szCs w:val="24"/>
        </w:rPr>
        <w:t>The framework serves as the link to Chapter 3. Chapter 3 explains the selection, coding and comparison of supplier, regulatory, government, academic, industry and media documents, and the management of version changes and differences between the supplier claims and external documents. The literature therefore supports a secondary qualitative design capable of answering the single research question through transparent comparison.</w:t>
      </w:r>
    </w:p>
    <w:p w14:paraId="5CC608FD" w14:textId="77777777" w:rsidR="00C75E3F" w:rsidRPr="001D6B2E" w:rsidRDefault="00C75E3F" w:rsidP="00C75E3F">
      <w:pPr>
        <w:pStyle w:val="Heading1"/>
        <w:pageBreakBefore/>
        <w:rPr>
          <w:rFonts w:ascii="Times New Roman" w:hAnsi="Times New Roman" w:cs="Times New Roman"/>
          <w:color w:val="1F497D" w:themeColor="text2"/>
          <w:szCs w:val="36"/>
        </w:rPr>
      </w:pPr>
      <w:r w:rsidRPr="001D6B2E">
        <w:rPr>
          <w:rFonts w:ascii="Times New Roman" w:hAnsi="Times New Roman" w:cs="Times New Roman"/>
          <w:szCs w:val="36"/>
        </w:rPr>
        <w:lastRenderedPageBreak/>
        <w:t>Chapter 3: Methodology</w:t>
      </w:r>
    </w:p>
    <w:p w14:paraId="3453BCD5" w14:textId="77777777" w:rsidR="00C75E3F" w:rsidRPr="001D6B2E" w:rsidRDefault="00C75E3F" w:rsidP="00C75E3F">
      <w:pPr>
        <w:pStyle w:val="Heading2"/>
        <w:rPr>
          <w:rFonts w:ascii="Times New Roman" w:hAnsi="Times New Roman" w:cs="Times New Roman"/>
          <w:color w:val="1F497D" w:themeColor="text2"/>
          <w:szCs w:val="28"/>
        </w:rPr>
      </w:pPr>
      <w:r w:rsidRPr="001D6B2E">
        <w:rPr>
          <w:rFonts w:ascii="Times New Roman" w:hAnsi="Times New Roman" w:cs="Times New Roman"/>
          <w:szCs w:val="28"/>
        </w:rPr>
        <w:t>3.1 Introduction</w:t>
      </w:r>
    </w:p>
    <w:p w14:paraId="0B8018F0" w14:textId="77777777" w:rsidR="00C75E3F" w:rsidRPr="001D6B2E" w:rsidRDefault="00C75E3F" w:rsidP="00C75E3F">
      <w:pPr>
        <w:jc w:val="both"/>
      </w:pPr>
      <w:r w:rsidRPr="001D6B2E">
        <w:t>The chapter explains the approach adopted to analyse how British Gas and Octopus Energy communicate support for energy affordability and customers in vulnerable circumstances and the implications for trust that arise in their public communication. It addresses the two research objectives through comparison and analysis of accessibility, transparency, targeting, accountability and trustworthiness signals. E.ON Next, OVO Energy and EDF Energy provide bounded benchmarks for testing whether focal patterns recur among other large suppliers.</w:t>
      </w:r>
    </w:p>
    <w:p w14:paraId="4C4975B2" w14:textId="77777777" w:rsidR="00C75E3F" w:rsidRPr="001D6B2E" w:rsidRDefault="0011663F" w:rsidP="00C75E3F">
      <w:pPr>
        <w:jc w:val="both"/>
      </w:pPr>
      <w:r w:rsidRPr="001D6B2E">
        <w:rPr>
          <w:szCs w:val="24"/>
        </w:rPr>
        <w:t>The research used a secondary qualitative comparative case-study design with two focal cases and three benchmark companies. Public supplier, regulatory, government, academic and selected external documents were examined through framework-guided document analysis and thematic synthesis. The chapter begins by introducing the philosophy, approach, design, selection, collection, analysis, rigour and ethics of the method, then connects these concepts to Chapter 4.</w:t>
      </w:r>
    </w:p>
    <w:p w14:paraId="39350495" w14:textId="77777777" w:rsidR="00C75E3F" w:rsidRPr="001D6B2E" w:rsidRDefault="00C75E3F" w:rsidP="00C75E3F">
      <w:pPr>
        <w:jc w:val="both"/>
      </w:pPr>
      <w:r w:rsidRPr="001D6B2E">
        <w:t>Public supplier support communication is the unit of analysis, not customers or overall company performance. This boundary helps to ensure that communication features are not treated as direct indicators of service delivery or customer trust, while also maintaining the consistency of the design with public secondary evidence.</w:t>
      </w:r>
    </w:p>
    <w:p w14:paraId="41FD9694" w14:textId="77777777" w:rsidR="00C75E3F" w:rsidRPr="001D6B2E" w:rsidRDefault="00C75E3F" w:rsidP="00C75E3F">
      <w:pPr>
        <w:pStyle w:val="Heading2"/>
        <w:rPr>
          <w:rFonts w:ascii="Times New Roman" w:hAnsi="Times New Roman" w:cs="Times New Roman"/>
          <w:color w:val="1F497D" w:themeColor="text2"/>
          <w:szCs w:val="28"/>
        </w:rPr>
      </w:pPr>
      <w:r w:rsidRPr="001D6B2E">
        <w:rPr>
          <w:rFonts w:ascii="Times New Roman" w:hAnsi="Times New Roman" w:cs="Times New Roman"/>
          <w:szCs w:val="28"/>
        </w:rPr>
        <w:t>3.2 Research Philosophy, Approach and Design</w:t>
      </w:r>
    </w:p>
    <w:p w14:paraId="38868C6D" w14:textId="77777777" w:rsidR="00C75E3F" w:rsidRPr="001D6B2E" w:rsidRDefault="00C75E3F" w:rsidP="00C75E3F">
      <w:pPr>
        <w:pStyle w:val="Heading3"/>
        <w:rPr>
          <w:rFonts w:ascii="Times New Roman" w:hAnsi="Times New Roman" w:cs="Times New Roman"/>
          <w:color w:val="1F497D" w:themeColor="text2"/>
        </w:rPr>
      </w:pPr>
      <w:r w:rsidRPr="001D6B2E">
        <w:rPr>
          <w:rFonts w:ascii="Times New Roman" w:hAnsi="Times New Roman" w:cs="Times New Roman"/>
        </w:rPr>
        <w:t>Research philosophy</w:t>
      </w:r>
    </w:p>
    <w:p w14:paraId="1CC5F137" w14:textId="77777777" w:rsidR="00C75E3F" w:rsidRPr="001D6B2E" w:rsidRDefault="00C75E3F" w:rsidP="00C75E3F">
      <w:pPr>
        <w:jc w:val="both"/>
      </w:pPr>
      <w:r w:rsidRPr="001D6B2E">
        <w:t>The study adopts an interpretivist philosophy and a contextual constructionist epistemological position. Understandings of support, vulnerability and trustworthiness are mediated by language, institutional practice and the situation of customers. Supplier pages, reports and regulatory documents are therefore institutional representations produced for particular audiences and purposes rather than direct records of customer experience. This position is suitable because the research does not quantify customer attitudes, but about the way the support is communicated and interpreted. Other source types are likewise treated as situated institutional viewpoints (Saunders, Lewis and Thornhill, 2019).</w:t>
      </w:r>
    </w:p>
    <w:p w14:paraId="70C3869F" w14:textId="77777777" w:rsidR="00C75E3F" w:rsidRPr="001D6B2E" w:rsidRDefault="00C75E3F" w:rsidP="00C75E3F">
      <w:pPr>
        <w:jc w:val="both"/>
      </w:pPr>
      <w:r w:rsidRPr="001D6B2E">
        <w:lastRenderedPageBreak/>
        <w:t>Interpretation is disciplined through source provenance and with reference to the external evidence. Reflexive notes document the researcher's initial thinking about assumptions that may shape coding, enabling interpretations to be traced and revisited.</w:t>
      </w:r>
    </w:p>
    <w:p w14:paraId="18107215" w14:textId="77777777" w:rsidR="00C75E3F" w:rsidRPr="001D6B2E" w:rsidRDefault="00C75E3F" w:rsidP="00C75E3F">
      <w:pPr>
        <w:pStyle w:val="Heading3"/>
        <w:rPr>
          <w:rFonts w:ascii="Times New Roman" w:hAnsi="Times New Roman" w:cs="Times New Roman"/>
          <w:color w:val="1F497D" w:themeColor="text2"/>
        </w:rPr>
      </w:pPr>
      <w:r w:rsidRPr="001D6B2E">
        <w:rPr>
          <w:rFonts w:ascii="Times New Roman" w:hAnsi="Times New Roman" w:cs="Times New Roman"/>
        </w:rPr>
        <w:t>Research approach</w:t>
      </w:r>
    </w:p>
    <w:p w14:paraId="49F54DE5" w14:textId="77777777" w:rsidR="00C75E3F" w:rsidRPr="001D6B2E" w:rsidRDefault="00C75E3F" w:rsidP="00C75E3F">
      <w:pPr>
        <w:jc w:val="both"/>
      </w:pPr>
      <w:r w:rsidRPr="001D6B2E">
        <w:t>The abductive approach involved iteration among the Chapter 2 framework, documentary evidence and developing interpretations. The initial dimensions are related to affordability and vulnerability context; accessibility and visibility; clarity and eligibility; targeting and accommodation; transparency and accountability; and competence, benevolence and integrity signals. They guided first-cycle coding while allowing unexpected omissions, contradictions and patterns to emerge. Abduction was therefore appropriate because it avoided both testing fixed variables and disregarding established concepts (Saunders, Lewis and Thornhill, 2019; Eisenhardt, 1989).</w:t>
      </w:r>
    </w:p>
    <w:p w14:paraId="62BA21DB" w14:textId="77777777" w:rsidR="00C75E3F" w:rsidRPr="001D6B2E" w:rsidRDefault="00C75E3F" w:rsidP="00C75E3F">
      <w:pPr>
        <w:pStyle w:val="Heading3"/>
        <w:rPr>
          <w:rFonts w:ascii="Times New Roman" w:hAnsi="Times New Roman" w:cs="Times New Roman"/>
        </w:rPr>
      </w:pPr>
      <w:r w:rsidRPr="001D6B2E">
        <w:rPr>
          <w:rFonts w:ascii="Times New Roman" w:hAnsi="Times New Roman" w:cs="Times New Roman"/>
        </w:rPr>
        <w:t>Research strategy and design</w:t>
      </w:r>
    </w:p>
    <w:p w14:paraId="19B1BC55" w14:textId="77777777" w:rsidR="00C342BF" w:rsidRPr="001D6B2E" w:rsidRDefault="00A020B6" w:rsidP="00C75E3F">
      <w:pPr>
        <w:jc w:val="both"/>
      </w:pPr>
      <w:r w:rsidRPr="001D6B2E">
        <w:t>The strategy centres on two bounded cases, British Gas and Octopus Energy, supplemented by benchmark evidence from E.ON Next, OVO Energy and EDF Energy. Benchmarks are not full cases, but are used as consistent comparisons on selected dimensions. The case-study method is appropriate for examining a contemporary phenomenon within a context from which it cannot readily be separated (Yin, 2018). The design includes document analysis and focuses on thematic mapping, cross-case comparison and a benchmark check. The methodological choices represented by the Research Onion are summarised in Figure 3.1.</w:t>
      </w:r>
    </w:p>
    <w:p w14:paraId="5292C053" w14:textId="77777777" w:rsidR="00C342BF" w:rsidRPr="001D6B2E" w:rsidRDefault="00000000">
      <w:pPr>
        <w:keepNext/>
        <w:jc w:val="center"/>
      </w:pPr>
      <w:r w:rsidRPr="001D6B2E">
        <w:rPr>
          <w:noProof/>
        </w:rPr>
        <w:lastRenderedPageBreak/>
        <w:drawing>
          <wp:inline distT="0" distB="0" distL="0" distR="0" wp14:anchorId="684681E0" wp14:editId="73F16668">
            <wp:extent cx="5394960" cy="311708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search_onion_methodology.png"/>
                    <pic:cNvPicPr/>
                  </pic:nvPicPr>
                  <pic:blipFill>
                    <a:blip r:embed="rId15"/>
                    <a:stretch>
                      <a:fillRect/>
                    </a:stretch>
                  </pic:blipFill>
                  <pic:spPr>
                    <a:xfrm>
                      <a:off x="0" y="0"/>
                      <a:ext cx="5394960" cy="3117088"/>
                    </a:xfrm>
                    <a:prstGeom prst="rect">
                      <a:avLst/>
                    </a:prstGeom>
                  </pic:spPr>
                </pic:pic>
              </a:graphicData>
            </a:graphic>
          </wp:inline>
        </w:drawing>
      </w:r>
    </w:p>
    <w:p w14:paraId="62E919E0" w14:textId="77777777" w:rsidR="00C342BF" w:rsidRPr="001D6B2E" w:rsidRDefault="00000000">
      <w:pPr>
        <w:pStyle w:val="Caption"/>
        <w:spacing w:line="360" w:lineRule="auto"/>
        <w:jc w:val="center"/>
      </w:pPr>
      <w:r w:rsidRPr="001D6B2E">
        <w:t>Figure 3.1: Research Onion (Saunders et al., 2019)</w:t>
      </w:r>
    </w:p>
    <w:p w14:paraId="23928B88"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3.3 Justification for Case Study Methodology</w:t>
      </w:r>
    </w:p>
    <w:p w14:paraId="47FF9C20" w14:textId="77777777" w:rsidR="00A020B6" w:rsidRPr="001D6B2E" w:rsidRDefault="00A020B6" w:rsidP="00A020B6">
      <w:pPr>
        <w:jc w:val="both"/>
      </w:pPr>
      <w:r w:rsidRPr="001D6B2E">
        <w:t>The research question requires close analysis in terms of the wording, context, support routes, eligibility and the link between claims and external evidence. A case-study design examines these features together within customer-facing documents, regulatory expectations and market conditions, rather than breaking them into distinct variables.</w:t>
      </w:r>
    </w:p>
    <w:p w14:paraId="3415488C" w14:textId="77777777" w:rsidR="00A020B6" w:rsidRPr="001D6B2E" w:rsidRDefault="00A020B6" w:rsidP="00A020B6">
      <w:pPr>
        <w:jc w:val="both"/>
      </w:pPr>
      <w:r w:rsidRPr="001D6B2E">
        <w:t>Secondary evidence is justified since the object of analysis is public communication. Supplier materials outline what each organisation is presenting, regulatory and government sources provide external context, and academic research supplies interpretive concepts. Triangulation of these source families is used to prevent any one supplier's account from determining the final interpretation (Bowen, 2009; Yin, 2018). The role of similarities and differences among the focal cases is to facilitate analytical replication and the role of the benchmark stage is to provide a limited robustness check without altering the title, aim or question. The design does not seek statistical generalisation or claim that public messages prove customer outcomes.</w:t>
      </w:r>
    </w:p>
    <w:p w14:paraId="2F8D034B" w14:textId="77777777" w:rsidR="00C342BF" w:rsidRPr="001D6B2E" w:rsidRDefault="00A020B6" w:rsidP="00A020B6">
      <w:pPr>
        <w:jc w:val="both"/>
      </w:pPr>
      <w:r w:rsidRPr="001D6B2E">
        <w:t>This is an intentional design that is asymmetrical. Giving all five suppliers equal analytical depth would make the detailed focal comparison required by the title impracticable and expand the documentary corpus beyond a feasible scope. The lighter benchmark tier instead tests whether focal patterns have wider market relevance while reserving the British Gas and Octopus Energy conclusions for richer evidence.</w:t>
      </w:r>
    </w:p>
    <w:p w14:paraId="4FC42551"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lastRenderedPageBreak/>
        <w:t>3.4 Case Selection and Sampling Strategy</w:t>
      </w:r>
    </w:p>
    <w:p w14:paraId="32D882CC" w14:textId="77777777" w:rsidR="00EF08B8" w:rsidRPr="001D6B2E" w:rsidRDefault="000A10C0" w:rsidP="00EF08B8">
      <w:pPr>
        <w:jc w:val="both"/>
      </w:pPr>
      <w:r w:rsidRPr="000A10C0">
        <w:t>In the context of the present study, the purposive, theoretically guided sampling divides companies into two analytical levels.</w:t>
      </w:r>
      <w:r>
        <w:t xml:space="preserve"> </w:t>
      </w:r>
      <w:r w:rsidR="00EF08B8" w:rsidRPr="001D6B2E">
        <w:t>The selection of information-rich but manageable focal cases is based on criteria of relevance, contrast, and</w:t>
      </w:r>
      <w:r w:rsidR="00092A4B">
        <w:t xml:space="preserve"> </w:t>
      </w:r>
      <w:r w:rsidR="00092A4B" w:rsidRPr="00092A4B">
        <w:t>capacity to reveal patterns</w:t>
      </w:r>
      <w:r w:rsidR="00EF08B8" w:rsidRPr="001D6B2E">
        <w:t>, but not on the statistical representation of cases (Eisenhardt, 1989; Yin, 2018).</w:t>
      </w:r>
    </w:p>
    <w:p w14:paraId="371E94F1" w14:textId="77777777" w:rsidR="00C342BF" w:rsidRPr="001D6B2E" w:rsidRDefault="00EF08B8" w:rsidP="00EF08B8">
      <w:pPr>
        <w:jc w:val="both"/>
      </w:pPr>
      <w:r w:rsidRPr="001D6B2E">
        <w:t>British Gas and Octopus Energy are focal as they represent two contrasting forms of architecture (incumbent and challenger), are central to the research question and offer adequate evidence for the in-depth analysis of affordability and vulnerability</w:t>
      </w:r>
      <w:r w:rsidR="00A020B6" w:rsidRPr="001D6B2E">
        <w:t>. E.ON Next, OVO Energy and EDF Energy are the reference points as they are the next three largest domestic electricity suppliers on Ofgem's list of largest suppliers for electricity for the end of 2024 (Ofgem, 2025c). The same five-company set thus covers much of the large-supplier market while maintaining analytical focus.</w:t>
      </w:r>
    </w:p>
    <w:tbl>
      <w:tblPr>
        <w:tblStyle w:val="TableGrid"/>
        <w:tblW w:w="0" w:type="auto"/>
        <w:tblLayout w:type="fixed"/>
        <w:tblLook w:val="04A0" w:firstRow="1" w:lastRow="0" w:firstColumn="1" w:lastColumn="0" w:noHBand="0" w:noVBand="1"/>
      </w:tblPr>
      <w:tblGrid>
        <w:gridCol w:w="2232"/>
        <w:gridCol w:w="3024"/>
        <w:gridCol w:w="3816"/>
      </w:tblGrid>
      <w:tr w:rsidR="00C342BF" w:rsidRPr="001D6B2E" w14:paraId="145F9653" w14:textId="77777777">
        <w:trPr>
          <w:cantSplit/>
          <w:tblHeader/>
        </w:trPr>
        <w:tc>
          <w:tcPr>
            <w:tcW w:w="2232" w:type="dxa"/>
            <w:shd w:val="clear" w:color="auto" w:fill="444444"/>
            <w:tcMar>
              <w:top w:w="75" w:type="dxa"/>
              <w:left w:w="90" w:type="dxa"/>
              <w:bottom w:w="75" w:type="dxa"/>
              <w:right w:w="90" w:type="dxa"/>
            </w:tcMar>
            <w:vAlign w:val="center"/>
          </w:tcPr>
          <w:p w14:paraId="2B44AA4F" w14:textId="77777777" w:rsidR="00C342BF" w:rsidRPr="001D6B2E" w:rsidRDefault="00000000">
            <w:pPr>
              <w:keepNext/>
              <w:spacing w:after="40" w:line="240" w:lineRule="auto"/>
              <w:jc w:val="center"/>
            </w:pPr>
            <w:r w:rsidRPr="001D6B2E">
              <w:rPr>
                <w:b/>
                <w:color w:val="FFFFFF"/>
                <w:sz w:val="16"/>
              </w:rPr>
              <w:t>Company and analytical role</w:t>
            </w:r>
          </w:p>
        </w:tc>
        <w:tc>
          <w:tcPr>
            <w:tcW w:w="3024" w:type="dxa"/>
            <w:shd w:val="clear" w:color="auto" w:fill="444444"/>
            <w:tcMar>
              <w:top w:w="75" w:type="dxa"/>
              <w:left w:w="90" w:type="dxa"/>
              <w:bottom w:w="75" w:type="dxa"/>
              <w:right w:w="90" w:type="dxa"/>
            </w:tcMar>
            <w:vAlign w:val="center"/>
          </w:tcPr>
          <w:p w14:paraId="04465A7D" w14:textId="77777777" w:rsidR="00C342BF" w:rsidRPr="001D6B2E" w:rsidRDefault="00000000">
            <w:pPr>
              <w:keepNext/>
              <w:spacing w:after="40" w:line="240" w:lineRule="auto"/>
              <w:jc w:val="center"/>
            </w:pPr>
            <w:r w:rsidRPr="001D6B2E">
              <w:rPr>
                <w:b/>
                <w:color w:val="FFFFFF"/>
                <w:sz w:val="16"/>
              </w:rPr>
              <w:t>Selection rationale</w:t>
            </w:r>
          </w:p>
        </w:tc>
        <w:tc>
          <w:tcPr>
            <w:tcW w:w="3816" w:type="dxa"/>
            <w:shd w:val="clear" w:color="auto" w:fill="444444"/>
            <w:tcMar>
              <w:top w:w="75" w:type="dxa"/>
              <w:left w:w="90" w:type="dxa"/>
              <w:bottom w:w="75" w:type="dxa"/>
              <w:right w:w="90" w:type="dxa"/>
            </w:tcMar>
            <w:vAlign w:val="center"/>
          </w:tcPr>
          <w:p w14:paraId="1A0A3352" w14:textId="77777777" w:rsidR="00C342BF" w:rsidRPr="001D6B2E" w:rsidRDefault="00000000">
            <w:pPr>
              <w:keepNext/>
              <w:spacing w:after="40" w:line="240" w:lineRule="auto"/>
              <w:jc w:val="center"/>
            </w:pPr>
            <w:r w:rsidRPr="001D6B2E">
              <w:rPr>
                <w:b/>
                <w:color w:val="FFFFFF"/>
                <w:sz w:val="16"/>
              </w:rPr>
              <w:t>Main public evidence families</w:t>
            </w:r>
          </w:p>
        </w:tc>
      </w:tr>
      <w:tr w:rsidR="00C342BF" w:rsidRPr="001D6B2E" w14:paraId="78716623" w14:textId="77777777">
        <w:trPr>
          <w:cantSplit/>
        </w:trPr>
        <w:tc>
          <w:tcPr>
            <w:tcW w:w="2232" w:type="dxa"/>
            <w:tcMar>
              <w:top w:w="75" w:type="dxa"/>
              <w:left w:w="90" w:type="dxa"/>
              <w:bottom w:w="75" w:type="dxa"/>
              <w:right w:w="90" w:type="dxa"/>
            </w:tcMar>
            <w:vAlign w:val="center"/>
          </w:tcPr>
          <w:p w14:paraId="3216B735" w14:textId="77777777" w:rsidR="00C342BF" w:rsidRPr="001D6B2E" w:rsidRDefault="00000000">
            <w:pPr>
              <w:keepNext/>
              <w:spacing w:after="40" w:line="240" w:lineRule="auto"/>
            </w:pPr>
            <w:r w:rsidRPr="001D6B2E">
              <w:rPr>
                <w:b/>
                <w:sz w:val="16"/>
              </w:rPr>
              <w:t>British Gas - focal case</w:t>
            </w:r>
          </w:p>
        </w:tc>
        <w:tc>
          <w:tcPr>
            <w:tcW w:w="3024" w:type="dxa"/>
            <w:tcMar>
              <w:top w:w="75" w:type="dxa"/>
              <w:left w:w="90" w:type="dxa"/>
              <w:bottom w:w="75" w:type="dxa"/>
              <w:right w:w="90" w:type="dxa"/>
            </w:tcMar>
            <w:vAlign w:val="center"/>
          </w:tcPr>
          <w:p w14:paraId="2C7F49EA" w14:textId="77777777" w:rsidR="00C342BF" w:rsidRPr="001D6B2E" w:rsidRDefault="00000000">
            <w:pPr>
              <w:keepNext/>
              <w:spacing w:after="40" w:line="240" w:lineRule="auto"/>
            </w:pPr>
            <w:r w:rsidRPr="001D6B2E">
              <w:rPr>
                <w:sz w:val="16"/>
              </w:rPr>
              <w:t>Established large supplier with extensive public support and vulnerability communication</w:t>
            </w:r>
          </w:p>
        </w:tc>
        <w:tc>
          <w:tcPr>
            <w:tcW w:w="3816" w:type="dxa"/>
            <w:tcMar>
              <w:top w:w="75" w:type="dxa"/>
              <w:left w:w="90" w:type="dxa"/>
              <w:bottom w:w="75" w:type="dxa"/>
              <w:right w:w="90" w:type="dxa"/>
            </w:tcMar>
            <w:vAlign w:val="center"/>
          </w:tcPr>
          <w:p w14:paraId="2A4371CC" w14:textId="77777777" w:rsidR="00C342BF" w:rsidRPr="001D6B2E" w:rsidRDefault="00000000">
            <w:pPr>
              <w:keepNext/>
              <w:spacing w:after="40" w:line="240" w:lineRule="auto"/>
            </w:pPr>
            <w:r w:rsidRPr="001D6B2E">
              <w:rPr>
                <w:sz w:val="16"/>
              </w:rPr>
              <w:t>Payment and debt-support pages; Priority Services information; affordability and customer-support announcements; regulatory and media coverage</w:t>
            </w:r>
          </w:p>
        </w:tc>
      </w:tr>
      <w:tr w:rsidR="00C342BF" w:rsidRPr="001D6B2E" w14:paraId="6B15125B" w14:textId="77777777">
        <w:trPr>
          <w:cantSplit/>
        </w:trPr>
        <w:tc>
          <w:tcPr>
            <w:tcW w:w="2232" w:type="dxa"/>
            <w:shd w:val="clear" w:color="auto" w:fill="F3F4F6"/>
            <w:tcMar>
              <w:top w:w="75" w:type="dxa"/>
              <w:left w:w="90" w:type="dxa"/>
              <w:bottom w:w="75" w:type="dxa"/>
              <w:right w:w="90" w:type="dxa"/>
            </w:tcMar>
            <w:vAlign w:val="center"/>
          </w:tcPr>
          <w:p w14:paraId="31685469" w14:textId="77777777" w:rsidR="00C342BF" w:rsidRPr="001D6B2E" w:rsidRDefault="00000000">
            <w:pPr>
              <w:keepNext/>
              <w:spacing w:after="40" w:line="240" w:lineRule="auto"/>
            </w:pPr>
            <w:r w:rsidRPr="001D6B2E">
              <w:rPr>
                <w:b/>
                <w:sz w:val="16"/>
              </w:rPr>
              <w:t>Octopus Energy - focal case</w:t>
            </w:r>
          </w:p>
        </w:tc>
        <w:tc>
          <w:tcPr>
            <w:tcW w:w="3024" w:type="dxa"/>
            <w:shd w:val="clear" w:color="auto" w:fill="F3F4F6"/>
            <w:tcMar>
              <w:top w:w="75" w:type="dxa"/>
              <w:left w:w="90" w:type="dxa"/>
              <w:bottom w:w="75" w:type="dxa"/>
              <w:right w:w="90" w:type="dxa"/>
            </w:tcMar>
            <w:vAlign w:val="center"/>
          </w:tcPr>
          <w:p w14:paraId="0A7B1830" w14:textId="77777777" w:rsidR="00C342BF" w:rsidRPr="001D6B2E" w:rsidRDefault="00000000">
            <w:pPr>
              <w:keepNext/>
              <w:spacing w:after="40" w:line="240" w:lineRule="auto"/>
            </w:pPr>
            <w:r w:rsidRPr="001D6B2E">
              <w:rPr>
                <w:sz w:val="16"/>
              </w:rPr>
              <w:t>Large challenger with a distinct service and digital communication profile</w:t>
            </w:r>
          </w:p>
        </w:tc>
        <w:tc>
          <w:tcPr>
            <w:tcW w:w="3816" w:type="dxa"/>
            <w:shd w:val="clear" w:color="auto" w:fill="F3F4F6"/>
            <w:tcMar>
              <w:top w:w="75" w:type="dxa"/>
              <w:left w:w="90" w:type="dxa"/>
              <w:bottom w:w="75" w:type="dxa"/>
              <w:right w:w="90" w:type="dxa"/>
            </w:tcMar>
            <w:vAlign w:val="center"/>
          </w:tcPr>
          <w:p w14:paraId="2F5BAD53" w14:textId="77777777" w:rsidR="00C342BF" w:rsidRPr="001D6B2E" w:rsidRDefault="00000000">
            <w:pPr>
              <w:keepNext/>
              <w:spacing w:after="40" w:line="240" w:lineRule="auto"/>
            </w:pPr>
            <w:r w:rsidRPr="001D6B2E">
              <w:rPr>
                <w:sz w:val="16"/>
              </w:rPr>
              <w:t>Payment and support guidance; vulnerability and Priority Services information; affordability announcements; regulatory and media coverage</w:t>
            </w:r>
          </w:p>
        </w:tc>
      </w:tr>
      <w:tr w:rsidR="00C342BF" w:rsidRPr="001D6B2E" w14:paraId="7CEF4E25" w14:textId="77777777">
        <w:trPr>
          <w:cantSplit/>
        </w:trPr>
        <w:tc>
          <w:tcPr>
            <w:tcW w:w="2232" w:type="dxa"/>
            <w:tcMar>
              <w:top w:w="75" w:type="dxa"/>
              <w:left w:w="90" w:type="dxa"/>
              <w:bottom w:w="75" w:type="dxa"/>
              <w:right w:w="90" w:type="dxa"/>
            </w:tcMar>
            <w:vAlign w:val="center"/>
          </w:tcPr>
          <w:p w14:paraId="226E18A8" w14:textId="77777777" w:rsidR="00C342BF" w:rsidRPr="001D6B2E" w:rsidRDefault="00000000">
            <w:pPr>
              <w:keepNext/>
              <w:spacing w:after="40" w:line="240" w:lineRule="auto"/>
            </w:pPr>
            <w:r w:rsidRPr="001D6B2E">
              <w:rPr>
                <w:b/>
                <w:sz w:val="16"/>
              </w:rPr>
              <w:t>E.ON Next - benchmark</w:t>
            </w:r>
          </w:p>
        </w:tc>
        <w:tc>
          <w:tcPr>
            <w:tcW w:w="3024" w:type="dxa"/>
            <w:tcMar>
              <w:top w:w="75" w:type="dxa"/>
              <w:left w:w="90" w:type="dxa"/>
              <w:bottom w:w="75" w:type="dxa"/>
              <w:right w:w="90" w:type="dxa"/>
            </w:tcMar>
            <w:vAlign w:val="center"/>
          </w:tcPr>
          <w:p w14:paraId="74B4B893" w14:textId="77777777" w:rsidR="00C342BF" w:rsidRPr="001D6B2E" w:rsidRDefault="00000000">
            <w:pPr>
              <w:keepNext/>
              <w:spacing w:after="40" w:line="240" w:lineRule="auto"/>
            </w:pPr>
            <w:r w:rsidRPr="001D6B2E">
              <w:rPr>
                <w:sz w:val="16"/>
              </w:rPr>
              <w:t>Large supplier providing a market-scale comparison of support visibility and clarity</w:t>
            </w:r>
          </w:p>
        </w:tc>
        <w:tc>
          <w:tcPr>
            <w:tcW w:w="3816" w:type="dxa"/>
            <w:tcMar>
              <w:top w:w="75" w:type="dxa"/>
              <w:left w:w="90" w:type="dxa"/>
              <w:bottom w:w="75" w:type="dxa"/>
              <w:right w:w="90" w:type="dxa"/>
            </w:tcMar>
            <w:vAlign w:val="center"/>
          </w:tcPr>
          <w:p w14:paraId="5419CD8C" w14:textId="77777777" w:rsidR="00C342BF" w:rsidRPr="001D6B2E" w:rsidRDefault="00000000">
            <w:pPr>
              <w:keepNext/>
              <w:spacing w:after="40" w:line="240" w:lineRule="auto"/>
            </w:pPr>
            <w:r w:rsidRPr="001D6B2E">
              <w:rPr>
                <w:sz w:val="16"/>
              </w:rPr>
              <w:t>Payment-help and debt pages; Priority Services information; support announcements; regulatory evidence</w:t>
            </w:r>
          </w:p>
        </w:tc>
      </w:tr>
      <w:tr w:rsidR="00C342BF" w:rsidRPr="001D6B2E" w14:paraId="679ACF0C" w14:textId="77777777">
        <w:trPr>
          <w:cantSplit/>
        </w:trPr>
        <w:tc>
          <w:tcPr>
            <w:tcW w:w="2232" w:type="dxa"/>
            <w:shd w:val="clear" w:color="auto" w:fill="F3F4F6"/>
            <w:tcMar>
              <w:top w:w="75" w:type="dxa"/>
              <w:left w:w="90" w:type="dxa"/>
              <w:bottom w:w="75" w:type="dxa"/>
              <w:right w:w="90" w:type="dxa"/>
            </w:tcMar>
            <w:vAlign w:val="center"/>
          </w:tcPr>
          <w:p w14:paraId="0395DCED" w14:textId="77777777" w:rsidR="00C342BF" w:rsidRPr="001D6B2E" w:rsidRDefault="00000000">
            <w:pPr>
              <w:keepNext/>
              <w:spacing w:after="40" w:line="240" w:lineRule="auto"/>
            </w:pPr>
            <w:r w:rsidRPr="001D6B2E">
              <w:rPr>
                <w:b/>
                <w:sz w:val="16"/>
              </w:rPr>
              <w:t>OVO Energy - benchmark</w:t>
            </w:r>
          </w:p>
        </w:tc>
        <w:tc>
          <w:tcPr>
            <w:tcW w:w="3024" w:type="dxa"/>
            <w:shd w:val="clear" w:color="auto" w:fill="F3F4F6"/>
            <w:tcMar>
              <w:top w:w="75" w:type="dxa"/>
              <w:left w:w="90" w:type="dxa"/>
              <w:bottom w:w="75" w:type="dxa"/>
              <w:right w:w="90" w:type="dxa"/>
            </w:tcMar>
            <w:vAlign w:val="center"/>
          </w:tcPr>
          <w:p w14:paraId="274930C3" w14:textId="77777777" w:rsidR="00C342BF" w:rsidRPr="001D6B2E" w:rsidRDefault="00000000">
            <w:pPr>
              <w:keepNext/>
              <w:spacing w:after="40" w:line="240" w:lineRule="auto"/>
            </w:pPr>
            <w:r w:rsidRPr="001D6B2E">
              <w:rPr>
                <w:sz w:val="16"/>
              </w:rPr>
              <w:t>Large supplier offering comparison across support routes and vulnerability communication</w:t>
            </w:r>
          </w:p>
        </w:tc>
        <w:tc>
          <w:tcPr>
            <w:tcW w:w="3816" w:type="dxa"/>
            <w:shd w:val="clear" w:color="auto" w:fill="F3F4F6"/>
            <w:tcMar>
              <w:top w:w="75" w:type="dxa"/>
              <w:left w:w="90" w:type="dxa"/>
              <w:bottom w:w="75" w:type="dxa"/>
              <w:right w:w="90" w:type="dxa"/>
            </w:tcMar>
            <w:vAlign w:val="center"/>
          </w:tcPr>
          <w:p w14:paraId="3DE07950" w14:textId="77777777" w:rsidR="00C342BF" w:rsidRPr="001D6B2E" w:rsidRDefault="00000000">
            <w:pPr>
              <w:keepNext/>
              <w:spacing w:after="40" w:line="240" w:lineRule="auto"/>
            </w:pPr>
            <w:r w:rsidRPr="001D6B2E">
              <w:rPr>
                <w:sz w:val="16"/>
              </w:rPr>
              <w:t>Payment-support guidance; Priority Services information; affordability initiatives; regulatory evidence</w:t>
            </w:r>
          </w:p>
        </w:tc>
      </w:tr>
      <w:tr w:rsidR="00C342BF" w:rsidRPr="001D6B2E" w14:paraId="2C820CC9" w14:textId="77777777">
        <w:trPr>
          <w:cantSplit/>
        </w:trPr>
        <w:tc>
          <w:tcPr>
            <w:tcW w:w="2232" w:type="dxa"/>
            <w:tcMar>
              <w:top w:w="75" w:type="dxa"/>
              <w:left w:w="90" w:type="dxa"/>
              <w:bottom w:w="75" w:type="dxa"/>
              <w:right w:w="90" w:type="dxa"/>
            </w:tcMar>
            <w:vAlign w:val="center"/>
          </w:tcPr>
          <w:p w14:paraId="3905E929" w14:textId="77777777" w:rsidR="00C342BF" w:rsidRPr="001D6B2E" w:rsidRDefault="00000000">
            <w:pPr>
              <w:spacing w:after="40" w:line="240" w:lineRule="auto"/>
            </w:pPr>
            <w:r w:rsidRPr="001D6B2E">
              <w:rPr>
                <w:b/>
                <w:sz w:val="16"/>
              </w:rPr>
              <w:t>EDF Energy - benchmark</w:t>
            </w:r>
          </w:p>
        </w:tc>
        <w:tc>
          <w:tcPr>
            <w:tcW w:w="3024" w:type="dxa"/>
            <w:tcMar>
              <w:top w:w="75" w:type="dxa"/>
              <w:left w:w="90" w:type="dxa"/>
              <w:bottom w:w="75" w:type="dxa"/>
              <w:right w:w="90" w:type="dxa"/>
            </w:tcMar>
            <w:vAlign w:val="center"/>
          </w:tcPr>
          <w:p w14:paraId="32CE8FA7" w14:textId="77777777" w:rsidR="00C342BF" w:rsidRPr="001D6B2E" w:rsidRDefault="00000000">
            <w:pPr>
              <w:spacing w:after="40" w:line="240" w:lineRule="auto"/>
            </w:pPr>
            <w:r w:rsidRPr="001D6B2E">
              <w:rPr>
                <w:sz w:val="16"/>
              </w:rPr>
              <w:t>Large supplier providing comparison of eligibility, accommodation and accountability signals</w:t>
            </w:r>
          </w:p>
        </w:tc>
        <w:tc>
          <w:tcPr>
            <w:tcW w:w="3816" w:type="dxa"/>
            <w:tcMar>
              <w:top w:w="75" w:type="dxa"/>
              <w:left w:w="90" w:type="dxa"/>
              <w:bottom w:w="75" w:type="dxa"/>
              <w:right w:w="90" w:type="dxa"/>
            </w:tcMar>
            <w:vAlign w:val="center"/>
          </w:tcPr>
          <w:p w14:paraId="3969D7A1" w14:textId="77777777" w:rsidR="00C342BF" w:rsidRPr="001D6B2E" w:rsidRDefault="00000000">
            <w:pPr>
              <w:spacing w:after="40" w:line="240" w:lineRule="auto"/>
            </w:pPr>
            <w:r w:rsidRPr="001D6B2E">
              <w:rPr>
                <w:sz w:val="16"/>
              </w:rPr>
              <w:t>Payment and debt guidance; Priority Services information; support initiatives; regulatory evidence</w:t>
            </w:r>
          </w:p>
        </w:tc>
      </w:tr>
    </w:tbl>
    <w:p w14:paraId="143157EF" w14:textId="77777777" w:rsidR="00C342BF" w:rsidRPr="001D6B2E" w:rsidRDefault="00C342BF">
      <w:pPr>
        <w:spacing w:after="40"/>
      </w:pPr>
    </w:p>
    <w:p w14:paraId="4407284B" w14:textId="77777777" w:rsidR="00C342BF" w:rsidRPr="001D6B2E" w:rsidRDefault="00000000">
      <w:pPr>
        <w:pStyle w:val="Caption"/>
        <w:spacing w:line="360" w:lineRule="auto"/>
        <w:jc w:val="center"/>
      </w:pPr>
      <w:r w:rsidRPr="001D6B2E">
        <w:t>Table 3.1: Company selection and analytical roles.</w:t>
      </w:r>
    </w:p>
    <w:p w14:paraId="61A18F20" w14:textId="77777777" w:rsidR="00A020B6" w:rsidRPr="001D6B2E" w:rsidRDefault="00A020B6" w:rsidP="00A020B6">
      <w:pPr>
        <w:jc w:val="both"/>
      </w:pPr>
      <w:r w:rsidRPr="001D6B2E">
        <w:t>Benchmark cases are examined for support route visibility, eligibility clarity, accommodation, transparency and accountability information. They do not redefine the research question or rank overall performance. This preserves feasibility and enables Chapter 4 to distinguish focal findings from broader market patterns.</w:t>
      </w:r>
    </w:p>
    <w:p w14:paraId="0DFC9C37" w14:textId="77777777" w:rsidR="00A020B6" w:rsidRPr="001D6B2E" w:rsidRDefault="00A020B6" w:rsidP="00A020B6">
      <w:pPr>
        <w:jc w:val="both"/>
      </w:pPr>
      <w:r w:rsidRPr="001D6B2E">
        <w:rPr>
          <w:szCs w:val="24"/>
        </w:rPr>
        <w:t>To be included, a company had to operate in the Great Britain domestic retail market and provide customer-facing material and relevant evidence from credible regulatory sources. Full thematic analysis was conducted for the focal tier, while the benchmark tier provides similar evidence units for a limited matrix. ScottishPower, smaller suppliers and non-</w:t>
      </w:r>
      <w:r w:rsidRPr="001D6B2E">
        <w:rPr>
          <w:szCs w:val="24"/>
        </w:rPr>
        <w:lastRenderedPageBreak/>
        <w:t>domestic businesses remain outside this five-company design, although sector evidence may mention them contextually.</w:t>
      </w:r>
    </w:p>
    <w:p w14:paraId="2F019870" w14:textId="77777777" w:rsidR="00C342BF" w:rsidRPr="001D6B2E" w:rsidRDefault="00A020B6" w:rsidP="00A020B6">
      <w:pPr>
        <w:jc w:val="both"/>
      </w:pPr>
      <w:r w:rsidRPr="001D6B2E">
        <w:t>The focal cases support detailed coding and comparative analysis. Benchmark evidence is then used to classify a pattern as distinctive, shared or inconclusive, with the results reported in Chapter 4 without making any a priori assumptions about the pattern.</w:t>
      </w:r>
    </w:p>
    <w:p w14:paraId="6B41CBD7"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3.5 Data Sources and Data Collection</w:t>
      </w:r>
    </w:p>
    <w:p w14:paraId="5635D810" w14:textId="77777777" w:rsidR="00A020B6" w:rsidRPr="001D6B2E" w:rsidRDefault="00A020B6" w:rsidP="00A020B6">
      <w:pPr>
        <w:jc w:val="both"/>
      </w:pPr>
      <w:r w:rsidRPr="001D6B2E">
        <w:t>Public secondary documents were selected according to relevance, source quality and analytical content. Supplier materials ranged from the payment-help pages, through to debt advice guidance, Priority Services information, contact routes, reports and announcements. They identify framing, eligibility and avenues of action, although they may emphasise positive practice. The empirical period included dated material from 2020 to June 2026 and relevant live supplier webpages captured at the study cut-off.</w:t>
      </w:r>
    </w:p>
    <w:p w14:paraId="6AAEB94C" w14:textId="77777777" w:rsidR="00A020B6" w:rsidRPr="001D6B2E" w:rsidRDefault="00A020B6" w:rsidP="00A020B6">
      <w:pPr>
        <w:jc w:val="both"/>
      </w:pPr>
      <w:r w:rsidRPr="001D6B2E">
        <w:t>Vulnerability expectations, debt guidance and affordability context were drawn from Ofgem and government sources, although sector evidence cannot by itself explain an individual webpage. Chapter 2 provides the academic concepts. Reputable industry and media evidence was used to contextualise or challenge claims but was not treated as regulatory or peer-reviewed evidence.</w:t>
      </w:r>
    </w:p>
    <w:p w14:paraId="4C07907F" w14:textId="77777777" w:rsidR="00A020B6" w:rsidRPr="001D6B2E" w:rsidRDefault="00A020B6" w:rsidP="00A020B6">
      <w:pPr>
        <w:jc w:val="both"/>
      </w:pPr>
      <w:r w:rsidRPr="001D6B2E">
        <w:rPr>
          <w:szCs w:val="24"/>
        </w:rPr>
        <w:t>Included documents were publicly accessible, attributable, relevant to affordability and vulnerability communication, and sufficiently stable to cite. Private data, anonymous social-media commentary and sources with unclear provenance were excluded. The focal corpus comprised six to eight substantive documents per case; each benchmark comprised three to five core documents. Quality and relevance override equal counts. An evidence register records company, analytical role, document type, publication status, URL, relevant passage, communication dimension and corroboration.</w:t>
      </w:r>
    </w:p>
    <w:p w14:paraId="593F2397" w14:textId="77777777" w:rsidR="00A020B6" w:rsidRPr="001D6B2E" w:rsidRDefault="00A020B6" w:rsidP="00A020B6">
      <w:pPr>
        <w:jc w:val="both"/>
      </w:pPr>
      <w:r w:rsidRPr="001D6B2E">
        <w:t>Collection proceeded in two passes: candidate mapping (valid across all five companies) and inclusion screening for the focal depth and benchmark comparability. Page changes were logged, and accessible versions and apparent update status were retained where available. A source-role field was used to separate the benchmark material from the richer focal corpus and to aid traceability without collecting personal information or contacting individuals.</w:t>
      </w:r>
    </w:p>
    <w:p w14:paraId="66452E52" w14:textId="77777777" w:rsidR="00C342BF" w:rsidRPr="001D6B2E" w:rsidRDefault="00A020B6" w:rsidP="00A020B6">
      <w:pPr>
        <w:jc w:val="both"/>
      </w:pPr>
      <w:r w:rsidRPr="001D6B2E">
        <w:t>Duplicate announcements, pages that simply follow a link to another location, and sources without analysable communication content were removed. Where webpages were not date-</w:t>
      </w:r>
      <w:r w:rsidRPr="001D6B2E">
        <w:lastRenderedPageBreak/>
        <w:t>stamped, the capture point and access route were recorded. This enables Chapter 4 to differentiate between current webpage evidence and evidence found in later reports and prevents later wording from being treated as if it was found during the study period.</w:t>
      </w:r>
    </w:p>
    <w:p w14:paraId="070EF129"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3.6 Data Analysis Approach</w:t>
      </w:r>
    </w:p>
    <w:p w14:paraId="63465E8D" w14:textId="77777777" w:rsidR="00A020B6" w:rsidRPr="001D6B2E" w:rsidRDefault="00A020B6" w:rsidP="00A020B6">
      <w:pPr>
        <w:jc w:val="both"/>
      </w:pPr>
      <w:r w:rsidRPr="001D6B2E">
        <w:t>Analysis combined framework-guided document analysis and thematic synthesis of the qualitative data. Documents have an institutional function and were read for content, context, author, audience and limitation (Bowen, 2009). The sequence was structured but flexible and drew on Braun and Clarke (2006, 2021) and Miles, Huberman and Saldaña (2014).</w:t>
      </w:r>
    </w:p>
    <w:p w14:paraId="1DA62AF4" w14:textId="77777777" w:rsidR="00A020B6" w:rsidRPr="001D6B2E" w:rsidRDefault="00A020B6" w:rsidP="00A020B6">
      <w:pPr>
        <w:jc w:val="both"/>
      </w:pPr>
      <w:r w:rsidRPr="001D6B2E">
        <w:t>Deductive codes included affordability context; accessibility; clarity and eligibility; targeting and accommodation; transparency and accountability; and competence, benevolence or integrity signals. Inductive codes were used to identify repeated contradictions, conditional statements and alternate pathways, and omissions. Meaningful absences, such as unexplained eligibility conditions or missing non-digital routes, were also recorded.</w:t>
      </w:r>
    </w:p>
    <w:p w14:paraId="0ACAA36B" w14:textId="77777777" w:rsidR="00A020B6" w:rsidRPr="001D6B2E" w:rsidRDefault="00A020B6" w:rsidP="00A020B6">
      <w:pPr>
        <w:jc w:val="both"/>
      </w:pPr>
      <w:r w:rsidRPr="001D6B2E">
        <w:t>Manual coding followed a sequential process drawing on the principles of thematic analysis (Braun and Clarke, 2006): familiarisation, initial coding, candidate pattern development, review against the entire corpus, and definition of final themes and written synthesis. Codes remained close to the text before being clustered into higher-order communication patterns. The analysis considered explicit content and carefully inferred meaning, with interpretations supported by context and cross-source evidence.</w:t>
      </w:r>
    </w:p>
    <w:p w14:paraId="1AEBEC02" w14:textId="77777777" w:rsidR="00A020B6" w:rsidRPr="001D6B2E" w:rsidRDefault="00A020B6" w:rsidP="00A020B6">
      <w:pPr>
        <w:jc w:val="both"/>
      </w:pPr>
      <w:r w:rsidRPr="001D6B2E">
        <w:rPr>
          <w:szCs w:val="24"/>
        </w:rPr>
        <w:t>The analysis proceeded in three stages. Within-case analysis produced separate accounts for British Gas and Octopus Energy that distinguished supplier claims, conflicting evidence and external corroboration. The focal cases were analysed in relation to the entire set of cases. Finally, E.ON Next, OVO Energy and EDF Energy were mapped against the selected benchmark dimensions. This enabled focal patterns to be classified as distinctive, shared or insufficiently evidenced without giving the benchmarks equivalent narrative depth or treating them as evidence of consumer trust.</w:t>
      </w:r>
    </w:p>
    <w:p w14:paraId="67C9BBAD" w14:textId="77777777" w:rsidR="00A020B6" w:rsidRPr="001D6B2E" w:rsidRDefault="0011663F" w:rsidP="00A020B6">
      <w:pPr>
        <w:jc w:val="both"/>
      </w:pPr>
      <w:r w:rsidRPr="001D6B2E">
        <w:rPr>
          <w:szCs w:val="24"/>
        </w:rPr>
        <w:t>Matrices connect source, company, role, claim, code and bounded trust-related implication. Negative cases, regulatory evidence and alternative explanations were examined before the Chapter 4 synthesis was written, so that evidence was assessed before the focal interpretation was developed.</w:t>
      </w:r>
    </w:p>
    <w:p w14:paraId="4131C978" w14:textId="77777777" w:rsidR="00C342BF" w:rsidRPr="001D6B2E" w:rsidRDefault="00A020B6" w:rsidP="00A020B6">
      <w:pPr>
        <w:jc w:val="both"/>
      </w:pPr>
      <w:r w:rsidRPr="001D6B2E">
        <w:lastRenderedPageBreak/>
        <w:t>The outputs were a focal-case comparison matrix and a five-company benchmark matrix. Frequencies were not treated as statistical results since the number of documents and the form of communication vary. Chapter 4 reports themes using attributable examples and identifies where evidence is absent, mixed or limited.</w:t>
      </w:r>
    </w:p>
    <w:p w14:paraId="2E0AD078"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3.7 Research Quality and Rigour</w:t>
      </w:r>
    </w:p>
    <w:p w14:paraId="6FEC5732" w14:textId="77777777" w:rsidR="00A020B6" w:rsidRPr="001D6B2E" w:rsidRDefault="00A020B6" w:rsidP="00A020B6">
      <w:pPr>
        <w:jc w:val="both"/>
      </w:pPr>
      <w:r w:rsidRPr="001D6B2E">
        <w:t>Quality is guided by credibility, dependability, confirmability and analytical transferability. The communication and trustworthiness dimensions were established before coding, and interpretations were connected to specific passages. Multiple supplier, regulatory, government, academic and selected external sources provide triangulation that reduces reliance on any single source type.</w:t>
      </w:r>
    </w:p>
    <w:p w14:paraId="58D9FD91" w14:textId="77777777" w:rsidR="00A020B6" w:rsidRPr="001D6B2E" w:rsidRDefault="00A020B6" w:rsidP="00A020B6">
      <w:pPr>
        <w:jc w:val="both"/>
      </w:pPr>
      <w:r w:rsidRPr="001D6B2E">
        <w:t>The argument sequence goes from document claim and document context to code to focal comparison to benchmark check and bounded interpretation. Alternative explanations are documented and communication claims are not treated as measured outcomes. Transferability is limited to similar UK retail-energy communication contexts; five companies do not represent the entire market, and benchmark evidence is less detailed. Dependability (Lincoln and Guba, 1985; Nowell et al., 2017) is supported by an evidence log, selection rules, role-labelled matrices, codebook and reflexive notes.</w:t>
      </w:r>
    </w:p>
    <w:p w14:paraId="3DE18CCD" w14:textId="77777777" w:rsidR="00C342BF" w:rsidRPr="001D6B2E" w:rsidRDefault="00A020B6" w:rsidP="00A020B6">
      <w:pPr>
        <w:jc w:val="both"/>
      </w:pPr>
      <w:r w:rsidRPr="001D6B2E">
        <w:t>Inter-coder agreement is not reported because one researcher conducted the study. A codebook defines each code and provides examples, while changes made after early documents are recorded and justified. This makes interpretive judgement transparent rather than obscuring it through an inappropriate agreement statistic (Braun and Clarke, 2021).</w:t>
      </w:r>
    </w:p>
    <w:p w14:paraId="10E3683F"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3.8 Ethical Considerations</w:t>
      </w:r>
    </w:p>
    <w:p w14:paraId="7F22EF35" w14:textId="77777777" w:rsidR="009E3BD0" w:rsidRPr="001D6B2E" w:rsidRDefault="009E3BD0" w:rsidP="009E3BD0">
      <w:pPr>
        <w:jc w:val="both"/>
      </w:pPr>
      <w:r w:rsidRPr="001D6B2E">
        <w:rPr>
          <w:szCs w:val="24"/>
        </w:rPr>
        <w:t>No participants, interviews, surveys or confidential records are used. Consent and participant-distress risks do not arise because no participants are recruited, but there is still a need for responsible use of publicly available material. Sources are referenced accurately, quotations are proportionate, and supplier claims are distinguished from independent evidence.</w:t>
      </w:r>
    </w:p>
    <w:p w14:paraId="7A3FB88A" w14:textId="77777777" w:rsidR="00C342BF" w:rsidRPr="001D6B2E" w:rsidRDefault="009E3BD0" w:rsidP="009E3BD0">
      <w:pPr>
        <w:jc w:val="both"/>
      </w:pPr>
      <w:r w:rsidRPr="001D6B2E">
        <w:t>Unsupported claims, sensational language and selective reporting are avoided. Personal information is not collected or reproduced unless attribution is essential to the analysis. Research files were stored securely in accordance with University requirements for a low-risk secondary study.</w:t>
      </w:r>
    </w:p>
    <w:p w14:paraId="799782BC"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lastRenderedPageBreak/>
        <w:t>3.9 Chapter Summary</w:t>
      </w:r>
    </w:p>
    <w:p w14:paraId="447F6932" w14:textId="77777777" w:rsidR="00C342BF" w:rsidRPr="001D6B2E" w:rsidRDefault="00000000">
      <w:pPr>
        <w:jc w:val="both"/>
      </w:pPr>
      <w:r w:rsidRPr="001D6B2E">
        <w:t>This chapter justified an interpretivist, abductive and comparative case-study design using public secondary documents. British Gas and Octopus Energy remain the focal cases, while E.ON Next, OVO Energy and EDF Energy provide a structured market benchmark. Framework-guided coding, focal synthesis, cross-case comparison and benchmark mapping provide a transparent route from evidence to findings. Source triangulation, role-labelled evidence, bounded claims and ethical safeguards support research quality and feasibility. Chapter 4 now presents the focal findings before testing them against the three benchmark companies.</w:t>
      </w:r>
    </w:p>
    <w:p w14:paraId="66F38997" w14:textId="77777777" w:rsidR="00C342BF" w:rsidRPr="001D6B2E" w:rsidRDefault="00000000">
      <w:pPr>
        <w:pStyle w:val="Heading1"/>
        <w:pageBreakBefore/>
        <w:spacing w:before="240" w:after="80"/>
        <w:rPr>
          <w:rFonts w:ascii="Times New Roman" w:hAnsi="Times New Roman" w:cs="Times New Roman"/>
        </w:rPr>
      </w:pPr>
      <w:r w:rsidRPr="001D6B2E">
        <w:rPr>
          <w:rFonts w:ascii="Times New Roman" w:eastAsia="Times New Roman" w:hAnsi="Times New Roman" w:cs="Times New Roman"/>
        </w:rPr>
        <w:lastRenderedPageBreak/>
        <w:t>Chapter 4: Findings</w:t>
      </w:r>
    </w:p>
    <w:p w14:paraId="27F24B4F" w14:textId="77777777" w:rsidR="00C342BF" w:rsidRPr="001D6B2E" w:rsidRDefault="00000000">
      <w:pPr>
        <w:pStyle w:val="Heading2"/>
        <w:spacing w:before="120" w:after="20"/>
        <w:rPr>
          <w:rFonts w:ascii="Times New Roman" w:hAnsi="Times New Roman" w:cs="Times New Roman"/>
        </w:rPr>
      </w:pPr>
      <w:r w:rsidRPr="001D6B2E">
        <w:rPr>
          <w:rFonts w:ascii="Times New Roman" w:eastAsia="Times New Roman" w:hAnsi="Times New Roman" w:cs="Times New Roman"/>
        </w:rPr>
        <w:t>4.1 Introduction</w:t>
      </w:r>
    </w:p>
    <w:p w14:paraId="153FED4B" w14:textId="77777777" w:rsidR="009E3BD0" w:rsidRPr="001D6B2E" w:rsidRDefault="009E3BD0" w:rsidP="009E3BD0">
      <w:pPr>
        <w:jc w:val="both"/>
      </w:pPr>
      <w:r w:rsidRPr="001D6B2E">
        <w:rPr>
          <w:szCs w:val="24"/>
        </w:rPr>
        <w:t>This chapter presents findings from the analysis of public documents produced by or concerning five major retail-energy suppliers concerning affordability and vulnerable-customer support. British Gas and Octopus Energy are the focal cases because they are central to the research title and question. E.ON Next, OVO Energy and EDF Energy provide benchmark cases that test whether focal communication patterns are shared across the large-supplier market. The retained corpus contains 31 verified supplier, regulatory, market and research sources covering 2020 to June 2026, alongside clearly identified current webpage captures.</w:t>
      </w:r>
    </w:p>
    <w:p w14:paraId="507F16AF" w14:textId="77777777" w:rsidR="00C342BF" w:rsidRPr="001D6B2E" w:rsidRDefault="009E3BD0" w:rsidP="009E3BD0">
      <w:pPr>
        <w:jc w:val="both"/>
      </w:pPr>
      <w:r w:rsidRPr="001D6B2E">
        <w:rPr>
          <w:szCs w:val="24"/>
        </w:rPr>
        <w:t>Four elements are reported in each case: context of the company; challenge of affordability or vulnerability; approach to support as communicated; outcomes or external evidence. Supplier statements are reported as communicated provision rather than proof of delivery. Ofgem findings, survey results and independently-administered support evidence are used separately. This distinction allows the chapter to identify consistencies, contradictions and evidence limitations without claiming that public communication directly caused customer trust. The chapter ends with a cross-case synthesis to establish the basis for theoretical interpretation and an explicit research question answer in Chapter 5.</w:t>
      </w:r>
    </w:p>
    <w:tbl>
      <w:tblPr>
        <w:tblStyle w:val="TableGrid"/>
        <w:tblW w:w="0" w:type="auto"/>
        <w:tblLayout w:type="fixed"/>
        <w:tblLook w:val="04A0" w:firstRow="1" w:lastRow="0" w:firstColumn="1" w:lastColumn="0" w:noHBand="0" w:noVBand="1"/>
      </w:tblPr>
      <w:tblGrid>
        <w:gridCol w:w="1800"/>
        <w:gridCol w:w="1440"/>
        <w:gridCol w:w="1656"/>
        <w:gridCol w:w="4176"/>
      </w:tblGrid>
      <w:tr w:rsidR="00C342BF" w:rsidRPr="001D6B2E" w14:paraId="2FF50817" w14:textId="77777777">
        <w:trPr>
          <w:cantSplit/>
          <w:tblHeader/>
        </w:trPr>
        <w:tc>
          <w:tcPr>
            <w:tcW w:w="1800" w:type="dxa"/>
            <w:shd w:val="clear" w:color="auto" w:fill="444444"/>
            <w:tcMar>
              <w:top w:w="75" w:type="dxa"/>
              <w:left w:w="90" w:type="dxa"/>
              <w:bottom w:w="75" w:type="dxa"/>
              <w:right w:w="90" w:type="dxa"/>
            </w:tcMar>
            <w:vAlign w:val="center"/>
          </w:tcPr>
          <w:p w14:paraId="36961982" w14:textId="77777777" w:rsidR="00C342BF" w:rsidRPr="001D6B2E" w:rsidRDefault="00000000">
            <w:pPr>
              <w:spacing w:after="40" w:line="240" w:lineRule="auto"/>
              <w:jc w:val="center"/>
            </w:pPr>
            <w:r w:rsidRPr="001D6B2E">
              <w:rPr>
                <w:b/>
                <w:color w:val="FFFFFF"/>
                <w:sz w:val="16"/>
              </w:rPr>
              <w:t>Company</w:t>
            </w:r>
          </w:p>
        </w:tc>
        <w:tc>
          <w:tcPr>
            <w:tcW w:w="1440" w:type="dxa"/>
            <w:shd w:val="clear" w:color="auto" w:fill="444444"/>
            <w:tcMar>
              <w:top w:w="75" w:type="dxa"/>
              <w:left w:w="90" w:type="dxa"/>
              <w:bottom w:w="75" w:type="dxa"/>
              <w:right w:w="90" w:type="dxa"/>
            </w:tcMar>
            <w:vAlign w:val="center"/>
          </w:tcPr>
          <w:p w14:paraId="375D5337" w14:textId="77777777" w:rsidR="00C342BF" w:rsidRPr="001D6B2E" w:rsidRDefault="00000000">
            <w:pPr>
              <w:spacing w:after="40" w:line="240" w:lineRule="auto"/>
              <w:jc w:val="center"/>
            </w:pPr>
            <w:r w:rsidRPr="001D6B2E">
              <w:rPr>
                <w:b/>
                <w:color w:val="FFFFFF"/>
                <w:sz w:val="16"/>
              </w:rPr>
              <w:t>Analytical role</w:t>
            </w:r>
          </w:p>
        </w:tc>
        <w:tc>
          <w:tcPr>
            <w:tcW w:w="1656" w:type="dxa"/>
            <w:shd w:val="clear" w:color="auto" w:fill="444444"/>
            <w:tcMar>
              <w:top w:w="75" w:type="dxa"/>
              <w:left w:w="90" w:type="dxa"/>
              <w:bottom w:w="75" w:type="dxa"/>
              <w:right w:w="90" w:type="dxa"/>
            </w:tcMar>
            <w:vAlign w:val="center"/>
          </w:tcPr>
          <w:p w14:paraId="124E274C" w14:textId="77777777" w:rsidR="00C342BF" w:rsidRPr="001D6B2E" w:rsidRDefault="00000000">
            <w:pPr>
              <w:spacing w:after="40" w:line="240" w:lineRule="auto"/>
              <w:jc w:val="center"/>
            </w:pPr>
            <w:r w:rsidRPr="001D6B2E">
              <w:rPr>
                <w:b/>
                <w:color w:val="FFFFFF"/>
                <w:sz w:val="16"/>
              </w:rPr>
              <w:t>Sources applied to case</w:t>
            </w:r>
          </w:p>
        </w:tc>
        <w:tc>
          <w:tcPr>
            <w:tcW w:w="4176" w:type="dxa"/>
            <w:shd w:val="clear" w:color="auto" w:fill="444444"/>
            <w:tcMar>
              <w:top w:w="75" w:type="dxa"/>
              <w:left w:w="90" w:type="dxa"/>
              <w:bottom w:w="75" w:type="dxa"/>
              <w:right w:w="90" w:type="dxa"/>
            </w:tcMar>
            <w:vAlign w:val="center"/>
          </w:tcPr>
          <w:p w14:paraId="5B463891" w14:textId="77777777" w:rsidR="00C342BF" w:rsidRPr="001D6B2E" w:rsidRDefault="00000000">
            <w:pPr>
              <w:spacing w:after="40" w:line="240" w:lineRule="auto"/>
              <w:jc w:val="center"/>
            </w:pPr>
            <w:r w:rsidRPr="001D6B2E">
              <w:rPr>
                <w:b/>
                <w:color w:val="FFFFFF"/>
                <w:sz w:val="16"/>
              </w:rPr>
              <w:t>Main evidence types</w:t>
            </w:r>
          </w:p>
        </w:tc>
      </w:tr>
      <w:tr w:rsidR="00C342BF" w:rsidRPr="001D6B2E" w14:paraId="798408DA" w14:textId="77777777">
        <w:trPr>
          <w:cantSplit/>
        </w:trPr>
        <w:tc>
          <w:tcPr>
            <w:tcW w:w="1800" w:type="dxa"/>
            <w:shd w:val="clear" w:color="auto" w:fill="E8F1F8"/>
            <w:tcMar>
              <w:top w:w="75" w:type="dxa"/>
              <w:left w:w="90" w:type="dxa"/>
              <w:bottom w:w="75" w:type="dxa"/>
              <w:right w:w="90" w:type="dxa"/>
            </w:tcMar>
            <w:vAlign w:val="center"/>
          </w:tcPr>
          <w:p w14:paraId="66442608" w14:textId="77777777" w:rsidR="00C342BF" w:rsidRPr="001D6B2E" w:rsidRDefault="00000000">
            <w:pPr>
              <w:spacing w:after="40" w:line="240" w:lineRule="auto"/>
            </w:pPr>
            <w:r w:rsidRPr="001D6B2E">
              <w:rPr>
                <w:b/>
                <w:sz w:val="16"/>
              </w:rPr>
              <w:t>British Gas</w:t>
            </w:r>
          </w:p>
        </w:tc>
        <w:tc>
          <w:tcPr>
            <w:tcW w:w="1440" w:type="dxa"/>
            <w:shd w:val="clear" w:color="auto" w:fill="E8F1F8"/>
            <w:tcMar>
              <w:top w:w="75" w:type="dxa"/>
              <w:left w:w="90" w:type="dxa"/>
              <w:bottom w:w="75" w:type="dxa"/>
              <w:right w:w="90" w:type="dxa"/>
            </w:tcMar>
            <w:vAlign w:val="center"/>
          </w:tcPr>
          <w:p w14:paraId="5F73EC47" w14:textId="77777777" w:rsidR="00C342BF" w:rsidRPr="001D6B2E" w:rsidRDefault="00000000">
            <w:pPr>
              <w:spacing w:after="40" w:line="240" w:lineRule="auto"/>
            </w:pPr>
            <w:r w:rsidRPr="001D6B2E">
              <w:rPr>
                <w:sz w:val="16"/>
              </w:rPr>
              <w:t>Focal case</w:t>
            </w:r>
          </w:p>
        </w:tc>
        <w:tc>
          <w:tcPr>
            <w:tcW w:w="1656" w:type="dxa"/>
            <w:shd w:val="clear" w:color="auto" w:fill="E8F1F8"/>
            <w:tcMar>
              <w:top w:w="75" w:type="dxa"/>
              <w:left w:w="90" w:type="dxa"/>
              <w:bottom w:w="75" w:type="dxa"/>
              <w:right w:w="90" w:type="dxa"/>
            </w:tcMar>
            <w:vAlign w:val="center"/>
          </w:tcPr>
          <w:p w14:paraId="7D3C44CB" w14:textId="77777777" w:rsidR="00C342BF" w:rsidRPr="001D6B2E" w:rsidRDefault="00000000">
            <w:pPr>
              <w:spacing w:after="40" w:line="240" w:lineRule="auto"/>
            </w:pPr>
            <w:r w:rsidRPr="001D6B2E">
              <w:rPr>
                <w:sz w:val="16"/>
              </w:rPr>
              <w:t>11 sources</w:t>
            </w:r>
          </w:p>
        </w:tc>
        <w:tc>
          <w:tcPr>
            <w:tcW w:w="4176" w:type="dxa"/>
            <w:shd w:val="clear" w:color="auto" w:fill="E8F1F8"/>
            <w:tcMar>
              <w:top w:w="75" w:type="dxa"/>
              <w:left w:w="90" w:type="dxa"/>
              <w:bottom w:w="75" w:type="dxa"/>
              <w:right w:w="90" w:type="dxa"/>
            </w:tcMar>
            <w:vAlign w:val="center"/>
          </w:tcPr>
          <w:p w14:paraId="0C281A42" w14:textId="77777777" w:rsidR="00C342BF" w:rsidRPr="001D6B2E" w:rsidRDefault="00000000">
            <w:pPr>
              <w:spacing w:after="40" w:line="240" w:lineRule="auto"/>
            </w:pPr>
            <w:r w:rsidRPr="001D6B2E">
              <w:rPr>
                <w:sz w:val="16"/>
              </w:rPr>
              <w:t>Supplier pages; BGET impact report; Centrica annual report; Ofgem reviews and survey</w:t>
            </w:r>
          </w:p>
        </w:tc>
      </w:tr>
      <w:tr w:rsidR="00C342BF" w:rsidRPr="001D6B2E" w14:paraId="712FCE37" w14:textId="77777777">
        <w:trPr>
          <w:cantSplit/>
        </w:trPr>
        <w:tc>
          <w:tcPr>
            <w:tcW w:w="1800" w:type="dxa"/>
            <w:shd w:val="clear" w:color="auto" w:fill="E8F1F8"/>
            <w:tcMar>
              <w:top w:w="75" w:type="dxa"/>
              <w:left w:w="90" w:type="dxa"/>
              <w:bottom w:w="75" w:type="dxa"/>
              <w:right w:w="90" w:type="dxa"/>
            </w:tcMar>
            <w:vAlign w:val="center"/>
          </w:tcPr>
          <w:p w14:paraId="595479D9" w14:textId="77777777" w:rsidR="00C342BF" w:rsidRPr="001D6B2E" w:rsidRDefault="00000000">
            <w:pPr>
              <w:spacing w:after="40" w:line="240" w:lineRule="auto"/>
            </w:pPr>
            <w:r w:rsidRPr="001D6B2E">
              <w:rPr>
                <w:b/>
                <w:sz w:val="16"/>
              </w:rPr>
              <w:t>Octopus Energy</w:t>
            </w:r>
          </w:p>
        </w:tc>
        <w:tc>
          <w:tcPr>
            <w:tcW w:w="1440" w:type="dxa"/>
            <w:shd w:val="clear" w:color="auto" w:fill="E8F1F8"/>
            <w:tcMar>
              <w:top w:w="75" w:type="dxa"/>
              <w:left w:w="90" w:type="dxa"/>
              <w:bottom w:w="75" w:type="dxa"/>
              <w:right w:w="90" w:type="dxa"/>
            </w:tcMar>
            <w:vAlign w:val="center"/>
          </w:tcPr>
          <w:p w14:paraId="18D34DD4" w14:textId="77777777" w:rsidR="00C342BF" w:rsidRPr="001D6B2E" w:rsidRDefault="00000000">
            <w:pPr>
              <w:spacing w:after="40" w:line="240" w:lineRule="auto"/>
            </w:pPr>
            <w:r w:rsidRPr="001D6B2E">
              <w:rPr>
                <w:sz w:val="16"/>
              </w:rPr>
              <w:t>Focal case</w:t>
            </w:r>
          </w:p>
        </w:tc>
        <w:tc>
          <w:tcPr>
            <w:tcW w:w="1656" w:type="dxa"/>
            <w:shd w:val="clear" w:color="auto" w:fill="E8F1F8"/>
            <w:tcMar>
              <w:top w:w="75" w:type="dxa"/>
              <w:left w:w="90" w:type="dxa"/>
              <w:bottom w:w="75" w:type="dxa"/>
              <w:right w:w="90" w:type="dxa"/>
            </w:tcMar>
            <w:vAlign w:val="center"/>
          </w:tcPr>
          <w:p w14:paraId="7D5D893D" w14:textId="77777777" w:rsidR="00C342BF" w:rsidRPr="001D6B2E" w:rsidRDefault="00000000">
            <w:pPr>
              <w:spacing w:after="40" w:line="240" w:lineRule="auto"/>
            </w:pPr>
            <w:r w:rsidRPr="001D6B2E">
              <w:rPr>
                <w:sz w:val="16"/>
              </w:rPr>
              <w:t>11 sources</w:t>
            </w:r>
          </w:p>
        </w:tc>
        <w:tc>
          <w:tcPr>
            <w:tcW w:w="4176" w:type="dxa"/>
            <w:shd w:val="clear" w:color="auto" w:fill="E8F1F8"/>
            <w:tcMar>
              <w:top w:w="75" w:type="dxa"/>
              <w:left w:w="90" w:type="dxa"/>
              <w:bottom w:w="75" w:type="dxa"/>
              <w:right w:w="90" w:type="dxa"/>
            </w:tcMar>
            <w:vAlign w:val="center"/>
          </w:tcPr>
          <w:p w14:paraId="0866F774" w14:textId="77777777" w:rsidR="00C342BF" w:rsidRPr="001D6B2E" w:rsidRDefault="00000000">
            <w:pPr>
              <w:spacing w:after="40" w:line="240" w:lineRule="auto"/>
            </w:pPr>
            <w:r w:rsidRPr="001D6B2E">
              <w:rPr>
                <w:sz w:val="16"/>
              </w:rPr>
              <w:t>Supplier pages; annual report; Ofgem reviews, compliance outcome and survey</w:t>
            </w:r>
          </w:p>
        </w:tc>
      </w:tr>
      <w:tr w:rsidR="00C342BF" w:rsidRPr="001D6B2E" w14:paraId="206FC246" w14:textId="77777777">
        <w:trPr>
          <w:cantSplit/>
        </w:trPr>
        <w:tc>
          <w:tcPr>
            <w:tcW w:w="1800" w:type="dxa"/>
            <w:tcMar>
              <w:top w:w="75" w:type="dxa"/>
              <w:left w:w="90" w:type="dxa"/>
              <w:bottom w:w="75" w:type="dxa"/>
              <w:right w:w="90" w:type="dxa"/>
            </w:tcMar>
            <w:vAlign w:val="center"/>
          </w:tcPr>
          <w:p w14:paraId="52071335" w14:textId="77777777" w:rsidR="00C342BF" w:rsidRPr="001D6B2E" w:rsidRDefault="00000000">
            <w:pPr>
              <w:spacing w:after="40" w:line="240" w:lineRule="auto"/>
            </w:pPr>
            <w:r w:rsidRPr="001D6B2E">
              <w:rPr>
                <w:b/>
                <w:sz w:val="16"/>
              </w:rPr>
              <w:t>E.ON Next</w:t>
            </w:r>
          </w:p>
        </w:tc>
        <w:tc>
          <w:tcPr>
            <w:tcW w:w="1440" w:type="dxa"/>
            <w:tcMar>
              <w:top w:w="75" w:type="dxa"/>
              <w:left w:w="90" w:type="dxa"/>
              <w:bottom w:w="75" w:type="dxa"/>
              <w:right w:w="90" w:type="dxa"/>
            </w:tcMar>
            <w:vAlign w:val="center"/>
          </w:tcPr>
          <w:p w14:paraId="7478C26D" w14:textId="77777777" w:rsidR="00C342BF" w:rsidRPr="001D6B2E" w:rsidRDefault="00000000">
            <w:pPr>
              <w:spacing w:after="40" w:line="240" w:lineRule="auto"/>
            </w:pPr>
            <w:r w:rsidRPr="001D6B2E">
              <w:rPr>
                <w:sz w:val="16"/>
              </w:rPr>
              <w:t>Benchmark</w:t>
            </w:r>
          </w:p>
        </w:tc>
        <w:tc>
          <w:tcPr>
            <w:tcW w:w="1656" w:type="dxa"/>
            <w:tcMar>
              <w:top w:w="75" w:type="dxa"/>
              <w:left w:w="90" w:type="dxa"/>
              <w:bottom w:w="75" w:type="dxa"/>
              <w:right w:w="90" w:type="dxa"/>
            </w:tcMar>
            <w:vAlign w:val="center"/>
          </w:tcPr>
          <w:p w14:paraId="57C7B832" w14:textId="77777777" w:rsidR="00C342BF" w:rsidRPr="001D6B2E" w:rsidRDefault="00000000">
            <w:pPr>
              <w:spacing w:after="40" w:line="240" w:lineRule="auto"/>
            </w:pPr>
            <w:r w:rsidRPr="001D6B2E">
              <w:rPr>
                <w:sz w:val="16"/>
              </w:rPr>
              <w:t>9 sources</w:t>
            </w:r>
          </w:p>
        </w:tc>
        <w:tc>
          <w:tcPr>
            <w:tcW w:w="4176" w:type="dxa"/>
            <w:tcMar>
              <w:top w:w="75" w:type="dxa"/>
              <w:left w:w="90" w:type="dxa"/>
              <w:bottom w:w="75" w:type="dxa"/>
              <w:right w:w="90" w:type="dxa"/>
            </w:tcMar>
            <w:vAlign w:val="center"/>
          </w:tcPr>
          <w:p w14:paraId="23F245E2" w14:textId="77777777" w:rsidR="00C342BF" w:rsidRPr="001D6B2E" w:rsidRDefault="00000000">
            <w:pPr>
              <w:spacing w:after="40" w:line="240" w:lineRule="auto"/>
            </w:pPr>
            <w:r w:rsidRPr="001D6B2E">
              <w:rPr>
                <w:sz w:val="16"/>
              </w:rPr>
              <w:t>Supplier pages; Ofgem reviews, compliance outcome and survey</w:t>
            </w:r>
          </w:p>
        </w:tc>
      </w:tr>
      <w:tr w:rsidR="00C342BF" w:rsidRPr="001D6B2E" w14:paraId="15AAB573" w14:textId="77777777">
        <w:trPr>
          <w:cantSplit/>
        </w:trPr>
        <w:tc>
          <w:tcPr>
            <w:tcW w:w="1800" w:type="dxa"/>
            <w:shd w:val="clear" w:color="auto" w:fill="F3F4F6"/>
            <w:tcMar>
              <w:top w:w="75" w:type="dxa"/>
              <w:left w:w="90" w:type="dxa"/>
              <w:bottom w:w="75" w:type="dxa"/>
              <w:right w:w="90" w:type="dxa"/>
            </w:tcMar>
            <w:vAlign w:val="center"/>
          </w:tcPr>
          <w:p w14:paraId="7A7CC2BB" w14:textId="77777777" w:rsidR="00C342BF" w:rsidRPr="001D6B2E" w:rsidRDefault="00000000">
            <w:pPr>
              <w:spacing w:after="40" w:line="240" w:lineRule="auto"/>
            </w:pPr>
            <w:r w:rsidRPr="001D6B2E">
              <w:rPr>
                <w:b/>
                <w:sz w:val="16"/>
              </w:rPr>
              <w:t>OVO Energy</w:t>
            </w:r>
          </w:p>
        </w:tc>
        <w:tc>
          <w:tcPr>
            <w:tcW w:w="1440" w:type="dxa"/>
            <w:shd w:val="clear" w:color="auto" w:fill="F3F4F6"/>
            <w:tcMar>
              <w:top w:w="75" w:type="dxa"/>
              <w:left w:w="90" w:type="dxa"/>
              <w:bottom w:w="75" w:type="dxa"/>
              <w:right w:w="90" w:type="dxa"/>
            </w:tcMar>
            <w:vAlign w:val="center"/>
          </w:tcPr>
          <w:p w14:paraId="1F476ED4" w14:textId="77777777" w:rsidR="00C342BF" w:rsidRPr="001D6B2E" w:rsidRDefault="00000000">
            <w:pPr>
              <w:spacing w:after="40" w:line="240" w:lineRule="auto"/>
            </w:pPr>
            <w:r w:rsidRPr="001D6B2E">
              <w:rPr>
                <w:sz w:val="16"/>
              </w:rPr>
              <w:t>Benchmark</w:t>
            </w:r>
          </w:p>
        </w:tc>
        <w:tc>
          <w:tcPr>
            <w:tcW w:w="1656" w:type="dxa"/>
            <w:shd w:val="clear" w:color="auto" w:fill="F3F4F6"/>
            <w:tcMar>
              <w:top w:w="75" w:type="dxa"/>
              <w:left w:w="90" w:type="dxa"/>
              <w:bottom w:w="75" w:type="dxa"/>
              <w:right w:w="90" w:type="dxa"/>
            </w:tcMar>
            <w:vAlign w:val="center"/>
          </w:tcPr>
          <w:p w14:paraId="12738E44" w14:textId="77777777" w:rsidR="00C342BF" w:rsidRPr="001D6B2E" w:rsidRDefault="00000000">
            <w:pPr>
              <w:spacing w:after="40" w:line="240" w:lineRule="auto"/>
            </w:pPr>
            <w:r w:rsidRPr="001D6B2E">
              <w:rPr>
                <w:sz w:val="16"/>
              </w:rPr>
              <w:t>9 sources</w:t>
            </w:r>
          </w:p>
        </w:tc>
        <w:tc>
          <w:tcPr>
            <w:tcW w:w="4176" w:type="dxa"/>
            <w:shd w:val="clear" w:color="auto" w:fill="F3F4F6"/>
            <w:tcMar>
              <w:top w:w="75" w:type="dxa"/>
              <w:left w:w="90" w:type="dxa"/>
              <w:bottom w:w="75" w:type="dxa"/>
              <w:right w:w="90" w:type="dxa"/>
            </w:tcMar>
            <w:vAlign w:val="center"/>
          </w:tcPr>
          <w:p w14:paraId="7625729C" w14:textId="77777777" w:rsidR="00C342BF" w:rsidRPr="001D6B2E" w:rsidRDefault="00000000">
            <w:pPr>
              <w:spacing w:after="40" w:line="240" w:lineRule="auto"/>
            </w:pPr>
            <w:r w:rsidRPr="001D6B2E">
              <w:rPr>
                <w:sz w:val="16"/>
              </w:rPr>
              <w:t>Supplier pages; Ofgem reviews, enforcement outcomes and survey</w:t>
            </w:r>
          </w:p>
        </w:tc>
      </w:tr>
      <w:tr w:rsidR="00C342BF" w:rsidRPr="001D6B2E" w14:paraId="421B3E61" w14:textId="77777777">
        <w:trPr>
          <w:cantSplit/>
        </w:trPr>
        <w:tc>
          <w:tcPr>
            <w:tcW w:w="1800" w:type="dxa"/>
            <w:tcMar>
              <w:top w:w="75" w:type="dxa"/>
              <w:left w:w="90" w:type="dxa"/>
              <w:bottom w:w="75" w:type="dxa"/>
              <w:right w:w="90" w:type="dxa"/>
            </w:tcMar>
            <w:vAlign w:val="center"/>
          </w:tcPr>
          <w:p w14:paraId="50FFAA1C" w14:textId="77777777" w:rsidR="00C342BF" w:rsidRPr="001D6B2E" w:rsidRDefault="00000000">
            <w:pPr>
              <w:spacing w:after="40" w:line="240" w:lineRule="auto"/>
            </w:pPr>
            <w:r w:rsidRPr="001D6B2E">
              <w:rPr>
                <w:b/>
                <w:sz w:val="16"/>
              </w:rPr>
              <w:t>EDF Energy</w:t>
            </w:r>
          </w:p>
        </w:tc>
        <w:tc>
          <w:tcPr>
            <w:tcW w:w="1440" w:type="dxa"/>
            <w:tcMar>
              <w:top w:w="75" w:type="dxa"/>
              <w:left w:w="90" w:type="dxa"/>
              <w:bottom w:w="75" w:type="dxa"/>
              <w:right w:w="90" w:type="dxa"/>
            </w:tcMar>
            <w:vAlign w:val="center"/>
          </w:tcPr>
          <w:p w14:paraId="7B2DC9E3" w14:textId="77777777" w:rsidR="00C342BF" w:rsidRPr="001D6B2E" w:rsidRDefault="00000000">
            <w:pPr>
              <w:spacing w:after="40" w:line="240" w:lineRule="auto"/>
            </w:pPr>
            <w:r w:rsidRPr="001D6B2E">
              <w:rPr>
                <w:sz w:val="16"/>
              </w:rPr>
              <w:t>Benchmark</w:t>
            </w:r>
          </w:p>
        </w:tc>
        <w:tc>
          <w:tcPr>
            <w:tcW w:w="1656" w:type="dxa"/>
            <w:tcMar>
              <w:top w:w="75" w:type="dxa"/>
              <w:left w:w="90" w:type="dxa"/>
              <w:bottom w:w="75" w:type="dxa"/>
              <w:right w:w="90" w:type="dxa"/>
            </w:tcMar>
            <w:vAlign w:val="center"/>
          </w:tcPr>
          <w:p w14:paraId="26A701E0" w14:textId="77777777" w:rsidR="00C342BF" w:rsidRPr="001D6B2E" w:rsidRDefault="00000000">
            <w:pPr>
              <w:spacing w:after="40" w:line="240" w:lineRule="auto"/>
            </w:pPr>
            <w:r w:rsidRPr="001D6B2E">
              <w:rPr>
                <w:sz w:val="16"/>
              </w:rPr>
              <w:t>8 sources</w:t>
            </w:r>
          </w:p>
        </w:tc>
        <w:tc>
          <w:tcPr>
            <w:tcW w:w="4176" w:type="dxa"/>
            <w:tcMar>
              <w:top w:w="75" w:type="dxa"/>
              <w:left w:w="90" w:type="dxa"/>
              <w:bottom w:w="75" w:type="dxa"/>
              <w:right w:w="90" w:type="dxa"/>
            </w:tcMar>
            <w:vAlign w:val="center"/>
          </w:tcPr>
          <w:p w14:paraId="6FFFC451" w14:textId="77777777" w:rsidR="00C342BF" w:rsidRPr="001D6B2E" w:rsidRDefault="00000000">
            <w:pPr>
              <w:spacing w:after="40" w:line="240" w:lineRule="auto"/>
            </w:pPr>
            <w:r w:rsidRPr="001D6B2E">
              <w:rPr>
                <w:sz w:val="16"/>
              </w:rPr>
              <w:t>Supplier pages; Ofgem reviews and survey</w:t>
            </w:r>
          </w:p>
        </w:tc>
      </w:tr>
    </w:tbl>
    <w:p w14:paraId="2A34D8BF" w14:textId="77777777" w:rsidR="00C342BF" w:rsidRPr="001D6B2E" w:rsidRDefault="00C342BF">
      <w:pPr>
        <w:spacing w:after="40"/>
      </w:pPr>
    </w:p>
    <w:p w14:paraId="486BD221" w14:textId="77777777" w:rsidR="00C342BF" w:rsidRPr="001D6B2E" w:rsidRDefault="00000000">
      <w:pPr>
        <w:pStyle w:val="Caption"/>
        <w:spacing w:line="360" w:lineRule="auto"/>
        <w:jc w:val="center"/>
      </w:pPr>
      <w:r w:rsidRPr="001D6B2E">
        <w:t>Table 4.1: Profile of the documentary evidence used in the five cases. Shared regulatory sources apply to more than one case.</w:t>
      </w:r>
    </w:p>
    <w:p w14:paraId="6B692569" w14:textId="77777777" w:rsidR="00C342BF" w:rsidRPr="001D6B2E" w:rsidRDefault="00000000">
      <w:pPr>
        <w:pStyle w:val="Heading2"/>
        <w:spacing w:before="120" w:after="20"/>
        <w:rPr>
          <w:rFonts w:ascii="Times New Roman" w:hAnsi="Times New Roman" w:cs="Times New Roman"/>
        </w:rPr>
      </w:pPr>
      <w:r w:rsidRPr="001D6B2E">
        <w:rPr>
          <w:rFonts w:ascii="Times New Roman" w:eastAsia="Times New Roman" w:hAnsi="Times New Roman" w:cs="Times New Roman"/>
        </w:rPr>
        <w:lastRenderedPageBreak/>
        <w:t>4.2 Case Study 1: British Gas</w:t>
      </w:r>
    </w:p>
    <w:p w14:paraId="3BCD1CCA" w14:textId="77777777" w:rsidR="00C342BF" w:rsidRPr="001D6B2E" w:rsidRDefault="00000000">
      <w:pPr>
        <w:pStyle w:val="Heading3"/>
        <w:spacing w:before="120" w:after="20"/>
        <w:rPr>
          <w:rFonts w:ascii="Times New Roman" w:hAnsi="Times New Roman" w:cs="Times New Roman"/>
        </w:rPr>
      </w:pPr>
      <w:r w:rsidRPr="001D6B2E">
        <w:rPr>
          <w:rFonts w:ascii="Times New Roman" w:eastAsia="Times New Roman" w:hAnsi="Times New Roman" w:cs="Times New Roman"/>
        </w:rPr>
        <w:t>4.2.1 Company and support context</w:t>
      </w:r>
    </w:p>
    <w:p w14:paraId="46D63D96" w14:textId="77777777" w:rsidR="009E3BD0" w:rsidRPr="001D6B2E" w:rsidRDefault="009E3BD0" w:rsidP="009E3BD0">
      <w:pPr>
        <w:jc w:val="both"/>
      </w:pPr>
      <w:r w:rsidRPr="001D6B2E">
        <w:t>British Gas is the long-established incumbent focal case within Centrica's retail business. At the end of 2025, Centrica had 7.956 million home-energy supply customers and Ofgem classified British Gas in the largest tier of domestic gas and electricity suppliers (Centrica plc, 2026; Ofgem, 2025c). Its published affordability-support architecture incorporates supplier-managed payment methods as well as the British Gas Energy Trust, an independently run charity funded by British Gas.</w:t>
      </w:r>
    </w:p>
    <w:p w14:paraId="240572EB" w14:textId="77777777" w:rsidR="009E3BD0" w:rsidRPr="001D6B2E" w:rsidRDefault="009E3BD0" w:rsidP="009E3BD0">
      <w:pPr>
        <w:pStyle w:val="Heading3"/>
        <w:rPr>
          <w:rFonts w:ascii="Times New Roman" w:hAnsi="Times New Roman" w:cs="Times New Roman"/>
          <w:color w:val="1F497D" w:themeColor="text2"/>
        </w:rPr>
      </w:pPr>
      <w:r w:rsidRPr="001D6B2E">
        <w:rPr>
          <w:rFonts w:ascii="Times New Roman" w:hAnsi="Times New Roman" w:cs="Times New Roman"/>
        </w:rPr>
        <w:t>4.2.2 Affordability and vulnerability challenge</w:t>
      </w:r>
    </w:p>
    <w:p w14:paraId="00166988" w14:textId="77777777" w:rsidR="009E3BD0" w:rsidRPr="001D6B2E" w:rsidRDefault="009E3BD0" w:rsidP="009E3BD0">
      <w:pPr>
        <w:jc w:val="both"/>
      </w:pPr>
      <w:r w:rsidRPr="001D6B2E">
        <w:rPr>
          <w:szCs w:val="24"/>
        </w:rPr>
        <w:t>External evidence is mixed across the study period. Ofgem's 2022 payment-difficulty review identified no significant weaknesses for British Gas, minor weaknesses in the vulnerability review and moderate weaknesses in its customer-service performance in 2023 (Ofgem, 2022a; 2022b; 2023a). More seriously, Ofgem's 2026 investigation found that British Gas failed to comply with protections for some customers in vulnerable circumstances when fitting prepayment meters. The challenge was to make support visible, but also to ensure that information on vulnerability and the safeguards were consistently considered when taking action on debt (Ofgem, 2026a).</w:t>
      </w:r>
    </w:p>
    <w:p w14:paraId="76DB36CF" w14:textId="77777777" w:rsidR="009E3BD0" w:rsidRPr="001D6B2E" w:rsidRDefault="009E3BD0" w:rsidP="009E3BD0">
      <w:pPr>
        <w:pStyle w:val="Heading3"/>
        <w:rPr>
          <w:rFonts w:ascii="Times New Roman" w:hAnsi="Times New Roman" w:cs="Times New Roman"/>
          <w:color w:val="1F497D" w:themeColor="text2"/>
        </w:rPr>
      </w:pPr>
      <w:r w:rsidRPr="001D6B2E">
        <w:rPr>
          <w:rFonts w:ascii="Times New Roman" w:hAnsi="Times New Roman" w:cs="Times New Roman"/>
        </w:rPr>
        <w:t>4.2.3 Communicated support approach</w:t>
      </w:r>
    </w:p>
    <w:p w14:paraId="52D28A14" w14:textId="77777777" w:rsidR="009E3BD0" w:rsidRPr="001D6B2E" w:rsidRDefault="009E3BD0" w:rsidP="009E3BD0">
      <w:pPr>
        <w:jc w:val="both"/>
      </w:pPr>
      <w:r w:rsidRPr="001D6B2E">
        <w:rPr>
          <w:szCs w:val="24"/>
        </w:rPr>
        <w:t>If a customer is unable to pay, British Gas encourages them to consider available welfare support and discuss alternative payment arrangements, as well as manageable instalments, prior to disconnection (British Gas, n.d.-a). Its Fuel Direct page explains qualifying benefits, supplier-supported application to the Department for Work and Pensions and suspension of debt action while agreed deductions continue (British Gas, n.d.-b). The extra-support hub presents Priority Services Register enrolment, Braille, large-print and audio bills, SignVideo, Welsh-language support, nominated account management and password security (British Gas, n.d.-c). BGET includes grants, debt advice, fuel vouchers and funded community advice. Its 2024 report recorded 25,367 directly supported households and 5,383 energy-debt grants totalling £7.8 million (British Gas Energy Trust, 2024).</w:t>
      </w:r>
    </w:p>
    <w:p w14:paraId="7207F183" w14:textId="77777777" w:rsidR="009E3BD0" w:rsidRPr="001D6B2E" w:rsidRDefault="009E3BD0" w:rsidP="009E3BD0">
      <w:pPr>
        <w:jc w:val="both"/>
      </w:pPr>
      <w:r w:rsidRPr="001D6B2E">
        <w:t>It distinguishes the multi-supplier Individuals and Families Fund from the British Gas-specific Energy Support Fund.</w:t>
      </w:r>
    </w:p>
    <w:p w14:paraId="35C91D09" w14:textId="77777777" w:rsidR="009E3BD0" w:rsidRPr="001D6B2E" w:rsidRDefault="009E3BD0" w:rsidP="009E3BD0">
      <w:pPr>
        <w:pStyle w:val="Heading3"/>
        <w:rPr>
          <w:rFonts w:ascii="Times New Roman" w:hAnsi="Times New Roman" w:cs="Times New Roman"/>
          <w:color w:val="1F497D" w:themeColor="text2"/>
        </w:rPr>
      </w:pPr>
      <w:r w:rsidRPr="001D6B2E">
        <w:rPr>
          <w:rFonts w:ascii="Times New Roman" w:hAnsi="Times New Roman" w:cs="Times New Roman"/>
        </w:rPr>
        <w:lastRenderedPageBreak/>
        <w:t>4.2.4 Reported outcomes and external evidence</w:t>
      </w:r>
    </w:p>
    <w:p w14:paraId="7F6BB211" w14:textId="77777777" w:rsidR="009E3BD0" w:rsidRPr="001D6B2E" w:rsidRDefault="009E3BD0" w:rsidP="009E3BD0">
      <w:pPr>
        <w:jc w:val="both"/>
      </w:pPr>
      <w:r w:rsidRPr="001D6B2E">
        <w:t>During 2024, BGET reported unusually detailed evidence of reach, including 64,488 clients and £16.3 million in grants to individuals and organisations (British Gas Energy Trust, 2024). In 2025, the percentage of complaints per customer decreased from 10.1% to 8.1%, while home-energy touchpoint NPS improved to 33 (Centrica plc, 2026). Ofgem's early-2024 survey reported overall satisfaction of 71% and customer-service satisfaction of 64% (Ofgem, 2024b). In 2026, the settlement required a £20 million redress payment, up to £70 million of debt write-off and a further £22.4 million package of PPM support. These issue-specific findings reveal substantial support capacity and a previously identified implementation failure (Ofgem, 2026a).</w:t>
      </w:r>
    </w:p>
    <w:p w14:paraId="619B212C" w14:textId="77777777" w:rsidR="009E3BD0" w:rsidRPr="001D6B2E" w:rsidRDefault="009E3BD0" w:rsidP="009E3BD0">
      <w:pPr>
        <w:pStyle w:val="Heading2"/>
        <w:rPr>
          <w:rFonts w:ascii="Times New Roman" w:hAnsi="Times New Roman" w:cs="Times New Roman"/>
          <w:color w:val="1F497D" w:themeColor="text2"/>
          <w:szCs w:val="28"/>
        </w:rPr>
      </w:pPr>
      <w:r w:rsidRPr="001D6B2E">
        <w:rPr>
          <w:rFonts w:ascii="Times New Roman" w:hAnsi="Times New Roman" w:cs="Times New Roman"/>
          <w:szCs w:val="28"/>
        </w:rPr>
        <w:t>4.3 Case Study 2: Octopus Energy</w:t>
      </w:r>
    </w:p>
    <w:p w14:paraId="17547D83" w14:textId="77777777" w:rsidR="009E3BD0" w:rsidRPr="001D6B2E" w:rsidRDefault="009E3BD0" w:rsidP="009E3BD0">
      <w:pPr>
        <w:pStyle w:val="Heading3"/>
        <w:rPr>
          <w:rFonts w:ascii="Times New Roman" w:hAnsi="Times New Roman" w:cs="Times New Roman"/>
          <w:color w:val="1F497D" w:themeColor="text2"/>
        </w:rPr>
      </w:pPr>
      <w:r w:rsidRPr="001D6B2E">
        <w:rPr>
          <w:rFonts w:ascii="Times New Roman" w:hAnsi="Times New Roman" w:cs="Times New Roman"/>
        </w:rPr>
        <w:t>4.3.1 Company and support context</w:t>
      </w:r>
    </w:p>
    <w:p w14:paraId="1F5FCCFB" w14:textId="77777777" w:rsidR="009E3BD0" w:rsidRPr="001D6B2E" w:rsidRDefault="009E3BD0" w:rsidP="009E3BD0">
      <w:pPr>
        <w:jc w:val="both"/>
      </w:pPr>
      <w:r w:rsidRPr="001D6B2E">
        <w:rPr>
          <w:szCs w:val="24"/>
        </w:rPr>
        <w:t>Octopus Energy is the challenger focal case. By late 2024, Ofgem reported that it had become Great Britain's largest domestic electricity supplier and second-largest gas supplier (Ofgem, 2025c). The 2023 annual report recorded 3.5 million retail customers in the reporting entity, while its assistance fund had supported 60,000 customers since the energy crisis began in October 2022 (Octopus Energy Limited, 2023).</w:t>
      </w:r>
    </w:p>
    <w:p w14:paraId="39476A1D" w14:textId="77777777" w:rsidR="009E3BD0" w:rsidRPr="001D6B2E" w:rsidRDefault="009E3BD0" w:rsidP="009E3BD0">
      <w:pPr>
        <w:pStyle w:val="Heading3"/>
        <w:rPr>
          <w:rFonts w:ascii="Times New Roman" w:hAnsi="Times New Roman" w:cs="Times New Roman"/>
          <w:color w:val="1F497D" w:themeColor="text2"/>
        </w:rPr>
      </w:pPr>
      <w:r w:rsidRPr="001D6B2E">
        <w:rPr>
          <w:rFonts w:ascii="Times New Roman" w:hAnsi="Times New Roman" w:cs="Times New Roman"/>
        </w:rPr>
        <w:t>4.3.2 Affordability and vulnerability challenge</w:t>
      </w:r>
    </w:p>
    <w:p w14:paraId="03BEA578" w14:textId="77777777" w:rsidR="009E3BD0" w:rsidRPr="001D6B2E" w:rsidRDefault="009E3BD0" w:rsidP="009E3BD0">
      <w:pPr>
        <w:jc w:val="both"/>
      </w:pPr>
      <w:r w:rsidRPr="001D6B2E">
        <w:rPr>
          <w:szCs w:val="24"/>
        </w:rPr>
        <w:t>Octopus reported that customer contact increased by 100% during 2022/23 amid concern about bills (Octopus Energy Limited, 2023). In its 2022-23 reviews, Ofgem identified minor weaknesses in its support for customers with difficulty paying their bills, moderate weaknesses in its vulnerability governance, and minor weaknesses in its customer-service provisions (Ofgem, 2022a; 2022b; 2023a). The challenge was to scale a digitally distinctive service while strengthening controls, preventing self-disconnection and maintaining reliable compensation and support processes.</w:t>
      </w:r>
    </w:p>
    <w:p w14:paraId="43DE9248" w14:textId="77777777" w:rsidR="009E3BD0" w:rsidRPr="001D6B2E" w:rsidRDefault="009E3BD0" w:rsidP="009E3BD0">
      <w:pPr>
        <w:pStyle w:val="Heading3"/>
        <w:rPr>
          <w:rFonts w:ascii="Times New Roman" w:hAnsi="Times New Roman" w:cs="Times New Roman"/>
          <w:color w:val="1F497D" w:themeColor="text2"/>
        </w:rPr>
      </w:pPr>
      <w:r w:rsidRPr="001D6B2E">
        <w:rPr>
          <w:rFonts w:ascii="Times New Roman" w:hAnsi="Times New Roman" w:cs="Times New Roman"/>
        </w:rPr>
        <w:t>4.3.3 Communicated support approach</w:t>
      </w:r>
    </w:p>
    <w:p w14:paraId="4C9EBC02" w14:textId="77777777" w:rsidR="009E3BD0" w:rsidRPr="001D6B2E" w:rsidRDefault="009E3BD0" w:rsidP="009E3BD0">
      <w:pPr>
        <w:jc w:val="both"/>
      </w:pPr>
      <w:r w:rsidRPr="001D6B2E">
        <w:rPr>
          <w:szCs w:val="24"/>
        </w:rPr>
        <w:t xml:space="preserve">Octo Assist offers a package: grants, waiver of standing charges, payment holidays, long-term plans, electric blankets and thermal-camera loans (Octopus Energy, 2022a). Its PSR page provides account-based registration and explains temporary eligibility, nominated contacts, accessible statements and free safety checks (Octopus Energy, n.d.). Debt communication refers to ongoing communication via email, letter, phone and text before an </w:t>
      </w:r>
      <w:r w:rsidRPr="001D6B2E">
        <w:rPr>
          <w:szCs w:val="24"/>
        </w:rPr>
        <w:lastRenderedPageBreak/>
        <w:t>in-home visit, and engaging with customers during the visit to discuss their situation or to offer a payment plan (Octopus Energy, 2022b). Octopus also describes an in-house social-work team which provides person-centred options and can 'connect' customers with health and social-care agencies, when agreed (Octopus Energy, 2025). Together, these provisions form an integrated set of financial, practical and non-financial accommodations.</w:t>
      </w:r>
    </w:p>
    <w:p w14:paraId="009F6921" w14:textId="77777777" w:rsidR="009E3BD0" w:rsidRPr="001D6B2E" w:rsidRDefault="009E3BD0" w:rsidP="009E3BD0">
      <w:pPr>
        <w:pStyle w:val="Heading3"/>
        <w:rPr>
          <w:rFonts w:ascii="Times New Roman" w:hAnsi="Times New Roman" w:cs="Times New Roman"/>
        </w:rPr>
      </w:pPr>
      <w:r w:rsidRPr="001D6B2E">
        <w:rPr>
          <w:rFonts w:ascii="Times New Roman" w:hAnsi="Times New Roman" w:cs="Times New Roman"/>
        </w:rPr>
        <w:t>4.3.4 Reported outcomes and external evidence</w:t>
      </w:r>
    </w:p>
    <w:p w14:paraId="7E90C6A4" w14:textId="77777777" w:rsidR="00C342BF" w:rsidRPr="001D6B2E" w:rsidRDefault="0011663F" w:rsidP="009E3BD0">
      <w:pPr>
        <w:jc w:val="both"/>
      </w:pPr>
      <w:r w:rsidRPr="001D6B2E">
        <w:rPr>
          <w:szCs w:val="24"/>
        </w:rPr>
        <w:t>Octopus reported sending 38,000 blankets in FY23 and estimated from recipient smart-meter data that average winter bills fell by 19%; both figures remain company-reported rather than independent causal findings. A counter-example concerning process reliability is Ofgem's requirement that Octopus pay £750,000 in compensation to 19,000 customers after delayed or missed final-bill payments (Ofgem, 2023b). However, Ofgem's initial survey in early 2024 found the overall satisfaction rate at 87% and customer-service satisfaction at 78%, both well above the GB averages of 75% and 72%, respectively (Ofgem, 2024b). The evidence therefore shows broad visible support and strong aggregate satisfaction alongside earlier governance and compensation weaknesses.</w:t>
      </w:r>
    </w:p>
    <w:p w14:paraId="13216F81" w14:textId="77777777" w:rsidR="00C342BF" w:rsidRPr="001D6B2E" w:rsidRDefault="00000000">
      <w:pPr>
        <w:pStyle w:val="Heading2"/>
        <w:spacing w:before="120" w:after="20"/>
        <w:rPr>
          <w:rFonts w:ascii="Times New Roman" w:hAnsi="Times New Roman" w:cs="Times New Roman"/>
        </w:rPr>
      </w:pPr>
      <w:r w:rsidRPr="001D6B2E">
        <w:rPr>
          <w:rFonts w:ascii="Times New Roman" w:eastAsia="Times New Roman" w:hAnsi="Times New Roman" w:cs="Times New Roman"/>
        </w:rPr>
        <w:t xml:space="preserve">4.4 Case Study 3: </w:t>
      </w:r>
      <w:proofErr w:type="gramStart"/>
      <w:r w:rsidRPr="001D6B2E">
        <w:rPr>
          <w:rFonts w:ascii="Times New Roman" w:eastAsia="Times New Roman" w:hAnsi="Times New Roman" w:cs="Times New Roman"/>
        </w:rPr>
        <w:t>E.ON</w:t>
      </w:r>
      <w:proofErr w:type="gramEnd"/>
      <w:r w:rsidRPr="001D6B2E">
        <w:rPr>
          <w:rFonts w:ascii="Times New Roman" w:eastAsia="Times New Roman" w:hAnsi="Times New Roman" w:cs="Times New Roman"/>
        </w:rPr>
        <w:t xml:space="preserve"> Next</w:t>
      </w:r>
    </w:p>
    <w:p w14:paraId="04BF525A" w14:textId="77777777" w:rsidR="00C342BF" w:rsidRPr="001D6B2E" w:rsidRDefault="00000000">
      <w:pPr>
        <w:pStyle w:val="Heading3"/>
        <w:spacing w:before="120" w:after="20"/>
        <w:rPr>
          <w:rFonts w:ascii="Times New Roman" w:hAnsi="Times New Roman" w:cs="Times New Roman"/>
        </w:rPr>
      </w:pPr>
      <w:r w:rsidRPr="001D6B2E">
        <w:rPr>
          <w:rFonts w:ascii="Times New Roman" w:eastAsia="Times New Roman" w:hAnsi="Times New Roman" w:cs="Times New Roman"/>
        </w:rPr>
        <w:t>4.4.1 Company and support context</w:t>
      </w:r>
    </w:p>
    <w:p w14:paraId="3AC6F9CC" w14:textId="77777777" w:rsidR="00503891" w:rsidRPr="001D6B2E" w:rsidRDefault="00503891" w:rsidP="00503891">
      <w:pPr>
        <w:jc w:val="both"/>
      </w:pPr>
      <w:r w:rsidRPr="001D6B2E">
        <w:rPr>
          <w:szCs w:val="24"/>
        </w:rPr>
        <w:t>E.ON Next is a large-supplier benchmark that is subject to the same regulatory expectations for vulnerability and payment difficulty as the focal cases (Ofgem, 2025b; 2025c). The retained evidence examines whether its public support architecture exhibits the same access, targeting and accountability patterns without treating E.ON as an equal-depth answer to the research question.</w:t>
      </w:r>
    </w:p>
    <w:p w14:paraId="7E69DC4D" w14:textId="77777777" w:rsidR="00503891" w:rsidRPr="001D6B2E" w:rsidRDefault="00503891" w:rsidP="00503891">
      <w:pPr>
        <w:pStyle w:val="Heading3"/>
        <w:rPr>
          <w:rFonts w:ascii="Times New Roman" w:hAnsi="Times New Roman" w:cs="Times New Roman"/>
          <w:color w:val="1F497D" w:themeColor="text2"/>
        </w:rPr>
      </w:pPr>
      <w:r w:rsidRPr="001D6B2E">
        <w:rPr>
          <w:rFonts w:ascii="Times New Roman" w:hAnsi="Times New Roman" w:cs="Times New Roman"/>
        </w:rPr>
        <w:t>4.4.2 Affordability and vulnerability challenge</w:t>
      </w:r>
    </w:p>
    <w:p w14:paraId="3E3563F8" w14:textId="77777777" w:rsidR="00503891" w:rsidRPr="001D6B2E" w:rsidRDefault="00B51F27" w:rsidP="00503891">
      <w:pPr>
        <w:jc w:val="both"/>
      </w:pPr>
      <w:r w:rsidRPr="001D6B2E">
        <w:rPr>
          <w:szCs w:val="24"/>
        </w:rPr>
        <w:t>Ofgem found minor weaknesses in E.ON's 2022 payment-difficulty and vulnerability arrangements (Ofgem, 2022a; 2022b). In February 2023, the regulator identified serious shortcomings in its customer service, such as long call waiting times and high abandonment rates and issued a Provisional Order (Ofgem, 2023a). This made contact accessibility a central concern – having a well-documented support route is of little use if customers find it difficult to get in touch with the supplier.</w:t>
      </w:r>
    </w:p>
    <w:p w14:paraId="2148ED73" w14:textId="77777777" w:rsidR="00503891" w:rsidRPr="001D6B2E" w:rsidRDefault="00503891" w:rsidP="00503891">
      <w:pPr>
        <w:pStyle w:val="Heading3"/>
        <w:rPr>
          <w:rFonts w:ascii="Times New Roman" w:hAnsi="Times New Roman" w:cs="Times New Roman"/>
          <w:color w:val="1F497D" w:themeColor="text2"/>
        </w:rPr>
      </w:pPr>
      <w:r w:rsidRPr="001D6B2E">
        <w:rPr>
          <w:rFonts w:ascii="Times New Roman" w:hAnsi="Times New Roman" w:cs="Times New Roman"/>
        </w:rPr>
        <w:lastRenderedPageBreak/>
        <w:t>4.4.3 Communicated support approach</w:t>
      </w:r>
    </w:p>
    <w:p w14:paraId="05CA0BC7" w14:textId="77777777" w:rsidR="00503891" w:rsidRPr="001D6B2E" w:rsidRDefault="00503891" w:rsidP="00503891">
      <w:pPr>
        <w:jc w:val="both"/>
      </w:pPr>
      <w:proofErr w:type="gramStart"/>
      <w:r w:rsidRPr="001D6B2E">
        <w:t>E.ON's</w:t>
      </w:r>
      <w:proofErr w:type="gramEnd"/>
      <w:r w:rsidRPr="001D6B2E">
        <w:t xml:space="preserve"> support page separates immediate help, longer-term support and bill reduction. It describes </w:t>
      </w:r>
      <w:proofErr w:type="spellStart"/>
      <w:r w:rsidRPr="001D6B2E">
        <w:t>Paylink</w:t>
      </w:r>
      <w:proofErr w:type="spellEnd"/>
      <w:r w:rsidRPr="001D6B2E">
        <w:t xml:space="preserve"> budgeting, affordable plans, lower prepayment debt-repayment rates, temporary credit and individual-circumstance checks before stronger action (</w:t>
      </w:r>
      <w:proofErr w:type="gramStart"/>
      <w:r w:rsidRPr="001D6B2E">
        <w:t>E.ON</w:t>
      </w:r>
      <w:proofErr w:type="gramEnd"/>
      <w:r w:rsidRPr="001D6B2E">
        <w:t xml:space="preserve"> Next, n.d.-a). </w:t>
      </w:r>
      <w:r w:rsidR="00092A4B" w:rsidRPr="00092A4B">
        <w:t xml:space="preserve">The </w:t>
      </w:r>
      <w:proofErr w:type="gramStart"/>
      <w:r w:rsidR="00092A4B" w:rsidRPr="00092A4B">
        <w:t>E.ON</w:t>
      </w:r>
      <w:proofErr w:type="gramEnd"/>
      <w:r w:rsidR="00092A4B" w:rsidRPr="00092A4B">
        <w:t xml:space="preserve"> Next Energy Fund, which is administered by Charis, offers</w:t>
      </w:r>
      <w:r w:rsidR="00092A4B">
        <w:t xml:space="preserve"> </w:t>
      </w:r>
      <w:r w:rsidRPr="001D6B2E">
        <w:t>bill grants and recommends independent money advice</w:t>
      </w:r>
      <w:r w:rsidR="0049611A" w:rsidRPr="001D6B2E">
        <w:t>.</w:t>
      </w:r>
      <w:r w:rsidRPr="001D6B2E">
        <w:t xml:space="preserve"> </w:t>
      </w:r>
      <w:r w:rsidR="0049611A" w:rsidRPr="001D6B2E">
        <w:t>It adds</w:t>
      </w:r>
      <w:r w:rsidRPr="001D6B2E">
        <w:t xml:space="preserve"> an externally managed route (</w:t>
      </w:r>
      <w:proofErr w:type="gramStart"/>
      <w:r w:rsidRPr="001D6B2E">
        <w:t>E.ON</w:t>
      </w:r>
      <w:proofErr w:type="gramEnd"/>
      <w:r w:rsidRPr="001D6B2E">
        <w:t xml:space="preserve"> Next, n.d.-b). A May-2026 PSR explanation covers health conditions, pension age and young children, together with accessible bill formats, password security and priority support during interruptions (</w:t>
      </w:r>
      <w:proofErr w:type="gramStart"/>
      <w:r w:rsidRPr="001D6B2E">
        <w:t>E.ON</w:t>
      </w:r>
      <w:proofErr w:type="gramEnd"/>
      <w:r w:rsidRPr="001D6B2E">
        <w:t xml:space="preserve"> Next, 2026).</w:t>
      </w:r>
    </w:p>
    <w:p w14:paraId="33329135" w14:textId="77777777" w:rsidR="00503891" w:rsidRPr="001D6B2E" w:rsidRDefault="00503891" w:rsidP="00503891">
      <w:pPr>
        <w:pStyle w:val="Heading3"/>
        <w:rPr>
          <w:rFonts w:ascii="Times New Roman" w:hAnsi="Times New Roman" w:cs="Times New Roman"/>
          <w:color w:val="1F497D" w:themeColor="text2"/>
        </w:rPr>
      </w:pPr>
      <w:r w:rsidRPr="001D6B2E">
        <w:rPr>
          <w:rFonts w:ascii="Times New Roman" w:hAnsi="Times New Roman" w:cs="Times New Roman"/>
        </w:rPr>
        <w:t>4.4.4 Reported outcomes and external evidence</w:t>
      </w:r>
    </w:p>
    <w:p w14:paraId="35F975C5" w14:textId="77777777" w:rsidR="00503891" w:rsidRPr="001D6B2E" w:rsidRDefault="00B51F27" w:rsidP="00503891">
      <w:pPr>
        <w:jc w:val="both"/>
      </w:pPr>
      <w:r w:rsidRPr="001D6B2E">
        <w:rPr>
          <w:szCs w:val="24"/>
        </w:rPr>
        <w:t>Ofgem found that E.ON paid £5.5 million to almost 95,000 customers following missed or delayed compensation and contributed £1.3 million to the redress scheme; the regulator also reported subsequent system updates (Ofgem, 2023b). By early 2024, overall satisfaction was 74% and customer-service satisfaction was 66%, both near the GB averages; service satisfaction had also improved considerably from the previous wave (Ofgem, 2024b). The benchmark therefore presents a flexible published support offer alongside material service and process failures during specific periods.</w:t>
      </w:r>
    </w:p>
    <w:p w14:paraId="3E27E666" w14:textId="77777777" w:rsidR="00503891" w:rsidRPr="001D6B2E" w:rsidRDefault="00503891" w:rsidP="00503891">
      <w:pPr>
        <w:pStyle w:val="Heading2"/>
        <w:rPr>
          <w:rFonts w:ascii="Times New Roman" w:hAnsi="Times New Roman" w:cs="Times New Roman"/>
          <w:color w:val="1F497D" w:themeColor="text2"/>
          <w:szCs w:val="28"/>
        </w:rPr>
      </w:pPr>
      <w:r w:rsidRPr="001D6B2E">
        <w:rPr>
          <w:rFonts w:ascii="Times New Roman" w:hAnsi="Times New Roman" w:cs="Times New Roman"/>
          <w:szCs w:val="28"/>
        </w:rPr>
        <w:t>4.5 Case Study 4: OVO Energy</w:t>
      </w:r>
    </w:p>
    <w:p w14:paraId="1BBEBD1C" w14:textId="77777777" w:rsidR="00503891" w:rsidRPr="001D6B2E" w:rsidRDefault="00503891" w:rsidP="00503891">
      <w:pPr>
        <w:pStyle w:val="Heading3"/>
        <w:rPr>
          <w:rFonts w:ascii="Times New Roman" w:hAnsi="Times New Roman" w:cs="Times New Roman"/>
          <w:color w:val="1F497D" w:themeColor="text2"/>
        </w:rPr>
      </w:pPr>
      <w:r w:rsidRPr="001D6B2E">
        <w:rPr>
          <w:rFonts w:ascii="Times New Roman" w:hAnsi="Times New Roman" w:cs="Times New Roman"/>
        </w:rPr>
        <w:t>4.5.1 Company and support context</w:t>
      </w:r>
    </w:p>
    <w:p w14:paraId="7F699DC8" w14:textId="77777777" w:rsidR="00503891" w:rsidRPr="001D6B2E" w:rsidRDefault="00503891" w:rsidP="00503891">
      <w:pPr>
        <w:jc w:val="both"/>
      </w:pPr>
      <w:r w:rsidRPr="001D6B2E">
        <w:t>OVO Energy is a large-supplier benchmark in a market where debt, high bills and vulnerability require accessible support and reliable protections (Ofgem, 2024a; 2025c). Its published communication combines mainstream payment assistance, a conditional energy fund and Priority Services, while later enforcement evidence allows for comparison between process and delivery.</w:t>
      </w:r>
    </w:p>
    <w:p w14:paraId="11D6EDDB" w14:textId="77777777" w:rsidR="00503891" w:rsidRPr="001D6B2E" w:rsidRDefault="00503891" w:rsidP="00503891">
      <w:pPr>
        <w:pStyle w:val="Heading3"/>
        <w:rPr>
          <w:rFonts w:ascii="Times New Roman" w:hAnsi="Times New Roman" w:cs="Times New Roman"/>
          <w:color w:val="1F497D" w:themeColor="text2"/>
        </w:rPr>
      </w:pPr>
      <w:r w:rsidRPr="001D6B2E">
        <w:rPr>
          <w:rFonts w:ascii="Times New Roman" w:hAnsi="Times New Roman" w:cs="Times New Roman"/>
        </w:rPr>
        <w:t>4.5.2 Affordability and vulnerability challenge</w:t>
      </w:r>
    </w:p>
    <w:p w14:paraId="7D6FA91F" w14:textId="77777777" w:rsidR="00503891" w:rsidRPr="001D6B2E" w:rsidRDefault="00503891" w:rsidP="00503891">
      <w:pPr>
        <w:jc w:val="both"/>
      </w:pPr>
      <w:r w:rsidRPr="001D6B2E">
        <w:rPr>
          <w:szCs w:val="24"/>
        </w:rPr>
        <w:t xml:space="preserve">Ofgem's two 2022 reviews identified minor weaknesses, while its 2023 customer-service review identified moderate weaknesses (Ofgem, 2022a; 2022b; 2023a). Inadequate monitoring of prepayment customers and unreliable PSR implementation and missed support for some self-disconnected customers were identified by Ofgem in its June-2026 settlement (Ofgem, 2026e). A separate 2024 outcome concerned delayed Extra Help Unit complaints </w:t>
      </w:r>
      <w:r w:rsidRPr="001D6B2E">
        <w:rPr>
          <w:szCs w:val="24"/>
        </w:rPr>
        <w:lastRenderedPageBreak/>
        <w:t>and Energy Ombudsman remedies (Ofgem, 2024d). These findings locate the challenge in converting written safeguards into dependable follow-up.</w:t>
      </w:r>
    </w:p>
    <w:p w14:paraId="3FB7FDCD" w14:textId="77777777" w:rsidR="00503891" w:rsidRPr="001D6B2E" w:rsidRDefault="00503891" w:rsidP="00503891">
      <w:pPr>
        <w:pStyle w:val="Heading3"/>
        <w:rPr>
          <w:rFonts w:ascii="Times New Roman" w:hAnsi="Times New Roman" w:cs="Times New Roman"/>
          <w:color w:val="1F497D" w:themeColor="text2"/>
        </w:rPr>
      </w:pPr>
      <w:r w:rsidRPr="001D6B2E">
        <w:rPr>
          <w:rFonts w:ascii="Times New Roman" w:hAnsi="Times New Roman" w:cs="Times New Roman"/>
        </w:rPr>
        <w:t>4.5.3 Communicated support approach</w:t>
      </w:r>
    </w:p>
    <w:p w14:paraId="10907EC3" w14:textId="77777777" w:rsidR="00503891" w:rsidRPr="001D6B2E" w:rsidRDefault="00503891" w:rsidP="00503891">
      <w:pPr>
        <w:jc w:val="both"/>
      </w:pPr>
      <w:r w:rsidRPr="001D6B2E">
        <w:t>OVO states that repayment plans consider current consumption and debt and can be reviewed when payments become unaffordable (OVO Energy, n.d.-a). Its payment-support page says that customers who have a negative balance above £150 could receive a one-off OVO Energy Fund payment, but does not disclose the amount of the fund (OVO Energy, n.d.-b). The PSR page provides online, postal and telephone enrolment, alternative format bills, British Sign Language interpretation, free safety checks and recognition of temporary situations like bereavement or having been discharged from hospital (OVO Energy, n.d.-c).</w:t>
      </w:r>
    </w:p>
    <w:p w14:paraId="125BB7CA" w14:textId="77777777" w:rsidR="00503891" w:rsidRPr="001D6B2E" w:rsidRDefault="00503891" w:rsidP="00503891">
      <w:pPr>
        <w:pStyle w:val="Heading3"/>
        <w:rPr>
          <w:rFonts w:ascii="Times New Roman" w:hAnsi="Times New Roman" w:cs="Times New Roman"/>
          <w:color w:val="1F497D" w:themeColor="text2"/>
        </w:rPr>
      </w:pPr>
      <w:r w:rsidRPr="001D6B2E">
        <w:rPr>
          <w:rFonts w:ascii="Times New Roman" w:hAnsi="Times New Roman" w:cs="Times New Roman"/>
        </w:rPr>
        <w:t>4.5.4 Reported outcomes and external evidence</w:t>
      </w:r>
    </w:p>
    <w:p w14:paraId="63A675A8" w14:textId="77777777" w:rsidR="00503891" w:rsidRPr="001D6B2E" w:rsidRDefault="00503891" w:rsidP="00503891">
      <w:pPr>
        <w:jc w:val="both"/>
      </w:pPr>
      <w:r w:rsidRPr="001D6B2E">
        <w:rPr>
          <w:szCs w:val="24"/>
        </w:rPr>
        <w:t>The 2026 settlement provided £7 million for the Voluntary Redress Fund and £3.4 million in credit/debt relief for vulnerable customers (Ofgem, 2026e). Ofgem (2024d) identified 1,395 affected customers, including 706 customers in vulnerable circumstances, with £378,512 compensation and £2 million in redress. OVO's overall satisfaction was 63%, below the GB average, while customer-service satisfaction was 55% (Ofgem, 2024b). The evidence therefore indicates that visible support routes coexist with externally documented gaps in implementation and resolution.</w:t>
      </w:r>
    </w:p>
    <w:p w14:paraId="03FC8D7E" w14:textId="77777777" w:rsidR="00503891" w:rsidRPr="001D6B2E" w:rsidRDefault="00503891" w:rsidP="00503891">
      <w:pPr>
        <w:pStyle w:val="Heading2"/>
        <w:rPr>
          <w:rFonts w:ascii="Times New Roman" w:hAnsi="Times New Roman" w:cs="Times New Roman"/>
          <w:color w:val="1F497D" w:themeColor="text2"/>
          <w:szCs w:val="28"/>
        </w:rPr>
      </w:pPr>
      <w:r w:rsidRPr="001D6B2E">
        <w:rPr>
          <w:rFonts w:ascii="Times New Roman" w:hAnsi="Times New Roman" w:cs="Times New Roman"/>
          <w:szCs w:val="28"/>
        </w:rPr>
        <w:t>4.6 Case Study 5: EDF Energy</w:t>
      </w:r>
    </w:p>
    <w:p w14:paraId="0ACCDDFD" w14:textId="77777777" w:rsidR="00503891" w:rsidRPr="001D6B2E" w:rsidRDefault="00503891" w:rsidP="00503891">
      <w:pPr>
        <w:pStyle w:val="Heading3"/>
        <w:rPr>
          <w:rFonts w:ascii="Times New Roman" w:hAnsi="Times New Roman" w:cs="Times New Roman"/>
          <w:color w:val="1F497D" w:themeColor="text2"/>
        </w:rPr>
      </w:pPr>
      <w:r w:rsidRPr="001D6B2E">
        <w:rPr>
          <w:rFonts w:ascii="Times New Roman" w:hAnsi="Times New Roman" w:cs="Times New Roman"/>
        </w:rPr>
        <w:t>4.6.1 Company and support context</w:t>
      </w:r>
    </w:p>
    <w:p w14:paraId="706CE3C3" w14:textId="77777777" w:rsidR="00503891" w:rsidRPr="001D6B2E" w:rsidRDefault="00503891" w:rsidP="00503891">
      <w:pPr>
        <w:jc w:val="both"/>
      </w:pPr>
      <w:r w:rsidRPr="001D6B2E">
        <w:t>EDF Energy is one of the large suppliers listed in Ofgem's market evidence (Ofgem, 2025c), and is one of the three bounded benchmark cases. The retained documents emphasise how EDF communicates support, because its supplier pages provide more detail on the support architecture than on total reach of the funds to customers or on customer outcomes.</w:t>
      </w:r>
    </w:p>
    <w:p w14:paraId="1C6A9A2A" w14:textId="77777777" w:rsidR="00503891" w:rsidRPr="001D6B2E" w:rsidRDefault="00503891" w:rsidP="00503891">
      <w:pPr>
        <w:pStyle w:val="Heading3"/>
        <w:rPr>
          <w:rFonts w:ascii="Times New Roman" w:hAnsi="Times New Roman" w:cs="Times New Roman"/>
          <w:color w:val="1F497D" w:themeColor="text2"/>
        </w:rPr>
      </w:pPr>
      <w:r w:rsidRPr="001D6B2E">
        <w:rPr>
          <w:rFonts w:ascii="Times New Roman" w:hAnsi="Times New Roman" w:cs="Times New Roman"/>
        </w:rPr>
        <w:t>4.6.2 Affordability and vulnerability challenge</w:t>
      </w:r>
    </w:p>
    <w:p w14:paraId="40A90D82" w14:textId="77777777" w:rsidR="00503891" w:rsidRPr="001D6B2E" w:rsidRDefault="00503891" w:rsidP="00503891">
      <w:pPr>
        <w:jc w:val="both"/>
      </w:pPr>
      <w:r w:rsidRPr="001D6B2E">
        <w:t xml:space="preserve">Ofgem identified minor weaknesses in 2022 in its payment-difficulty and vulnerability reviews of EDF, and moderate weaknesses in its customer service tests in 2023 (Ofgem, 2022a; 2022b; 2023a). This external record indicates that the weaknesses concerned the quality, consistency and accessibility of customer engagement rather than the complete absence of published support routes. It also highlights the wider trend that customers who are </w:t>
      </w:r>
      <w:r w:rsidRPr="001D6B2E">
        <w:lastRenderedPageBreak/>
        <w:t>financially vulnerable may not feel a part of this group, or may be hesitant to contact due to a lack of understanding of support (Ofgem, 2024c).</w:t>
      </w:r>
    </w:p>
    <w:p w14:paraId="3077FC4F" w14:textId="77777777" w:rsidR="00503891" w:rsidRPr="001D6B2E" w:rsidRDefault="00503891" w:rsidP="00503891">
      <w:pPr>
        <w:pStyle w:val="Heading3"/>
        <w:rPr>
          <w:rFonts w:ascii="Times New Roman" w:hAnsi="Times New Roman" w:cs="Times New Roman"/>
          <w:color w:val="1F497D" w:themeColor="text2"/>
        </w:rPr>
      </w:pPr>
      <w:r w:rsidRPr="001D6B2E">
        <w:rPr>
          <w:rFonts w:ascii="Times New Roman" w:hAnsi="Times New Roman" w:cs="Times New Roman"/>
        </w:rPr>
        <w:t>4.6.3 Communicated support approach</w:t>
      </w:r>
    </w:p>
    <w:p w14:paraId="06173280" w14:textId="77777777" w:rsidR="00503891" w:rsidRPr="001D6B2E" w:rsidRDefault="00503891" w:rsidP="00503891">
      <w:pPr>
        <w:jc w:val="both"/>
      </w:pPr>
      <w:r w:rsidRPr="001D6B2E">
        <w:rPr>
          <w:szCs w:val="24"/>
        </w:rPr>
        <w:t>The four-stage CARE+ journey is presented by EDF: cost, affordability, resolution and extra support. The page links bill checks, independent budgeting/beneﬁt tools, circumstance-based repayment, multiple contact channels, and specialist welfare support (EDF Energy, n.d.-a). While the Customer Support Fund can help clear energy debts or help with essential white goods, applicants must first obtain independent debt advice and disclose household finances and vulnerability (EDF Energy, n.d.-b). EDF's PSR hub also includes alternative-format communications, nominated account management, IncomeMax benefit support, wellbeing assessment (TellJo), and meter relocation and accessible in-home displays (EDF Energy, n.d.-c). This results in an ordered, multi-channel support architecture involving external partners.</w:t>
      </w:r>
    </w:p>
    <w:p w14:paraId="42F91D22" w14:textId="77777777" w:rsidR="00503891" w:rsidRPr="001D6B2E" w:rsidRDefault="00503891" w:rsidP="00503891">
      <w:pPr>
        <w:pStyle w:val="Heading3"/>
        <w:rPr>
          <w:rFonts w:ascii="Times New Roman" w:hAnsi="Times New Roman" w:cs="Times New Roman"/>
          <w:color w:val="1F497D" w:themeColor="text2"/>
        </w:rPr>
      </w:pPr>
      <w:r w:rsidRPr="001D6B2E">
        <w:rPr>
          <w:rFonts w:ascii="Times New Roman" w:hAnsi="Times New Roman" w:cs="Times New Roman"/>
        </w:rPr>
        <w:t>4.6.4 Reported outcomes and external evidence</w:t>
      </w:r>
    </w:p>
    <w:p w14:paraId="69DF89E0" w14:textId="77777777" w:rsidR="00C342BF" w:rsidRPr="001D6B2E" w:rsidRDefault="00503891" w:rsidP="00503891">
      <w:pPr>
        <w:jc w:val="both"/>
      </w:pPr>
      <w:r w:rsidRPr="001D6B2E">
        <w:t>The retained EDF pages do not report fund size, applicant success or service take-up. Ofgem's survey, conducted in early 2024, found 67% overall satisfaction, and 62% satisfaction with customer-service, both below the GB averages, although EDF's service satisfaction had improved significantly from the previous wave (Ofgem, 2024b). Together with the regulatory reviews, the case has a high level of public structure and accommodation, but less disclosed outcome evidence than the focal cases. This does not establish superior or inferior overall performance.</w:t>
      </w:r>
    </w:p>
    <w:p w14:paraId="3FB93F20" w14:textId="77777777" w:rsidR="00C342BF" w:rsidRPr="001D6B2E" w:rsidRDefault="00000000">
      <w:pPr>
        <w:pStyle w:val="Heading2"/>
        <w:spacing w:before="120" w:after="20"/>
        <w:rPr>
          <w:rFonts w:ascii="Times New Roman" w:hAnsi="Times New Roman" w:cs="Times New Roman"/>
        </w:rPr>
      </w:pPr>
      <w:r w:rsidRPr="001D6B2E">
        <w:rPr>
          <w:rFonts w:ascii="Times New Roman" w:eastAsia="Times New Roman" w:hAnsi="Times New Roman" w:cs="Times New Roman"/>
        </w:rPr>
        <w:t>4.7 Summary of Cross-Case Analysis</w:t>
      </w:r>
    </w:p>
    <w:p w14:paraId="40B785EB" w14:textId="77777777" w:rsidR="00C342BF" w:rsidRPr="001D6B2E" w:rsidRDefault="00000000">
      <w:pPr>
        <w:pStyle w:val="Heading3"/>
        <w:spacing w:before="120" w:after="20"/>
        <w:rPr>
          <w:rFonts w:ascii="Times New Roman" w:hAnsi="Times New Roman" w:cs="Times New Roman"/>
        </w:rPr>
      </w:pPr>
      <w:r w:rsidRPr="001D6B2E">
        <w:rPr>
          <w:rFonts w:ascii="Times New Roman" w:eastAsia="Times New Roman" w:hAnsi="Times New Roman" w:cs="Times New Roman"/>
        </w:rPr>
        <w:t>4.7.1 Recurring affordability and vulnerability pressures</w:t>
      </w:r>
    </w:p>
    <w:p w14:paraId="5B99534C" w14:textId="77777777" w:rsidR="00C342BF" w:rsidRPr="001D6B2E" w:rsidRDefault="00000000">
      <w:pPr>
        <w:jc w:val="both"/>
      </w:pPr>
      <w:r w:rsidRPr="001D6B2E">
        <w:t>Across the cases, support communication responds to debt, high and difficult-to-understand bills, self-disconnection risk and circumstances that customers may not describe as vulnerability. Ofgem's research adds stigma and low awareness as barriers to early contact (Ofgem, 2024a; 2024c).</w:t>
      </w:r>
    </w:p>
    <w:p w14:paraId="241D7D07" w14:textId="77777777" w:rsidR="00C342BF" w:rsidRPr="001D6B2E" w:rsidRDefault="00000000">
      <w:pPr>
        <w:pStyle w:val="Heading3"/>
        <w:spacing w:before="120" w:after="20"/>
        <w:rPr>
          <w:rFonts w:ascii="Times New Roman" w:hAnsi="Times New Roman" w:cs="Times New Roman"/>
        </w:rPr>
      </w:pPr>
      <w:r w:rsidRPr="001D6B2E">
        <w:rPr>
          <w:rFonts w:ascii="Times New Roman" w:eastAsia="Times New Roman" w:hAnsi="Times New Roman" w:cs="Times New Roman"/>
        </w:rPr>
        <w:t>4.7.2 Shared support-communication patterns</w:t>
      </w:r>
    </w:p>
    <w:p w14:paraId="1A523708" w14:textId="77777777" w:rsidR="00C342BF" w:rsidRPr="001D6B2E" w:rsidRDefault="00000000">
      <w:pPr>
        <w:jc w:val="both"/>
      </w:pPr>
      <w:r w:rsidRPr="001D6B2E">
        <w:t xml:space="preserve">All five companies communicate flexible payment and PSR-type support. Recurring features include affordability assessment, grants or funds, alternative formats, nominated contacts and </w:t>
      </w:r>
      <w:r w:rsidRPr="001D6B2E">
        <w:lastRenderedPageBreak/>
        <w:t>referral to independent advice. Eligibility conditions and the ease of finding non-digital help vary.</w:t>
      </w:r>
    </w:p>
    <w:p w14:paraId="5F15FE4E" w14:textId="77777777" w:rsidR="00C342BF" w:rsidRPr="001D6B2E" w:rsidRDefault="00000000">
      <w:pPr>
        <w:pStyle w:val="Heading3"/>
        <w:spacing w:before="120" w:after="20"/>
        <w:rPr>
          <w:rFonts w:ascii="Times New Roman" w:hAnsi="Times New Roman" w:cs="Times New Roman"/>
        </w:rPr>
      </w:pPr>
      <w:r w:rsidRPr="001D6B2E">
        <w:rPr>
          <w:rFonts w:ascii="Times New Roman" w:eastAsia="Times New Roman" w:hAnsi="Times New Roman" w:cs="Times New Roman"/>
        </w:rPr>
        <w:t>4.7.3 Major focal and benchmark differences</w:t>
      </w:r>
    </w:p>
    <w:p w14:paraId="69C9CC5A" w14:textId="77777777" w:rsidR="00C342BF" w:rsidRPr="001D6B2E" w:rsidRDefault="00000000">
      <w:pPr>
        <w:jc w:val="both"/>
      </w:pPr>
      <w:r w:rsidRPr="001D6B2E">
        <w:t>Evidence linked to British Gas and Octopus provides more quantified evidence of reach than the benchmark pages. Octopus presents the broadest integrated support bundle, while British Gas combines supplier routes with BGET. E.ON, OVO and EDF display comparable policy elements but fewer retained outcome measures.</w:t>
      </w:r>
    </w:p>
    <w:p w14:paraId="7DB1869D" w14:textId="77777777" w:rsidR="00C342BF" w:rsidRPr="001D6B2E" w:rsidRDefault="00000000">
      <w:pPr>
        <w:jc w:val="both"/>
      </w:pPr>
      <w:r w:rsidRPr="001D6B2E">
        <w:t>Figure 4.1 compares the external survey results. Octopus recorded the highest satisfaction and OVO the lowest, while the other suppliers were closer to the GB averages. These estimates contextualise service experience but do not show that affordability communication caused satisfaction (Ofgem, 2024b).</w:t>
      </w:r>
    </w:p>
    <w:p w14:paraId="1E8620C9" w14:textId="77777777" w:rsidR="00C342BF" w:rsidRPr="001D6B2E" w:rsidRDefault="00000000">
      <w:pPr>
        <w:keepNext/>
        <w:jc w:val="center"/>
      </w:pPr>
      <w:r w:rsidRPr="001D6B2E">
        <w:rPr>
          <w:noProof/>
        </w:rPr>
        <w:drawing>
          <wp:inline distT="0" distB="0" distL="0" distR="0" wp14:anchorId="0EF2A38A" wp14:editId="0D788D13">
            <wp:extent cx="5394960" cy="258958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pplier_satisfaction_chart.png"/>
                    <pic:cNvPicPr/>
                  </pic:nvPicPr>
                  <pic:blipFill>
                    <a:blip r:embed="rId16"/>
                    <a:stretch>
                      <a:fillRect/>
                    </a:stretch>
                  </pic:blipFill>
                  <pic:spPr>
                    <a:xfrm>
                      <a:off x="0" y="0"/>
                      <a:ext cx="5394960" cy="2589581"/>
                    </a:xfrm>
                    <a:prstGeom prst="rect">
                      <a:avLst/>
                    </a:prstGeom>
                  </pic:spPr>
                </pic:pic>
              </a:graphicData>
            </a:graphic>
          </wp:inline>
        </w:drawing>
      </w:r>
    </w:p>
    <w:p w14:paraId="1AA47A24" w14:textId="77777777" w:rsidR="00C342BF" w:rsidRPr="001D6B2E" w:rsidRDefault="00000000">
      <w:pPr>
        <w:pStyle w:val="Caption"/>
        <w:spacing w:line="360" w:lineRule="auto"/>
        <w:jc w:val="center"/>
      </w:pPr>
      <w:r w:rsidRPr="001D6B2E">
        <w:t>Figure 4.1: Overall and customer-service satisfaction by supplier (%). Source: Ofgem (2024b, p. 3).</w:t>
      </w:r>
    </w:p>
    <w:p w14:paraId="32EE769E" w14:textId="77777777" w:rsidR="00C342BF" w:rsidRPr="001D6B2E" w:rsidRDefault="00000000">
      <w:pPr>
        <w:pStyle w:val="Heading3"/>
        <w:spacing w:before="120" w:after="20"/>
        <w:rPr>
          <w:rFonts w:ascii="Times New Roman" w:hAnsi="Times New Roman" w:cs="Times New Roman"/>
        </w:rPr>
      </w:pPr>
      <w:r w:rsidRPr="001D6B2E">
        <w:rPr>
          <w:rFonts w:ascii="Times New Roman" w:eastAsia="Times New Roman" w:hAnsi="Times New Roman" w:cs="Times New Roman"/>
        </w:rPr>
        <w:t>4.7.4 Evidence strength and trustworthiness signals</w:t>
      </w:r>
    </w:p>
    <w:p w14:paraId="01496671" w14:textId="77777777" w:rsidR="0088796B" w:rsidRPr="001D6B2E" w:rsidRDefault="0088796B" w:rsidP="0088796B">
      <w:pPr>
        <w:jc w:val="both"/>
      </w:pPr>
      <w:r w:rsidRPr="001D6B2E">
        <w:t xml:space="preserve">Regulatory evidence complicates every supplier narrative. The strongest negative cases are related to British Gas PPM practice, </w:t>
      </w:r>
      <w:proofErr w:type="gramStart"/>
      <w:r w:rsidRPr="001D6B2E">
        <w:t>E.ON</w:t>
      </w:r>
      <w:proofErr w:type="gramEnd"/>
      <w:r w:rsidRPr="001D6B2E">
        <w:t xml:space="preserve"> service access, Octopus compensation, OVO monitoring and complaints. </w:t>
      </w:r>
      <w:r w:rsidR="000A10C0" w:rsidRPr="000A10C0">
        <w:t>These findings provide evidence for later interpretation of competence, benevolence and integrity signals; they do not directly measure trust.</w:t>
      </w:r>
    </w:p>
    <w:p w14:paraId="77EBA4C2" w14:textId="77777777" w:rsidR="00C342BF" w:rsidRPr="001D6B2E" w:rsidRDefault="0088796B" w:rsidP="0088796B">
      <w:pPr>
        <w:jc w:val="both"/>
      </w:pPr>
      <w:r w:rsidRPr="001D6B2E">
        <w:t xml:space="preserve">The manifestation of competence is most noticeable across the corpus in situations involving clearly defined routes and escalation, benevolence in the situation where circumstances dictate the response, and integrity in situations involving limits, external oversight or remediation. But the lack of reporting of outcomes and time-specific enforcement results </w:t>
      </w:r>
      <w:r w:rsidRPr="001D6B2E">
        <w:lastRenderedPageBreak/>
        <w:t>make it difficult to create a league table. The defensible finding is uneven evidential credibility, not a definitive ranking of overall supplier trustworthiness.</w:t>
      </w:r>
    </w:p>
    <w:p w14:paraId="261CB106" w14:textId="77777777" w:rsidR="00C342BF" w:rsidRPr="001D6B2E" w:rsidRDefault="00000000">
      <w:pPr>
        <w:jc w:val="both"/>
      </w:pPr>
      <w:r w:rsidRPr="001D6B2E">
        <w:t>Figure 4.2 shows a longitudinal evidence base. Market-wide reviews were followed by satisfaction and complaint evidence, updated expectations and two 2026 settlements. This prevents an early review category from becoming a permanent company judgement.</w:t>
      </w:r>
    </w:p>
    <w:p w14:paraId="35BFEC80" w14:textId="77777777" w:rsidR="00C342BF" w:rsidRPr="001D6B2E" w:rsidRDefault="00000000">
      <w:pPr>
        <w:keepNext/>
        <w:jc w:val="center"/>
      </w:pPr>
      <w:r w:rsidRPr="001D6B2E">
        <w:rPr>
          <w:noProof/>
        </w:rPr>
        <w:drawing>
          <wp:inline distT="0" distB="0" distL="0" distR="0" wp14:anchorId="64C8BE42" wp14:editId="0437D833">
            <wp:extent cx="5394960" cy="242773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gulatory_evidence_timeline.png"/>
                    <pic:cNvPicPr/>
                  </pic:nvPicPr>
                  <pic:blipFill>
                    <a:blip r:embed="rId17"/>
                    <a:stretch>
                      <a:fillRect/>
                    </a:stretch>
                  </pic:blipFill>
                  <pic:spPr>
                    <a:xfrm>
                      <a:off x="0" y="0"/>
                      <a:ext cx="5394960" cy="2427732"/>
                    </a:xfrm>
                    <a:prstGeom prst="rect">
                      <a:avLst/>
                    </a:prstGeom>
                  </pic:spPr>
                </pic:pic>
              </a:graphicData>
            </a:graphic>
          </wp:inline>
        </w:drawing>
      </w:r>
    </w:p>
    <w:p w14:paraId="1EE0C29E" w14:textId="77777777" w:rsidR="00C342BF" w:rsidRPr="001D6B2E" w:rsidRDefault="00000000">
      <w:pPr>
        <w:pStyle w:val="Caption"/>
        <w:spacing w:line="360" w:lineRule="auto"/>
        <w:jc w:val="center"/>
      </w:pPr>
      <w:r w:rsidRPr="001D6B2E">
        <w:t>Figure 4.2: Regulatory and market evidence timeline, 2022-2026. Sources: Ofgem (2022a; 2022b; 2023a; 2024b; 2024d; 2025b; 2025c; 2026a; 2026e).</w:t>
      </w:r>
    </w:p>
    <w:tbl>
      <w:tblPr>
        <w:tblStyle w:val="TableGrid"/>
        <w:tblW w:w="0" w:type="auto"/>
        <w:tblLayout w:type="fixed"/>
        <w:tblLook w:val="04A0" w:firstRow="1" w:lastRow="0" w:firstColumn="1" w:lastColumn="0" w:noHBand="0" w:noVBand="1"/>
      </w:tblPr>
      <w:tblGrid>
        <w:gridCol w:w="1440"/>
        <w:gridCol w:w="1728"/>
        <w:gridCol w:w="2088"/>
        <w:gridCol w:w="1872"/>
        <w:gridCol w:w="1872"/>
      </w:tblGrid>
      <w:tr w:rsidR="00C342BF" w:rsidRPr="001D6B2E" w14:paraId="15A2A131" w14:textId="77777777">
        <w:trPr>
          <w:cantSplit/>
          <w:tblHeader/>
        </w:trPr>
        <w:tc>
          <w:tcPr>
            <w:tcW w:w="1440" w:type="dxa"/>
            <w:shd w:val="clear" w:color="auto" w:fill="444444"/>
            <w:tcMar>
              <w:top w:w="75" w:type="dxa"/>
              <w:left w:w="90" w:type="dxa"/>
              <w:bottom w:w="75" w:type="dxa"/>
              <w:right w:w="90" w:type="dxa"/>
            </w:tcMar>
            <w:vAlign w:val="center"/>
          </w:tcPr>
          <w:p w14:paraId="2F96F241" w14:textId="77777777" w:rsidR="00C342BF" w:rsidRPr="001D6B2E" w:rsidRDefault="00000000">
            <w:pPr>
              <w:spacing w:after="40" w:line="240" w:lineRule="auto"/>
              <w:jc w:val="center"/>
            </w:pPr>
            <w:r w:rsidRPr="001D6B2E">
              <w:rPr>
                <w:b/>
                <w:color w:val="FFFFFF"/>
                <w:sz w:val="14"/>
              </w:rPr>
              <w:t>Case</w:t>
            </w:r>
          </w:p>
        </w:tc>
        <w:tc>
          <w:tcPr>
            <w:tcW w:w="1728" w:type="dxa"/>
            <w:shd w:val="clear" w:color="auto" w:fill="444444"/>
            <w:tcMar>
              <w:top w:w="75" w:type="dxa"/>
              <w:left w:w="90" w:type="dxa"/>
              <w:bottom w:w="75" w:type="dxa"/>
              <w:right w:w="90" w:type="dxa"/>
            </w:tcMar>
            <w:vAlign w:val="center"/>
          </w:tcPr>
          <w:p w14:paraId="4CD86CB2" w14:textId="77777777" w:rsidR="00C342BF" w:rsidRPr="001D6B2E" w:rsidRDefault="00000000">
            <w:pPr>
              <w:spacing w:after="40" w:line="240" w:lineRule="auto"/>
              <w:jc w:val="center"/>
            </w:pPr>
            <w:r w:rsidRPr="001D6B2E">
              <w:rPr>
                <w:b/>
                <w:color w:val="FFFFFF"/>
                <w:sz w:val="14"/>
              </w:rPr>
              <w:t>Recurring pressure</w:t>
            </w:r>
          </w:p>
        </w:tc>
        <w:tc>
          <w:tcPr>
            <w:tcW w:w="2088" w:type="dxa"/>
            <w:shd w:val="clear" w:color="auto" w:fill="444444"/>
            <w:tcMar>
              <w:top w:w="75" w:type="dxa"/>
              <w:left w:w="90" w:type="dxa"/>
              <w:bottom w:w="75" w:type="dxa"/>
              <w:right w:w="90" w:type="dxa"/>
            </w:tcMar>
            <w:vAlign w:val="center"/>
          </w:tcPr>
          <w:p w14:paraId="25CED4A3" w14:textId="77777777" w:rsidR="00C342BF" w:rsidRPr="001D6B2E" w:rsidRDefault="00000000">
            <w:pPr>
              <w:spacing w:after="40" w:line="240" w:lineRule="auto"/>
              <w:jc w:val="center"/>
            </w:pPr>
            <w:r w:rsidRPr="001D6B2E">
              <w:rPr>
                <w:b/>
                <w:color w:val="FFFFFF"/>
                <w:sz w:val="14"/>
              </w:rPr>
              <w:t>Main communicated response</w:t>
            </w:r>
          </w:p>
        </w:tc>
        <w:tc>
          <w:tcPr>
            <w:tcW w:w="1872" w:type="dxa"/>
            <w:shd w:val="clear" w:color="auto" w:fill="444444"/>
            <w:tcMar>
              <w:top w:w="75" w:type="dxa"/>
              <w:left w:w="90" w:type="dxa"/>
              <w:bottom w:w="75" w:type="dxa"/>
              <w:right w:w="90" w:type="dxa"/>
            </w:tcMar>
            <w:vAlign w:val="center"/>
          </w:tcPr>
          <w:p w14:paraId="0AC0413E" w14:textId="77777777" w:rsidR="00C342BF" w:rsidRPr="001D6B2E" w:rsidRDefault="00000000">
            <w:pPr>
              <w:spacing w:after="40" w:line="240" w:lineRule="auto"/>
              <w:jc w:val="center"/>
            </w:pPr>
            <w:r w:rsidRPr="001D6B2E">
              <w:rPr>
                <w:b/>
                <w:color w:val="FFFFFF"/>
                <w:sz w:val="14"/>
              </w:rPr>
              <w:t>Distinctive evidence</w:t>
            </w:r>
          </w:p>
        </w:tc>
        <w:tc>
          <w:tcPr>
            <w:tcW w:w="1872" w:type="dxa"/>
            <w:shd w:val="clear" w:color="auto" w:fill="444444"/>
            <w:tcMar>
              <w:top w:w="75" w:type="dxa"/>
              <w:left w:w="90" w:type="dxa"/>
              <w:bottom w:w="75" w:type="dxa"/>
              <w:right w:w="90" w:type="dxa"/>
            </w:tcMar>
            <w:vAlign w:val="center"/>
          </w:tcPr>
          <w:p w14:paraId="0C939AB4" w14:textId="77777777" w:rsidR="00C342BF" w:rsidRPr="001D6B2E" w:rsidRDefault="00000000">
            <w:pPr>
              <w:spacing w:after="40" w:line="240" w:lineRule="auto"/>
              <w:jc w:val="center"/>
            </w:pPr>
            <w:r w:rsidRPr="001D6B2E">
              <w:rPr>
                <w:b/>
                <w:color w:val="FFFFFF"/>
                <w:sz w:val="14"/>
              </w:rPr>
              <w:t>Outcome-evidence position</w:t>
            </w:r>
          </w:p>
        </w:tc>
      </w:tr>
      <w:tr w:rsidR="00C342BF" w:rsidRPr="001D6B2E" w14:paraId="42A230B7" w14:textId="77777777">
        <w:trPr>
          <w:cantSplit/>
        </w:trPr>
        <w:tc>
          <w:tcPr>
            <w:tcW w:w="1440" w:type="dxa"/>
            <w:shd w:val="clear" w:color="auto" w:fill="E8F1F8"/>
            <w:tcMar>
              <w:top w:w="75" w:type="dxa"/>
              <w:left w:w="90" w:type="dxa"/>
              <w:bottom w:w="75" w:type="dxa"/>
              <w:right w:w="90" w:type="dxa"/>
            </w:tcMar>
            <w:vAlign w:val="center"/>
          </w:tcPr>
          <w:p w14:paraId="1B0E9850" w14:textId="77777777" w:rsidR="00C342BF" w:rsidRPr="001D6B2E" w:rsidRDefault="00000000">
            <w:pPr>
              <w:spacing w:after="40" w:line="240" w:lineRule="auto"/>
            </w:pPr>
            <w:r w:rsidRPr="001D6B2E">
              <w:rPr>
                <w:b/>
                <w:sz w:val="14"/>
              </w:rPr>
              <w:t>British Gas</w:t>
            </w:r>
          </w:p>
        </w:tc>
        <w:tc>
          <w:tcPr>
            <w:tcW w:w="1728" w:type="dxa"/>
            <w:shd w:val="clear" w:color="auto" w:fill="E8F1F8"/>
            <w:tcMar>
              <w:top w:w="75" w:type="dxa"/>
              <w:left w:w="90" w:type="dxa"/>
              <w:bottom w:w="75" w:type="dxa"/>
              <w:right w:w="90" w:type="dxa"/>
            </w:tcMar>
            <w:vAlign w:val="center"/>
          </w:tcPr>
          <w:p w14:paraId="19F601CB" w14:textId="77777777" w:rsidR="00C342BF" w:rsidRPr="001D6B2E" w:rsidRDefault="00000000">
            <w:pPr>
              <w:spacing w:after="40" w:line="240" w:lineRule="auto"/>
            </w:pPr>
            <w:r w:rsidRPr="001D6B2E">
              <w:rPr>
                <w:sz w:val="14"/>
              </w:rPr>
              <w:t>Debt and PPM vulnerability</w:t>
            </w:r>
          </w:p>
        </w:tc>
        <w:tc>
          <w:tcPr>
            <w:tcW w:w="2088" w:type="dxa"/>
            <w:shd w:val="clear" w:color="auto" w:fill="E8F1F8"/>
            <w:tcMar>
              <w:top w:w="75" w:type="dxa"/>
              <w:left w:w="90" w:type="dxa"/>
              <w:bottom w:w="75" w:type="dxa"/>
              <w:right w:w="90" w:type="dxa"/>
            </w:tcMar>
            <w:vAlign w:val="center"/>
          </w:tcPr>
          <w:p w14:paraId="0DAF7C3A" w14:textId="77777777" w:rsidR="00C342BF" w:rsidRPr="001D6B2E" w:rsidRDefault="00000000">
            <w:pPr>
              <w:spacing w:after="40" w:line="240" w:lineRule="auto"/>
            </w:pPr>
            <w:r w:rsidRPr="001D6B2E">
              <w:rPr>
                <w:sz w:val="14"/>
              </w:rPr>
              <w:t>Repayment, Fuel Direct, PSR and BGET</w:t>
            </w:r>
          </w:p>
        </w:tc>
        <w:tc>
          <w:tcPr>
            <w:tcW w:w="1872" w:type="dxa"/>
            <w:shd w:val="clear" w:color="auto" w:fill="E8F1F8"/>
            <w:tcMar>
              <w:top w:w="75" w:type="dxa"/>
              <w:left w:w="90" w:type="dxa"/>
              <w:bottom w:w="75" w:type="dxa"/>
              <w:right w:w="90" w:type="dxa"/>
            </w:tcMar>
            <w:vAlign w:val="center"/>
          </w:tcPr>
          <w:p w14:paraId="203D6862" w14:textId="77777777" w:rsidR="00C342BF" w:rsidRPr="001D6B2E" w:rsidRDefault="00000000">
            <w:pPr>
              <w:spacing w:after="40" w:line="240" w:lineRule="auto"/>
            </w:pPr>
            <w:r w:rsidRPr="001D6B2E">
              <w:rPr>
                <w:sz w:val="14"/>
              </w:rPr>
              <w:t>Independent trust plus major PPM remediation</w:t>
            </w:r>
          </w:p>
        </w:tc>
        <w:tc>
          <w:tcPr>
            <w:tcW w:w="1872" w:type="dxa"/>
            <w:shd w:val="clear" w:color="auto" w:fill="E8F1F8"/>
            <w:tcMar>
              <w:top w:w="75" w:type="dxa"/>
              <w:left w:w="90" w:type="dxa"/>
              <w:bottom w:w="75" w:type="dxa"/>
              <w:right w:w="90" w:type="dxa"/>
            </w:tcMar>
            <w:vAlign w:val="center"/>
          </w:tcPr>
          <w:p w14:paraId="6EDA2AA0" w14:textId="77777777" w:rsidR="00C342BF" w:rsidRPr="001D6B2E" w:rsidRDefault="00000000">
            <w:pPr>
              <w:spacing w:after="40" w:line="240" w:lineRule="auto"/>
            </w:pPr>
            <w:r w:rsidRPr="001D6B2E">
              <w:rPr>
                <w:sz w:val="14"/>
              </w:rPr>
              <w:t>High reported reach; serious issue-specific contradiction</w:t>
            </w:r>
          </w:p>
        </w:tc>
      </w:tr>
      <w:tr w:rsidR="00C342BF" w:rsidRPr="001D6B2E" w14:paraId="40C2D482" w14:textId="77777777">
        <w:trPr>
          <w:cantSplit/>
        </w:trPr>
        <w:tc>
          <w:tcPr>
            <w:tcW w:w="1440" w:type="dxa"/>
            <w:shd w:val="clear" w:color="auto" w:fill="E8F1F8"/>
            <w:tcMar>
              <w:top w:w="75" w:type="dxa"/>
              <w:left w:w="90" w:type="dxa"/>
              <w:bottom w:w="75" w:type="dxa"/>
              <w:right w:w="90" w:type="dxa"/>
            </w:tcMar>
            <w:vAlign w:val="center"/>
          </w:tcPr>
          <w:p w14:paraId="6333A83B" w14:textId="77777777" w:rsidR="00C342BF" w:rsidRPr="001D6B2E" w:rsidRDefault="00000000">
            <w:pPr>
              <w:spacing w:after="40" w:line="240" w:lineRule="auto"/>
            </w:pPr>
            <w:r w:rsidRPr="001D6B2E">
              <w:rPr>
                <w:b/>
                <w:sz w:val="14"/>
              </w:rPr>
              <w:t>Octopus Energy</w:t>
            </w:r>
          </w:p>
        </w:tc>
        <w:tc>
          <w:tcPr>
            <w:tcW w:w="1728" w:type="dxa"/>
            <w:shd w:val="clear" w:color="auto" w:fill="E8F1F8"/>
            <w:tcMar>
              <w:top w:w="75" w:type="dxa"/>
              <w:left w:w="90" w:type="dxa"/>
              <w:bottom w:w="75" w:type="dxa"/>
              <w:right w:w="90" w:type="dxa"/>
            </w:tcMar>
            <w:vAlign w:val="center"/>
          </w:tcPr>
          <w:p w14:paraId="4FC9D1C6" w14:textId="77777777" w:rsidR="00C342BF" w:rsidRPr="001D6B2E" w:rsidRDefault="00000000">
            <w:pPr>
              <w:spacing w:after="40" w:line="240" w:lineRule="auto"/>
            </w:pPr>
            <w:r w:rsidRPr="001D6B2E">
              <w:rPr>
                <w:sz w:val="14"/>
              </w:rPr>
              <w:t>Crisis contact growth and new debt</w:t>
            </w:r>
          </w:p>
        </w:tc>
        <w:tc>
          <w:tcPr>
            <w:tcW w:w="2088" w:type="dxa"/>
            <w:shd w:val="clear" w:color="auto" w:fill="E8F1F8"/>
            <w:tcMar>
              <w:top w:w="75" w:type="dxa"/>
              <w:left w:w="90" w:type="dxa"/>
              <w:bottom w:w="75" w:type="dxa"/>
              <w:right w:w="90" w:type="dxa"/>
            </w:tcMar>
            <w:vAlign w:val="center"/>
          </w:tcPr>
          <w:p w14:paraId="0C8179D1" w14:textId="77777777" w:rsidR="00C342BF" w:rsidRPr="001D6B2E" w:rsidRDefault="00000000">
            <w:pPr>
              <w:spacing w:after="40" w:line="240" w:lineRule="auto"/>
            </w:pPr>
            <w:r w:rsidRPr="001D6B2E">
              <w:rPr>
                <w:sz w:val="14"/>
              </w:rPr>
              <w:t>Bundled fund, PSR, multi-channel contact and social workers</w:t>
            </w:r>
          </w:p>
        </w:tc>
        <w:tc>
          <w:tcPr>
            <w:tcW w:w="1872" w:type="dxa"/>
            <w:shd w:val="clear" w:color="auto" w:fill="E8F1F8"/>
            <w:tcMar>
              <w:top w:w="75" w:type="dxa"/>
              <w:left w:w="90" w:type="dxa"/>
              <w:bottom w:w="75" w:type="dxa"/>
              <w:right w:w="90" w:type="dxa"/>
            </w:tcMar>
            <w:vAlign w:val="center"/>
          </w:tcPr>
          <w:p w14:paraId="5E2AF515" w14:textId="77777777" w:rsidR="00C342BF" w:rsidRPr="001D6B2E" w:rsidRDefault="00000000">
            <w:pPr>
              <w:spacing w:after="40" w:line="240" w:lineRule="auto"/>
            </w:pPr>
            <w:r w:rsidRPr="001D6B2E">
              <w:rPr>
                <w:sz w:val="14"/>
              </w:rPr>
              <w:t>Broadest visible support bundle</w:t>
            </w:r>
          </w:p>
        </w:tc>
        <w:tc>
          <w:tcPr>
            <w:tcW w:w="1872" w:type="dxa"/>
            <w:shd w:val="clear" w:color="auto" w:fill="E8F1F8"/>
            <w:tcMar>
              <w:top w:w="75" w:type="dxa"/>
              <w:left w:w="90" w:type="dxa"/>
              <w:bottom w:w="75" w:type="dxa"/>
              <w:right w:w="90" w:type="dxa"/>
            </w:tcMar>
            <w:vAlign w:val="center"/>
          </w:tcPr>
          <w:p w14:paraId="3108FC46" w14:textId="77777777" w:rsidR="00C342BF" w:rsidRPr="001D6B2E" w:rsidRDefault="00000000">
            <w:pPr>
              <w:spacing w:after="40" w:line="240" w:lineRule="auto"/>
            </w:pPr>
            <w:r w:rsidRPr="001D6B2E">
              <w:rPr>
                <w:sz w:val="14"/>
              </w:rPr>
              <w:t>High company-reported reach; compensation limitation</w:t>
            </w:r>
          </w:p>
        </w:tc>
      </w:tr>
      <w:tr w:rsidR="00C342BF" w:rsidRPr="001D6B2E" w14:paraId="2F646B8F" w14:textId="77777777">
        <w:trPr>
          <w:cantSplit/>
        </w:trPr>
        <w:tc>
          <w:tcPr>
            <w:tcW w:w="1440" w:type="dxa"/>
            <w:tcMar>
              <w:top w:w="75" w:type="dxa"/>
              <w:left w:w="90" w:type="dxa"/>
              <w:bottom w:w="75" w:type="dxa"/>
              <w:right w:w="90" w:type="dxa"/>
            </w:tcMar>
            <w:vAlign w:val="center"/>
          </w:tcPr>
          <w:p w14:paraId="0D5F5938" w14:textId="77777777" w:rsidR="00C342BF" w:rsidRPr="001D6B2E" w:rsidRDefault="00000000">
            <w:pPr>
              <w:spacing w:after="40" w:line="240" w:lineRule="auto"/>
            </w:pPr>
            <w:r w:rsidRPr="001D6B2E">
              <w:rPr>
                <w:b/>
                <w:sz w:val="14"/>
              </w:rPr>
              <w:t>E.ON Next</w:t>
            </w:r>
          </w:p>
        </w:tc>
        <w:tc>
          <w:tcPr>
            <w:tcW w:w="1728" w:type="dxa"/>
            <w:tcMar>
              <w:top w:w="75" w:type="dxa"/>
              <w:left w:w="90" w:type="dxa"/>
              <w:bottom w:w="75" w:type="dxa"/>
              <w:right w:w="90" w:type="dxa"/>
            </w:tcMar>
            <w:vAlign w:val="center"/>
          </w:tcPr>
          <w:p w14:paraId="1DEE7297" w14:textId="77777777" w:rsidR="00C342BF" w:rsidRPr="001D6B2E" w:rsidRDefault="00000000">
            <w:pPr>
              <w:spacing w:after="40" w:line="240" w:lineRule="auto"/>
            </w:pPr>
            <w:r w:rsidRPr="001D6B2E">
              <w:rPr>
                <w:sz w:val="14"/>
              </w:rPr>
              <w:t>Affordability and contact access</w:t>
            </w:r>
          </w:p>
        </w:tc>
        <w:tc>
          <w:tcPr>
            <w:tcW w:w="2088" w:type="dxa"/>
            <w:tcMar>
              <w:top w:w="75" w:type="dxa"/>
              <w:left w:w="90" w:type="dxa"/>
              <w:bottom w:w="75" w:type="dxa"/>
              <w:right w:w="90" w:type="dxa"/>
            </w:tcMar>
            <w:vAlign w:val="center"/>
          </w:tcPr>
          <w:p w14:paraId="5FAEDC00" w14:textId="77777777" w:rsidR="00C342BF" w:rsidRPr="001D6B2E" w:rsidRDefault="00000000">
            <w:pPr>
              <w:spacing w:after="40" w:line="240" w:lineRule="auto"/>
            </w:pPr>
            <w:r w:rsidRPr="001D6B2E">
              <w:rPr>
                <w:sz w:val="14"/>
              </w:rPr>
              <w:t>Budgeting, grants, PPM flexibility and PSR</w:t>
            </w:r>
          </w:p>
        </w:tc>
        <w:tc>
          <w:tcPr>
            <w:tcW w:w="1872" w:type="dxa"/>
            <w:tcMar>
              <w:top w:w="75" w:type="dxa"/>
              <w:left w:w="90" w:type="dxa"/>
              <w:bottom w:w="75" w:type="dxa"/>
              <w:right w:w="90" w:type="dxa"/>
            </w:tcMar>
            <w:vAlign w:val="center"/>
          </w:tcPr>
          <w:p w14:paraId="523AE156" w14:textId="77777777" w:rsidR="00C342BF" w:rsidRPr="001D6B2E" w:rsidRDefault="00000000">
            <w:pPr>
              <w:spacing w:after="40" w:line="240" w:lineRule="auto"/>
            </w:pPr>
            <w:r w:rsidRPr="001D6B2E">
              <w:rPr>
                <w:sz w:val="14"/>
              </w:rPr>
              <w:t>Charis-managed fund</w:t>
            </w:r>
          </w:p>
        </w:tc>
        <w:tc>
          <w:tcPr>
            <w:tcW w:w="1872" w:type="dxa"/>
            <w:tcMar>
              <w:top w:w="75" w:type="dxa"/>
              <w:left w:w="90" w:type="dxa"/>
              <w:bottom w:w="75" w:type="dxa"/>
              <w:right w:w="90" w:type="dxa"/>
            </w:tcMar>
            <w:vAlign w:val="center"/>
          </w:tcPr>
          <w:p w14:paraId="37E38B51" w14:textId="77777777" w:rsidR="00C342BF" w:rsidRPr="001D6B2E" w:rsidRDefault="00000000">
            <w:pPr>
              <w:spacing w:after="40" w:line="240" w:lineRule="auto"/>
            </w:pPr>
            <w:r w:rsidRPr="001D6B2E">
              <w:rPr>
                <w:sz w:val="14"/>
              </w:rPr>
              <w:t>Moderate; remediation and near-average satisfaction</w:t>
            </w:r>
          </w:p>
        </w:tc>
      </w:tr>
      <w:tr w:rsidR="00C342BF" w:rsidRPr="001D6B2E" w14:paraId="79DB13F1" w14:textId="77777777">
        <w:trPr>
          <w:cantSplit/>
        </w:trPr>
        <w:tc>
          <w:tcPr>
            <w:tcW w:w="1440" w:type="dxa"/>
            <w:shd w:val="clear" w:color="auto" w:fill="F3F4F6"/>
            <w:tcMar>
              <w:top w:w="75" w:type="dxa"/>
              <w:left w:w="90" w:type="dxa"/>
              <w:bottom w:w="75" w:type="dxa"/>
              <w:right w:w="90" w:type="dxa"/>
            </w:tcMar>
            <w:vAlign w:val="center"/>
          </w:tcPr>
          <w:p w14:paraId="3A7F0B37" w14:textId="77777777" w:rsidR="00C342BF" w:rsidRPr="001D6B2E" w:rsidRDefault="00000000">
            <w:pPr>
              <w:spacing w:after="40" w:line="240" w:lineRule="auto"/>
            </w:pPr>
            <w:r w:rsidRPr="001D6B2E">
              <w:rPr>
                <w:b/>
                <w:sz w:val="14"/>
              </w:rPr>
              <w:t>OVO Energy</w:t>
            </w:r>
          </w:p>
        </w:tc>
        <w:tc>
          <w:tcPr>
            <w:tcW w:w="1728" w:type="dxa"/>
            <w:shd w:val="clear" w:color="auto" w:fill="F3F4F6"/>
            <w:tcMar>
              <w:top w:w="75" w:type="dxa"/>
              <w:left w:w="90" w:type="dxa"/>
              <w:bottom w:w="75" w:type="dxa"/>
              <w:right w:w="90" w:type="dxa"/>
            </w:tcMar>
            <w:vAlign w:val="center"/>
          </w:tcPr>
          <w:p w14:paraId="36DE14A6" w14:textId="77777777" w:rsidR="00C342BF" w:rsidRPr="001D6B2E" w:rsidRDefault="00000000">
            <w:pPr>
              <w:spacing w:after="40" w:line="240" w:lineRule="auto"/>
            </w:pPr>
            <w:r w:rsidRPr="001D6B2E">
              <w:rPr>
                <w:sz w:val="14"/>
              </w:rPr>
              <w:t>Debt, self-disconnection and complaints</w:t>
            </w:r>
          </w:p>
        </w:tc>
        <w:tc>
          <w:tcPr>
            <w:tcW w:w="2088" w:type="dxa"/>
            <w:shd w:val="clear" w:color="auto" w:fill="F3F4F6"/>
            <w:tcMar>
              <w:top w:w="75" w:type="dxa"/>
              <w:left w:w="90" w:type="dxa"/>
              <w:bottom w:w="75" w:type="dxa"/>
              <w:right w:w="90" w:type="dxa"/>
            </w:tcMar>
            <w:vAlign w:val="center"/>
          </w:tcPr>
          <w:p w14:paraId="00CAEBB7" w14:textId="77777777" w:rsidR="00C342BF" w:rsidRPr="001D6B2E" w:rsidRDefault="00000000">
            <w:pPr>
              <w:spacing w:after="40" w:line="240" w:lineRule="auto"/>
            </w:pPr>
            <w:r w:rsidRPr="001D6B2E">
              <w:rPr>
                <w:sz w:val="14"/>
              </w:rPr>
              <w:t>Tailored plans, conditional fund and PSR</w:t>
            </w:r>
          </w:p>
        </w:tc>
        <w:tc>
          <w:tcPr>
            <w:tcW w:w="1872" w:type="dxa"/>
            <w:shd w:val="clear" w:color="auto" w:fill="F3F4F6"/>
            <w:tcMar>
              <w:top w:w="75" w:type="dxa"/>
              <w:left w:w="90" w:type="dxa"/>
              <w:bottom w:w="75" w:type="dxa"/>
              <w:right w:w="90" w:type="dxa"/>
            </w:tcMar>
            <w:vAlign w:val="center"/>
          </w:tcPr>
          <w:p w14:paraId="03C182EE" w14:textId="77777777" w:rsidR="00C342BF" w:rsidRPr="001D6B2E" w:rsidRDefault="00000000">
            <w:pPr>
              <w:spacing w:after="40" w:line="240" w:lineRule="auto"/>
            </w:pPr>
            <w:r w:rsidRPr="001D6B2E">
              <w:rPr>
                <w:sz w:val="14"/>
              </w:rPr>
              <w:t>Strong policy-delivery contrast</w:t>
            </w:r>
          </w:p>
        </w:tc>
        <w:tc>
          <w:tcPr>
            <w:tcW w:w="1872" w:type="dxa"/>
            <w:shd w:val="clear" w:color="auto" w:fill="F3F4F6"/>
            <w:tcMar>
              <w:top w:w="75" w:type="dxa"/>
              <w:left w:w="90" w:type="dxa"/>
              <w:bottom w:w="75" w:type="dxa"/>
              <w:right w:w="90" w:type="dxa"/>
            </w:tcMar>
            <w:vAlign w:val="center"/>
          </w:tcPr>
          <w:p w14:paraId="31C8A7D3" w14:textId="77777777" w:rsidR="00C342BF" w:rsidRPr="001D6B2E" w:rsidRDefault="00000000">
            <w:pPr>
              <w:spacing w:after="40" w:line="240" w:lineRule="auto"/>
            </w:pPr>
            <w:r w:rsidRPr="001D6B2E">
              <w:rPr>
                <w:sz w:val="14"/>
              </w:rPr>
              <w:t>Strong regulatory outcomes; below-average satisfaction</w:t>
            </w:r>
          </w:p>
        </w:tc>
      </w:tr>
      <w:tr w:rsidR="00C342BF" w:rsidRPr="001D6B2E" w14:paraId="30E3B3D1" w14:textId="77777777">
        <w:trPr>
          <w:cantSplit/>
        </w:trPr>
        <w:tc>
          <w:tcPr>
            <w:tcW w:w="1440" w:type="dxa"/>
            <w:tcMar>
              <w:top w:w="75" w:type="dxa"/>
              <w:left w:w="90" w:type="dxa"/>
              <w:bottom w:w="75" w:type="dxa"/>
              <w:right w:w="90" w:type="dxa"/>
            </w:tcMar>
            <w:vAlign w:val="center"/>
          </w:tcPr>
          <w:p w14:paraId="6498F547" w14:textId="77777777" w:rsidR="00C342BF" w:rsidRPr="001D6B2E" w:rsidRDefault="00000000">
            <w:pPr>
              <w:spacing w:after="40" w:line="240" w:lineRule="auto"/>
            </w:pPr>
            <w:r w:rsidRPr="001D6B2E">
              <w:rPr>
                <w:b/>
                <w:sz w:val="14"/>
              </w:rPr>
              <w:t>EDF Energy</w:t>
            </w:r>
          </w:p>
        </w:tc>
        <w:tc>
          <w:tcPr>
            <w:tcW w:w="1728" w:type="dxa"/>
            <w:tcMar>
              <w:top w:w="75" w:type="dxa"/>
              <w:left w:w="90" w:type="dxa"/>
              <w:bottom w:w="75" w:type="dxa"/>
              <w:right w:w="90" w:type="dxa"/>
            </w:tcMar>
            <w:vAlign w:val="center"/>
          </w:tcPr>
          <w:p w14:paraId="5B069C74" w14:textId="77777777" w:rsidR="00C342BF" w:rsidRPr="001D6B2E" w:rsidRDefault="00000000">
            <w:pPr>
              <w:spacing w:after="40" w:line="240" w:lineRule="auto"/>
            </w:pPr>
            <w:r w:rsidRPr="001D6B2E">
              <w:rPr>
                <w:sz w:val="14"/>
              </w:rPr>
              <w:t>Affordability and service consistency</w:t>
            </w:r>
          </w:p>
        </w:tc>
        <w:tc>
          <w:tcPr>
            <w:tcW w:w="2088" w:type="dxa"/>
            <w:tcMar>
              <w:top w:w="75" w:type="dxa"/>
              <w:left w:w="90" w:type="dxa"/>
              <w:bottom w:w="75" w:type="dxa"/>
              <w:right w:w="90" w:type="dxa"/>
            </w:tcMar>
            <w:vAlign w:val="center"/>
          </w:tcPr>
          <w:p w14:paraId="27ACEB0E" w14:textId="77777777" w:rsidR="00C342BF" w:rsidRPr="001D6B2E" w:rsidRDefault="00000000">
            <w:pPr>
              <w:spacing w:after="40" w:line="240" w:lineRule="auto"/>
            </w:pPr>
            <w:r w:rsidRPr="001D6B2E">
              <w:rPr>
                <w:sz w:val="14"/>
              </w:rPr>
              <w:t>CARE+, support fund, PSR and partner advice</w:t>
            </w:r>
          </w:p>
        </w:tc>
        <w:tc>
          <w:tcPr>
            <w:tcW w:w="1872" w:type="dxa"/>
            <w:tcMar>
              <w:top w:w="75" w:type="dxa"/>
              <w:left w:w="90" w:type="dxa"/>
              <w:bottom w:w="75" w:type="dxa"/>
              <w:right w:w="90" w:type="dxa"/>
            </w:tcMar>
            <w:vAlign w:val="center"/>
          </w:tcPr>
          <w:p w14:paraId="2FC2348E" w14:textId="77777777" w:rsidR="00C342BF" w:rsidRPr="001D6B2E" w:rsidRDefault="00000000">
            <w:pPr>
              <w:spacing w:after="40" w:line="240" w:lineRule="auto"/>
            </w:pPr>
            <w:r w:rsidRPr="001D6B2E">
              <w:rPr>
                <w:sz w:val="14"/>
              </w:rPr>
              <w:t>Structured four-stage journey</w:t>
            </w:r>
          </w:p>
        </w:tc>
        <w:tc>
          <w:tcPr>
            <w:tcW w:w="1872" w:type="dxa"/>
            <w:tcMar>
              <w:top w:w="75" w:type="dxa"/>
              <w:left w:w="90" w:type="dxa"/>
              <w:bottom w:w="75" w:type="dxa"/>
              <w:right w:w="90" w:type="dxa"/>
            </w:tcMar>
            <w:vAlign w:val="center"/>
          </w:tcPr>
          <w:p w14:paraId="4866F577" w14:textId="77777777" w:rsidR="00C342BF" w:rsidRPr="001D6B2E" w:rsidRDefault="00000000">
            <w:pPr>
              <w:spacing w:after="40" w:line="240" w:lineRule="auto"/>
            </w:pPr>
            <w:r w:rsidRPr="001D6B2E">
              <w:rPr>
                <w:sz w:val="14"/>
              </w:rPr>
              <w:t>Limited disclosed take-up; below-average satisfaction</w:t>
            </w:r>
          </w:p>
        </w:tc>
      </w:tr>
    </w:tbl>
    <w:p w14:paraId="2A762DBF" w14:textId="77777777" w:rsidR="00C342BF" w:rsidRPr="001D6B2E" w:rsidRDefault="00C342BF">
      <w:pPr>
        <w:spacing w:after="40"/>
      </w:pPr>
    </w:p>
    <w:p w14:paraId="12C5C38B" w14:textId="77777777" w:rsidR="00C342BF" w:rsidRPr="001D6B2E" w:rsidRDefault="00000000">
      <w:pPr>
        <w:pStyle w:val="Caption"/>
        <w:spacing w:line="360" w:lineRule="auto"/>
        <w:jc w:val="center"/>
      </w:pPr>
      <w:r w:rsidRPr="001D6B2E">
        <w:t>Table 4.2: Cross-case summary of support communication and outcome evidence</w:t>
      </w:r>
    </w:p>
    <w:p w14:paraId="47EB6617" w14:textId="77777777" w:rsidR="00C342BF" w:rsidRPr="001D6B2E" w:rsidRDefault="00000000">
      <w:pPr>
        <w:pStyle w:val="Heading2"/>
        <w:spacing w:before="120" w:after="20"/>
        <w:rPr>
          <w:rFonts w:ascii="Times New Roman" w:hAnsi="Times New Roman" w:cs="Times New Roman"/>
        </w:rPr>
      </w:pPr>
      <w:r w:rsidRPr="001D6B2E">
        <w:rPr>
          <w:rFonts w:ascii="Times New Roman" w:eastAsia="Times New Roman" w:hAnsi="Times New Roman" w:cs="Times New Roman"/>
        </w:rPr>
        <w:t>4.8 Chapter Summary</w:t>
      </w:r>
    </w:p>
    <w:p w14:paraId="2CB85BD8" w14:textId="77777777" w:rsidR="00C342BF" w:rsidRPr="001D6B2E" w:rsidRDefault="00A70173">
      <w:pPr>
        <w:jc w:val="both"/>
      </w:pPr>
      <w:r w:rsidRPr="001D6B2E">
        <w:t xml:space="preserve">The findings show that all five suppliers communicate payment flexibility and extended support for their customers in vulnerable situations. British Gas and Octopus Energy provide richer focal evidence but through different models: British Gas combines supplier-managed routes with an independently governed trust; Octopus offers an integrated fund, digital access, practical measures and specialist social work. Many of the benchmarks are common </w:t>
      </w:r>
      <w:r w:rsidRPr="001D6B2E">
        <w:lastRenderedPageBreak/>
        <w:t>to both focal suppliers, reflecting that these practices are not unique to one or the other supplier. However, regulatory and enforcement evidence identifies policy-delivery gaps alongside uneven contextual outcome indicators. The patterns are interpreted in Chapter 5 in terms of competence, benevolence and integrity, and Chapter 5 compares the findings with the literature and addresses how affordability communication relates to perceived supplier trustworthiness without claiming direct measurement.</w:t>
      </w:r>
    </w:p>
    <w:p w14:paraId="37A83EFE" w14:textId="77777777" w:rsidR="00C342BF" w:rsidRPr="001D6B2E" w:rsidRDefault="00000000">
      <w:pPr>
        <w:pStyle w:val="Heading1"/>
        <w:pageBreakBefore/>
        <w:spacing w:before="240" w:after="80"/>
        <w:rPr>
          <w:rFonts w:ascii="Times New Roman" w:hAnsi="Times New Roman" w:cs="Times New Roman"/>
        </w:rPr>
      </w:pPr>
      <w:r w:rsidRPr="001D6B2E">
        <w:rPr>
          <w:rFonts w:ascii="Times New Roman" w:eastAsia="Times New Roman" w:hAnsi="Times New Roman" w:cs="Times New Roman"/>
        </w:rPr>
        <w:lastRenderedPageBreak/>
        <w:t>Chapter 5: Discussion and Analysis</w:t>
      </w:r>
    </w:p>
    <w:p w14:paraId="4C8561BA"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5.1 Purpose and Positioning</w:t>
      </w:r>
    </w:p>
    <w:p w14:paraId="3402F30A" w14:textId="77777777" w:rsidR="00C342BF" w:rsidRPr="001D6B2E" w:rsidRDefault="00333DF7">
      <w:pPr>
        <w:jc w:val="both"/>
      </w:pPr>
      <w:r w:rsidRPr="00333DF7">
        <w:t>This chapter explains how the five company findings presented in Chapter 4 can be interpreted through the relational service trust perspective and the energy-justice literature developed in Chapter 2. Rather than repeating individual company narratives, the analysis focuses on how cross-case patterns provide implications for the credibility of affordability and vulnerable-customer communication</w:t>
      </w:r>
      <w:r w:rsidR="00EF08B8" w:rsidRPr="001D6B2E">
        <w:t>. British Gas and Octopus Energy are the main cases. E.ON Next, OVO Energy and EDF Energy provide a bounded benchmark that tests whether the focal practices are distinctive within the large-supplier market.</w:t>
      </w:r>
    </w:p>
    <w:p w14:paraId="703291A2" w14:textId="77777777" w:rsidR="00C342BF" w:rsidRPr="001D6B2E" w:rsidRDefault="001B49BD">
      <w:pPr>
        <w:jc w:val="both"/>
      </w:pPr>
      <w:r w:rsidRPr="001D6B2E">
        <w:rPr>
          <w:szCs w:val="24"/>
        </w:rPr>
        <w:t>The analysis focuses on two interconnected analytical tasks: the ways in which the focal suppliers communicate support, and the ways in which accessibility, transparency, targeting and accountability might influence perceived supplier trustworthiness. Customer trust itself was not measured. The “signals” of competence, benevolence and integrity are therefore not interpreted as customer attitudes expressed in the documents; rather, they are treated as observable competence, benevolence and integrity signals in the documents (Mayer, Davis and Schoorman, 1995; Sirdeshmukh, Singh and Sabol, 2002). There are four arguments developed in the chapter: information must be operationally accessible; recognition must be flexible enough to allow for dynamic circumstances; credibility must rely on evidence quality; and stated support must be consistent with delivery and remediation. These arguments are used to answer the research question and refine the theoretical framework.</w:t>
      </w:r>
    </w:p>
    <w:p w14:paraId="5F09ED3C"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5.2 Analytical Framework and Logic</w:t>
      </w:r>
    </w:p>
    <w:p w14:paraId="1ADEFA87" w14:textId="77777777" w:rsidR="00F32089" w:rsidRPr="001D6B2E" w:rsidRDefault="001B49BD" w:rsidP="00F32089">
      <w:pPr>
        <w:jc w:val="both"/>
      </w:pPr>
      <w:r w:rsidRPr="001D6B2E">
        <w:t xml:space="preserve">The </w:t>
      </w:r>
      <w:proofErr w:type="spellStart"/>
      <w:r w:rsidRPr="001D6B2E">
        <w:t>organising</w:t>
      </w:r>
      <w:proofErr w:type="spellEnd"/>
      <w:r w:rsidRPr="001D6B2E">
        <w:t xml:space="preserve"> lens is relational service trust. Morgan and Hunt (1994) see trust as the key to sustaining exchange, and Mayer, Davis and </w:t>
      </w:r>
      <w:proofErr w:type="spellStart"/>
      <w:r w:rsidRPr="001D6B2E">
        <w:t>Schoorman</w:t>
      </w:r>
      <w:proofErr w:type="spellEnd"/>
      <w:r w:rsidRPr="001D6B2E">
        <w:t xml:space="preserve"> (1995) identify ability, benevolence and integrity as antecedents of perceived trustworthiness.</w:t>
      </w:r>
    </w:p>
    <w:p w14:paraId="773DDDD0" w14:textId="77777777" w:rsidR="001B49BD" w:rsidRPr="001D6B2E" w:rsidRDefault="00F32089" w:rsidP="00F32089">
      <w:pPr>
        <w:jc w:val="both"/>
      </w:pPr>
      <w:proofErr w:type="spellStart"/>
      <w:r w:rsidRPr="001D6B2E">
        <w:t>Sirdeshmukh</w:t>
      </w:r>
      <w:proofErr w:type="spellEnd"/>
      <w:r w:rsidRPr="001D6B2E">
        <w:t xml:space="preserve">, Singh and Sabol (2002) relate provider </w:t>
      </w:r>
      <w:proofErr w:type="spellStart"/>
      <w:r w:rsidRPr="001D6B2E">
        <w:t>behaviour</w:t>
      </w:r>
      <w:proofErr w:type="spellEnd"/>
      <w:r w:rsidRPr="001D6B2E">
        <w:t xml:space="preserve"> and organisational policies to consumer trust in service relationships. Applied here, clear and workable support routes may signal competence; flexible and circumstances-sensitive provision may signal benevolence; and evidence, consistency and openness to scrutiny may signal integrity</w:t>
      </w:r>
      <w:r w:rsidR="0011663F" w:rsidRPr="001D6B2E">
        <w:rPr>
          <w:szCs w:val="24"/>
        </w:rPr>
        <w:t>.</w:t>
      </w:r>
    </w:p>
    <w:p w14:paraId="1B736D6D" w14:textId="77777777" w:rsidR="00C342BF" w:rsidRPr="001D6B2E" w:rsidRDefault="001B49BD" w:rsidP="001B49BD">
      <w:pPr>
        <w:jc w:val="both"/>
      </w:pPr>
      <w:r w:rsidRPr="001D6B2E">
        <w:t xml:space="preserve">Energy justice situates trustworthiness within unequal material and procedural conditions. Distribution concerns who receives support, recognition concerns whether different needs are </w:t>
      </w:r>
      <w:r w:rsidRPr="001D6B2E">
        <w:lastRenderedPageBreak/>
        <w:t>understood, and procedure concerns whether access and decision processes are fair (Walker and Day, 2012; Jenkins et al., 2016). This prevents trustworthiness from being reduced to reputation while material hardship is overlooked. It also addresses situations in which information is technically available but not practically usable because customers face financial pressure, stigma, health constraints or limited digital confidence (Middlemiss and Gillard, 2015; Ambrosio-Albala et al., 2020).</w:t>
      </w:r>
    </w:p>
    <w:p w14:paraId="3639A1A0"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5.3 Cross-Case Synthesis: Comparison with the Literature</w:t>
      </w:r>
    </w:p>
    <w:p w14:paraId="5BFA4559"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5.3.1 Operational accessibility as a condition of competence</w:t>
      </w:r>
    </w:p>
    <w:p w14:paraId="2B435973" w14:textId="77777777" w:rsidR="001B49BD" w:rsidRPr="001D6B2E" w:rsidRDefault="00F32089" w:rsidP="001B49BD">
      <w:pPr>
        <w:jc w:val="both"/>
      </w:pPr>
      <w:r w:rsidRPr="001D6B2E">
        <w:t>In Chapter 2 information availability was clearly separated from information's practical accessibility.</w:t>
      </w:r>
      <w:r w:rsidR="000A10C0" w:rsidRPr="000A10C0">
        <w:t xml:space="preserve"> Information availability did not necessarily translate into market participation unless households had the means and confidence to take action</w:t>
      </w:r>
      <w:r w:rsidRPr="001D6B2E">
        <w:t>, as shown by Ambrosio-Albala et al. (2020). In addition, Ofgem's qualitative research indicates that customers value transparency in communication, clear bills, understanding and flexibility of the choices available to them based on their circumstances (Ofgem, 2024a). In Chapter 4 the evidence supports this distinction: All five suppliers have published their payment-help and Priority Services routes, but the usefulness of these routes is dependent on the availability of the channel, its explanation and delivery</w:t>
      </w:r>
      <w:r w:rsidR="001B49BD" w:rsidRPr="001D6B2E">
        <w:t>.</w:t>
      </w:r>
    </w:p>
    <w:p w14:paraId="51CB5CC1" w14:textId="77777777" w:rsidR="00F32089" w:rsidRPr="001D6B2E" w:rsidRDefault="00F32089" w:rsidP="001B49BD">
      <w:pPr>
        <w:spacing w:after="0"/>
        <w:jc w:val="both"/>
      </w:pPr>
    </w:p>
    <w:p w14:paraId="01B23900" w14:textId="77777777" w:rsidR="00C342BF" w:rsidRPr="001D6B2E" w:rsidRDefault="001B49BD" w:rsidP="001B49BD">
      <w:pPr>
        <w:jc w:val="both"/>
      </w:pPr>
      <w:r w:rsidRPr="001D6B2E">
        <w:t>The focal cases organise access differently. British Gas distributes Energy Trust provision, accessible communication and debt support across separate routes. This creates a broad architecture with an independently administered route, but customers must navigate multiple entry points. Octopus Energy offers a more comprehensive package, which includes financial support, payment options, tangible energy-saving strategies, digital registration and specialist social-work assistance (British Gas, n.d.-a; British Gas, n.d.-b; British Gas, n.d.-c; Octopus Energy, 2022a; Octopus Energy, 2025). The focal distinction therefore concerns support architecture rather than the simple presence or absence of support.</w:t>
      </w:r>
    </w:p>
    <w:p w14:paraId="2D416328" w14:textId="77777777" w:rsidR="00C342BF" w:rsidRPr="001D6B2E" w:rsidRDefault="00000000">
      <w:pPr>
        <w:jc w:val="both"/>
      </w:pPr>
      <w:r w:rsidRPr="001D6B2E">
        <w:t xml:space="preserve">Benchmark evidence qualifies any claim that either focal model is unique. E.ON Next, OVO Energy and EDF Energy also describe payment flexibility, grants, alternative formats and Priority Services. However, E.ON's severe service-access weaknesses and OVO's complaint-resolution failures show that a visible route does not by itself demonstrate operational competence (Ofgem, 2023a; Ofgem, 2024d). The refined insight is an </w:t>
      </w:r>
      <w:r w:rsidRPr="001D6B2E">
        <w:rPr>
          <w:b/>
        </w:rPr>
        <w:t>availability-access gap</w:t>
      </w:r>
      <w:r w:rsidRPr="001D6B2E">
        <w:t xml:space="preserve">: communication signals competence only when customers can locate, understand and </w:t>
      </w:r>
      <w:r w:rsidRPr="001D6B2E">
        <w:lastRenderedPageBreak/>
        <w:t>successfully use the route. This extends the trust literature by identifying operational accessibility as a boundary condition between a stated policy and a credible competence signal.</w:t>
      </w:r>
    </w:p>
    <w:p w14:paraId="4085CB2D"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5.3.2 Recognition, targeting and benevolence</w:t>
      </w:r>
    </w:p>
    <w:p w14:paraId="67D05F6D" w14:textId="77777777" w:rsidR="003A5EA6" w:rsidRPr="003A5EA6" w:rsidRDefault="003A5EA6" w:rsidP="003A5EA6">
      <w:pPr>
        <w:jc w:val="both"/>
        <w:rPr>
          <w:szCs w:val="24"/>
        </w:rPr>
      </w:pPr>
      <w:r w:rsidRPr="003A5EA6">
        <w:rPr>
          <w:szCs w:val="24"/>
        </w:rPr>
        <w:t xml:space="preserve">Energy vulnerability is not a fixed category that applies to the same group of customers over time. </w:t>
      </w:r>
      <w:proofErr w:type="gramStart"/>
      <w:r w:rsidRPr="003A5EA6">
        <w:rPr>
          <w:szCs w:val="24"/>
        </w:rPr>
        <w:t>Instead</w:t>
      </w:r>
      <w:proofErr w:type="gramEnd"/>
      <w:r>
        <w:rPr>
          <w:szCs w:val="24"/>
        </w:rPr>
        <w:t xml:space="preserve"> </w:t>
      </w:r>
      <w:r w:rsidRPr="003A5EA6">
        <w:rPr>
          <w:szCs w:val="24"/>
        </w:rPr>
        <w:t>it is a changing experience that can build up through different challenges and often involves overlapping circumstances (</w:t>
      </w:r>
      <w:proofErr w:type="spellStart"/>
      <w:r w:rsidRPr="003A5EA6">
        <w:rPr>
          <w:szCs w:val="24"/>
        </w:rPr>
        <w:t>Bouzarovski</w:t>
      </w:r>
      <w:proofErr w:type="spellEnd"/>
      <w:r w:rsidRPr="003A5EA6">
        <w:rPr>
          <w:szCs w:val="24"/>
        </w:rPr>
        <w:t xml:space="preserve"> and Petrova, 2015; Middlemiss and Gillard, 2015; Simcock et al., 2021).</w:t>
      </w:r>
      <w:r>
        <w:rPr>
          <w:szCs w:val="24"/>
        </w:rPr>
        <w:t xml:space="preserve"> H</w:t>
      </w:r>
      <w:r w:rsidRPr="003A5EA6">
        <w:rPr>
          <w:szCs w:val="24"/>
        </w:rPr>
        <w:t>aving flexibility in eligibility criteria can help identify forms of hardship that may not be captured through standard assessments</w:t>
      </w:r>
      <w:r>
        <w:rPr>
          <w:szCs w:val="24"/>
        </w:rPr>
        <w:t xml:space="preserve"> f</w:t>
      </w:r>
      <w:r w:rsidRPr="003A5EA6">
        <w:rPr>
          <w:szCs w:val="24"/>
        </w:rPr>
        <w:t xml:space="preserve">rom an energy-justice perspective. Therefore, it is important to </w:t>
      </w:r>
      <w:proofErr w:type="spellStart"/>
      <w:r w:rsidRPr="003A5EA6">
        <w:rPr>
          <w:szCs w:val="24"/>
        </w:rPr>
        <w:t>recognise</w:t>
      </w:r>
      <w:proofErr w:type="spellEnd"/>
      <w:r w:rsidRPr="003A5EA6">
        <w:rPr>
          <w:szCs w:val="24"/>
        </w:rPr>
        <w:t xml:space="preserve"> that each customer’s situation is different and that support should be provided based on individual needs rather than a one-size-fits-all approach (Walker and Day, 2012; Powells, Scott and Stockton, 2025). The findings from Chapter 4 support this perspective</w:t>
      </w:r>
      <w:r>
        <w:rPr>
          <w:szCs w:val="24"/>
        </w:rPr>
        <w:t>.</w:t>
      </w:r>
      <w:r w:rsidRPr="003A5EA6">
        <w:rPr>
          <w:szCs w:val="24"/>
        </w:rPr>
        <w:t xml:space="preserve"> </w:t>
      </w:r>
      <w:r>
        <w:rPr>
          <w:szCs w:val="24"/>
        </w:rPr>
        <w:t>A</w:t>
      </w:r>
      <w:r w:rsidRPr="003A5EA6">
        <w:rPr>
          <w:szCs w:val="24"/>
        </w:rPr>
        <w:t xml:space="preserve">ll suppliers communicate their support options in ways that acknowledge different customer circumstances instead of depending on a single </w:t>
      </w:r>
      <w:proofErr w:type="spellStart"/>
      <w:r w:rsidRPr="003A5EA6">
        <w:rPr>
          <w:szCs w:val="24"/>
        </w:rPr>
        <w:t>generalised</w:t>
      </w:r>
      <w:proofErr w:type="spellEnd"/>
      <w:r w:rsidRPr="003A5EA6">
        <w:rPr>
          <w:szCs w:val="24"/>
        </w:rPr>
        <w:t xml:space="preserve"> support offer.</w:t>
      </w:r>
    </w:p>
    <w:p w14:paraId="3FE9CFE2" w14:textId="77777777" w:rsidR="003A5EA6" w:rsidRDefault="003A5EA6" w:rsidP="003A5EA6">
      <w:pPr>
        <w:jc w:val="both"/>
        <w:rPr>
          <w:szCs w:val="24"/>
        </w:rPr>
      </w:pPr>
      <w:r w:rsidRPr="003A5EA6">
        <w:rPr>
          <w:szCs w:val="24"/>
        </w:rPr>
        <w:t>British Gas provides several forms of assistance</w:t>
      </w:r>
      <w:r>
        <w:rPr>
          <w:szCs w:val="24"/>
        </w:rPr>
        <w:t xml:space="preserve"> </w:t>
      </w:r>
      <w:r w:rsidRPr="003A5EA6">
        <w:rPr>
          <w:szCs w:val="24"/>
        </w:rPr>
        <w:t>including flexible payment options, Fuel Direct, alternative communication methods and grant opportunities. Alongside these measures</w:t>
      </w:r>
      <w:r>
        <w:rPr>
          <w:szCs w:val="24"/>
        </w:rPr>
        <w:t xml:space="preserve"> </w:t>
      </w:r>
      <w:r w:rsidRPr="003A5EA6">
        <w:rPr>
          <w:szCs w:val="24"/>
        </w:rPr>
        <w:t>Octopus provides additional forms of support</w:t>
      </w:r>
      <w:r>
        <w:rPr>
          <w:szCs w:val="24"/>
        </w:rPr>
        <w:t>. Those supports are:</w:t>
      </w:r>
      <w:r w:rsidRPr="003A5EA6">
        <w:rPr>
          <w:szCs w:val="24"/>
        </w:rPr>
        <w:t xml:space="preserve"> standing charge waivers, payment holidays, practical heating guidance, access to an in-house social-work team and temporary Priority Services eligibility. These approaches can be viewed as signals of benevolence because they frame hardship as a situation where customers may need additional flexibility and assistance, rather than as a result of individual failure. However, having a broader range of support options does not necessarily mean that all forms of support are equally accessible or available to every customer. Some support funds depend on specific balance thresholds (British Gas Energy Trust, 2024; Octopus Energy, 2022a; EDF Energy, n.d.-b; OVO Energy, n.d.-b) while others require customers to complete financial assessment processes (OVO Energy, n.d.-b; EDF Energy, n.d.-b). In addition, BGET differentiates between routes available to customers across multiple suppliers and those specifically connected to British Gas customers (British Gas Energy Trust, 2024).</w:t>
      </w:r>
    </w:p>
    <w:p w14:paraId="07D8F18A" w14:textId="77777777" w:rsidR="00C342BF" w:rsidRPr="001D6B2E" w:rsidRDefault="001B49BD" w:rsidP="003A5EA6">
      <w:pPr>
        <w:jc w:val="both"/>
      </w:pPr>
      <w:r w:rsidRPr="001D6B2E">
        <w:rPr>
          <w:szCs w:val="24"/>
        </w:rPr>
        <w:t xml:space="preserve">The credibility of this benevolence signal depends on whether eligibility is intelligible, consistently applied and linked to alternative support routes. This qualifies the relational trust assumption that benevolent policies straightforwardly produce positive expectations. A </w:t>
      </w:r>
      <w:r w:rsidRPr="001D6B2E">
        <w:rPr>
          <w:szCs w:val="24"/>
        </w:rPr>
        <w:lastRenderedPageBreak/>
        <w:t>generous-looking scheme may fail to establish credibility in an essential service if customers are unable to ascertain whether they are eligible for the service. The cross-case evidence thus further qualifies benevolence as recognised and navigable care, as circumstances should influence the response, but customers should also be able to understand the limits of that offer.</w:t>
      </w:r>
    </w:p>
    <w:p w14:paraId="28B6E5D8"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5.3.3 Evidential transparency and the credibility of support claims</w:t>
      </w:r>
    </w:p>
    <w:p w14:paraId="0B9C577A" w14:textId="77777777" w:rsidR="00B847D3" w:rsidRPr="001D6B2E" w:rsidRDefault="00B847D3" w:rsidP="00B847D3">
      <w:pPr>
        <w:jc w:val="both"/>
      </w:pPr>
      <w:r w:rsidRPr="001D6B2E">
        <w:t>Integrity is defined as consistency with acceptable principles, and credibility as the plausibility of claims in the presence of uncertainty (Mayer, Davis and Schoorman, 1995; Sirdeshmukh, Singh and Sabol, 2002). Chapter 4 introduces an evidential aspect. Supplier websites in the analysed corpus describe available provision, while reporting remains inconsistent about take-up, reach and outcomes. This is important because policy descriptions alone do not establish delivery or outcomes, and specificity can make support claims more assessable.</w:t>
      </w:r>
    </w:p>
    <w:p w14:paraId="07D4AC28" w14:textId="77777777" w:rsidR="00B847D3" w:rsidRPr="001D6B2E" w:rsidRDefault="00B847D3" w:rsidP="00B847D3">
      <w:pPr>
        <w:jc w:val="both"/>
      </w:pPr>
      <w:r w:rsidRPr="001D6B2E">
        <w:rPr>
          <w:szCs w:val="24"/>
        </w:rPr>
        <w:t>The focal evidence is more developed than the benchmark evidence, but is still one-sided. BGET reports client reach, grants and funding and Octopus reports assistance-fund reach and practical interventions (British Gas Energy Trust, 2024; Octopus Energy Limited, 2023). While these figures add to the specificity, company-funded or company-reported evidence cannot independently establish effectiveness. E.ON, OVO and EDF share similar policy elements and provide fewer examples of fund applications, awards or realised benefits.</w:t>
      </w:r>
    </w:p>
    <w:p w14:paraId="04DD1CED" w14:textId="77777777" w:rsidR="00C342BF" w:rsidRPr="001D6B2E" w:rsidRDefault="00B847D3" w:rsidP="00B847D3">
      <w:pPr>
        <w:jc w:val="both"/>
      </w:pPr>
      <w:r w:rsidRPr="001D6B2E">
        <w:t>Supplier-level satisfaction evidence provides external context: Octopus was above the other selected suppliers, while OVO was below the Great Britain averages in early 2024 (Ofgem, 2024b). Satisfaction is neither trust nor an outcome attributable to affordability communication and therefore cannot validate the focal narratives causally. It is useful for challenging interpretations based solely on supplier information. The resulting argument is that there are two levels of transparency: transparency (routes and eligibility) and performance transparency (reach, experience and limitations). When both layers are present and supported by external evidence, the information becomes more credible. This further builds on the Chapter 2 framework and introduces 'independence of evidence' and 'comparability' as part of the integrity assessment.</w:t>
      </w:r>
    </w:p>
    <w:p w14:paraId="31AB71E3" w14:textId="77777777" w:rsidR="00C342BF" w:rsidRPr="001D6B2E" w:rsidRDefault="00000000">
      <w:pPr>
        <w:pStyle w:val="Heading3"/>
        <w:rPr>
          <w:rFonts w:ascii="Times New Roman" w:hAnsi="Times New Roman" w:cs="Times New Roman"/>
        </w:rPr>
      </w:pPr>
      <w:r w:rsidRPr="001D6B2E">
        <w:rPr>
          <w:rFonts w:ascii="Times New Roman" w:eastAsia="Times New Roman" w:hAnsi="Times New Roman" w:cs="Times New Roman"/>
        </w:rPr>
        <w:t>5.3.4 Policy-delivery consistency, accountability and trust-related implications</w:t>
      </w:r>
    </w:p>
    <w:p w14:paraId="193CD760" w14:textId="77777777" w:rsidR="00C342BF" w:rsidRPr="001D6B2E" w:rsidRDefault="00000000">
      <w:pPr>
        <w:jc w:val="both"/>
      </w:pPr>
      <w:r w:rsidRPr="001D6B2E">
        <w:t xml:space="preserve">The strongest cross-case finding is that supportive communication and delivery problems can coexist. British Gas combines substantial BGET evidence with a 2026 settlement concerning </w:t>
      </w:r>
      <w:r w:rsidRPr="001D6B2E">
        <w:lastRenderedPageBreak/>
        <w:t>failures in the treatment of some vulnerable prepayment customers. Octopus combines the broadest visible support bundle and high aggregate satisfaction with earlier vulnerability-governance and compensation weaknesses. E.ON's service-access case, OVO's prepayment monitoring and complaint outcomes, and EDF's regulatory review categories demonstrate the same sector-wide tension (Ofgem, 2022a; Ofgem, 2022b; Ofgem, 2023a; Ofgem, 2023b; Ofgem, 2024d; Ofgem, 2026a; Ofgem, 2026e).</w:t>
      </w:r>
    </w:p>
    <w:p w14:paraId="4E1F4368" w14:textId="77777777" w:rsidR="00B603FF" w:rsidRPr="001D6B2E" w:rsidRDefault="00B51F27" w:rsidP="00B603FF">
      <w:pPr>
        <w:jc w:val="both"/>
        <w:rPr>
          <w:szCs w:val="24"/>
        </w:rPr>
      </w:pPr>
      <w:r w:rsidRPr="001D6B2E">
        <w:rPr>
          <w:szCs w:val="24"/>
        </w:rPr>
        <w:t>This divergence qualifies relationship-marketing accounts in two ways. The first is that communication cannot be interpreted separately from organisational behaviour. Sirdeshmukh, Singh and Sabol (2002) make a distinction between frontline behaviour and management policies; in this instance it is published policy, operational implementation and external accountability that can diverge. Second, the dimensions of trustworthiness are complementary and cannot substitute for one another.</w:t>
      </w:r>
      <w:r w:rsidR="00A962E3" w:rsidRPr="001D6B2E">
        <w:t xml:space="preserve"> </w:t>
      </w:r>
      <w:r w:rsidR="00A962E3" w:rsidRPr="001D6B2E">
        <w:rPr>
          <w:szCs w:val="24"/>
        </w:rPr>
        <w:t>The extent of support is a sign of benevolence, but it is not a sign of access to services or regular protection</w:t>
      </w:r>
      <w:r w:rsidR="00B603FF" w:rsidRPr="001D6B2E">
        <w:rPr>
          <w:szCs w:val="24"/>
        </w:rPr>
        <w:t>. The original failure can never be removed, but an integrity signal can be partially restored by remediation, compensation and independent oversight.</w:t>
      </w:r>
    </w:p>
    <w:p w14:paraId="2069DC34" w14:textId="77777777" w:rsidR="00B603FF" w:rsidRPr="001D6B2E" w:rsidRDefault="00B603FF" w:rsidP="00B603FF">
      <w:pPr>
        <w:jc w:val="both"/>
        <w:rPr>
          <w:szCs w:val="24"/>
        </w:rPr>
      </w:pPr>
      <w:r w:rsidRPr="001D6B2E">
        <w:rPr>
          <w:szCs w:val="24"/>
        </w:rPr>
        <w:t xml:space="preserve">There is no evidence of a permanent company ranking. The timing and scope of regulatory findings relate to specific processes and periods, and supplier information and outcome measures relate to other processes and periods. This has been associated to the higher satisfaction of Octopus, which is consistent with the positive support narrative, but not an indication of stronger effects related to trust. </w:t>
      </w:r>
      <w:r w:rsidR="00333DF7" w:rsidRPr="00333DF7">
        <w:rPr>
          <w:szCs w:val="24"/>
        </w:rPr>
        <w:t>The prepayment-meter failures identified in the regulatory findings do not remove the broader support outcomes reported; however, they demonstrate the importance of consistency between communicated support and operational delivery.</w:t>
      </w:r>
      <w:r w:rsidR="00333DF7">
        <w:rPr>
          <w:szCs w:val="24"/>
        </w:rPr>
        <w:t xml:space="preserve"> </w:t>
      </w:r>
      <w:r w:rsidRPr="001D6B2E">
        <w:rPr>
          <w:szCs w:val="24"/>
        </w:rPr>
        <w:t>The interpretation of credibility is not static, but issue-specific:</w:t>
      </w:r>
      <w:r w:rsidR="00333DF7" w:rsidRPr="00333DF7">
        <w:t xml:space="preserve"> </w:t>
      </w:r>
      <w:r w:rsidR="00333DF7" w:rsidRPr="00333DF7">
        <w:rPr>
          <w:szCs w:val="24"/>
        </w:rPr>
        <w:t>Where discrepancies between communicated support and delivery evidence are explained through transparent remediation, credibility may be strengthened. Conversely, unresolved inconsistencies between communication and delivery evidence may weaken perceived credibility</w:t>
      </w:r>
      <w:r w:rsidRPr="001D6B2E">
        <w:rPr>
          <w:szCs w:val="24"/>
        </w:rPr>
        <w:t>.</w:t>
      </w:r>
    </w:p>
    <w:p w14:paraId="18316E31" w14:textId="77777777" w:rsidR="00B603FF" w:rsidRPr="001D6B2E" w:rsidRDefault="00B603FF" w:rsidP="00B603FF">
      <w:pPr>
        <w:jc w:val="both"/>
      </w:pPr>
      <w:r w:rsidRPr="001D6B2E">
        <w:rPr>
          <w:szCs w:val="24"/>
        </w:rPr>
        <w:t xml:space="preserve">The research question can thus be directly answered. British Gas has a distributed approach to communicating affordability support via repayment routes, accessible service support and an independent trust, while Octopus communicates a more integrated approach, comprising financial, practical, digital and specialist support. Competence and benevolence can be presented in both architectures by the visible routes and by using personal assistance. </w:t>
      </w:r>
      <w:r w:rsidR="00333DF7" w:rsidRPr="00333DF7">
        <w:rPr>
          <w:szCs w:val="24"/>
        </w:rPr>
        <w:t xml:space="preserve">Integrity, reflected through transparent eligibility, measurable results, responsible remediation and openness to scrutiny, acts as a signal that contributes to perceived supplier </w:t>
      </w:r>
      <w:r w:rsidR="00333DF7" w:rsidRPr="00333DF7">
        <w:rPr>
          <w:szCs w:val="24"/>
        </w:rPr>
        <w:lastRenderedPageBreak/>
        <w:t>trustworthiness.</w:t>
      </w:r>
      <w:r w:rsidR="00333DF7">
        <w:rPr>
          <w:szCs w:val="24"/>
        </w:rPr>
        <w:t xml:space="preserve"> </w:t>
      </w:r>
      <w:r w:rsidRPr="001D6B2E">
        <w:rPr>
          <w:szCs w:val="24"/>
        </w:rPr>
        <w:t>Public communication can help to build perceived supplier trustworthiness but is not proven to build customer trust.</w:t>
      </w:r>
    </w:p>
    <w:p w14:paraId="3B5D033A"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5.4 Integration with the Theoretical Framework</w:t>
      </w:r>
    </w:p>
    <w:p w14:paraId="7A518F19" w14:textId="77777777" w:rsidR="003F124F" w:rsidRPr="003F124F" w:rsidRDefault="00000000" w:rsidP="003F124F">
      <w:pPr>
        <w:jc w:val="both"/>
        <w:rPr>
          <w:bCs/>
        </w:rPr>
      </w:pPr>
      <w:r w:rsidRPr="003F124F">
        <w:rPr>
          <w:bCs/>
        </w:rPr>
        <w:t>The findings support the Chapter 2 framework but require a credibility filter between communication and perceived trustworthiness. The refined pathway is: affordability and vulnerability conditions -&gt; support communication -&gt; credibility assessment -&gt; trustworthiness signals -&gt; possible trust-related implications.</w:t>
      </w:r>
      <w:r w:rsidR="003F124F" w:rsidRPr="003F124F">
        <w:t xml:space="preserve"> </w:t>
      </w:r>
      <w:r w:rsidR="003F124F" w:rsidRPr="003F124F">
        <w:rPr>
          <w:bCs/>
        </w:rPr>
        <w:t>Support communication comprises accessibility, clarity, targeting and accountability. Credibility assessment is a question of specifying claims, making them operationally useful, having them independently confirmed, being consistent with delivery, or acknowledging limits and remediation.</w:t>
      </w:r>
      <w:r w:rsidR="00333DF7" w:rsidRPr="00333DF7">
        <w:t xml:space="preserve"> </w:t>
      </w:r>
      <w:r w:rsidR="00333DF7" w:rsidRPr="00333DF7">
        <w:rPr>
          <w:bCs/>
        </w:rPr>
        <w:t>Competence, benevolence and integrity are interpreted as trustworthiness signals rather than direct measurements of customer trust</w:t>
      </w:r>
      <w:r w:rsidR="003F124F" w:rsidRPr="003F124F">
        <w:rPr>
          <w:bCs/>
        </w:rPr>
        <w:t>. The following are analytical implications not measurable outcomes.</w:t>
      </w:r>
    </w:p>
    <w:p w14:paraId="25EBB9C7" w14:textId="77777777" w:rsidR="00C342BF" w:rsidRPr="001D6B2E" w:rsidRDefault="003F124F">
      <w:pPr>
        <w:jc w:val="both"/>
      </w:pPr>
      <w:r w:rsidRPr="003F124F">
        <w:rPr>
          <w:bCs/>
        </w:rPr>
        <w:t>There are four qualitative propositions that follow. Firstly, communication that is accessible indicates competence only when customers can take the necessary action in the appropriate channel. Secondly, when communication signals are specific, they indicate</w:t>
      </w:r>
      <w:r w:rsidR="00092A4B">
        <w:rPr>
          <w:bCs/>
        </w:rPr>
        <w:t xml:space="preserve"> </w:t>
      </w:r>
      <w:r w:rsidR="00092A4B" w:rsidRPr="00092A4B">
        <w:rPr>
          <w:bCs/>
        </w:rPr>
        <w:t>benevolence</w:t>
      </w:r>
      <w:r w:rsidRPr="003F124F">
        <w:rPr>
          <w:bCs/>
        </w:rPr>
        <w:t>,</w:t>
      </w:r>
      <w:r w:rsidR="00333DF7" w:rsidRPr="00333DF7">
        <w:t xml:space="preserve"> </w:t>
      </w:r>
      <w:r w:rsidR="00333DF7">
        <w:rPr>
          <w:bCs/>
        </w:rPr>
        <w:t>w</w:t>
      </w:r>
      <w:r w:rsidR="00333DF7" w:rsidRPr="00333DF7">
        <w:rPr>
          <w:bCs/>
        </w:rPr>
        <w:t>hen customer circumstances determine the limits of available responses, suppliers should communicate these limitations clearly while explaining the reasons behind the decisions</w:t>
      </w:r>
      <w:r w:rsidRPr="003F124F">
        <w:rPr>
          <w:bCs/>
        </w:rPr>
        <w:t>. Thirdly, transparency is the best way to demonstrate integrity when accompanied by similar outcome evidence and external examination of offer information</w:t>
      </w:r>
      <w:r w:rsidRPr="001D6B2E">
        <w:t>. Fourthly, policy-delivery inconsistency weakens the combined trustworthiness signal, while visible remediation can partially rebuild credibility without cancelling the underlying failure.</w:t>
      </w:r>
    </w:p>
    <w:p w14:paraId="5F42DF55" w14:textId="77777777" w:rsidR="00C342BF" w:rsidRPr="001D6B2E" w:rsidRDefault="00000000">
      <w:pPr>
        <w:jc w:val="both"/>
      </w:pPr>
      <w:r w:rsidRPr="001D6B2E">
        <w:t>The model also gains boundary conditions. Digital capability, crisis-related cognitive burden, stigma and ability to act influence accessibility; organisational scale and service pressure may affect consistency; and regulatory oversight affects what can be independently verified. The contribution is therefore not a claim that communication produces trust. It is a context-specific explanation of the conditions under which affordability communication becomes a stronger or weaker invitation to trust in a regulated essential service.</w:t>
      </w:r>
    </w:p>
    <w:p w14:paraId="237EAA21"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5.5 Robustness Considerations</w:t>
      </w:r>
    </w:p>
    <w:p w14:paraId="4D517D31" w14:textId="77777777" w:rsidR="00AD12E0" w:rsidRPr="001D6B2E" w:rsidRDefault="00AD12E0" w:rsidP="00AD12E0">
      <w:pPr>
        <w:jc w:val="both"/>
      </w:pPr>
      <w:r w:rsidRPr="001D6B2E">
        <w:t xml:space="preserve">Several competing explanations require consideration. Differences in satisfaction may reflect tariffs, billing accuracy, brand expectations and overall service quality, not communication of </w:t>
      </w:r>
      <w:r w:rsidRPr="001D6B2E">
        <w:lastRenderedPageBreak/>
        <w:t>affordability. The level of disclosure could be the result of maturity in reporting rather than excellent support; and the lack of disclosure could be due to webpage design or the absence of public information, not poor support. Regulatory and enforcement evidence is also issue-focused, as it is being used to highlight failures, and does not capture all customer journeys.</w:t>
      </w:r>
    </w:p>
    <w:p w14:paraId="4A3CAC66" w14:textId="77777777" w:rsidR="00C342BF" w:rsidRPr="001D6B2E" w:rsidRDefault="00AD12E0" w:rsidP="00AD12E0">
      <w:pPr>
        <w:jc w:val="both"/>
      </w:pPr>
      <w:r w:rsidRPr="001D6B2E">
        <w:t>These limitations are minimised, but not eliminated, by triangulation. Supplier pages present organisational claims, reports provide selected scale indicators, and Ofgem's reviews, surveys and enforcement outcomes provide external challenge. Where these source types converge, interpretations become more defensible. The contradictions are not smoothed out and company-reported outcomes are not treated as independent causal evidence. Conclusions are therefore about the credibility and trustworthiness signals in the documents, rather than about the actual levels of customer trust.</w:t>
      </w:r>
    </w:p>
    <w:p w14:paraId="14AE989A"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5.6 Practical Synthesis: Bridge to Chapter 6</w:t>
      </w:r>
    </w:p>
    <w:p w14:paraId="092113BB" w14:textId="77777777" w:rsidR="00AD12E0" w:rsidRPr="001D6B2E" w:rsidRDefault="00AD12E0" w:rsidP="00AD12E0">
      <w:pPr>
        <w:jc w:val="both"/>
      </w:pPr>
      <w:r w:rsidRPr="001D6B2E">
        <w:t>The analysis leads to four practice-ready insights. Suppliers need to design support around a complete customer journey rather than a disconnected set of pages: entry point, eligibility, channel alternatives, decision point, escalation and follow-up should be visibly connected. Completion rates, abandonment, repeat contact and time to an agreed arrangement would be a test of whether availability turns to access.</w:t>
      </w:r>
    </w:p>
    <w:p w14:paraId="54FEA0DC" w14:textId="77777777" w:rsidR="00EF08B8" w:rsidRPr="001D6B2E" w:rsidRDefault="00EF08B8" w:rsidP="00EF08B8">
      <w:pPr>
        <w:jc w:val="both"/>
      </w:pPr>
      <w:r w:rsidRPr="001D6B2E">
        <w:t>Secondly, targeting should also acknowledge that vulnerability can be situational and compounded; do not label customers. Suppliers are able to monitor availability of assisted channels, alternative format fulfilment, Priority Services enquiries and outcomes, and avoid assuming that online self-service is available</w:t>
      </w:r>
      <w:r w:rsidR="00092A4B">
        <w:t xml:space="preserve"> </w:t>
      </w:r>
      <w:r w:rsidR="00092A4B" w:rsidRPr="00092A4B">
        <w:t>consistently</w:t>
      </w:r>
      <w:r w:rsidRPr="001D6B2E">
        <w:t>.</w:t>
      </w:r>
    </w:p>
    <w:p w14:paraId="476DED0A" w14:textId="77777777" w:rsidR="00C342BF" w:rsidRPr="001D6B2E" w:rsidRDefault="00EF08B8" w:rsidP="00EF08B8">
      <w:pPr>
        <w:jc w:val="both"/>
      </w:pPr>
      <w:r w:rsidRPr="001D6B2E">
        <w:t>Third,</w:t>
      </w:r>
      <w:r w:rsidR="00333DF7" w:rsidRPr="00333DF7">
        <w:t xml:space="preserve"> </w:t>
      </w:r>
      <w:r w:rsidR="00333DF7">
        <w:t>t</w:t>
      </w:r>
      <w:r w:rsidR="00333DF7" w:rsidRPr="00333DF7">
        <w:t>he description of an offer in public communication should be distinguished from evidence of its actual reach and delivery outcomes. A support scheme may be clearly presented, but its effectiveness requires separate evidence regarding implementation and customer access</w:t>
      </w:r>
      <w:r w:rsidRPr="001D6B2E">
        <w:t>. More comparable performance transparency would be provided between periods and suppliers by applications, awards, waiting times, declined applications, referrals and independently-reviewed outcomes. The definitions and measures should be constant and meaningful trends can be evaluated. Fourth,</w:t>
      </w:r>
      <w:r w:rsidR="00333DF7" w:rsidRPr="00333DF7">
        <w:t xml:space="preserve"> </w:t>
      </w:r>
      <w:r w:rsidR="00333DF7">
        <w:t>c</w:t>
      </w:r>
      <w:r w:rsidR="00333DF7" w:rsidRPr="00333DF7">
        <w:t>omplaints processes and remediation actions should be linked clearly so that customers can understand how issues are identified, addressed and resolved</w:t>
      </w:r>
      <w:r w:rsidR="00AD12E0" w:rsidRPr="001D6B2E">
        <w:t xml:space="preserve">. These insights are not guarantees of automatic gains in trust, but rather delineate conditions that are observable where support communication may be </w:t>
      </w:r>
      <w:r w:rsidR="00AD12E0" w:rsidRPr="001D6B2E">
        <w:lastRenderedPageBreak/>
        <w:t>perceived as competent, benevolent and credible. Chapter 6 presents their implications and recommendations in a management context.</w:t>
      </w:r>
    </w:p>
    <w:p w14:paraId="5F2B7FA8" w14:textId="77777777" w:rsidR="00C342BF" w:rsidRPr="001D6B2E" w:rsidRDefault="00000000">
      <w:pPr>
        <w:pStyle w:val="Heading2"/>
        <w:spacing w:after="80"/>
        <w:rPr>
          <w:rFonts w:ascii="Times New Roman" w:hAnsi="Times New Roman" w:cs="Times New Roman"/>
        </w:rPr>
      </w:pPr>
      <w:r w:rsidRPr="001D6B2E">
        <w:rPr>
          <w:rFonts w:ascii="Times New Roman" w:eastAsia="Times New Roman" w:hAnsi="Times New Roman" w:cs="Times New Roman"/>
        </w:rPr>
        <w:t>5.7 Chapter Summary</w:t>
      </w:r>
    </w:p>
    <w:p w14:paraId="22CD46DF" w14:textId="77777777" w:rsidR="00D85782" w:rsidRPr="001D6B2E" w:rsidRDefault="00D85782" w:rsidP="00D85782">
      <w:pPr>
        <w:jc w:val="both"/>
      </w:pPr>
      <w:r w:rsidRPr="001D6B2E">
        <w:t>British Gas offers a more distributed approach, combining supplier processes with an independent trust, whereas Octopus offers a more integrated approach, including financial, practical and specialist support. Many of the policy components in the benchmark cases are common to the market and distinctiveness lies in navigation, targeting, evidence and delivery.</w:t>
      </w:r>
    </w:p>
    <w:p w14:paraId="38248FA3" w14:textId="77777777" w:rsidR="00D85782" w:rsidRPr="001D6B2E" w:rsidRDefault="00B51F27" w:rsidP="00D85782">
      <w:pPr>
        <w:jc w:val="both"/>
      </w:pPr>
      <w:r w:rsidRPr="001D6B2E">
        <w:rPr>
          <w:szCs w:val="24"/>
        </w:rPr>
        <w:t>The findings support relational service trust theory, in which communication may make competence, benevolence and integrity visible, while qualifying a direct communication-to-trust relationship. Accessibility needs to be functional, recognition needs to be navigable, and integrity relies on performance transparency and policy-delivery consistency. This reading is reinforced by energy justice in which 'access', 'recognition', 'distribution' are substantive, not presentational, elements of credibility.</w:t>
      </w:r>
    </w:p>
    <w:p w14:paraId="6DA723A6" w14:textId="77777777" w:rsidR="00C342BF" w:rsidRPr="001D6B2E" w:rsidRDefault="00D85782" w:rsidP="00D85782">
      <w:pPr>
        <w:jc w:val="both"/>
      </w:pPr>
      <w:r w:rsidRPr="001D6B2E">
        <w:rPr>
          <w:szCs w:val="24"/>
        </w:rPr>
        <w:t>The most significant theoretical development on this topic is the introduction of the credibility filter that connects communication with trustworthiness signals. The credibility of supportive messages is assessed through external corroboration, clear limitations, operational consistency and remediation. The research question is thus answered in a bounded way: British Gas and Octopus invite trust through different support architectures, but trust-related implications are credible only where public claims are accessible, targeted, evidenced and consistent with accountable practice.</w:t>
      </w:r>
    </w:p>
    <w:p w14:paraId="400F836D" w14:textId="77777777" w:rsidR="00C342BF" w:rsidRPr="001D6B2E" w:rsidRDefault="00000000">
      <w:pPr>
        <w:pStyle w:val="Heading1"/>
        <w:pageBreakBefore/>
        <w:spacing w:before="240" w:after="80"/>
        <w:rPr>
          <w:rFonts w:ascii="Times New Roman" w:hAnsi="Times New Roman" w:cs="Times New Roman"/>
        </w:rPr>
      </w:pPr>
      <w:r w:rsidRPr="001D6B2E">
        <w:rPr>
          <w:rFonts w:ascii="Times New Roman" w:eastAsia="Times New Roman" w:hAnsi="Times New Roman" w:cs="Times New Roman"/>
        </w:rPr>
        <w:lastRenderedPageBreak/>
        <w:t>Chapter 6: Conclusion</w:t>
      </w:r>
    </w:p>
    <w:p w14:paraId="2E31CAA2" w14:textId="77777777" w:rsidR="00C342BF" w:rsidRPr="001D6B2E" w:rsidRDefault="00000000">
      <w:pPr>
        <w:pStyle w:val="Heading2"/>
        <w:spacing w:before="160" w:after="40"/>
        <w:rPr>
          <w:rFonts w:ascii="Times New Roman" w:hAnsi="Times New Roman" w:cs="Times New Roman"/>
        </w:rPr>
      </w:pPr>
      <w:r w:rsidRPr="001D6B2E">
        <w:rPr>
          <w:rFonts w:ascii="Times New Roman" w:eastAsia="Times New Roman" w:hAnsi="Times New Roman" w:cs="Times New Roman"/>
        </w:rPr>
        <w:t>6.1 Introduction</w:t>
      </w:r>
    </w:p>
    <w:p w14:paraId="4737811E" w14:textId="77777777" w:rsidR="00D85782" w:rsidRPr="001D6B2E" w:rsidRDefault="00F51ADB" w:rsidP="00D85782">
      <w:pPr>
        <w:jc w:val="both"/>
      </w:pPr>
      <w:r w:rsidRPr="001D6B2E">
        <w:t xml:space="preserve">This chapter summarizes the key findings of this study, their theoretical and managerial implications, and limitations and future research directions. The research questioned the ways in which British Gas and Octopus Energy communicate their support for energy affordability and vulnerable customers and what implications this has for trust. The study employed a secondary qualitative design: </w:t>
      </w:r>
      <w:r w:rsidR="000A10C0" w:rsidRPr="000A10C0">
        <w:t xml:space="preserve">Chapter 4 developed evidence from five companies, with British Gas and Octopus Energy as focal cases and </w:t>
      </w:r>
      <w:proofErr w:type="gramStart"/>
      <w:r w:rsidR="000A10C0" w:rsidRPr="000A10C0">
        <w:t>E.ON</w:t>
      </w:r>
      <w:proofErr w:type="gramEnd"/>
      <w:r w:rsidR="000A10C0" w:rsidRPr="000A10C0">
        <w:t xml:space="preserve"> Next, OVO Energy and EDF Energy as bounded benchmarks.</w:t>
      </w:r>
      <w:r w:rsidR="000A10C0">
        <w:t xml:space="preserve"> </w:t>
      </w:r>
      <w:r w:rsidRPr="001D6B2E">
        <w:t>They then used relational service trust and energy justice as a lens to interpret the cross-case patterns, in Chapter 5. The conclusion maintains the study's focus as it analyzes communicated support and trustworthiness signals, rather than direct measures of customer trust</w:t>
      </w:r>
      <w:r w:rsidR="00D85782" w:rsidRPr="001D6B2E">
        <w:t>.</w:t>
      </w:r>
    </w:p>
    <w:p w14:paraId="376134B0" w14:textId="77777777" w:rsidR="00D85782" w:rsidRPr="001D6B2E" w:rsidRDefault="00D85782" w:rsidP="00D85782">
      <w:pPr>
        <w:pStyle w:val="Heading2"/>
        <w:rPr>
          <w:rFonts w:ascii="Times New Roman" w:hAnsi="Times New Roman" w:cs="Times New Roman"/>
        </w:rPr>
      </w:pPr>
      <w:r w:rsidRPr="001D6B2E">
        <w:rPr>
          <w:rFonts w:ascii="Times New Roman" w:hAnsi="Times New Roman" w:cs="Times New Roman"/>
          <w:szCs w:val="28"/>
        </w:rPr>
        <w:t>6.2 Brief Summary of Key Findings</w:t>
      </w:r>
    </w:p>
    <w:p w14:paraId="272F2725" w14:textId="77777777" w:rsidR="00D85782" w:rsidRPr="001D6B2E" w:rsidRDefault="00D85782" w:rsidP="00D85782">
      <w:pPr>
        <w:jc w:val="both"/>
      </w:pPr>
      <w:r w:rsidRPr="001D6B2E">
        <w:rPr>
          <w:szCs w:val="24"/>
        </w:rPr>
        <w:t xml:space="preserve">First, the focal suppliers communicate substantial support through contrasting architectures. British Gas uses a distributed model linking repayment and accessibility routes with the independently governed British Gas Energy Trust, while Octopus Energy offers a more comprehensive financial, practical, digital and specialist support package (British Gas, n.d.-a; British Gas, n.d.-b; British Gas, n.d.-c; British Gas Energy Trust, 2024; Octopus Energy, 2022a; Octopus Energy, 2025; Octopus Energy Limited, 2023). Secondly, payment flexibility, funds and Priority Services features recur across all five suppliers; distinctiveness therefore lies less in scheme presence than in navigation, targeting, disclosed evidence and delivery. Thirdly, communication becomes credible only when availability becomes practical access. A sequential support journey is visibility, intelligibility, channel choice and follow-through. Fourthly, supportive narratives and operational failures do not mutually exclude each other. Satisfaction and quantified reach contextualise a supplier's account but do not establish trust or causation, while regulatory findings reveal issue-specific policy-delivery gaps (Ofgem, 2023a; Ofgem, 2024a; Ofgem, 2024b; Ofgem, 2024d; Ofgem, 2026a; Ofgem, 2026e). Overall, trust-related credibility depends on operational accessibility, recognition of need, evidential transparency, consistent safeguards and accountable remediation. The focal architectural comparison achieves Objective 1, while Objective 2 is achieved by explaining how accessibility, targeting, transparency and accountability jointly condition perceived </w:t>
      </w:r>
      <w:r w:rsidRPr="001D6B2E">
        <w:rPr>
          <w:szCs w:val="24"/>
        </w:rPr>
        <w:lastRenderedPageBreak/>
        <w:t>supplier trustworthiness. The research question is answered within the same non-causal boundary.</w:t>
      </w:r>
    </w:p>
    <w:p w14:paraId="56FD7CCC" w14:textId="77777777" w:rsidR="00D85782" w:rsidRPr="001D6B2E" w:rsidRDefault="00D85782" w:rsidP="00D85782">
      <w:pPr>
        <w:pStyle w:val="Heading2"/>
        <w:rPr>
          <w:rFonts w:ascii="Times New Roman" w:hAnsi="Times New Roman" w:cs="Times New Roman"/>
          <w:color w:val="1F497D" w:themeColor="text2"/>
          <w:szCs w:val="28"/>
        </w:rPr>
      </w:pPr>
      <w:r w:rsidRPr="001D6B2E">
        <w:rPr>
          <w:rFonts w:ascii="Times New Roman" w:hAnsi="Times New Roman" w:cs="Times New Roman"/>
          <w:szCs w:val="28"/>
        </w:rPr>
        <w:t>6.3 Theoretical Implications</w:t>
      </w:r>
    </w:p>
    <w:p w14:paraId="55A98D74" w14:textId="77777777" w:rsidR="00D85782" w:rsidRPr="001D6B2E" w:rsidRDefault="00D85782" w:rsidP="00D85782">
      <w:pPr>
        <w:pStyle w:val="Heading3"/>
        <w:rPr>
          <w:rFonts w:ascii="Times New Roman" w:hAnsi="Times New Roman" w:cs="Times New Roman"/>
          <w:color w:val="1F497D" w:themeColor="text2"/>
        </w:rPr>
      </w:pPr>
      <w:r w:rsidRPr="001D6B2E">
        <w:rPr>
          <w:rFonts w:ascii="Times New Roman" w:hAnsi="Times New Roman" w:cs="Times New Roman"/>
        </w:rPr>
        <w:t>6.3.1 Relational service trust in an essential-service setting</w:t>
      </w:r>
    </w:p>
    <w:p w14:paraId="64A471D5" w14:textId="77777777" w:rsidR="00D85782" w:rsidRPr="001D6B2E" w:rsidRDefault="00D85782" w:rsidP="00D85782">
      <w:pPr>
        <w:jc w:val="both"/>
      </w:pPr>
      <w:r w:rsidRPr="001D6B2E">
        <w:rPr>
          <w:szCs w:val="24"/>
        </w:rPr>
        <w:t>Relational service trust describes how provider conduct and organisational policies can inform expectations under uncertainty. Mayer, Davis and Schoorman (1995) differentiate ability, benevolence and integrity, and Sirdeshmukh, Singh and Sabol (2002) relate competence, benevolent conduct and problem-solving orientation to consumer trust. Trust is seen as being central to continuing relational exchange by Morgan and Hunt (1994). The findings support these constructs but qualify their application to retail energy. Customers rely on uninterrupted supply and may have limited ability to switch, particularly when experiencing debt or vulnerable circumstances. Thus, ongoing interaction must not be seen as a simple sign of commitment or trust.</w:t>
      </w:r>
    </w:p>
    <w:p w14:paraId="13AFD84A" w14:textId="77777777" w:rsidR="00D85782" w:rsidRPr="001D6B2E" w:rsidRDefault="00D85782" w:rsidP="00D85782">
      <w:pPr>
        <w:jc w:val="both"/>
      </w:pPr>
      <w:r w:rsidRPr="001D6B2E">
        <w:rPr>
          <w:szCs w:val="24"/>
        </w:rPr>
        <w:t>However, cross-case evidence indicates how communication may make trustworthiness observable without demonstrating a psychological outcome. A practical support journey can be a signal of competence; circumstances-sensitive options may signal benevolence; and transparent evidence, consistent safeguards and openness to scrutiny may signal integrity. The contribution is thus an adaptation of relational trust to public support communication in a regulated essential-service setting. It differentiates between inviting the customer to trust and the customer's genuine willingness to trust, as that is beyond the scope of this documentary design.</w:t>
      </w:r>
    </w:p>
    <w:p w14:paraId="5C09558A" w14:textId="77777777" w:rsidR="00D85782" w:rsidRPr="001D6B2E" w:rsidRDefault="00D85782" w:rsidP="00D85782">
      <w:pPr>
        <w:pStyle w:val="Heading3"/>
        <w:rPr>
          <w:rFonts w:ascii="Times New Roman" w:hAnsi="Times New Roman" w:cs="Times New Roman"/>
          <w:color w:val="1F497D" w:themeColor="text2"/>
        </w:rPr>
      </w:pPr>
      <w:r w:rsidRPr="001D6B2E">
        <w:rPr>
          <w:rFonts w:ascii="Times New Roman" w:hAnsi="Times New Roman" w:cs="Times New Roman"/>
        </w:rPr>
        <w:t>6.3.2 Energy justice as a boundary condition</w:t>
      </w:r>
    </w:p>
    <w:p w14:paraId="6D2373FC" w14:textId="77777777" w:rsidR="00EF08B8" w:rsidRPr="001D6B2E" w:rsidRDefault="00EF08B8" w:rsidP="00EF08B8">
      <w:pPr>
        <w:jc w:val="both"/>
        <w:rPr>
          <w:szCs w:val="24"/>
        </w:rPr>
      </w:pPr>
      <w:r w:rsidRPr="001D6B2E">
        <w:rPr>
          <w:szCs w:val="24"/>
        </w:rPr>
        <w:t>Walker and Day (2012) and Jenkins et al. (2016) argue that credibility cannot be defined as</w:t>
      </w:r>
      <w:r w:rsidR="00092A4B">
        <w:rPr>
          <w:szCs w:val="24"/>
        </w:rPr>
        <w:t xml:space="preserve"> </w:t>
      </w:r>
      <w:r w:rsidR="00092A4B" w:rsidRPr="00092A4B">
        <w:rPr>
          <w:szCs w:val="24"/>
        </w:rPr>
        <w:t>clear and accessible information</w:t>
      </w:r>
      <w:r w:rsidRPr="001D6B2E">
        <w:rPr>
          <w:szCs w:val="24"/>
        </w:rPr>
        <w:t>, highlighting the importance of distribution, recognition and procedure. While a payment plan may seem generous, it may be weak if consumers are unable to</w:t>
      </w:r>
      <w:r w:rsidR="00092A4B">
        <w:rPr>
          <w:szCs w:val="24"/>
        </w:rPr>
        <w:t xml:space="preserve"> </w:t>
      </w:r>
      <w:r w:rsidR="00092A4B" w:rsidRPr="00092A4B">
        <w:rPr>
          <w:szCs w:val="24"/>
        </w:rPr>
        <w:t>access a clearly defined route to available support</w:t>
      </w:r>
      <w:r w:rsidRPr="001D6B2E">
        <w:rPr>
          <w:szCs w:val="24"/>
        </w:rPr>
        <w:t>, know the eligibility requirements, or are able to connect with assistance. Likewise, the boundaries of eligibility and alternatives may be based on need, but the credibility signal relies on whether customers are able to grasp eligibility limits and alternatives.</w:t>
      </w:r>
    </w:p>
    <w:p w14:paraId="0425771F" w14:textId="77777777" w:rsidR="00D85782" w:rsidRPr="001D6B2E" w:rsidRDefault="00EF08B8" w:rsidP="00EF08B8">
      <w:pPr>
        <w:jc w:val="both"/>
      </w:pPr>
      <w:r w:rsidRPr="001D6B2E">
        <w:rPr>
          <w:szCs w:val="24"/>
        </w:rPr>
        <w:t xml:space="preserve">This integration is a qualification of the anticipated correlation between supportive communication and trustworthiness. Vulnerability is not static and is created by the material </w:t>
      </w:r>
      <w:r w:rsidRPr="001D6B2E">
        <w:rPr>
          <w:szCs w:val="24"/>
        </w:rPr>
        <w:lastRenderedPageBreak/>
        <w:t>and institutional contexts, and is not only a customer identity (</w:t>
      </w:r>
      <w:proofErr w:type="spellStart"/>
      <w:r w:rsidRPr="001D6B2E">
        <w:rPr>
          <w:szCs w:val="24"/>
        </w:rPr>
        <w:t>Bouzarovski</w:t>
      </w:r>
      <w:proofErr w:type="spellEnd"/>
      <w:r w:rsidRPr="001D6B2E">
        <w:rPr>
          <w:szCs w:val="24"/>
        </w:rPr>
        <w:t xml:space="preserve"> and Petrova, 2015; Middlemiss and Gillard, 2015). Flexible eligibility may help to identify needs that are not captured by the more restrictive eligibility categories, but flexibility needs to be accessible and applied uniformly (Powells, Scott and Stockton, 2025). The digital capability, stigma and cognitive load caused by crisis, and the capacity for action, are then boundary conditions. </w:t>
      </w:r>
      <w:r w:rsidR="00092A4B" w:rsidRPr="00092A4B">
        <w:rPr>
          <w:szCs w:val="24"/>
        </w:rPr>
        <w:t>Customers should be able to identify relevant support information through clear and accessible communication pathways</w:t>
      </w:r>
      <w:r w:rsidR="00092A4B">
        <w:rPr>
          <w:szCs w:val="24"/>
        </w:rPr>
        <w:t xml:space="preserve"> </w:t>
      </w:r>
      <w:r w:rsidRPr="001D6B2E">
        <w:rPr>
          <w:szCs w:val="24"/>
        </w:rPr>
        <w:t>and the other Customer cannot. Therefore, recognition and procedure are substantive conditions which influence the credibility of competence and benevolence signals</w:t>
      </w:r>
      <w:r w:rsidR="0011663F" w:rsidRPr="001D6B2E">
        <w:rPr>
          <w:szCs w:val="24"/>
        </w:rPr>
        <w:t>.</w:t>
      </w:r>
    </w:p>
    <w:p w14:paraId="2C579B62" w14:textId="77777777" w:rsidR="00D85782" w:rsidRPr="001D6B2E" w:rsidRDefault="00D85782" w:rsidP="00D85782">
      <w:pPr>
        <w:pStyle w:val="Heading3"/>
        <w:rPr>
          <w:rFonts w:ascii="Times New Roman" w:hAnsi="Times New Roman" w:cs="Times New Roman"/>
        </w:rPr>
      </w:pPr>
      <w:r>
        <w:t>6.3.3 Mechanisms linking communication, credibility and framework transferability</w:t>
      </w:r>
    </w:p>
    <w:p w14:paraId="37F0BE24" w14:textId="77777777" w:rsidR="00D85782" w:rsidRPr="001D6B2E" w:rsidRDefault="00D85782" w:rsidP="00D85782">
      <w:pPr>
        <w:jc w:val="both"/>
      </w:pPr>
      <w:r w:rsidRPr="001D6B2E">
        <w:t>The first is the availability-access sequence, which means that visibility enables awareness, intelligibility enables appraisal, channel access enables engagement and follow-through enables resolution. Existing evidence from energy-poor households indicates that information is insufficient without resources and capacity to act (Ambrosio-Albala et al., 2020). The cases show that comprehensive published offers can be undermined by failure to provide service access or resolve complaints and that the supplier cases extend that insight to public communication.</w:t>
      </w:r>
    </w:p>
    <w:p w14:paraId="29BB461E" w14:textId="77777777" w:rsidR="00C342BF" w:rsidRPr="001D6B2E" w:rsidRDefault="0011663F" w:rsidP="00D85782">
      <w:pPr>
        <w:jc w:val="both"/>
      </w:pPr>
      <w:r w:rsidRPr="001D6B2E">
        <w:rPr>
          <w:szCs w:val="24"/>
        </w:rPr>
        <w:t>The second mechanism is recognised and navigable care. Targeted provision may signal benevolence when circumstances alter the response, but an opaque threshold or unexplained scarcity can interrupt that signal. The third mechanism is evidential alignment. Offer transparency explains what support exists, while performance transparency reports reach, experience and limitations. Credibility is stronger when both of these are independently confirmed. Finally, independently verified remediation may partially restore integrity, but it cannot cancel the original failure. These mechanisms provide a description of the processes by which competence, benevolence and integrity may be inferred from service policy and conduct (Mayer, Davis and Schoorman, 1995; Sirdeshmukh, Singh and Sabol, 2002). These are theory-informed interpretations of documentary patterns rather than causal effects inferred from the data.</w:t>
      </w:r>
    </w:p>
    <w:p w14:paraId="107DBAFA" w14:textId="77777777" w:rsidR="00053C98" w:rsidRPr="001D6B2E" w:rsidRDefault="00053C98" w:rsidP="00053C98">
      <w:pPr>
        <w:jc w:val="both"/>
      </w:pPr>
      <w:r w:rsidRPr="001D6B2E">
        <w:t xml:space="preserve">Chapter 5 introduced a credibility filter between support communication and perceived supplier trustworthiness. The new sequence is: affordability and vulnerability conditions -&gt; accessibility, clarity, targeting, and accountability -&gt; credibility assessment -&gt; competence, benevolence and integrity signals -&gt; potential trust-related implications. Credibility </w:t>
      </w:r>
      <w:r w:rsidRPr="001D6B2E">
        <w:lastRenderedPageBreak/>
        <w:t>assessment is based on specificity, usefulness, independent corroboration, consistency of policy delivery, disclosed limits and remediation. This integration maintains the multidimensional trustworthiness model and justice requirements of recognition and fair procedure (Mayer, Davis and Schoorman, 1995; Walker and Day, 2012).</w:t>
      </w:r>
    </w:p>
    <w:p w14:paraId="427AC6A3" w14:textId="77777777" w:rsidR="00053C98" w:rsidRPr="001D6B2E" w:rsidRDefault="00053C98" w:rsidP="00053C98">
      <w:pPr>
        <w:jc w:val="both"/>
      </w:pPr>
      <w:r w:rsidRPr="001D6B2E">
        <w:t>It avoids an inference from communication to trust, and it incorporates external evidence into the theoretical pathway rather than treating it as a separate validation exercise. It also allows for trustworthiness dimensions to be complementary, because breadth of support cannot substitute for inaccessible service, and remediation cannot erase a safeguard failure. The lessons are most relevant to regulated markets for essential services, where external scrutiny, vulnerable customers, and information asymmetry are prevalent. Transferability to discretionary or weakly regulated markets is limited by differences in customer dependence, service risk and accountability. Consistency of delivery may vary according to organisational scale, digital maturity and service pressures.</w:t>
      </w:r>
    </w:p>
    <w:p w14:paraId="7B232F6E" w14:textId="77777777" w:rsidR="00053C98" w:rsidRPr="001D6B2E" w:rsidRDefault="00053C98" w:rsidP="00053C98">
      <w:pPr>
        <w:pStyle w:val="Heading2"/>
        <w:rPr>
          <w:rFonts w:ascii="Times New Roman" w:hAnsi="Times New Roman" w:cs="Times New Roman"/>
          <w:color w:val="1F497D" w:themeColor="text2"/>
          <w:szCs w:val="28"/>
        </w:rPr>
      </w:pPr>
      <w:r w:rsidRPr="001D6B2E">
        <w:rPr>
          <w:rFonts w:ascii="Times New Roman" w:hAnsi="Times New Roman" w:cs="Times New Roman"/>
          <w:szCs w:val="28"/>
        </w:rPr>
        <w:t>6.4 Managerial Implications</w:t>
      </w:r>
    </w:p>
    <w:p w14:paraId="0FDF9576" w14:textId="77777777" w:rsidR="00053C98" w:rsidRPr="001D6B2E" w:rsidRDefault="00053C98" w:rsidP="00053C98">
      <w:pPr>
        <w:pStyle w:val="Heading3"/>
        <w:rPr>
          <w:rFonts w:ascii="Times New Roman" w:hAnsi="Times New Roman" w:cs="Times New Roman"/>
          <w:color w:val="1F497D" w:themeColor="text2"/>
        </w:rPr>
      </w:pPr>
      <w:r w:rsidRPr="001D6B2E">
        <w:rPr>
          <w:rFonts w:ascii="Times New Roman" w:hAnsi="Times New Roman" w:cs="Times New Roman"/>
        </w:rPr>
        <w:t>6.4.1 Design one complete support journey</w:t>
      </w:r>
    </w:p>
    <w:p w14:paraId="0F758525" w14:textId="77777777" w:rsidR="00053C98" w:rsidRPr="001D6B2E" w:rsidRDefault="00053C98" w:rsidP="00053C98">
      <w:pPr>
        <w:jc w:val="both"/>
      </w:pPr>
      <w:r w:rsidRPr="001D6B2E">
        <w:t>Suppliers need to create one visible customer journey from entry and eligibility to channel alternatives, assessment, decision, escalation and follow-up. Implementation requires consistent terminology across webpages, bills and contact teams; assisted routes alongside self-service; clear accountability; and testing with customers facing financial or accessibility barriers. Managers should monitor support-page exits, assisted-channel waiting time, journey completion, repeat contact, time to an agreed arrangement and unresolved escalation. Data should be broken down by digital and assisted channels to reveal exclusion in aggregate data. These indicators assess whether published availability translates to practical access, rather than assuming that it is enough to publish a page to make it accessible (Ambrosio-Albala et al., 2020; Ofgem, 2024a).</w:t>
      </w:r>
    </w:p>
    <w:p w14:paraId="2A81958A" w14:textId="77777777" w:rsidR="00053C98" w:rsidRPr="001D6B2E" w:rsidRDefault="00053C98" w:rsidP="00053C98">
      <w:pPr>
        <w:pStyle w:val="Heading3"/>
        <w:rPr>
          <w:rFonts w:ascii="Times New Roman" w:hAnsi="Times New Roman" w:cs="Times New Roman"/>
          <w:color w:val="1F497D" w:themeColor="text2"/>
        </w:rPr>
      </w:pPr>
      <w:r w:rsidRPr="001D6B2E">
        <w:rPr>
          <w:rFonts w:ascii="Times New Roman" w:hAnsi="Times New Roman" w:cs="Times New Roman"/>
        </w:rPr>
        <w:t xml:space="preserve">6.4.2 </w:t>
      </w:r>
      <w:proofErr w:type="spellStart"/>
      <w:r w:rsidRPr="001D6B2E">
        <w:rPr>
          <w:rFonts w:ascii="Times New Roman" w:hAnsi="Times New Roman" w:cs="Times New Roman"/>
        </w:rPr>
        <w:t>Recognise</w:t>
      </w:r>
      <w:proofErr w:type="spellEnd"/>
      <w:r w:rsidRPr="001D6B2E">
        <w:rPr>
          <w:rFonts w:ascii="Times New Roman" w:hAnsi="Times New Roman" w:cs="Times New Roman"/>
        </w:rPr>
        <w:t xml:space="preserve"> changing circumstances without stigma</w:t>
      </w:r>
    </w:p>
    <w:p w14:paraId="48529258" w14:textId="77777777" w:rsidR="00053C98" w:rsidRPr="001D6B2E" w:rsidRDefault="0011663F" w:rsidP="00053C98">
      <w:pPr>
        <w:jc w:val="both"/>
      </w:pPr>
      <w:r w:rsidRPr="001D6B2E">
        <w:rPr>
          <w:szCs w:val="24"/>
        </w:rPr>
        <w:t xml:space="preserve">Support design should permit temporary, overlapping and non-obvious vulnerability without requiring customers to adopt a fixed label. Staff guidance and digital forms should enable circumstances to be updated, direct customers to alternative support when one route is unavailable and maintain telephone or supported-contact options. This translates recognition justice into service design and supports a credible benevolence signal (Walker and Day, </w:t>
      </w:r>
      <w:r w:rsidRPr="001D6B2E">
        <w:rPr>
          <w:szCs w:val="24"/>
        </w:rPr>
        <w:lastRenderedPageBreak/>
        <w:t>2012; Ofgem, 2025b). Relevant indicators include Priority Services referrals and updates, alternative-format fulfilment, assisted-channel use, successful onward referrals, repeated disclosure of circumstances and support outcomes across customer-need categories.</w:t>
      </w:r>
    </w:p>
    <w:p w14:paraId="22C51130" w14:textId="77777777" w:rsidR="00053C98" w:rsidRPr="001D6B2E" w:rsidRDefault="009275AF" w:rsidP="009275AF">
      <w:pPr>
        <w:pStyle w:val="Heading3"/>
        <w:rPr>
          <w:rFonts w:ascii="Times New Roman" w:hAnsi="Times New Roman" w:cs="Times New Roman"/>
          <w:color w:val="1F497D" w:themeColor="text2"/>
        </w:rPr>
      </w:pPr>
      <w:r w:rsidRPr="001D6B2E">
        <w:rPr>
          <w:rFonts w:ascii="Times New Roman" w:hAnsi="Times New Roman" w:cs="Times New Roman"/>
        </w:rPr>
        <w:t>6.4.3 Publish comparable offer and performance evidence</w:t>
      </w:r>
    </w:p>
    <w:p w14:paraId="7D312265" w14:textId="77777777" w:rsidR="00053C98" w:rsidRPr="001D6B2E" w:rsidRDefault="00053C98" w:rsidP="00053C98">
      <w:pPr>
        <w:jc w:val="both"/>
      </w:pPr>
      <w:r w:rsidRPr="001D6B2E">
        <w:rPr>
          <w:szCs w:val="24"/>
        </w:rPr>
        <w:t>When reporting a scheme, managers should not confuse describing a scheme with demonstrating its reach. Stable definitions and reporting periods should be used for applications, awards, declined applications, waiting times, referrals, completed arrangements and independently reviewed outcomes in public reporting. Eligibility restrictions, alternative measures and methodological caveats should accompany headline data. This makes claims assessable and reduces the likelihood of mistaking scale indicators for effectiveness. Useful controls include year-on-year comparability, proportion of applications resolved, median decision time, disclosure completeness, and independent assurance coverage.</w:t>
      </w:r>
    </w:p>
    <w:p w14:paraId="6101733A" w14:textId="77777777" w:rsidR="009275AF" w:rsidRPr="001D6B2E" w:rsidRDefault="009275AF" w:rsidP="009275AF">
      <w:pPr>
        <w:pStyle w:val="Heading3"/>
        <w:rPr>
          <w:rFonts w:ascii="Times New Roman" w:hAnsi="Times New Roman" w:cs="Times New Roman"/>
          <w:color w:val="1F497D" w:themeColor="text2"/>
        </w:rPr>
      </w:pPr>
      <w:r>
        <w:t>6.4.4 Join communication governance to operational assurance and accountable remediation</w:t>
      </w:r>
    </w:p>
    <w:p w14:paraId="0FAE5F8D" w14:textId="77777777" w:rsidR="00053C98" w:rsidRPr="001D6B2E" w:rsidRDefault="00EF08B8" w:rsidP="00053C98">
      <w:pPr>
        <w:jc w:val="both"/>
      </w:pPr>
      <w:r w:rsidRPr="001D6B2E">
        <w:t xml:space="preserve">Published commitments should be checked against service delivery, complaints, safeguard performance. </w:t>
      </w:r>
      <w:r w:rsidR="00092A4B" w:rsidRPr="00092A4B">
        <w:t>Communication managers and vulnerability specialists</w:t>
      </w:r>
      <w:r w:rsidR="00092A4B">
        <w:t xml:space="preserve"> </w:t>
      </w:r>
      <w:r w:rsidRPr="001D6B2E">
        <w:t>should be linked to cross-functional governance teams as well as operations, compliance and complaints teams. Managers should check the capacity of the process, availability of channels, staff guidance and escalation controls prior to publishing or renewing a support claim. Regular assurance should contain the verification of the implementation and operation of Priority Services records, affordability assessments and prepayment safeguards. Assurance indicators that are relevant include</w:t>
      </w:r>
      <w:r w:rsidR="00092A4B">
        <w:t xml:space="preserve"> </w:t>
      </w:r>
      <w:r w:rsidR="00092A4B" w:rsidRPr="00092A4B">
        <w:t>recurring complaints</w:t>
      </w:r>
      <w:r w:rsidRPr="001D6B2E">
        <w:t>, safeguard exceptions, failed contacts, self-disconnection follow-up, compensation errors, and completion of corrective actions</w:t>
      </w:r>
      <w:r w:rsidR="00053C98" w:rsidRPr="001D6B2E">
        <w:t>. This directly addresses the policy-delivery gaps in the regulatory evidence (Ofgem, 2024d; Ofgem, 2026a; Ofgem, 2026e).</w:t>
      </w:r>
    </w:p>
    <w:p w14:paraId="2F9451C8" w14:textId="77777777" w:rsidR="00053C98" w:rsidRPr="001D6B2E" w:rsidRDefault="00092A4B" w:rsidP="00053C98">
      <w:pPr>
        <w:jc w:val="both"/>
      </w:pPr>
      <w:r w:rsidRPr="00092A4B">
        <w:rPr>
          <w:szCs w:val="24"/>
        </w:rPr>
        <w:t>When service failures occur, accountability should focus on understanding the circumstances, identifying the causes of the issue and implementing appropriate remediation. The emphasis should be placed on resolving problems transparently rather than attributing responsibility solely to customer actions</w:t>
      </w:r>
      <w:r w:rsidR="00EF08B8" w:rsidRPr="001D6B2E">
        <w:rPr>
          <w:szCs w:val="24"/>
        </w:rPr>
        <w:t xml:space="preserve">. Records of contacts, redress given, action plan milestones, independent review findings, repeat contacts should be kept, progress should be monitored at regular intervals. This creates a measurable link between accountabilities and service </w:t>
      </w:r>
      <w:r w:rsidR="00EF08B8" w:rsidRPr="001D6B2E">
        <w:rPr>
          <w:szCs w:val="24"/>
        </w:rPr>
        <w:lastRenderedPageBreak/>
        <w:t>improvement and the finding of the study that trust gains are not automatic in communication</w:t>
      </w:r>
      <w:r w:rsidR="00053C98" w:rsidRPr="001D6B2E">
        <w:rPr>
          <w:szCs w:val="24"/>
        </w:rPr>
        <w:t>.</w:t>
      </w:r>
    </w:p>
    <w:p w14:paraId="681229EA" w14:textId="77777777" w:rsidR="00053C98" w:rsidRPr="001D6B2E" w:rsidRDefault="009275AF" w:rsidP="009275AF">
      <w:pPr>
        <w:pStyle w:val="Heading2"/>
        <w:rPr>
          <w:rFonts w:ascii="Times New Roman" w:hAnsi="Times New Roman" w:cs="Times New Roman"/>
          <w:color w:val="1F497D" w:themeColor="text2"/>
        </w:rPr>
      </w:pPr>
      <w:r w:rsidRPr="001D6B2E">
        <w:rPr>
          <w:rFonts w:ascii="Times New Roman" w:hAnsi="Times New Roman" w:cs="Times New Roman"/>
        </w:rPr>
        <w:t>6.5 Limitations and Directions for Future Research</w:t>
      </w:r>
    </w:p>
    <w:p w14:paraId="1BDEE20F" w14:textId="77777777" w:rsidR="00053C98" w:rsidRPr="001D6B2E" w:rsidRDefault="00053C98" w:rsidP="00053C98">
      <w:pPr>
        <w:jc w:val="both"/>
      </w:pPr>
      <w:r w:rsidRPr="001D6B2E">
        <w:rPr>
          <w:szCs w:val="24"/>
        </w:rPr>
        <w:t>First,</w:t>
      </w:r>
      <w:r w:rsidR="00EF08B8" w:rsidRPr="001D6B2E">
        <w:t xml:space="preserve"> </w:t>
      </w:r>
      <w:r w:rsidR="00EF08B8" w:rsidRPr="001D6B2E">
        <w:rPr>
          <w:szCs w:val="24"/>
        </w:rPr>
        <w:t>the study is based on the public secondary evidence. Supplier pages and reports are more likely to be organisational representations which are selective while regulatory publications are more likely to focus on documented problems. Triangulation can minimi</w:t>
      </w:r>
      <w:r w:rsidR="00092A4B">
        <w:rPr>
          <w:szCs w:val="24"/>
        </w:rPr>
        <w:t>s</w:t>
      </w:r>
      <w:r w:rsidR="00EF08B8" w:rsidRPr="001D6B2E">
        <w:rPr>
          <w:szCs w:val="24"/>
        </w:rPr>
        <w:t>e, but not eliminate, publication and attribution bias. Secondly, source depth is also unequal, leaving some benchmark suppliers unable to make like-for-like outcome comparisons, as British Gas and Octopus Energy offer more in-depth quantified evidence. Thirdly, the study focuses on retail energy in the UK, and the evidence relates mainly to Great Britain with some contextual evidence on fuel-poverty in England. The findings may not be directly usable in other jurisdictions and/or sectors. Fourth,</w:t>
      </w:r>
      <w:r w:rsidR="00092A4B" w:rsidRPr="00092A4B">
        <w:t xml:space="preserve"> </w:t>
      </w:r>
      <w:r w:rsidR="00092A4B">
        <w:rPr>
          <w:szCs w:val="24"/>
        </w:rPr>
        <w:t>t</w:t>
      </w:r>
      <w:r w:rsidR="00092A4B" w:rsidRPr="00092A4B">
        <w:rPr>
          <w:szCs w:val="24"/>
        </w:rPr>
        <w:t>he research design has several limitations. It does not measure customer perceptions directly, nor does it establish causal relationships between communication practices and trust outcomes. Instead, the study identifies trust-related signals within publicly available evidence</w:t>
      </w:r>
      <w:r w:rsidRPr="001D6B2E">
        <w:rPr>
          <w:szCs w:val="24"/>
        </w:rPr>
        <w:t>.</w:t>
      </w:r>
    </w:p>
    <w:p w14:paraId="50930A14" w14:textId="77777777" w:rsidR="00C342BF" w:rsidRPr="001D6B2E" w:rsidRDefault="00053C98" w:rsidP="00053C98">
      <w:pPr>
        <w:jc w:val="both"/>
      </w:pPr>
      <w:r w:rsidRPr="001D6B2E">
        <w:t>A longitudinal design might be used to compare changes in communication, operational data, complaints, and regulatory results over time. Subject to separate ethics approval, document analysis could be supplemented by interviews or surveys of customers experiencing payment difficulty, such as people with limited digital access, to explore the extent to which competence, benevolence and integrity signals are perceived as intended. Web analytics might be tentatively correlated with support-journey completion, field experiments could explore different eligibility explanations or channel prompts without denying support, and repeat contact and arrangement results could be correlated with web analytics. Studies that involve frontline advisers and vulnerability specialists may explore the process of integrating published commitments into discretion, escalation and referral in the context of real support interactions. Other UK essential services</w:t>
      </w:r>
      <w:r w:rsidR="00F67DF8">
        <w:t xml:space="preserve"> also</w:t>
      </w:r>
      <w:r w:rsidRPr="001D6B2E">
        <w:t xml:space="preserve"> retail-energy markets in other countries could be examined comparatively. Access to anonymised application, decision, referral and remediation data would support better assessment of distribution, recognition and procedure.</w:t>
      </w:r>
    </w:p>
    <w:p w14:paraId="33F676AF" w14:textId="77777777" w:rsidR="00C342BF" w:rsidRPr="001D6B2E" w:rsidRDefault="00000000">
      <w:pPr>
        <w:pStyle w:val="Heading2"/>
        <w:spacing w:before="160" w:after="40"/>
        <w:rPr>
          <w:rFonts w:ascii="Times New Roman" w:hAnsi="Times New Roman" w:cs="Times New Roman"/>
        </w:rPr>
      </w:pPr>
      <w:r w:rsidRPr="001D6B2E">
        <w:rPr>
          <w:rFonts w:ascii="Times New Roman" w:eastAsia="Times New Roman" w:hAnsi="Times New Roman" w:cs="Times New Roman"/>
        </w:rPr>
        <w:t>6.6 Closing Statement</w:t>
      </w:r>
    </w:p>
    <w:p w14:paraId="1133F41D" w14:textId="77777777" w:rsidR="00C342BF" w:rsidRPr="001D6B2E" w:rsidRDefault="009275AF">
      <w:pPr>
        <w:jc w:val="both"/>
      </w:pPr>
      <w:r w:rsidRPr="001D6B2E">
        <w:rPr>
          <w:szCs w:val="24"/>
        </w:rPr>
        <w:t xml:space="preserve">The study concludes that affordability communication becomes a credible invitation to trust when claims are accessible, responsive to changing need, evidenced and consistent with accountable delivery. British Gas and Octopus Energy illustrate two different architectures, </w:t>
      </w:r>
      <w:r w:rsidRPr="001D6B2E">
        <w:rPr>
          <w:szCs w:val="24"/>
        </w:rPr>
        <w:lastRenderedPageBreak/>
        <w:t>but neither architecture is inherently trustworthy. The theoretical and practical contribution is the credibility filter: a disciplined way to connect communication with competence, benevolence and integrity while preserving the distinction between perceived supplier trustworthiness and directly measured customer trust.</w:t>
      </w:r>
    </w:p>
    <w:p w14:paraId="1128BC87" w14:textId="77777777" w:rsidR="00C342BF" w:rsidRPr="001D6B2E" w:rsidRDefault="00000000">
      <w:pPr>
        <w:pStyle w:val="Heading1"/>
        <w:pageBreakBefore/>
        <w:spacing w:before="240" w:after="80"/>
        <w:rPr>
          <w:rFonts w:ascii="Times New Roman" w:hAnsi="Times New Roman" w:cs="Times New Roman"/>
        </w:rPr>
      </w:pPr>
      <w:r w:rsidRPr="001D6B2E">
        <w:rPr>
          <w:rFonts w:ascii="Times New Roman" w:eastAsia="Times New Roman" w:hAnsi="Times New Roman" w:cs="Times New Roman"/>
        </w:rPr>
        <w:lastRenderedPageBreak/>
        <w:t>References</w:t>
      </w:r>
    </w:p>
    <w:p w14:paraId="62D53F2A" w14:textId="77777777" w:rsidR="00C342BF" w:rsidRPr="001D6B2E" w:rsidRDefault="00000000">
      <w:pPr>
        <w:keepLines/>
        <w:ind w:left="432" w:hanging="432"/>
        <w:jc w:val="both"/>
      </w:pPr>
      <w:r w:rsidRPr="001D6B2E">
        <w:t xml:space="preserve">Ambrosio-Albala, P., Middlemiss, L., Owen, A., Hargreaves, T., Emmel, N., Gilbertson, J., Tod, A., Snell, C., Mullen, C., Longhurst, N. and Gillard, R. (2020) 'From rational to relational: How energy poor households engage with the British retail energy market', </w:t>
      </w:r>
      <w:r w:rsidRPr="001D6B2E">
        <w:rPr>
          <w:i/>
        </w:rPr>
        <w:t>Energy Research &amp; Social Science</w:t>
      </w:r>
      <w:r w:rsidRPr="001D6B2E">
        <w:t>, 70, article 101765. doi:10.1016/j.erss.2020.101765.</w:t>
      </w:r>
    </w:p>
    <w:p w14:paraId="29E509F9" w14:textId="77777777" w:rsidR="00C342BF" w:rsidRPr="001D6B2E" w:rsidRDefault="00000000">
      <w:pPr>
        <w:keepLines/>
        <w:ind w:left="432" w:hanging="432"/>
        <w:jc w:val="both"/>
      </w:pPr>
      <w:r w:rsidRPr="001D6B2E">
        <w:t>Boardman, B. (1991) Fuel Poverty: From Cold Homes to Affordable Warmth. London: Belhaven Press.</w:t>
      </w:r>
    </w:p>
    <w:p w14:paraId="52BC5585" w14:textId="77777777" w:rsidR="00C342BF" w:rsidRPr="001D6B2E" w:rsidRDefault="00000000">
      <w:pPr>
        <w:keepLines/>
        <w:ind w:left="432" w:hanging="432"/>
        <w:jc w:val="both"/>
      </w:pPr>
      <w:r w:rsidRPr="001D6B2E">
        <w:t xml:space="preserve">Bouzarovski, S. and Petrova, S. (2015) 'A global perspective on domestic energy deprivation: Overcoming the energy poverty-fuel poverty binary', </w:t>
      </w:r>
      <w:r w:rsidRPr="001D6B2E">
        <w:rPr>
          <w:i/>
        </w:rPr>
        <w:t>Energy Research &amp; Social Science</w:t>
      </w:r>
      <w:r w:rsidRPr="001D6B2E">
        <w:t>, 10, pp. 31-40. doi:10.1016/j.erss.2015.06.007.</w:t>
      </w:r>
    </w:p>
    <w:p w14:paraId="1E29B4C6" w14:textId="77777777" w:rsidR="00C342BF" w:rsidRPr="001D6B2E" w:rsidRDefault="00000000">
      <w:pPr>
        <w:keepLines/>
        <w:ind w:left="432" w:hanging="432"/>
        <w:jc w:val="both"/>
      </w:pPr>
      <w:r w:rsidRPr="001D6B2E">
        <w:t>Bowen, G.A. (2009) 'Document analysis as a qualitative research method', Qualitative Research Journal, 9(2), pp. 27-40. doi:10.3316/QRJ0902027.</w:t>
      </w:r>
    </w:p>
    <w:p w14:paraId="4108C128" w14:textId="77777777" w:rsidR="00C342BF" w:rsidRPr="001D6B2E" w:rsidRDefault="00000000">
      <w:pPr>
        <w:keepLines/>
        <w:ind w:left="432" w:hanging="432"/>
        <w:jc w:val="both"/>
      </w:pPr>
      <w:r w:rsidRPr="001D6B2E">
        <w:t>Braun, V. and Clarke, V. (2006) 'Using thematic analysis in psychology', Qualitative Research in Psychology, 3(2), pp. 77-101. doi:10.1191/1478088706qp063oa.</w:t>
      </w:r>
    </w:p>
    <w:p w14:paraId="07E70256" w14:textId="77777777" w:rsidR="00C342BF" w:rsidRPr="001D6B2E" w:rsidRDefault="00000000">
      <w:pPr>
        <w:keepLines/>
        <w:ind w:left="432" w:hanging="432"/>
        <w:jc w:val="both"/>
      </w:pPr>
      <w:r w:rsidRPr="001D6B2E">
        <w:t>Braun, V. and Clarke, V. (2021) 'One size fits all? What counts as quality practice in (reflexive) thematic analysis?', Qualitative Research in Psychology, 18(3), pp. 328-352. doi:10.1080/14780887.2020.1769238.</w:t>
      </w:r>
    </w:p>
    <w:p w14:paraId="445158CF" w14:textId="77777777" w:rsidR="00C342BF" w:rsidRPr="001D6B2E" w:rsidRDefault="00000000">
      <w:pPr>
        <w:keepLines/>
        <w:ind w:left="432" w:hanging="432"/>
        <w:jc w:val="both"/>
      </w:pPr>
      <w:r w:rsidRPr="001D6B2E">
        <w:t>British Gas (n.d.-a) 'What happens if I don't pay?'. Available at: https://www.britishgas.co.uk/help-and-support/struggling-to-pay/what-happens-if-i-dont-pay (Accessed: 20 August 2026).</w:t>
      </w:r>
    </w:p>
    <w:p w14:paraId="7FC8E68B" w14:textId="77777777" w:rsidR="00C342BF" w:rsidRPr="001D6B2E" w:rsidRDefault="00000000">
      <w:pPr>
        <w:keepLines/>
        <w:ind w:left="432" w:hanging="432"/>
        <w:jc w:val="both"/>
      </w:pPr>
      <w:r w:rsidRPr="001D6B2E">
        <w:t>British Gas (n.d.-b) 'What is the Fuel Direct scheme?'. Available at: https://www.britishgas.co.uk/help-and-support/struggling-to-pay/what-is-the-fuel-direct-scheme (Accessed: 20 August 2026).</w:t>
      </w:r>
    </w:p>
    <w:p w14:paraId="59417188" w14:textId="77777777" w:rsidR="00C342BF" w:rsidRPr="001D6B2E" w:rsidRDefault="00000000">
      <w:pPr>
        <w:keepLines/>
        <w:ind w:left="432" w:hanging="432"/>
        <w:jc w:val="both"/>
      </w:pPr>
      <w:r w:rsidRPr="001D6B2E">
        <w:t>British Gas (n.d.-c) 'Supporting your needs, whatever your situation'. Available at: https://www.britishgas.co.uk/help-and-support/extra-support (Accessed: 20 August 2026).</w:t>
      </w:r>
    </w:p>
    <w:p w14:paraId="3EAD652B" w14:textId="77777777" w:rsidR="00C342BF" w:rsidRPr="001D6B2E" w:rsidRDefault="00000000">
      <w:pPr>
        <w:keepLines/>
        <w:ind w:left="432" w:hanging="432"/>
        <w:jc w:val="both"/>
      </w:pPr>
      <w:r w:rsidRPr="001D6B2E">
        <w:t xml:space="preserve">British Gas Energy Trust (2024) </w:t>
      </w:r>
      <w:r w:rsidRPr="001D6B2E">
        <w:rPr>
          <w:i/>
        </w:rPr>
        <w:t>Impact Report 2024</w:t>
      </w:r>
      <w:r w:rsidRPr="001D6B2E">
        <w:t>. Available at: https://britishgasenergytrust.org.uk/wp-content/uploads/2024/12/BGET_Impact-report-2024_FINAL_WEB-Copy.pdf (Accessed: 20 August 2026).</w:t>
      </w:r>
    </w:p>
    <w:p w14:paraId="1D0EF8A4" w14:textId="77777777" w:rsidR="00C342BF" w:rsidRPr="001D6B2E" w:rsidRDefault="00000000">
      <w:pPr>
        <w:keepLines/>
        <w:ind w:left="432" w:hanging="432"/>
        <w:jc w:val="both"/>
      </w:pPr>
      <w:r w:rsidRPr="001D6B2E">
        <w:lastRenderedPageBreak/>
        <w:t>British Gas Energy Trust (2026) Independent fuel debt advice. Available at: https://britishgasenergytrust.org.uk/ (Accessed: 24 June 2026).</w:t>
      </w:r>
    </w:p>
    <w:p w14:paraId="62657322" w14:textId="77777777" w:rsidR="00C342BF" w:rsidRPr="001D6B2E" w:rsidRDefault="00000000">
      <w:pPr>
        <w:keepLines/>
        <w:ind w:left="432" w:hanging="432"/>
        <w:jc w:val="both"/>
      </w:pPr>
      <w:r w:rsidRPr="001D6B2E">
        <w:t xml:space="preserve">Centrica plc (2026) </w:t>
      </w:r>
      <w:r w:rsidRPr="001D6B2E">
        <w:rPr>
          <w:i/>
        </w:rPr>
        <w:t>Annual Report and Accounts 2025</w:t>
      </w:r>
      <w:r w:rsidRPr="001D6B2E">
        <w:t>. Available at: https://www.centrica.com/media/ckfb0qxj/annual-report-and-accounts-2025-untagged.pdf (Accessed: 20 August 2026).</w:t>
      </w:r>
    </w:p>
    <w:p w14:paraId="68FECB19" w14:textId="77777777" w:rsidR="00C342BF" w:rsidRPr="001D6B2E" w:rsidRDefault="00000000">
      <w:pPr>
        <w:keepLines/>
        <w:ind w:left="432" w:hanging="432"/>
        <w:jc w:val="both"/>
      </w:pPr>
      <w:r w:rsidRPr="001D6B2E">
        <w:t>Department for Energy Security and Net Zero (DESNZ) (2026) Annual Fuel Poverty Statistics in England, 2026 (2025 data). Available at: https://assets.publishing.service.gov.uk/media/69c3af123ed0546101e0dc3e/Main_Report__2026_Fuel_Poverty_Statistics_Publication_.pdf (Accessed: 24 June 2026).</w:t>
      </w:r>
    </w:p>
    <w:p w14:paraId="11C25F91" w14:textId="77777777" w:rsidR="00C342BF" w:rsidRPr="001D6B2E" w:rsidRDefault="00000000">
      <w:pPr>
        <w:keepLines/>
        <w:ind w:left="432" w:hanging="432"/>
        <w:jc w:val="both"/>
      </w:pPr>
      <w:r w:rsidRPr="001D6B2E">
        <w:t>E.ON Next (2026) 'Priority Services Register: Support for vulnerable customers'. Available at: https://www.eonnext.com/blog/88-what-is-the-priority-services-register (Accessed: 20 August 2026).</w:t>
      </w:r>
    </w:p>
    <w:p w14:paraId="68D8FD36" w14:textId="77777777" w:rsidR="00C342BF" w:rsidRPr="001D6B2E" w:rsidRDefault="00000000">
      <w:pPr>
        <w:keepLines/>
        <w:ind w:left="432" w:hanging="432"/>
        <w:jc w:val="both"/>
      </w:pPr>
      <w:r w:rsidRPr="001D6B2E">
        <w:t>E.ON Next (n.d.-a) 'Are you struggling to pay your energy bills?'. Available at: https://www.eonnext.com/policies/struggling-to-pay (Accessed: 20 August 2026).</w:t>
      </w:r>
    </w:p>
    <w:p w14:paraId="67770204" w14:textId="77777777" w:rsidR="00C342BF" w:rsidRPr="001D6B2E" w:rsidRDefault="00000000">
      <w:pPr>
        <w:keepLines/>
        <w:ind w:left="432" w:hanging="432"/>
        <w:jc w:val="both"/>
      </w:pPr>
      <w:r w:rsidRPr="001D6B2E">
        <w:t>E.ON Next (n.d.-b) 'The E.ON Next Energy Fund'. Available at: https://www.eonnext.com/energy/guides/energy-fund (Accessed: 20 August 2026).</w:t>
      </w:r>
    </w:p>
    <w:p w14:paraId="5B9547E4" w14:textId="77777777" w:rsidR="00C342BF" w:rsidRPr="001D6B2E" w:rsidRDefault="00000000">
      <w:pPr>
        <w:keepLines/>
        <w:ind w:left="432" w:hanging="432"/>
        <w:jc w:val="both"/>
      </w:pPr>
      <w:r w:rsidRPr="001D6B2E">
        <w:t>EDF Energy (n.d.-a) 'Get help if you are struggling to pay your electricity or gas bill'. Available at: https://www.edfenergy.com/help-support/energy-bill-debt-advice (Accessed: 20 August 2026).</w:t>
      </w:r>
    </w:p>
    <w:p w14:paraId="08F3DA03" w14:textId="77777777" w:rsidR="00C342BF" w:rsidRPr="001D6B2E" w:rsidRDefault="00000000">
      <w:pPr>
        <w:keepLines/>
        <w:ind w:left="432" w:hanging="432"/>
        <w:jc w:val="both"/>
      </w:pPr>
      <w:r w:rsidRPr="001D6B2E">
        <w:t>EDF Energy (n.d.-b) 'Get help from our Customer Support Fund'. Available at: https://www.edfenergy.com/help-support/faq/get-help-our-customer-support-fund (Accessed: 20 August 2026).</w:t>
      </w:r>
    </w:p>
    <w:p w14:paraId="0DFF52F3" w14:textId="77777777" w:rsidR="00C342BF" w:rsidRPr="001D6B2E" w:rsidRDefault="00000000">
      <w:pPr>
        <w:keepLines/>
        <w:ind w:left="432" w:hanging="432"/>
        <w:jc w:val="both"/>
      </w:pPr>
      <w:r w:rsidRPr="001D6B2E">
        <w:t>EDF Energy (n.d.-c) 'Priority Services Register and extra support'. Available at: https://www.edfenergy.com/help-support/PSR (Accessed: 20 August 2026).</w:t>
      </w:r>
    </w:p>
    <w:p w14:paraId="171DEE0D" w14:textId="77777777" w:rsidR="00C342BF" w:rsidRPr="001D6B2E" w:rsidRDefault="00000000">
      <w:pPr>
        <w:keepLines/>
        <w:ind w:left="432" w:hanging="432"/>
        <w:jc w:val="both"/>
      </w:pPr>
      <w:r w:rsidRPr="001D6B2E">
        <w:t>Eisenhardt, K.M. (1989) 'Building theories from case study research', Academy of Management Review, 14(4), pp. 532-550. doi:10.5465/amr.1989.4308385.</w:t>
      </w:r>
    </w:p>
    <w:p w14:paraId="72421DEB" w14:textId="77777777" w:rsidR="00C342BF" w:rsidRPr="001D6B2E" w:rsidRDefault="00000000">
      <w:pPr>
        <w:keepLines/>
        <w:ind w:left="432" w:hanging="432"/>
        <w:jc w:val="both"/>
      </w:pPr>
      <w:r w:rsidRPr="001D6B2E">
        <w:t xml:space="preserve">Jenkins, K., McCauley, D., Heffron, R., Stephan, H. and Rehner, R. (2016) 'Energy justice: A conceptual review', </w:t>
      </w:r>
      <w:r w:rsidRPr="001D6B2E">
        <w:rPr>
          <w:i/>
        </w:rPr>
        <w:t>Energy Research &amp; Social Science</w:t>
      </w:r>
      <w:r w:rsidRPr="001D6B2E">
        <w:t>, 11, pp. 174-182. doi:10.1016/j.erss.2015.10.004.</w:t>
      </w:r>
    </w:p>
    <w:p w14:paraId="6D82BF39" w14:textId="77777777" w:rsidR="00C342BF" w:rsidRPr="001D6B2E" w:rsidRDefault="00000000">
      <w:pPr>
        <w:keepLines/>
        <w:ind w:left="432" w:hanging="432"/>
        <w:jc w:val="both"/>
      </w:pPr>
      <w:r w:rsidRPr="001D6B2E">
        <w:t>Lincoln, Y.S. and Guba, E.G. (1985) Naturalistic Inquiry. Beverly Hills, CA: Sage.</w:t>
      </w:r>
    </w:p>
    <w:p w14:paraId="4BEEDB7A" w14:textId="77777777" w:rsidR="00C342BF" w:rsidRPr="001D6B2E" w:rsidRDefault="00000000">
      <w:pPr>
        <w:keepLines/>
        <w:ind w:left="432" w:hanging="432"/>
        <w:jc w:val="both"/>
      </w:pPr>
      <w:r w:rsidRPr="001D6B2E">
        <w:lastRenderedPageBreak/>
        <w:t xml:space="preserve">Mayer, R.C., Davis, J.H. and Schoorman, F.D. (1995) 'An integrative model of organizational trust', </w:t>
      </w:r>
      <w:r w:rsidRPr="001D6B2E">
        <w:rPr>
          <w:i/>
        </w:rPr>
        <w:t>Academy of Management Review</w:t>
      </w:r>
      <w:r w:rsidRPr="001D6B2E">
        <w:t>, 20(3), pp. 709-734. doi:10.5465/amr.1995.9508080335.</w:t>
      </w:r>
    </w:p>
    <w:p w14:paraId="2566B535" w14:textId="77777777" w:rsidR="00C342BF" w:rsidRPr="001D6B2E" w:rsidRDefault="00000000">
      <w:pPr>
        <w:keepLines/>
        <w:ind w:left="432" w:hanging="432"/>
        <w:jc w:val="both"/>
      </w:pPr>
      <w:r w:rsidRPr="001D6B2E">
        <w:t xml:space="preserve">Middlemiss, L. and Gillard, R. (2015) 'Fuel poverty from the bottom-up: Characterising household energy vulnerability through the lived experience of the fuel poor', </w:t>
      </w:r>
      <w:r w:rsidRPr="001D6B2E">
        <w:rPr>
          <w:i/>
        </w:rPr>
        <w:t>Energy Research &amp; Social Science</w:t>
      </w:r>
      <w:r w:rsidRPr="001D6B2E">
        <w:t>, 6, pp. 146-154. doi:10.1016/j.erss.2015.02.001.</w:t>
      </w:r>
    </w:p>
    <w:p w14:paraId="70427C95" w14:textId="77777777" w:rsidR="00C342BF" w:rsidRPr="001D6B2E" w:rsidRDefault="00000000">
      <w:pPr>
        <w:keepLines/>
        <w:ind w:left="432" w:hanging="432"/>
        <w:jc w:val="both"/>
      </w:pPr>
      <w:r w:rsidRPr="001D6B2E">
        <w:t>Miles, M.B., Huberman, A.M. and Saldaña, J. (2014) Qualitative Data Analysis: A Methods Sourcebook. 3rd edn. Thousand Oaks, CA: Sage.</w:t>
      </w:r>
    </w:p>
    <w:p w14:paraId="41B24129" w14:textId="77777777" w:rsidR="00C342BF" w:rsidRPr="001D6B2E" w:rsidRDefault="00000000">
      <w:pPr>
        <w:keepLines/>
        <w:ind w:left="432" w:hanging="432"/>
        <w:jc w:val="both"/>
      </w:pPr>
      <w:r w:rsidRPr="001D6B2E">
        <w:t xml:space="preserve">Morgan, R.M. and Hunt, S.D. (1994) 'The commitment-trust theory of relationship marketing', </w:t>
      </w:r>
      <w:r w:rsidRPr="001D6B2E">
        <w:rPr>
          <w:i/>
        </w:rPr>
        <w:t>Journal of Marketing</w:t>
      </w:r>
      <w:r w:rsidRPr="001D6B2E">
        <w:t>, 58(3), pp. 20-38. doi:10.2307/1252308.</w:t>
      </w:r>
    </w:p>
    <w:p w14:paraId="6E7AA46C" w14:textId="77777777" w:rsidR="00C342BF" w:rsidRPr="001D6B2E" w:rsidRDefault="00000000">
      <w:pPr>
        <w:keepLines/>
        <w:ind w:left="432" w:hanging="432"/>
        <w:jc w:val="both"/>
      </w:pPr>
      <w:r w:rsidRPr="001D6B2E">
        <w:t>Nowell, L.S., Norris, J.M., White, D.E. and Moules, N.J. (2017) 'Thematic analysis: Striving to meet the trustworthiness criteria', International Journal of Qualitative Methods, 16, pp. 1-13. doi:10.1177/1609406917733847.</w:t>
      </w:r>
    </w:p>
    <w:p w14:paraId="7202BDF7" w14:textId="77777777" w:rsidR="00C342BF" w:rsidRPr="001D6B2E" w:rsidRDefault="00000000">
      <w:pPr>
        <w:keepLines/>
        <w:ind w:left="432" w:hanging="432"/>
        <w:jc w:val="both"/>
      </w:pPr>
      <w:r w:rsidRPr="001D6B2E">
        <w:t>Octopus Energy (2022a) 'Octo Assist: Our customer help fund'. Available at: https://octopus.energy/blog/octo-assist/ (Accessed: 20 August 2026).</w:t>
      </w:r>
    </w:p>
    <w:p w14:paraId="6E3E9ACC" w14:textId="77777777" w:rsidR="00C342BF" w:rsidRPr="001D6B2E" w:rsidRDefault="00000000">
      <w:pPr>
        <w:keepLines/>
        <w:ind w:left="432" w:hanging="432"/>
        <w:jc w:val="both"/>
      </w:pPr>
      <w:r w:rsidRPr="001D6B2E">
        <w:t>Octopus Energy (2022b) 'How we reach out to customers who are not paying'. Available at: https://octopus.energy/blog/reaching-customers-in-debt/ (Accessed: 20 August 2026).</w:t>
      </w:r>
    </w:p>
    <w:p w14:paraId="72C57DDD" w14:textId="77777777" w:rsidR="00C342BF" w:rsidRPr="001D6B2E" w:rsidRDefault="00000000">
      <w:pPr>
        <w:keepLines/>
        <w:ind w:left="432" w:hanging="432"/>
        <w:jc w:val="both"/>
      </w:pPr>
      <w:r w:rsidRPr="001D6B2E">
        <w:t>Octopus Energy (2025) 'Behind the scenes with our social workers'. Available at: https://octopus.energy/blog/behind-the-scenes-with-our-social-workers/ (Accessed: 20 August 2026).</w:t>
      </w:r>
    </w:p>
    <w:p w14:paraId="1D7A8DEF" w14:textId="77777777" w:rsidR="00C342BF" w:rsidRPr="001D6B2E" w:rsidRDefault="00000000">
      <w:pPr>
        <w:keepLines/>
        <w:ind w:left="432" w:hanging="432"/>
        <w:jc w:val="both"/>
      </w:pPr>
      <w:r w:rsidRPr="001D6B2E">
        <w:t>Octopus Energy (n.d.) 'Everything you need to know about the Priority Services Register'. Available at: https://octopus.energy/policies/priority-services-register/ (Accessed: 20 August 2026).</w:t>
      </w:r>
    </w:p>
    <w:p w14:paraId="01A3CD0A" w14:textId="77777777" w:rsidR="00C342BF" w:rsidRPr="001D6B2E" w:rsidRDefault="00000000">
      <w:pPr>
        <w:keepLines/>
        <w:ind w:left="432" w:hanging="432"/>
        <w:jc w:val="both"/>
      </w:pPr>
      <w:r w:rsidRPr="001D6B2E">
        <w:t xml:space="preserve">Octopus Energy Limited (2023) </w:t>
      </w:r>
      <w:r w:rsidRPr="001D6B2E">
        <w:rPr>
          <w:i/>
        </w:rPr>
        <w:t>Annual Report and Financial Statements 2023</w:t>
      </w:r>
      <w:r w:rsidRPr="001D6B2E">
        <w:t>. Available at: https://octopus.energy/documents/3861/A0659_Octopus_Energy_Limited_AR_2023_prf14_ForPublication.pdf (Accessed: 20 August 2026).</w:t>
      </w:r>
    </w:p>
    <w:p w14:paraId="03FDA97D" w14:textId="77777777" w:rsidR="00C342BF" w:rsidRPr="001D6B2E" w:rsidRDefault="00000000">
      <w:pPr>
        <w:keepLines/>
        <w:ind w:left="432" w:hanging="432"/>
        <w:jc w:val="both"/>
      </w:pPr>
      <w:r w:rsidRPr="001D6B2E">
        <w:t>Ofgem (2022a) 'Market Compliance Review into customers struggling with bills'. Available at: https://www.ofgem.gov.uk/press-release/market-compliance-review-customers-struggling-bills (Accessed: 20 August 2026).</w:t>
      </w:r>
    </w:p>
    <w:p w14:paraId="355BE45F" w14:textId="77777777" w:rsidR="00C342BF" w:rsidRPr="001D6B2E" w:rsidRDefault="00000000">
      <w:pPr>
        <w:keepLines/>
        <w:ind w:left="432" w:hanging="432"/>
        <w:jc w:val="both"/>
      </w:pPr>
      <w:r w:rsidRPr="001D6B2E">
        <w:lastRenderedPageBreak/>
        <w:t>Ofgem (2022b) 'Ofgem completes review of how suppliers support customers in vulnerable situations'. Available at: https://www.ofgem.gov.uk/decision/ofgem-completes-review-how-suppliers-support-customers-vulnerable-situations (Accessed: 20 August 2026).</w:t>
      </w:r>
    </w:p>
    <w:p w14:paraId="2154EC30" w14:textId="77777777" w:rsidR="00C342BF" w:rsidRPr="001D6B2E" w:rsidRDefault="00000000">
      <w:pPr>
        <w:keepLines/>
        <w:ind w:left="432" w:hanging="432"/>
        <w:jc w:val="both"/>
      </w:pPr>
      <w:r w:rsidRPr="001D6B2E">
        <w:t>Ofgem (2023a) 'Ofgem review reveals that customer service standards of energy suppliers must improve'. Available at: https://www.ofgem.gov.uk/press-release/ofgem-review-reveals-customer-service-standards-energy-suppliers-must-improve (Accessed: 20 August 2026).</w:t>
      </w:r>
    </w:p>
    <w:p w14:paraId="51F5BD33" w14:textId="77777777" w:rsidR="00C342BF" w:rsidRPr="001D6B2E" w:rsidRDefault="00000000">
      <w:pPr>
        <w:keepLines/>
        <w:ind w:left="432" w:hanging="432"/>
        <w:jc w:val="both"/>
      </w:pPr>
      <w:r w:rsidRPr="001D6B2E">
        <w:t>Ofgem (2023b) 'Three energy suppliers pay £8 million for customer compensation failures'. Available at: https://www.ofgem.gov.uk/press-release/three-energy-suppliers-pay-ps8-million-customer-compensation-failures (Accessed: 20 August 2026).</w:t>
      </w:r>
    </w:p>
    <w:p w14:paraId="5B6821DC" w14:textId="77777777" w:rsidR="00C342BF" w:rsidRPr="001D6B2E" w:rsidRDefault="00000000">
      <w:pPr>
        <w:keepLines/>
        <w:ind w:left="432" w:hanging="432"/>
        <w:jc w:val="both"/>
      </w:pPr>
      <w:r w:rsidRPr="001D6B2E">
        <w:t>Ofgem (2024a) 'Consumers' experiences of debt and affordability support from suppliers'. Available at: https://www.ofgem.gov.uk/research/consumers-experiences-debt-and-affordability-support-suppliers (Accessed: 20 August 2026).</w:t>
      </w:r>
    </w:p>
    <w:p w14:paraId="44E7CC5D" w14:textId="77777777" w:rsidR="00C342BF" w:rsidRPr="001D6B2E" w:rsidRDefault="00000000">
      <w:pPr>
        <w:keepLines/>
        <w:ind w:left="432" w:hanging="432"/>
        <w:jc w:val="both"/>
      </w:pPr>
      <w:r w:rsidRPr="001D6B2E">
        <w:t xml:space="preserve">Ofgem (2024b) </w:t>
      </w:r>
      <w:r w:rsidRPr="001D6B2E">
        <w:rPr>
          <w:i/>
        </w:rPr>
        <w:t>Customers' satisfaction with their supplier: Supplier-level findings, January-February 2024</w:t>
      </w:r>
      <w:r w:rsidRPr="001D6B2E">
        <w:t>. Available at: https://www.ofgem.gov.uk/sites/default/files/2024-08/V2_Customers_satisfaction_with_their_supplier-supplier_level_findings_January_February_2024.pdf (Accessed: 20 August 2026).</w:t>
      </w:r>
    </w:p>
    <w:p w14:paraId="0B97E4A7" w14:textId="77777777" w:rsidR="00C342BF" w:rsidRPr="001D6B2E" w:rsidRDefault="00000000">
      <w:pPr>
        <w:keepLines/>
        <w:ind w:left="432" w:hanging="432"/>
        <w:jc w:val="both"/>
      </w:pPr>
      <w:r w:rsidRPr="001D6B2E">
        <w:t>Ofgem (2024c) 'Understanding the lived experiences of consumers in vulnerable circumstances'. Available at: https://www.ofgem.gov.uk/research/understanding-lived-experiences-consumers-vulnerable-circumstances (Accessed: 20 August 2026).</w:t>
      </w:r>
    </w:p>
    <w:p w14:paraId="5D2B9E7A" w14:textId="77777777" w:rsidR="00C342BF" w:rsidRPr="001D6B2E" w:rsidRDefault="00000000">
      <w:pPr>
        <w:keepLines/>
        <w:ind w:left="432" w:hanging="432"/>
        <w:jc w:val="both"/>
      </w:pPr>
      <w:r w:rsidRPr="001D6B2E">
        <w:t>Ofgem (2024d) 'OVO compensates customers for failing to resolve customer complaints referred to Citizens Advice Extra Help Unit and Energy Ombudsman'. Available at: https://www.ofgem.gov.uk/publications/ovo-compensates-customers-failing-resolve-customer-complaints-referred-citizens-advice-extra-help-unit-and-energy-ombudsman (Accessed: 20 August 2026).</w:t>
      </w:r>
    </w:p>
    <w:p w14:paraId="6D6B96EB" w14:textId="77777777" w:rsidR="00C342BF" w:rsidRPr="001D6B2E" w:rsidRDefault="00000000">
      <w:pPr>
        <w:keepLines/>
        <w:ind w:left="432" w:hanging="432"/>
        <w:jc w:val="both"/>
      </w:pPr>
      <w:r w:rsidRPr="001D6B2E">
        <w:t>Ofgem (2025a) Consumer impacts of market conditions survey: Wave 6 (January to February 2025). Available at: https://www.ofgem.gov.uk/research/consumer-impacts-market-conditions-survey-wave-6-january-february-2025 (Accessed: 23 July 2026).</w:t>
      </w:r>
    </w:p>
    <w:p w14:paraId="5389A517" w14:textId="77777777" w:rsidR="00C342BF" w:rsidRPr="001D6B2E" w:rsidRDefault="00000000">
      <w:pPr>
        <w:keepLines/>
        <w:ind w:left="432" w:hanging="432"/>
        <w:jc w:val="both"/>
      </w:pPr>
      <w:r w:rsidRPr="001D6B2E">
        <w:t>Ofgem (2025b) 'Consumer Vulnerability Strategy'. Available at: https://www.ofgem.gov.uk/policy/consumer-vulnerability-strategy (Accessed: 20 August 2026).</w:t>
      </w:r>
    </w:p>
    <w:p w14:paraId="628F3699" w14:textId="77777777" w:rsidR="00C342BF" w:rsidRPr="001D6B2E" w:rsidRDefault="00000000">
      <w:pPr>
        <w:keepLines/>
        <w:ind w:left="432" w:hanging="432"/>
        <w:jc w:val="both"/>
      </w:pPr>
      <w:r w:rsidRPr="001D6B2E">
        <w:lastRenderedPageBreak/>
        <w:t>Ofgem (2025c) State of the Market Report: Energy Retail Market Highlights. London: Office of Gas and Electricity Markets. Available at: https://www.ofgem.gov.uk/research/state-energy-market-report-retail.</w:t>
      </w:r>
    </w:p>
    <w:p w14:paraId="2B2E8438" w14:textId="77777777" w:rsidR="00C342BF" w:rsidRPr="001D6B2E" w:rsidRDefault="00000000">
      <w:pPr>
        <w:keepLines/>
        <w:ind w:left="432" w:hanging="432"/>
        <w:jc w:val="both"/>
      </w:pPr>
      <w:r w:rsidRPr="001D6B2E">
        <w:t>Ofgem (2026a) 'British Gas agrees settlement in relation to Ofgem's investigation of unfair treatment of prepayment meter customers'. Available at: https://www.ofgem.gov.uk/press-release/british-gas-agrees-settlement-relation-ofgems-investigation-unfair-treatment-prepayment-meter-customers (Accessed: 20 August 2026).</w:t>
      </w:r>
    </w:p>
    <w:p w14:paraId="32931CC1" w14:textId="77777777" w:rsidR="00C342BF" w:rsidRPr="001D6B2E" w:rsidRDefault="00000000">
      <w:pPr>
        <w:keepLines/>
        <w:ind w:left="432" w:hanging="432"/>
        <w:jc w:val="both"/>
      </w:pPr>
      <w:r w:rsidRPr="001D6B2E">
        <w:t>Ofgem (2026b) Energy price cap and standing charges explained. Available at: https://www.ofgem.gov.uk/information-consumers/energy-advice-households/energy-price-cap-and-standing-charges-explained (Accessed: 24 June 2026).</w:t>
      </w:r>
    </w:p>
    <w:p w14:paraId="50C2EBBC" w14:textId="77777777" w:rsidR="00C342BF" w:rsidRPr="001D6B2E" w:rsidRDefault="00000000">
      <w:pPr>
        <w:keepLines/>
        <w:ind w:left="432" w:hanging="432"/>
        <w:jc w:val="both"/>
      </w:pPr>
      <w:r w:rsidRPr="001D6B2E">
        <w:t>Ofgem (2026c) Get help with your energy bills. Available at: https://www.ofgem.gov.uk/information-consumers/energy-advice-households/get-help-with-your-energy-bills (Accessed: 24 June 2026).</w:t>
      </w:r>
    </w:p>
    <w:p w14:paraId="60DA5A0B" w14:textId="77777777" w:rsidR="00C342BF" w:rsidRPr="001D6B2E" w:rsidRDefault="00000000">
      <w:pPr>
        <w:keepLines/>
        <w:ind w:left="432" w:hanging="432"/>
        <w:jc w:val="both"/>
      </w:pPr>
      <w:r w:rsidRPr="001D6B2E">
        <w:t>Ofgem (2026d) Join your supplier's Priority Services Register. Available at: https://www.ofgem.gov.uk/information-consumers/energy-advice-households/join-your-suppliers-priority-services-register (Accessed: 24 June 2026).</w:t>
      </w:r>
    </w:p>
    <w:p w14:paraId="33BD5487" w14:textId="77777777" w:rsidR="00C342BF" w:rsidRPr="001D6B2E" w:rsidRDefault="00000000">
      <w:pPr>
        <w:keepLines/>
        <w:ind w:left="432" w:hanging="432"/>
        <w:jc w:val="both"/>
      </w:pPr>
      <w:r w:rsidRPr="001D6B2E">
        <w:t>Ofgem (2026e) 'OVO agrees settlement in relation to Ofgem's investigation of its monitoring of prepayment meter customers'. Available at: https://www.ofgem.gov.uk/press-release/ovo-agrees-settlement-relation-ofgems-investigation-its-monitoring-prepayment-meter-customers (Accessed: 20 August 2026).</w:t>
      </w:r>
    </w:p>
    <w:p w14:paraId="0160948A" w14:textId="77777777" w:rsidR="00C342BF" w:rsidRPr="001D6B2E" w:rsidRDefault="00000000">
      <w:pPr>
        <w:keepLines/>
        <w:ind w:left="432" w:hanging="432"/>
        <w:jc w:val="both"/>
      </w:pPr>
      <w:r w:rsidRPr="001D6B2E">
        <w:t>Ofgem (2026f) Welcome to Ofgem. Available at: https://www.ofgem.gov.uk/ (Accessed: 24 June 2026).</w:t>
      </w:r>
    </w:p>
    <w:p w14:paraId="712F2F46" w14:textId="77777777" w:rsidR="00C342BF" w:rsidRPr="001D6B2E" w:rsidRDefault="00000000">
      <w:pPr>
        <w:keepLines/>
        <w:ind w:left="432" w:hanging="432"/>
        <w:jc w:val="both"/>
      </w:pPr>
      <w:r w:rsidRPr="001D6B2E">
        <w:t>OVO Energy (n.d.-a) 'Struggling to pay your energy bills? We can help'. Available at: https://www.ovoenergy.com/help/article/debt-and-energy-assistance (Accessed: 20 August 2026).</w:t>
      </w:r>
    </w:p>
    <w:p w14:paraId="3A3572AA" w14:textId="77777777" w:rsidR="00C342BF" w:rsidRPr="001D6B2E" w:rsidRDefault="00000000">
      <w:pPr>
        <w:keepLines/>
        <w:ind w:left="432" w:hanging="432"/>
        <w:jc w:val="both"/>
      </w:pPr>
      <w:r w:rsidRPr="001D6B2E">
        <w:t>OVO Energy (n.d.-b) 'Payment Support'. Available at: https://www.ovoenergy.com/payment-support (Accessed: 20 August 2026).</w:t>
      </w:r>
    </w:p>
    <w:p w14:paraId="2F7CA7B8" w14:textId="77777777" w:rsidR="00C342BF" w:rsidRPr="001D6B2E" w:rsidRDefault="00000000">
      <w:pPr>
        <w:keepLines/>
        <w:ind w:left="432" w:hanging="432"/>
        <w:jc w:val="both"/>
      </w:pPr>
      <w:r w:rsidRPr="001D6B2E">
        <w:t>OVO Energy (n.d.-c) 'Priority Services Register: We are here for you'. Available at: https://www.ovoenergy.com/help/article/priority-services-register (Accessed: 20 August 2026).</w:t>
      </w:r>
    </w:p>
    <w:p w14:paraId="5C3B0E04" w14:textId="77777777" w:rsidR="00C342BF" w:rsidRPr="001D6B2E" w:rsidRDefault="00000000">
      <w:pPr>
        <w:keepLines/>
        <w:ind w:left="432" w:hanging="432"/>
        <w:jc w:val="both"/>
      </w:pPr>
      <w:r w:rsidRPr="001D6B2E">
        <w:lastRenderedPageBreak/>
        <w:t xml:space="preserve">Powells, G., Scott, M. and Stockton, H. (2025) 'Collateral advantages of flexible eligibility regimes for finding fuel poverty in the UK', </w:t>
      </w:r>
      <w:r w:rsidRPr="001D6B2E">
        <w:rPr>
          <w:i/>
        </w:rPr>
        <w:t>Energy Policy</w:t>
      </w:r>
      <w:r w:rsidRPr="001D6B2E">
        <w:t>, 207, article 114870. doi:10.1016/j.enpol.2025.114870.</w:t>
      </w:r>
    </w:p>
    <w:p w14:paraId="609596ED" w14:textId="77777777" w:rsidR="00C342BF" w:rsidRPr="001D6B2E" w:rsidRDefault="00000000">
      <w:pPr>
        <w:keepLines/>
        <w:ind w:left="432" w:hanging="432"/>
        <w:jc w:val="both"/>
      </w:pPr>
      <w:r w:rsidRPr="001D6B2E">
        <w:t>Saunders, M., Lewis, P. and Thornhill, A. (2019) Research Methods for Business Students. 8th edn. Harlow: Pearson.</w:t>
      </w:r>
    </w:p>
    <w:p w14:paraId="65CBFC61" w14:textId="77777777" w:rsidR="00C342BF" w:rsidRPr="001D6B2E" w:rsidRDefault="00000000">
      <w:pPr>
        <w:keepLines/>
        <w:ind w:left="432" w:hanging="432"/>
        <w:jc w:val="both"/>
      </w:pPr>
      <w:r w:rsidRPr="001D6B2E">
        <w:t xml:space="preserve">Simcock, N., Jenkins, K.E.H., Lacey-Barnacle, M., Martiskainen, M., Mattioli, G. and Hopkins, D. (2021) 'Identifying double energy vulnerability: A systematic and narrative review of groups at-risk of energy and transport poverty in the global north', </w:t>
      </w:r>
      <w:r w:rsidRPr="001D6B2E">
        <w:rPr>
          <w:i/>
        </w:rPr>
        <w:t>Energy Research &amp; Social Science</w:t>
      </w:r>
      <w:r w:rsidRPr="001D6B2E">
        <w:t>, 82, article 102351. doi:10.1016/j.erss.2021.102351.</w:t>
      </w:r>
    </w:p>
    <w:p w14:paraId="5D9DFFDC" w14:textId="77777777" w:rsidR="00C342BF" w:rsidRPr="001D6B2E" w:rsidRDefault="00000000">
      <w:pPr>
        <w:keepLines/>
        <w:ind w:left="432" w:hanging="432"/>
        <w:jc w:val="both"/>
      </w:pPr>
      <w:r w:rsidRPr="001D6B2E">
        <w:t xml:space="preserve">Sirdeshmukh, D., Singh, J. and Sabol, B. (2002) 'Consumer trust, value, and loyalty in relational exchanges', </w:t>
      </w:r>
      <w:r w:rsidRPr="001D6B2E">
        <w:rPr>
          <w:i/>
        </w:rPr>
        <w:t>Journal of Marketing</w:t>
      </w:r>
      <w:r w:rsidRPr="001D6B2E">
        <w:t>, 66(1), pp. 15-37. doi:10.1509/jmkg.66.1.15.18449.</w:t>
      </w:r>
    </w:p>
    <w:p w14:paraId="116D86F9" w14:textId="77777777" w:rsidR="00C342BF" w:rsidRPr="001D6B2E" w:rsidRDefault="00000000">
      <w:pPr>
        <w:keepLines/>
        <w:ind w:left="432" w:hanging="432"/>
        <w:jc w:val="both"/>
      </w:pPr>
      <w:r w:rsidRPr="001D6B2E">
        <w:t>Thomson, H., Snell, C. and Bouzarovski, S. (2017) 'Health, well-being and energy poverty in Europe: a comparative study of 32 European countries', International Journal of Environmental Research and Public Health, 14(6), article 584. doi:10.3390/ijerph14060584.</w:t>
      </w:r>
    </w:p>
    <w:p w14:paraId="31DFAF16" w14:textId="77777777" w:rsidR="00C342BF" w:rsidRPr="001D6B2E" w:rsidRDefault="00000000">
      <w:pPr>
        <w:keepLines/>
        <w:ind w:left="432" w:hanging="432"/>
        <w:jc w:val="both"/>
      </w:pPr>
      <w:r w:rsidRPr="001D6B2E">
        <w:t xml:space="preserve">Walker, G. and Day, R. (2012) 'Fuel poverty as injustice: Integrating distribution, recognition and procedure in the struggle for affordable warmth', </w:t>
      </w:r>
      <w:r w:rsidRPr="001D6B2E">
        <w:rPr>
          <w:i/>
        </w:rPr>
        <w:t>Energy Policy</w:t>
      </w:r>
      <w:r w:rsidRPr="001D6B2E">
        <w:t>, 49, pp. 69-75. doi:10.1016/j.enpol.2012.01.044.</w:t>
      </w:r>
    </w:p>
    <w:p w14:paraId="6D4CB468" w14:textId="77777777" w:rsidR="00C342BF" w:rsidRPr="001D6B2E" w:rsidRDefault="00000000">
      <w:pPr>
        <w:keepLines/>
        <w:ind w:left="432" w:hanging="432"/>
        <w:jc w:val="both"/>
      </w:pPr>
      <w:r w:rsidRPr="001D6B2E">
        <w:t>Yin, R.K. (2018) Case Study Research and Applications: Design and Methods. 6th edn. Thousand Oaks, CA: Sage.</w:t>
      </w:r>
    </w:p>
    <w:p w14:paraId="32B1FCAF" w14:textId="77777777" w:rsidR="00C342BF" w:rsidRPr="001D6B2E" w:rsidRDefault="00000000">
      <w:pPr>
        <w:pStyle w:val="Heading1"/>
        <w:pageBreakBefore/>
        <w:spacing w:before="240" w:after="80"/>
        <w:rPr>
          <w:rFonts w:ascii="Times New Roman" w:hAnsi="Times New Roman" w:cs="Times New Roman"/>
        </w:rPr>
      </w:pPr>
      <w:r w:rsidRPr="001D6B2E">
        <w:rPr>
          <w:rFonts w:ascii="Times New Roman" w:eastAsia="Times New Roman" w:hAnsi="Times New Roman" w:cs="Times New Roman"/>
        </w:rPr>
        <w:lastRenderedPageBreak/>
        <w:t>Appendices</w:t>
      </w:r>
    </w:p>
    <w:p w14:paraId="713785A3" w14:textId="77777777" w:rsidR="00C342BF" w:rsidRPr="001D6B2E" w:rsidRDefault="00000000">
      <w:pPr>
        <w:pStyle w:val="Heading2"/>
        <w:spacing w:after="80"/>
        <w:rPr>
          <w:rFonts w:ascii="Times New Roman" w:hAnsi="Times New Roman" w:cs="Times New Roman"/>
        </w:rPr>
      </w:pPr>
      <w:r>
        <w:t>Appendix A: Visual Data Tables</w:t>
      </w:r>
    </w:p>
    <w:p w14:paraId="7A0EA3AA" w14:textId="77777777" w:rsidR="00C342BF" w:rsidRPr="001D6B2E" w:rsidRDefault="00000000">
      <w:pPr>
        <w:pStyle w:val="Heading3"/>
        <w:rPr>
          <w:rFonts w:ascii="Times New Roman" w:hAnsi="Times New Roman" w:cs="Times New Roman"/>
        </w:rPr>
      </w:pPr>
      <w:r>
        <w:t>Table A1: Supplier Satisfaction Data</w:t>
      </w:r>
    </w:p>
    <w:tbl>
      <w:tblPr>
        <w:tblStyle w:val="TableGrid"/>
        <w:tblW w:w="0" w:type="auto"/>
        <w:tblLayout w:type="fixed"/>
        <w:tblLook w:val="04A0" w:firstRow="1" w:lastRow="0" w:firstColumn="1" w:lastColumn="0" w:noHBand="0" w:noVBand="1"/>
      </w:tblPr>
      <w:tblGrid>
        <w:gridCol w:w="1800"/>
        <w:gridCol w:w="2088"/>
        <w:gridCol w:w="2088"/>
        <w:gridCol w:w="3096"/>
      </w:tblGrid>
      <w:tr w:rsidR="00C342BF" w:rsidRPr="001D6B2E" w14:paraId="5543D4AA" w14:textId="77777777">
        <w:trPr>
          <w:cantSplit/>
          <w:tblHeader/>
        </w:trPr>
        <w:tc>
          <w:tcPr>
            <w:tcW w:w="1800" w:type="dxa"/>
            <w:shd w:val="clear" w:color="auto" w:fill="444444"/>
            <w:tcMar>
              <w:top w:w="75" w:type="dxa"/>
              <w:left w:w="90" w:type="dxa"/>
              <w:bottom w:w="75" w:type="dxa"/>
              <w:right w:w="90" w:type="dxa"/>
            </w:tcMar>
            <w:vAlign w:val="center"/>
          </w:tcPr>
          <w:p w14:paraId="1EA9AEB7" w14:textId="77777777" w:rsidR="00C342BF" w:rsidRPr="001D6B2E" w:rsidRDefault="00000000">
            <w:pPr>
              <w:spacing w:after="40" w:line="240" w:lineRule="auto"/>
              <w:jc w:val="center"/>
            </w:pPr>
            <w:r w:rsidRPr="001D6B2E">
              <w:rPr>
                <w:b/>
                <w:color w:val="FFFFFF"/>
                <w:sz w:val="16"/>
              </w:rPr>
              <w:t>Supplier</w:t>
            </w:r>
          </w:p>
        </w:tc>
        <w:tc>
          <w:tcPr>
            <w:tcW w:w="2088" w:type="dxa"/>
            <w:shd w:val="clear" w:color="auto" w:fill="444444"/>
            <w:tcMar>
              <w:top w:w="75" w:type="dxa"/>
              <w:left w:w="90" w:type="dxa"/>
              <w:bottom w:w="75" w:type="dxa"/>
              <w:right w:w="90" w:type="dxa"/>
            </w:tcMar>
            <w:vAlign w:val="center"/>
          </w:tcPr>
          <w:p w14:paraId="6EA062FE" w14:textId="77777777" w:rsidR="00C342BF" w:rsidRPr="001D6B2E" w:rsidRDefault="00000000">
            <w:pPr>
              <w:spacing w:after="40" w:line="240" w:lineRule="auto"/>
              <w:jc w:val="center"/>
            </w:pPr>
            <w:r w:rsidRPr="001D6B2E">
              <w:rPr>
                <w:b/>
                <w:color w:val="FFFFFF"/>
                <w:sz w:val="16"/>
              </w:rPr>
              <w:t>Overall satisfaction (%)</w:t>
            </w:r>
          </w:p>
        </w:tc>
        <w:tc>
          <w:tcPr>
            <w:tcW w:w="2088" w:type="dxa"/>
            <w:shd w:val="clear" w:color="auto" w:fill="444444"/>
            <w:tcMar>
              <w:top w:w="75" w:type="dxa"/>
              <w:left w:w="90" w:type="dxa"/>
              <w:bottom w:w="75" w:type="dxa"/>
              <w:right w:w="90" w:type="dxa"/>
            </w:tcMar>
            <w:vAlign w:val="center"/>
          </w:tcPr>
          <w:p w14:paraId="1A02932D" w14:textId="77777777" w:rsidR="00C342BF" w:rsidRPr="001D6B2E" w:rsidRDefault="00000000">
            <w:pPr>
              <w:spacing w:after="40" w:line="240" w:lineRule="auto"/>
              <w:jc w:val="center"/>
            </w:pPr>
            <w:r w:rsidRPr="001D6B2E">
              <w:rPr>
                <w:b/>
                <w:color w:val="FFFFFF"/>
                <w:sz w:val="16"/>
              </w:rPr>
              <w:t>Customer-service satisfaction (%)</w:t>
            </w:r>
          </w:p>
        </w:tc>
        <w:tc>
          <w:tcPr>
            <w:tcW w:w="3096" w:type="dxa"/>
            <w:shd w:val="clear" w:color="auto" w:fill="444444"/>
            <w:tcMar>
              <w:top w:w="75" w:type="dxa"/>
              <w:left w:w="90" w:type="dxa"/>
              <w:bottom w:w="75" w:type="dxa"/>
              <w:right w:w="90" w:type="dxa"/>
            </w:tcMar>
            <w:vAlign w:val="center"/>
          </w:tcPr>
          <w:p w14:paraId="6FD4E436" w14:textId="77777777" w:rsidR="00C342BF" w:rsidRPr="001D6B2E" w:rsidRDefault="00000000">
            <w:pPr>
              <w:spacing w:after="40" w:line="240" w:lineRule="auto"/>
              <w:jc w:val="center"/>
            </w:pPr>
            <w:r w:rsidRPr="001D6B2E">
              <w:rPr>
                <w:b/>
                <w:color w:val="FFFFFF"/>
                <w:sz w:val="16"/>
              </w:rPr>
              <w:t>Source</w:t>
            </w:r>
          </w:p>
        </w:tc>
      </w:tr>
      <w:tr w:rsidR="00C342BF" w:rsidRPr="001D6B2E" w14:paraId="65B8BC54" w14:textId="77777777">
        <w:trPr>
          <w:cantSplit/>
        </w:trPr>
        <w:tc>
          <w:tcPr>
            <w:tcW w:w="1800" w:type="dxa"/>
            <w:shd w:val="clear" w:color="auto" w:fill="E8F1F8"/>
            <w:tcMar>
              <w:top w:w="75" w:type="dxa"/>
              <w:left w:w="90" w:type="dxa"/>
              <w:bottom w:w="75" w:type="dxa"/>
              <w:right w:w="90" w:type="dxa"/>
            </w:tcMar>
            <w:vAlign w:val="center"/>
          </w:tcPr>
          <w:p w14:paraId="264270ED" w14:textId="77777777" w:rsidR="00C342BF" w:rsidRPr="001D6B2E" w:rsidRDefault="00000000">
            <w:pPr>
              <w:spacing w:after="40" w:line="240" w:lineRule="auto"/>
            </w:pPr>
            <w:r w:rsidRPr="001D6B2E">
              <w:rPr>
                <w:b/>
                <w:sz w:val="16"/>
              </w:rPr>
              <w:t>British Gas</w:t>
            </w:r>
          </w:p>
        </w:tc>
        <w:tc>
          <w:tcPr>
            <w:tcW w:w="2088" w:type="dxa"/>
            <w:shd w:val="clear" w:color="auto" w:fill="E8F1F8"/>
            <w:tcMar>
              <w:top w:w="75" w:type="dxa"/>
              <w:left w:w="90" w:type="dxa"/>
              <w:bottom w:w="75" w:type="dxa"/>
              <w:right w:w="90" w:type="dxa"/>
            </w:tcMar>
            <w:vAlign w:val="center"/>
          </w:tcPr>
          <w:p w14:paraId="5DF2EE8A" w14:textId="77777777" w:rsidR="00C342BF" w:rsidRPr="001D6B2E" w:rsidRDefault="00000000">
            <w:pPr>
              <w:spacing w:after="40" w:line="240" w:lineRule="auto"/>
            </w:pPr>
            <w:r w:rsidRPr="001D6B2E">
              <w:rPr>
                <w:sz w:val="16"/>
              </w:rPr>
              <w:t>71</w:t>
            </w:r>
          </w:p>
        </w:tc>
        <w:tc>
          <w:tcPr>
            <w:tcW w:w="2088" w:type="dxa"/>
            <w:shd w:val="clear" w:color="auto" w:fill="E8F1F8"/>
            <w:tcMar>
              <w:top w:w="75" w:type="dxa"/>
              <w:left w:w="90" w:type="dxa"/>
              <w:bottom w:w="75" w:type="dxa"/>
              <w:right w:w="90" w:type="dxa"/>
            </w:tcMar>
            <w:vAlign w:val="center"/>
          </w:tcPr>
          <w:p w14:paraId="4BB6180C" w14:textId="77777777" w:rsidR="00C342BF" w:rsidRPr="001D6B2E" w:rsidRDefault="00000000">
            <w:pPr>
              <w:spacing w:after="40" w:line="240" w:lineRule="auto"/>
            </w:pPr>
            <w:r w:rsidRPr="001D6B2E">
              <w:rPr>
                <w:sz w:val="16"/>
              </w:rPr>
              <w:t>64</w:t>
            </w:r>
          </w:p>
        </w:tc>
        <w:tc>
          <w:tcPr>
            <w:tcW w:w="3096" w:type="dxa"/>
            <w:shd w:val="clear" w:color="auto" w:fill="E8F1F8"/>
            <w:tcMar>
              <w:top w:w="75" w:type="dxa"/>
              <w:left w:w="90" w:type="dxa"/>
              <w:bottom w:w="75" w:type="dxa"/>
              <w:right w:w="90" w:type="dxa"/>
            </w:tcMar>
            <w:vAlign w:val="center"/>
          </w:tcPr>
          <w:p w14:paraId="23C55E20" w14:textId="77777777" w:rsidR="00C342BF" w:rsidRPr="001D6B2E" w:rsidRDefault="00000000">
            <w:pPr>
              <w:spacing w:after="40" w:line="240" w:lineRule="auto"/>
            </w:pPr>
            <w:r w:rsidRPr="001D6B2E">
              <w:rPr>
                <w:sz w:val="16"/>
              </w:rPr>
              <w:t>Ofgem (2024b, p. 3)</w:t>
            </w:r>
          </w:p>
        </w:tc>
      </w:tr>
      <w:tr w:rsidR="00C342BF" w:rsidRPr="001D6B2E" w14:paraId="0E5354F7" w14:textId="77777777">
        <w:trPr>
          <w:cantSplit/>
        </w:trPr>
        <w:tc>
          <w:tcPr>
            <w:tcW w:w="1800" w:type="dxa"/>
            <w:shd w:val="clear" w:color="auto" w:fill="E8F1F8"/>
            <w:tcMar>
              <w:top w:w="75" w:type="dxa"/>
              <w:left w:w="90" w:type="dxa"/>
              <w:bottom w:w="75" w:type="dxa"/>
              <w:right w:w="90" w:type="dxa"/>
            </w:tcMar>
            <w:vAlign w:val="center"/>
          </w:tcPr>
          <w:p w14:paraId="7B1DC006" w14:textId="77777777" w:rsidR="00C342BF" w:rsidRPr="001D6B2E" w:rsidRDefault="00000000">
            <w:pPr>
              <w:spacing w:after="40" w:line="240" w:lineRule="auto"/>
            </w:pPr>
            <w:r w:rsidRPr="001D6B2E">
              <w:rPr>
                <w:b/>
                <w:sz w:val="16"/>
              </w:rPr>
              <w:t>Octopus Energy</w:t>
            </w:r>
          </w:p>
        </w:tc>
        <w:tc>
          <w:tcPr>
            <w:tcW w:w="2088" w:type="dxa"/>
            <w:shd w:val="clear" w:color="auto" w:fill="E8F1F8"/>
            <w:tcMar>
              <w:top w:w="75" w:type="dxa"/>
              <w:left w:w="90" w:type="dxa"/>
              <w:bottom w:w="75" w:type="dxa"/>
              <w:right w:w="90" w:type="dxa"/>
            </w:tcMar>
            <w:vAlign w:val="center"/>
          </w:tcPr>
          <w:p w14:paraId="3F5C9A65" w14:textId="77777777" w:rsidR="00C342BF" w:rsidRPr="001D6B2E" w:rsidRDefault="00000000">
            <w:pPr>
              <w:spacing w:after="40" w:line="240" w:lineRule="auto"/>
            </w:pPr>
            <w:r w:rsidRPr="001D6B2E">
              <w:rPr>
                <w:sz w:val="16"/>
              </w:rPr>
              <w:t>87</w:t>
            </w:r>
          </w:p>
        </w:tc>
        <w:tc>
          <w:tcPr>
            <w:tcW w:w="2088" w:type="dxa"/>
            <w:shd w:val="clear" w:color="auto" w:fill="E8F1F8"/>
            <w:tcMar>
              <w:top w:w="75" w:type="dxa"/>
              <w:left w:w="90" w:type="dxa"/>
              <w:bottom w:w="75" w:type="dxa"/>
              <w:right w:w="90" w:type="dxa"/>
            </w:tcMar>
            <w:vAlign w:val="center"/>
          </w:tcPr>
          <w:p w14:paraId="5E9BE40A" w14:textId="77777777" w:rsidR="00C342BF" w:rsidRPr="001D6B2E" w:rsidRDefault="00000000">
            <w:pPr>
              <w:spacing w:after="40" w:line="240" w:lineRule="auto"/>
            </w:pPr>
            <w:r w:rsidRPr="001D6B2E">
              <w:rPr>
                <w:sz w:val="16"/>
              </w:rPr>
              <w:t>78</w:t>
            </w:r>
          </w:p>
        </w:tc>
        <w:tc>
          <w:tcPr>
            <w:tcW w:w="3096" w:type="dxa"/>
            <w:shd w:val="clear" w:color="auto" w:fill="E8F1F8"/>
            <w:tcMar>
              <w:top w:w="75" w:type="dxa"/>
              <w:left w:w="90" w:type="dxa"/>
              <w:bottom w:w="75" w:type="dxa"/>
              <w:right w:w="90" w:type="dxa"/>
            </w:tcMar>
            <w:vAlign w:val="center"/>
          </w:tcPr>
          <w:p w14:paraId="1D883B30" w14:textId="77777777" w:rsidR="00C342BF" w:rsidRPr="001D6B2E" w:rsidRDefault="00000000">
            <w:pPr>
              <w:spacing w:after="40" w:line="240" w:lineRule="auto"/>
            </w:pPr>
            <w:r w:rsidRPr="001D6B2E">
              <w:rPr>
                <w:sz w:val="16"/>
              </w:rPr>
              <w:t>Ofgem (2024b, p. 3)</w:t>
            </w:r>
          </w:p>
        </w:tc>
      </w:tr>
      <w:tr w:rsidR="00C342BF" w:rsidRPr="001D6B2E" w14:paraId="3AC42554" w14:textId="77777777">
        <w:trPr>
          <w:cantSplit/>
        </w:trPr>
        <w:tc>
          <w:tcPr>
            <w:tcW w:w="1800" w:type="dxa"/>
            <w:tcMar>
              <w:top w:w="75" w:type="dxa"/>
              <w:left w:w="90" w:type="dxa"/>
              <w:bottom w:w="75" w:type="dxa"/>
              <w:right w:w="90" w:type="dxa"/>
            </w:tcMar>
            <w:vAlign w:val="center"/>
          </w:tcPr>
          <w:p w14:paraId="2DEF47DF" w14:textId="77777777" w:rsidR="00C342BF" w:rsidRPr="001D6B2E" w:rsidRDefault="00000000">
            <w:pPr>
              <w:spacing w:after="40" w:line="240" w:lineRule="auto"/>
            </w:pPr>
            <w:r w:rsidRPr="001D6B2E">
              <w:rPr>
                <w:b/>
                <w:sz w:val="16"/>
              </w:rPr>
              <w:t>E.ON Next</w:t>
            </w:r>
          </w:p>
        </w:tc>
        <w:tc>
          <w:tcPr>
            <w:tcW w:w="2088" w:type="dxa"/>
            <w:tcMar>
              <w:top w:w="75" w:type="dxa"/>
              <w:left w:w="90" w:type="dxa"/>
              <w:bottom w:w="75" w:type="dxa"/>
              <w:right w:w="90" w:type="dxa"/>
            </w:tcMar>
            <w:vAlign w:val="center"/>
          </w:tcPr>
          <w:p w14:paraId="4FA4FC12" w14:textId="77777777" w:rsidR="00C342BF" w:rsidRPr="001D6B2E" w:rsidRDefault="00000000">
            <w:pPr>
              <w:spacing w:after="40" w:line="240" w:lineRule="auto"/>
            </w:pPr>
            <w:r w:rsidRPr="001D6B2E">
              <w:rPr>
                <w:sz w:val="16"/>
              </w:rPr>
              <w:t>74</w:t>
            </w:r>
          </w:p>
        </w:tc>
        <w:tc>
          <w:tcPr>
            <w:tcW w:w="2088" w:type="dxa"/>
            <w:tcMar>
              <w:top w:w="75" w:type="dxa"/>
              <w:left w:w="90" w:type="dxa"/>
              <w:bottom w:w="75" w:type="dxa"/>
              <w:right w:w="90" w:type="dxa"/>
            </w:tcMar>
            <w:vAlign w:val="center"/>
          </w:tcPr>
          <w:p w14:paraId="07671203" w14:textId="77777777" w:rsidR="00C342BF" w:rsidRPr="001D6B2E" w:rsidRDefault="00000000">
            <w:pPr>
              <w:spacing w:after="40" w:line="240" w:lineRule="auto"/>
            </w:pPr>
            <w:r w:rsidRPr="001D6B2E">
              <w:rPr>
                <w:sz w:val="16"/>
              </w:rPr>
              <w:t>66</w:t>
            </w:r>
          </w:p>
        </w:tc>
        <w:tc>
          <w:tcPr>
            <w:tcW w:w="3096" w:type="dxa"/>
            <w:tcMar>
              <w:top w:w="75" w:type="dxa"/>
              <w:left w:w="90" w:type="dxa"/>
              <w:bottom w:w="75" w:type="dxa"/>
              <w:right w:w="90" w:type="dxa"/>
            </w:tcMar>
            <w:vAlign w:val="center"/>
          </w:tcPr>
          <w:p w14:paraId="182ABDE8" w14:textId="77777777" w:rsidR="00C342BF" w:rsidRPr="001D6B2E" w:rsidRDefault="00000000">
            <w:pPr>
              <w:spacing w:after="40" w:line="240" w:lineRule="auto"/>
            </w:pPr>
            <w:r w:rsidRPr="001D6B2E">
              <w:rPr>
                <w:sz w:val="16"/>
              </w:rPr>
              <w:t>Ofgem (2024b, p. 3)</w:t>
            </w:r>
          </w:p>
        </w:tc>
      </w:tr>
      <w:tr w:rsidR="00C342BF" w:rsidRPr="001D6B2E" w14:paraId="1336B1E7" w14:textId="77777777">
        <w:trPr>
          <w:cantSplit/>
        </w:trPr>
        <w:tc>
          <w:tcPr>
            <w:tcW w:w="1800" w:type="dxa"/>
            <w:shd w:val="clear" w:color="auto" w:fill="F3F4F6"/>
            <w:tcMar>
              <w:top w:w="75" w:type="dxa"/>
              <w:left w:w="90" w:type="dxa"/>
              <w:bottom w:w="75" w:type="dxa"/>
              <w:right w:w="90" w:type="dxa"/>
            </w:tcMar>
            <w:vAlign w:val="center"/>
          </w:tcPr>
          <w:p w14:paraId="11D8DC43" w14:textId="77777777" w:rsidR="00C342BF" w:rsidRPr="001D6B2E" w:rsidRDefault="00000000">
            <w:pPr>
              <w:spacing w:after="40" w:line="240" w:lineRule="auto"/>
            </w:pPr>
            <w:r w:rsidRPr="001D6B2E">
              <w:rPr>
                <w:b/>
                <w:sz w:val="16"/>
              </w:rPr>
              <w:t>OVO Energy</w:t>
            </w:r>
          </w:p>
        </w:tc>
        <w:tc>
          <w:tcPr>
            <w:tcW w:w="2088" w:type="dxa"/>
            <w:shd w:val="clear" w:color="auto" w:fill="F3F4F6"/>
            <w:tcMar>
              <w:top w:w="75" w:type="dxa"/>
              <w:left w:w="90" w:type="dxa"/>
              <w:bottom w:w="75" w:type="dxa"/>
              <w:right w:w="90" w:type="dxa"/>
            </w:tcMar>
            <w:vAlign w:val="center"/>
          </w:tcPr>
          <w:p w14:paraId="4786BA86" w14:textId="77777777" w:rsidR="00C342BF" w:rsidRPr="001D6B2E" w:rsidRDefault="00000000">
            <w:pPr>
              <w:spacing w:after="40" w:line="240" w:lineRule="auto"/>
            </w:pPr>
            <w:r w:rsidRPr="001D6B2E">
              <w:rPr>
                <w:sz w:val="16"/>
              </w:rPr>
              <w:t>63</w:t>
            </w:r>
          </w:p>
        </w:tc>
        <w:tc>
          <w:tcPr>
            <w:tcW w:w="2088" w:type="dxa"/>
            <w:shd w:val="clear" w:color="auto" w:fill="F3F4F6"/>
            <w:tcMar>
              <w:top w:w="75" w:type="dxa"/>
              <w:left w:w="90" w:type="dxa"/>
              <w:bottom w:w="75" w:type="dxa"/>
              <w:right w:w="90" w:type="dxa"/>
            </w:tcMar>
            <w:vAlign w:val="center"/>
          </w:tcPr>
          <w:p w14:paraId="16AE8BC3" w14:textId="77777777" w:rsidR="00C342BF" w:rsidRPr="001D6B2E" w:rsidRDefault="00000000">
            <w:pPr>
              <w:spacing w:after="40" w:line="240" w:lineRule="auto"/>
            </w:pPr>
            <w:r w:rsidRPr="001D6B2E">
              <w:rPr>
                <w:sz w:val="16"/>
              </w:rPr>
              <w:t>55</w:t>
            </w:r>
          </w:p>
        </w:tc>
        <w:tc>
          <w:tcPr>
            <w:tcW w:w="3096" w:type="dxa"/>
            <w:shd w:val="clear" w:color="auto" w:fill="F3F4F6"/>
            <w:tcMar>
              <w:top w:w="75" w:type="dxa"/>
              <w:left w:w="90" w:type="dxa"/>
              <w:bottom w:w="75" w:type="dxa"/>
              <w:right w:w="90" w:type="dxa"/>
            </w:tcMar>
            <w:vAlign w:val="center"/>
          </w:tcPr>
          <w:p w14:paraId="41346C97" w14:textId="77777777" w:rsidR="00C342BF" w:rsidRPr="001D6B2E" w:rsidRDefault="00000000">
            <w:pPr>
              <w:spacing w:after="40" w:line="240" w:lineRule="auto"/>
            </w:pPr>
            <w:r w:rsidRPr="001D6B2E">
              <w:rPr>
                <w:sz w:val="16"/>
              </w:rPr>
              <w:t>Ofgem (2024b, p. 3)</w:t>
            </w:r>
          </w:p>
        </w:tc>
      </w:tr>
      <w:tr w:rsidR="00C342BF" w:rsidRPr="001D6B2E" w14:paraId="1A9915C9" w14:textId="77777777">
        <w:trPr>
          <w:cantSplit/>
        </w:trPr>
        <w:tc>
          <w:tcPr>
            <w:tcW w:w="1800" w:type="dxa"/>
            <w:tcMar>
              <w:top w:w="75" w:type="dxa"/>
              <w:left w:w="90" w:type="dxa"/>
              <w:bottom w:w="75" w:type="dxa"/>
              <w:right w:w="90" w:type="dxa"/>
            </w:tcMar>
            <w:vAlign w:val="center"/>
          </w:tcPr>
          <w:p w14:paraId="3453A49D" w14:textId="77777777" w:rsidR="00C342BF" w:rsidRPr="001D6B2E" w:rsidRDefault="00000000">
            <w:pPr>
              <w:spacing w:after="40" w:line="240" w:lineRule="auto"/>
            </w:pPr>
            <w:r w:rsidRPr="001D6B2E">
              <w:rPr>
                <w:b/>
                <w:sz w:val="16"/>
              </w:rPr>
              <w:t>EDF Energy</w:t>
            </w:r>
          </w:p>
        </w:tc>
        <w:tc>
          <w:tcPr>
            <w:tcW w:w="2088" w:type="dxa"/>
            <w:tcMar>
              <w:top w:w="75" w:type="dxa"/>
              <w:left w:w="90" w:type="dxa"/>
              <w:bottom w:w="75" w:type="dxa"/>
              <w:right w:w="90" w:type="dxa"/>
            </w:tcMar>
            <w:vAlign w:val="center"/>
          </w:tcPr>
          <w:p w14:paraId="07DEEFA2" w14:textId="77777777" w:rsidR="00C342BF" w:rsidRPr="001D6B2E" w:rsidRDefault="00000000">
            <w:pPr>
              <w:spacing w:after="40" w:line="240" w:lineRule="auto"/>
            </w:pPr>
            <w:r w:rsidRPr="001D6B2E">
              <w:rPr>
                <w:sz w:val="16"/>
              </w:rPr>
              <w:t>67</w:t>
            </w:r>
          </w:p>
        </w:tc>
        <w:tc>
          <w:tcPr>
            <w:tcW w:w="2088" w:type="dxa"/>
            <w:tcMar>
              <w:top w:w="75" w:type="dxa"/>
              <w:left w:w="90" w:type="dxa"/>
              <w:bottom w:w="75" w:type="dxa"/>
              <w:right w:w="90" w:type="dxa"/>
            </w:tcMar>
            <w:vAlign w:val="center"/>
          </w:tcPr>
          <w:p w14:paraId="0E9BD01A" w14:textId="77777777" w:rsidR="00C342BF" w:rsidRPr="001D6B2E" w:rsidRDefault="00000000">
            <w:pPr>
              <w:spacing w:after="40" w:line="240" w:lineRule="auto"/>
            </w:pPr>
            <w:r w:rsidRPr="001D6B2E">
              <w:rPr>
                <w:sz w:val="16"/>
              </w:rPr>
              <w:t>62</w:t>
            </w:r>
          </w:p>
        </w:tc>
        <w:tc>
          <w:tcPr>
            <w:tcW w:w="3096" w:type="dxa"/>
            <w:tcMar>
              <w:top w:w="75" w:type="dxa"/>
              <w:left w:w="90" w:type="dxa"/>
              <w:bottom w:w="75" w:type="dxa"/>
              <w:right w:w="90" w:type="dxa"/>
            </w:tcMar>
            <w:vAlign w:val="center"/>
          </w:tcPr>
          <w:p w14:paraId="0A8B3C68" w14:textId="77777777" w:rsidR="00C342BF" w:rsidRPr="001D6B2E" w:rsidRDefault="00000000">
            <w:pPr>
              <w:spacing w:after="40" w:line="240" w:lineRule="auto"/>
            </w:pPr>
            <w:r w:rsidRPr="001D6B2E">
              <w:rPr>
                <w:sz w:val="16"/>
              </w:rPr>
              <w:t>Ofgem (2024b, p. 3)</w:t>
            </w:r>
          </w:p>
        </w:tc>
      </w:tr>
    </w:tbl>
    <w:p w14:paraId="7DE575BD" w14:textId="77777777" w:rsidR="00C342BF" w:rsidRPr="001D6B2E" w:rsidRDefault="00C342BF">
      <w:pPr>
        <w:spacing w:after="40"/>
      </w:pPr>
    </w:p>
    <w:p w14:paraId="66E2DCED" w14:textId="77777777" w:rsidR="00C342BF" w:rsidRPr="001D6B2E" w:rsidRDefault="00000000">
      <w:pPr>
        <w:pStyle w:val="Caption"/>
        <w:spacing w:line="360" w:lineRule="auto"/>
        <w:jc w:val="center"/>
      </w:pPr>
      <w:r>
        <w:t>Table A1: Data used in Figure 4.1. Values are survey estimates and are not causal measures of support communication.</w:t>
      </w:r>
    </w:p>
    <w:p w14:paraId="2842674F" w14:textId="77777777" w:rsidR="00C342BF" w:rsidRPr="001D6B2E" w:rsidRDefault="00000000">
      <w:pPr>
        <w:pStyle w:val="Heading3"/>
        <w:rPr>
          <w:rFonts w:ascii="Times New Roman" w:hAnsi="Times New Roman" w:cs="Times New Roman"/>
        </w:rPr>
      </w:pPr>
      <w:r>
        <w:t>Table A2: Regulatory Evidence Chronology</w:t>
      </w:r>
    </w:p>
    <w:tbl>
      <w:tblPr>
        <w:tblStyle w:val="TableGrid"/>
        <w:tblW w:w="0" w:type="auto"/>
        <w:tblLayout w:type="fixed"/>
        <w:tblLook w:val="04A0" w:firstRow="1" w:lastRow="0" w:firstColumn="1" w:lastColumn="0" w:noHBand="0" w:noVBand="1"/>
      </w:tblPr>
      <w:tblGrid>
        <w:gridCol w:w="1800"/>
        <w:gridCol w:w="2088"/>
        <w:gridCol w:w="2088"/>
        <w:gridCol w:w="3096"/>
      </w:tblGrid>
      <w:tr w:rsidR="00C342BF" w:rsidRPr="001D6B2E" w14:paraId="5EBD1B84" w14:textId="77777777">
        <w:trPr>
          <w:cantSplit/>
          <w:tblHeader/>
        </w:trPr>
        <w:tc>
          <w:tcPr>
            <w:tcW w:w="1800" w:type="dxa"/>
            <w:shd w:val="clear" w:color="auto" w:fill="444444"/>
            <w:tcMar>
              <w:top w:w="75" w:type="dxa"/>
              <w:left w:w="90" w:type="dxa"/>
              <w:bottom w:w="75" w:type="dxa"/>
              <w:right w:w="90" w:type="dxa"/>
            </w:tcMar>
            <w:vAlign w:val="center"/>
          </w:tcPr>
          <w:p w14:paraId="16821B2B" w14:textId="77777777" w:rsidR="00C342BF" w:rsidRPr="001D6B2E" w:rsidRDefault="00000000">
            <w:pPr>
              <w:spacing w:after="40" w:line="240" w:lineRule="auto"/>
              <w:jc w:val="center"/>
            </w:pPr>
            <w:r w:rsidRPr="001D6B2E">
              <w:rPr>
                <w:b/>
                <w:color w:val="FFFFFF"/>
                <w:sz w:val="16"/>
              </w:rPr>
              <w:t>Date</w:t>
            </w:r>
          </w:p>
        </w:tc>
        <w:tc>
          <w:tcPr>
            <w:tcW w:w="2088" w:type="dxa"/>
            <w:shd w:val="clear" w:color="auto" w:fill="444444"/>
            <w:tcMar>
              <w:top w:w="75" w:type="dxa"/>
              <w:left w:w="90" w:type="dxa"/>
              <w:bottom w:w="75" w:type="dxa"/>
              <w:right w:w="90" w:type="dxa"/>
            </w:tcMar>
            <w:vAlign w:val="center"/>
          </w:tcPr>
          <w:p w14:paraId="1858EF74" w14:textId="77777777" w:rsidR="00C342BF" w:rsidRPr="001D6B2E" w:rsidRDefault="00000000">
            <w:pPr>
              <w:spacing w:after="40" w:line="240" w:lineRule="auto"/>
              <w:jc w:val="center"/>
            </w:pPr>
            <w:r w:rsidRPr="001D6B2E">
              <w:rPr>
                <w:b/>
                <w:color w:val="FFFFFF"/>
                <w:sz w:val="16"/>
              </w:rPr>
              <w:t>Evidence</w:t>
            </w:r>
          </w:p>
        </w:tc>
        <w:tc>
          <w:tcPr>
            <w:tcW w:w="2088" w:type="dxa"/>
            <w:shd w:val="clear" w:color="auto" w:fill="444444"/>
            <w:tcMar>
              <w:top w:w="75" w:type="dxa"/>
              <w:left w:w="90" w:type="dxa"/>
              <w:bottom w:w="75" w:type="dxa"/>
              <w:right w:w="90" w:type="dxa"/>
            </w:tcMar>
            <w:vAlign w:val="center"/>
          </w:tcPr>
          <w:p w14:paraId="26E6FCC6" w14:textId="77777777" w:rsidR="00C342BF" w:rsidRPr="001D6B2E" w:rsidRDefault="00000000">
            <w:pPr>
              <w:spacing w:after="40" w:line="240" w:lineRule="auto"/>
              <w:jc w:val="center"/>
            </w:pPr>
            <w:r w:rsidRPr="001D6B2E">
              <w:rPr>
                <w:b/>
                <w:color w:val="FFFFFF"/>
                <w:sz w:val="16"/>
              </w:rPr>
              <w:t>Company scope</w:t>
            </w:r>
          </w:p>
        </w:tc>
        <w:tc>
          <w:tcPr>
            <w:tcW w:w="3096" w:type="dxa"/>
            <w:shd w:val="clear" w:color="auto" w:fill="444444"/>
            <w:tcMar>
              <w:top w:w="75" w:type="dxa"/>
              <w:left w:w="90" w:type="dxa"/>
              <w:bottom w:w="75" w:type="dxa"/>
              <w:right w:w="90" w:type="dxa"/>
            </w:tcMar>
            <w:vAlign w:val="center"/>
          </w:tcPr>
          <w:p w14:paraId="067C0449" w14:textId="77777777" w:rsidR="00C342BF" w:rsidRPr="001D6B2E" w:rsidRDefault="00000000">
            <w:pPr>
              <w:spacing w:after="40" w:line="240" w:lineRule="auto"/>
              <w:jc w:val="center"/>
            </w:pPr>
            <w:r w:rsidRPr="001D6B2E">
              <w:rPr>
                <w:b/>
                <w:color w:val="FFFFFF"/>
                <w:sz w:val="16"/>
              </w:rPr>
              <w:t>Analytical relevance</w:t>
            </w:r>
          </w:p>
        </w:tc>
      </w:tr>
      <w:tr w:rsidR="00C342BF" w:rsidRPr="001D6B2E" w14:paraId="4925988D" w14:textId="77777777">
        <w:trPr>
          <w:cantSplit/>
        </w:trPr>
        <w:tc>
          <w:tcPr>
            <w:tcW w:w="1800" w:type="dxa"/>
            <w:tcMar>
              <w:top w:w="75" w:type="dxa"/>
              <w:left w:w="90" w:type="dxa"/>
              <w:bottom w:w="75" w:type="dxa"/>
              <w:right w:w="90" w:type="dxa"/>
            </w:tcMar>
            <w:vAlign w:val="center"/>
          </w:tcPr>
          <w:p w14:paraId="17D57D3C" w14:textId="77777777" w:rsidR="00C342BF" w:rsidRPr="001D6B2E" w:rsidRDefault="00000000">
            <w:pPr>
              <w:spacing w:after="40" w:line="240" w:lineRule="auto"/>
            </w:pPr>
            <w:r w:rsidRPr="001D6B2E">
              <w:rPr>
                <w:b/>
                <w:sz w:val="16"/>
              </w:rPr>
              <w:t>September 2022</w:t>
            </w:r>
          </w:p>
        </w:tc>
        <w:tc>
          <w:tcPr>
            <w:tcW w:w="2088" w:type="dxa"/>
            <w:tcMar>
              <w:top w:w="75" w:type="dxa"/>
              <w:left w:w="90" w:type="dxa"/>
              <w:bottom w:w="75" w:type="dxa"/>
              <w:right w:w="90" w:type="dxa"/>
            </w:tcMar>
            <w:vAlign w:val="center"/>
          </w:tcPr>
          <w:p w14:paraId="743217F2" w14:textId="77777777" w:rsidR="00C342BF" w:rsidRPr="001D6B2E" w:rsidRDefault="00000000">
            <w:pPr>
              <w:spacing w:after="40" w:line="240" w:lineRule="auto"/>
            </w:pPr>
            <w:r w:rsidRPr="001D6B2E">
              <w:rPr>
                <w:sz w:val="16"/>
              </w:rPr>
              <w:t>Payment-difficulty review</w:t>
            </w:r>
          </w:p>
        </w:tc>
        <w:tc>
          <w:tcPr>
            <w:tcW w:w="2088" w:type="dxa"/>
            <w:tcMar>
              <w:top w:w="75" w:type="dxa"/>
              <w:left w:w="90" w:type="dxa"/>
              <w:bottom w:w="75" w:type="dxa"/>
              <w:right w:w="90" w:type="dxa"/>
            </w:tcMar>
            <w:vAlign w:val="center"/>
          </w:tcPr>
          <w:p w14:paraId="40CDA51C" w14:textId="77777777" w:rsidR="00C342BF" w:rsidRPr="001D6B2E" w:rsidRDefault="00000000">
            <w:pPr>
              <w:spacing w:after="40" w:line="240" w:lineRule="auto"/>
            </w:pPr>
            <w:r w:rsidRPr="001D6B2E">
              <w:rPr>
                <w:sz w:val="16"/>
              </w:rPr>
              <w:t>All five suppliers</w:t>
            </w:r>
          </w:p>
        </w:tc>
        <w:tc>
          <w:tcPr>
            <w:tcW w:w="3096" w:type="dxa"/>
            <w:tcMar>
              <w:top w:w="75" w:type="dxa"/>
              <w:left w:w="90" w:type="dxa"/>
              <w:bottom w:w="75" w:type="dxa"/>
              <w:right w:w="90" w:type="dxa"/>
            </w:tcMar>
            <w:vAlign w:val="center"/>
          </w:tcPr>
          <w:p w14:paraId="2C44094D" w14:textId="77777777" w:rsidR="00C342BF" w:rsidRPr="001D6B2E" w:rsidRDefault="00000000">
            <w:pPr>
              <w:spacing w:after="40" w:line="240" w:lineRule="auto"/>
            </w:pPr>
            <w:r w:rsidRPr="001D6B2E">
              <w:rPr>
                <w:sz w:val="16"/>
              </w:rPr>
              <w:t>Payment support and governance benchmark</w:t>
            </w:r>
          </w:p>
        </w:tc>
      </w:tr>
      <w:tr w:rsidR="00C342BF" w:rsidRPr="001D6B2E" w14:paraId="6BE346DE" w14:textId="77777777">
        <w:trPr>
          <w:cantSplit/>
        </w:trPr>
        <w:tc>
          <w:tcPr>
            <w:tcW w:w="1800" w:type="dxa"/>
            <w:shd w:val="clear" w:color="auto" w:fill="F3F4F6"/>
            <w:tcMar>
              <w:top w:w="75" w:type="dxa"/>
              <w:left w:w="90" w:type="dxa"/>
              <w:bottom w:w="75" w:type="dxa"/>
              <w:right w:w="90" w:type="dxa"/>
            </w:tcMar>
            <w:vAlign w:val="center"/>
          </w:tcPr>
          <w:p w14:paraId="425A414C" w14:textId="77777777" w:rsidR="00C342BF" w:rsidRPr="001D6B2E" w:rsidRDefault="00000000">
            <w:pPr>
              <w:spacing w:after="40" w:line="240" w:lineRule="auto"/>
            </w:pPr>
            <w:r w:rsidRPr="001D6B2E">
              <w:rPr>
                <w:b/>
                <w:sz w:val="16"/>
              </w:rPr>
              <w:t>November 2022</w:t>
            </w:r>
          </w:p>
        </w:tc>
        <w:tc>
          <w:tcPr>
            <w:tcW w:w="2088" w:type="dxa"/>
            <w:shd w:val="clear" w:color="auto" w:fill="F3F4F6"/>
            <w:tcMar>
              <w:top w:w="75" w:type="dxa"/>
              <w:left w:w="90" w:type="dxa"/>
              <w:bottom w:w="75" w:type="dxa"/>
              <w:right w:w="90" w:type="dxa"/>
            </w:tcMar>
            <w:vAlign w:val="center"/>
          </w:tcPr>
          <w:p w14:paraId="1B87E5EA" w14:textId="77777777" w:rsidR="00C342BF" w:rsidRPr="001D6B2E" w:rsidRDefault="00000000">
            <w:pPr>
              <w:spacing w:after="40" w:line="240" w:lineRule="auto"/>
            </w:pPr>
            <w:r w:rsidRPr="001D6B2E">
              <w:rPr>
                <w:sz w:val="16"/>
              </w:rPr>
              <w:t>Vulnerability review</w:t>
            </w:r>
          </w:p>
        </w:tc>
        <w:tc>
          <w:tcPr>
            <w:tcW w:w="2088" w:type="dxa"/>
            <w:shd w:val="clear" w:color="auto" w:fill="F3F4F6"/>
            <w:tcMar>
              <w:top w:w="75" w:type="dxa"/>
              <w:left w:w="90" w:type="dxa"/>
              <w:bottom w:w="75" w:type="dxa"/>
              <w:right w:w="90" w:type="dxa"/>
            </w:tcMar>
            <w:vAlign w:val="center"/>
          </w:tcPr>
          <w:p w14:paraId="478C0BAA" w14:textId="77777777" w:rsidR="00C342BF" w:rsidRPr="001D6B2E" w:rsidRDefault="00000000">
            <w:pPr>
              <w:spacing w:after="40" w:line="240" w:lineRule="auto"/>
            </w:pPr>
            <w:r w:rsidRPr="001D6B2E">
              <w:rPr>
                <w:sz w:val="16"/>
              </w:rPr>
              <w:t>All five suppliers</w:t>
            </w:r>
          </w:p>
        </w:tc>
        <w:tc>
          <w:tcPr>
            <w:tcW w:w="3096" w:type="dxa"/>
            <w:shd w:val="clear" w:color="auto" w:fill="F3F4F6"/>
            <w:tcMar>
              <w:top w:w="75" w:type="dxa"/>
              <w:left w:w="90" w:type="dxa"/>
              <w:bottom w:w="75" w:type="dxa"/>
              <w:right w:w="90" w:type="dxa"/>
            </w:tcMar>
            <w:vAlign w:val="center"/>
          </w:tcPr>
          <w:p w14:paraId="62A84170" w14:textId="77777777" w:rsidR="00C342BF" w:rsidRPr="001D6B2E" w:rsidRDefault="00000000">
            <w:pPr>
              <w:spacing w:after="40" w:line="240" w:lineRule="auto"/>
            </w:pPr>
            <w:r w:rsidRPr="001D6B2E">
              <w:rPr>
                <w:sz w:val="16"/>
              </w:rPr>
              <w:t>Vulnerability governance benchmark</w:t>
            </w:r>
          </w:p>
        </w:tc>
      </w:tr>
      <w:tr w:rsidR="00C342BF" w:rsidRPr="001D6B2E" w14:paraId="4D4C85E4" w14:textId="77777777">
        <w:trPr>
          <w:cantSplit/>
        </w:trPr>
        <w:tc>
          <w:tcPr>
            <w:tcW w:w="1800" w:type="dxa"/>
            <w:tcMar>
              <w:top w:w="75" w:type="dxa"/>
              <w:left w:w="90" w:type="dxa"/>
              <w:bottom w:w="75" w:type="dxa"/>
              <w:right w:w="90" w:type="dxa"/>
            </w:tcMar>
            <w:vAlign w:val="center"/>
          </w:tcPr>
          <w:p w14:paraId="0922A30B" w14:textId="77777777" w:rsidR="00C342BF" w:rsidRPr="001D6B2E" w:rsidRDefault="00000000">
            <w:pPr>
              <w:spacing w:after="40" w:line="240" w:lineRule="auto"/>
            </w:pPr>
            <w:r w:rsidRPr="001D6B2E">
              <w:rPr>
                <w:b/>
                <w:sz w:val="16"/>
              </w:rPr>
              <w:t>February 2023</w:t>
            </w:r>
          </w:p>
        </w:tc>
        <w:tc>
          <w:tcPr>
            <w:tcW w:w="2088" w:type="dxa"/>
            <w:tcMar>
              <w:top w:w="75" w:type="dxa"/>
              <w:left w:w="90" w:type="dxa"/>
              <w:bottom w:w="75" w:type="dxa"/>
              <w:right w:w="90" w:type="dxa"/>
            </w:tcMar>
            <w:vAlign w:val="center"/>
          </w:tcPr>
          <w:p w14:paraId="10D5A228" w14:textId="77777777" w:rsidR="00C342BF" w:rsidRPr="001D6B2E" w:rsidRDefault="00000000">
            <w:pPr>
              <w:spacing w:after="40" w:line="240" w:lineRule="auto"/>
            </w:pPr>
            <w:r w:rsidRPr="001D6B2E">
              <w:rPr>
                <w:sz w:val="16"/>
              </w:rPr>
              <w:t>Customer-service review</w:t>
            </w:r>
          </w:p>
        </w:tc>
        <w:tc>
          <w:tcPr>
            <w:tcW w:w="2088" w:type="dxa"/>
            <w:tcMar>
              <w:top w:w="75" w:type="dxa"/>
              <w:left w:w="90" w:type="dxa"/>
              <w:bottom w:w="75" w:type="dxa"/>
              <w:right w:w="90" w:type="dxa"/>
            </w:tcMar>
            <w:vAlign w:val="center"/>
          </w:tcPr>
          <w:p w14:paraId="6EBAA51B" w14:textId="77777777" w:rsidR="00C342BF" w:rsidRPr="001D6B2E" w:rsidRDefault="00000000">
            <w:pPr>
              <w:spacing w:after="40" w:line="240" w:lineRule="auto"/>
            </w:pPr>
            <w:r w:rsidRPr="001D6B2E">
              <w:rPr>
                <w:sz w:val="16"/>
              </w:rPr>
              <w:t>All five suppliers</w:t>
            </w:r>
          </w:p>
        </w:tc>
        <w:tc>
          <w:tcPr>
            <w:tcW w:w="3096" w:type="dxa"/>
            <w:tcMar>
              <w:top w:w="75" w:type="dxa"/>
              <w:left w:w="90" w:type="dxa"/>
              <w:bottom w:w="75" w:type="dxa"/>
              <w:right w:w="90" w:type="dxa"/>
            </w:tcMar>
            <w:vAlign w:val="center"/>
          </w:tcPr>
          <w:p w14:paraId="095CEF14" w14:textId="77777777" w:rsidR="00C342BF" w:rsidRPr="001D6B2E" w:rsidRDefault="00000000">
            <w:pPr>
              <w:spacing w:after="40" w:line="240" w:lineRule="auto"/>
            </w:pPr>
            <w:r w:rsidRPr="001D6B2E">
              <w:rPr>
                <w:sz w:val="16"/>
              </w:rPr>
              <w:t>Access and service benchmark</w:t>
            </w:r>
          </w:p>
        </w:tc>
      </w:tr>
      <w:tr w:rsidR="00C342BF" w:rsidRPr="001D6B2E" w14:paraId="555BD3B7" w14:textId="77777777">
        <w:trPr>
          <w:cantSplit/>
        </w:trPr>
        <w:tc>
          <w:tcPr>
            <w:tcW w:w="1800" w:type="dxa"/>
            <w:shd w:val="clear" w:color="auto" w:fill="F3F4F6"/>
            <w:tcMar>
              <w:top w:w="75" w:type="dxa"/>
              <w:left w:w="90" w:type="dxa"/>
              <w:bottom w:w="75" w:type="dxa"/>
              <w:right w:w="90" w:type="dxa"/>
            </w:tcMar>
            <w:vAlign w:val="center"/>
          </w:tcPr>
          <w:p w14:paraId="0BB95B71" w14:textId="77777777" w:rsidR="00C342BF" w:rsidRPr="001D6B2E" w:rsidRDefault="00000000">
            <w:pPr>
              <w:spacing w:after="40" w:line="240" w:lineRule="auto"/>
            </w:pPr>
            <w:r w:rsidRPr="001D6B2E">
              <w:rPr>
                <w:b/>
                <w:sz w:val="16"/>
              </w:rPr>
              <w:t>September 2024</w:t>
            </w:r>
          </w:p>
        </w:tc>
        <w:tc>
          <w:tcPr>
            <w:tcW w:w="2088" w:type="dxa"/>
            <w:shd w:val="clear" w:color="auto" w:fill="F3F4F6"/>
            <w:tcMar>
              <w:top w:w="75" w:type="dxa"/>
              <w:left w:w="90" w:type="dxa"/>
              <w:bottom w:w="75" w:type="dxa"/>
              <w:right w:w="90" w:type="dxa"/>
            </w:tcMar>
            <w:vAlign w:val="center"/>
          </w:tcPr>
          <w:p w14:paraId="60F5A8D5" w14:textId="77777777" w:rsidR="00C342BF" w:rsidRPr="001D6B2E" w:rsidRDefault="00000000">
            <w:pPr>
              <w:spacing w:after="40" w:line="240" w:lineRule="auto"/>
            </w:pPr>
            <w:r w:rsidRPr="001D6B2E">
              <w:rPr>
                <w:sz w:val="16"/>
              </w:rPr>
              <w:t>Satisfaction survey and OVO complaints outcome</w:t>
            </w:r>
          </w:p>
        </w:tc>
        <w:tc>
          <w:tcPr>
            <w:tcW w:w="2088" w:type="dxa"/>
            <w:shd w:val="clear" w:color="auto" w:fill="F3F4F6"/>
            <w:tcMar>
              <w:top w:w="75" w:type="dxa"/>
              <w:left w:w="90" w:type="dxa"/>
              <w:bottom w:w="75" w:type="dxa"/>
              <w:right w:w="90" w:type="dxa"/>
            </w:tcMar>
            <w:vAlign w:val="center"/>
          </w:tcPr>
          <w:p w14:paraId="4B5AE8B7" w14:textId="77777777" w:rsidR="00C342BF" w:rsidRPr="001D6B2E" w:rsidRDefault="00000000">
            <w:pPr>
              <w:spacing w:after="40" w:line="240" w:lineRule="auto"/>
            </w:pPr>
            <w:r w:rsidRPr="001D6B2E">
              <w:rPr>
                <w:sz w:val="16"/>
              </w:rPr>
              <w:t>All five / OVO Energy</w:t>
            </w:r>
          </w:p>
        </w:tc>
        <w:tc>
          <w:tcPr>
            <w:tcW w:w="3096" w:type="dxa"/>
            <w:shd w:val="clear" w:color="auto" w:fill="F3F4F6"/>
            <w:tcMar>
              <w:top w:w="75" w:type="dxa"/>
              <w:left w:w="90" w:type="dxa"/>
              <w:bottom w:w="75" w:type="dxa"/>
              <w:right w:w="90" w:type="dxa"/>
            </w:tcMar>
            <w:vAlign w:val="center"/>
          </w:tcPr>
          <w:p w14:paraId="799E9F8D" w14:textId="77777777" w:rsidR="00C342BF" w:rsidRPr="001D6B2E" w:rsidRDefault="00000000">
            <w:pPr>
              <w:spacing w:after="40" w:line="240" w:lineRule="auto"/>
            </w:pPr>
            <w:r w:rsidRPr="001D6B2E">
              <w:rPr>
                <w:sz w:val="16"/>
              </w:rPr>
              <w:t>External outcomes and accountability</w:t>
            </w:r>
          </w:p>
        </w:tc>
      </w:tr>
      <w:tr w:rsidR="00C342BF" w:rsidRPr="001D6B2E" w14:paraId="3D3031C7" w14:textId="77777777">
        <w:trPr>
          <w:cantSplit/>
        </w:trPr>
        <w:tc>
          <w:tcPr>
            <w:tcW w:w="1800" w:type="dxa"/>
            <w:tcMar>
              <w:top w:w="75" w:type="dxa"/>
              <w:left w:w="90" w:type="dxa"/>
              <w:bottom w:w="75" w:type="dxa"/>
              <w:right w:w="90" w:type="dxa"/>
            </w:tcMar>
            <w:vAlign w:val="center"/>
          </w:tcPr>
          <w:p w14:paraId="3ED5F81C" w14:textId="77777777" w:rsidR="00C342BF" w:rsidRPr="001D6B2E" w:rsidRDefault="00000000">
            <w:pPr>
              <w:spacing w:after="40" w:line="240" w:lineRule="auto"/>
            </w:pPr>
            <w:r w:rsidRPr="001D6B2E">
              <w:rPr>
                <w:b/>
                <w:sz w:val="16"/>
              </w:rPr>
              <w:t>April 2025</w:t>
            </w:r>
          </w:p>
        </w:tc>
        <w:tc>
          <w:tcPr>
            <w:tcW w:w="2088" w:type="dxa"/>
            <w:tcMar>
              <w:top w:w="75" w:type="dxa"/>
              <w:left w:w="90" w:type="dxa"/>
              <w:bottom w:w="75" w:type="dxa"/>
              <w:right w:w="90" w:type="dxa"/>
            </w:tcMar>
            <w:vAlign w:val="center"/>
          </w:tcPr>
          <w:p w14:paraId="319C21D7" w14:textId="77777777" w:rsidR="00C342BF" w:rsidRPr="001D6B2E" w:rsidRDefault="00000000">
            <w:pPr>
              <w:spacing w:after="40" w:line="240" w:lineRule="auto"/>
            </w:pPr>
            <w:r w:rsidRPr="001D6B2E">
              <w:rPr>
                <w:sz w:val="16"/>
              </w:rPr>
              <w:t>Vulnerability strategy and market report</w:t>
            </w:r>
          </w:p>
        </w:tc>
        <w:tc>
          <w:tcPr>
            <w:tcW w:w="2088" w:type="dxa"/>
            <w:tcMar>
              <w:top w:w="75" w:type="dxa"/>
              <w:left w:w="90" w:type="dxa"/>
              <w:bottom w:w="75" w:type="dxa"/>
              <w:right w:w="90" w:type="dxa"/>
            </w:tcMar>
            <w:vAlign w:val="center"/>
          </w:tcPr>
          <w:p w14:paraId="4DCAFC83" w14:textId="77777777" w:rsidR="00C342BF" w:rsidRPr="001D6B2E" w:rsidRDefault="00000000">
            <w:pPr>
              <w:spacing w:after="40" w:line="240" w:lineRule="auto"/>
            </w:pPr>
            <w:r w:rsidRPr="001D6B2E">
              <w:rPr>
                <w:sz w:val="16"/>
              </w:rPr>
              <w:t>All five suppliers</w:t>
            </w:r>
          </w:p>
        </w:tc>
        <w:tc>
          <w:tcPr>
            <w:tcW w:w="3096" w:type="dxa"/>
            <w:tcMar>
              <w:top w:w="75" w:type="dxa"/>
              <w:left w:w="90" w:type="dxa"/>
              <w:bottom w:w="75" w:type="dxa"/>
              <w:right w:w="90" w:type="dxa"/>
            </w:tcMar>
            <w:vAlign w:val="center"/>
          </w:tcPr>
          <w:p w14:paraId="7F460B66" w14:textId="77777777" w:rsidR="00C342BF" w:rsidRPr="001D6B2E" w:rsidRDefault="00000000">
            <w:pPr>
              <w:spacing w:after="40" w:line="240" w:lineRule="auto"/>
            </w:pPr>
            <w:r w:rsidRPr="001D6B2E">
              <w:rPr>
                <w:sz w:val="16"/>
              </w:rPr>
              <w:t>Current expectations and market context</w:t>
            </w:r>
          </w:p>
        </w:tc>
      </w:tr>
      <w:tr w:rsidR="00C342BF" w:rsidRPr="001D6B2E" w14:paraId="05C8A17E" w14:textId="77777777">
        <w:trPr>
          <w:cantSplit/>
        </w:trPr>
        <w:tc>
          <w:tcPr>
            <w:tcW w:w="1800" w:type="dxa"/>
            <w:shd w:val="clear" w:color="auto" w:fill="F3F4F6"/>
            <w:tcMar>
              <w:top w:w="75" w:type="dxa"/>
              <w:left w:w="90" w:type="dxa"/>
              <w:bottom w:w="75" w:type="dxa"/>
              <w:right w:w="90" w:type="dxa"/>
            </w:tcMar>
            <w:vAlign w:val="center"/>
          </w:tcPr>
          <w:p w14:paraId="7CF28485" w14:textId="77777777" w:rsidR="00C342BF" w:rsidRPr="001D6B2E" w:rsidRDefault="00000000">
            <w:pPr>
              <w:spacing w:after="40" w:line="240" w:lineRule="auto"/>
            </w:pPr>
            <w:r w:rsidRPr="001D6B2E">
              <w:rPr>
                <w:b/>
                <w:sz w:val="16"/>
              </w:rPr>
              <w:t>May 2026</w:t>
            </w:r>
          </w:p>
        </w:tc>
        <w:tc>
          <w:tcPr>
            <w:tcW w:w="2088" w:type="dxa"/>
            <w:shd w:val="clear" w:color="auto" w:fill="F3F4F6"/>
            <w:tcMar>
              <w:top w:w="75" w:type="dxa"/>
              <w:left w:w="90" w:type="dxa"/>
              <w:bottom w:w="75" w:type="dxa"/>
              <w:right w:w="90" w:type="dxa"/>
            </w:tcMar>
            <w:vAlign w:val="center"/>
          </w:tcPr>
          <w:p w14:paraId="7ED2CB5D" w14:textId="77777777" w:rsidR="00C342BF" w:rsidRPr="001D6B2E" w:rsidRDefault="00000000">
            <w:pPr>
              <w:spacing w:after="40" w:line="240" w:lineRule="auto"/>
            </w:pPr>
            <w:r w:rsidRPr="001D6B2E">
              <w:rPr>
                <w:sz w:val="16"/>
              </w:rPr>
              <w:t>British Gas PPM settlement</w:t>
            </w:r>
          </w:p>
        </w:tc>
        <w:tc>
          <w:tcPr>
            <w:tcW w:w="2088" w:type="dxa"/>
            <w:shd w:val="clear" w:color="auto" w:fill="E8F1F8"/>
            <w:tcMar>
              <w:top w:w="75" w:type="dxa"/>
              <w:left w:w="90" w:type="dxa"/>
              <w:bottom w:w="75" w:type="dxa"/>
              <w:right w:w="90" w:type="dxa"/>
            </w:tcMar>
            <w:vAlign w:val="center"/>
          </w:tcPr>
          <w:p w14:paraId="77D0A1F2" w14:textId="77777777" w:rsidR="00C342BF" w:rsidRPr="001D6B2E" w:rsidRDefault="00000000">
            <w:pPr>
              <w:spacing w:after="40" w:line="240" w:lineRule="auto"/>
            </w:pPr>
            <w:r w:rsidRPr="001D6B2E">
              <w:rPr>
                <w:sz w:val="16"/>
              </w:rPr>
              <w:t>British Gas</w:t>
            </w:r>
          </w:p>
        </w:tc>
        <w:tc>
          <w:tcPr>
            <w:tcW w:w="3096" w:type="dxa"/>
            <w:shd w:val="clear" w:color="auto" w:fill="F3F4F6"/>
            <w:tcMar>
              <w:top w:w="75" w:type="dxa"/>
              <w:left w:w="90" w:type="dxa"/>
              <w:bottom w:w="75" w:type="dxa"/>
              <w:right w:w="90" w:type="dxa"/>
            </w:tcMar>
            <w:vAlign w:val="center"/>
          </w:tcPr>
          <w:p w14:paraId="19E1C82A" w14:textId="77777777" w:rsidR="00C342BF" w:rsidRPr="001D6B2E" w:rsidRDefault="00000000">
            <w:pPr>
              <w:spacing w:after="40" w:line="240" w:lineRule="auto"/>
            </w:pPr>
            <w:r w:rsidRPr="001D6B2E">
              <w:rPr>
                <w:sz w:val="16"/>
              </w:rPr>
              <w:t>Focal remediation evidence</w:t>
            </w:r>
          </w:p>
        </w:tc>
      </w:tr>
      <w:tr w:rsidR="00C342BF" w:rsidRPr="001D6B2E" w14:paraId="44AB5F5D" w14:textId="77777777">
        <w:trPr>
          <w:cantSplit/>
        </w:trPr>
        <w:tc>
          <w:tcPr>
            <w:tcW w:w="1800" w:type="dxa"/>
            <w:tcMar>
              <w:top w:w="75" w:type="dxa"/>
              <w:left w:w="90" w:type="dxa"/>
              <w:bottom w:w="75" w:type="dxa"/>
              <w:right w:w="90" w:type="dxa"/>
            </w:tcMar>
            <w:vAlign w:val="center"/>
          </w:tcPr>
          <w:p w14:paraId="7CE81505" w14:textId="77777777" w:rsidR="00C342BF" w:rsidRPr="001D6B2E" w:rsidRDefault="00000000">
            <w:pPr>
              <w:spacing w:after="40" w:line="240" w:lineRule="auto"/>
            </w:pPr>
            <w:r w:rsidRPr="001D6B2E">
              <w:rPr>
                <w:b/>
                <w:sz w:val="16"/>
              </w:rPr>
              <w:t>June 2026</w:t>
            </w:r>
          </w:p>
        </w:tc>
        <w:tc>
          <w:tcPr>
            <w:tcW w:w="2088" w:type="dxa"/>
            <w:tcMar>
              <w:top w:w="75" w:type="dxa"/>
              <w:left w:w="90" w:type="dxa"/>
              <w:bottom w:w="75" w:type="dxa"/>
              <w:right w:w="90" w:type="dxa"/>
            </w:tcMar>
            <w:vAlign w:val="center"/>
          </w:tcPr>
          <w:p w14:paraId="6E7B4E22" w14:textId="77777777" w:rsidR="00C342BF" w:rsidRPr="001D6B2E" w:rsidRDefault="00000000">
            <w:pPr>
              <w:spacing w:after="40" w:line="240" w:lineRule="auto"/>
            </w:pPr>
            <w:r w:rsidRPr="001D6B2E">
              <w:rPr>
                <w:sz w:val="16"/>
              </w:rPr>
              <w:t>OVO PPM monitoring settlement</w:t>
            </w:r>
          </w:p>
        </w:tc>
        <w:tc>
          <w:tcPr>
            <w:tcW w:w="2088" w:type="dxa"/>
            <w:tcMar>
              <w:top w:w="75" w:type="dxa"/>
              <w:left w:w="90" w:type="dxa"/>
              <w:bottom w:w="75" w:type="dxa"/>
              <w:right w:w="90" w:type="dxa"/>
            </w:tcMar>
            <w:vAlign w:val="center"/>
          </w:tcPr>
          <w:p w14:paraId="0B716F28" w14:textId="77777777" w:rsidR="00C342BF" w:rsidRPr="001D6B2E" w:rsidRDefault="00000000">
            <w:pPr>
              <w:spacing w:after="40" w:line="240" w:lineRule="auto"/>
            </w:pPr>
            <w:r w:rsidRPr="001D6B2E">
              <w:rPr>
                <w:sz w:val="16"/>
              </w:rPr>
              <w:t>OVO Energy</w:t>
            </w:r>
          </w:p>
        </w:tc>
        <w:tc>
          <w:tcPr>
            <w:tcW w:w="3096" w:type="dxa"/>
            <w:tcMar>
              <w:top w:w="75" w:type="dxa"/>
              <w:left w:w="90" w:type="dxa"/>
              <w:bottom w:w="75" w:type="dxa"/>
              <w:right w:w="90" w:type="dxa"/>
            </w:tcMar>
            <w:vAlign w:val="center"/>
          </w:tcPr>
          <w:p w14:paraId="19C20E4D" w14:textId="77777777" w:rsidR="00C342BF" w:rsidRPr="001D6B2E" w:rsidRDefault="00000000">
            <w:pPr>
              <w:spacing w:after="40" w:line="240" w:lineRule="auto"/>
            </w:pPr>
            <w:r w:rsidRPr="001D6B2E">
              <w:rPr>
                <w:sz w:val="16"/>
              </w:rPr>
              <w:t>Benchmark implementation evidence</w:t>
            </w:r>
          </w:p>
        </w:tc>
      </w:tr>
    </w:tbl>
    <w:p w14:paraId="7D763FE2" w14:textId="77777777" w:rsidR="00C342BF" w:rsidRPr="001D6B2E" w:rsidRDefault="00C342BF">
      <w:pPr>
        <w:spacing w:after="40"/>
      </w:pPr>
    </w:p>
    <w:p w14:paraId="3C7DBDC8" w14:textId="77777777" w:rsidR="00C342BF" w:rsidRPr="001D6B2E" w:rsidRDefault="00000000">
      <w:pPr>
        <w:pStyle w:val="Caption"/>
        <w:spacing w:line="360" w:lineRule="auto"/>
        <w:jc w:val="center"/>
      </w:pPr>
      <w:r>
        <w:t>Table A2: Source chronology used in Figure 4.2.</w:t>
      </w:r>
    </w:p>
    <w:p w14:paraId="3EE68516" w14:textId="77777777" w:rsidR="00C342BF" w:rsidRPr="001D6B2E" w:rsidRDefault="00000000">
      <w:pPr>
        <w:pStyle w:val="Heading2"/>
        <w:spacing w:after="80"/>
        <w:rPr>
          <w:rFonts w:ascii="Times New Roman" w:hAnsi="Times New Roman" w:cs="Times New Roman"/>
        </w:rPr>
      </w:pPr>
      <w:r>
        <w:t>Appendix B: Alignment of Findings with Research Objectives</w:t>
      </w:r>
    </w:p>
    <w:tbl>
      <w:tblPr>
        <w:tblStyle w:val="TableGrid"/>
        <w:tblW w:w="0" w:type="auto"/>
        <w:tblLayout w:type="fixed"/>
        <w:tblLook w:val="04A0" w:firstRow="1" w:lastRow="0" w:firstColumn="1" w:lastColumn="0" w:noHBand="0" w:noVBand="1"/>
      </w:tblPr>
      <w:tblGrid>
        <w:gridCol w:w="1800"/>
        <w:gridCol w:w="2232"/>
        <w:gridCol w:w="1224"/>
        <w:gridCol w:w="1152"/>
        <w:gridCol w:w="2664"/>
      </w:tblGrid>
      <w:tr w:rsidR="00C342BF" w:rsidRPr="001D6B2E" w14:paraId="7C075B6A" w14:textId="77777777">
        <w:trPr>
          <w:cantSplit/>
          <w:tblHeader/>
        </w:trPr>
        <w:tc>
          <w:tcPr>
            <w:tcW w:w="1800" w:type="dxa"/>
            <w:shd w:val="clear" w:color="auto" w:fill="444444"/>
            <w:tcMar>
              <w:top w:w="75" w:type="dxa"/>
              <w:left w:w="90" w:type="dxa"/>
              <w:bottom w:w="75" w:type="dxa"/>
              <w:right w:w="90" w:type="dxa"/>
            </w:tcMar>
            <w:vAlign w:val="center"/>
          </w:tcPr>
          <w:p w14:paraId="2C8C7842" w14:textId="77777777" w:rsidR="00C342BF" w:rsidRPr="001D6B2E" w:rsidRDefault="00000000">
            <w:pPr>
              <w:spacing w:after="40" w:line="240" w:lineRule="auto"/>
              <w:jc w:val="center"/>
            </w:pPr>
            <w:r w:rsidRPr="001D6B2E">
              <w:rPr>
                <w:b/>
                <w:color w:val="FFFFFF"/>
                <w:sz w:val="15"/>
              </w:rPr>
              <w:t>Finding</w:t>
            </w:r>
          </w:p>
        </w:tc>
        <w:tc>
          <w:tcPr>
            <w:tcW w:w="2232" w:type="dxa"/>
            <w:shd w:val="clear" w:color="auto" w:fill="444444"/>
            <w:tcMar>
              <w:top w:w="75" w:type="dxa"/>
              <w:left w:w="90" w:type="dxa"/>
              <w:bottom w:w="75" w:type="dxa"/>
              <w:right w:w="90" w:type="dxa"/>
            </w:tcMar>
            <w:vAlign w:val="center"/>
          </w:tcPr>
          <w:p w14:paraId="23EE3898" w14:textId="77777777" w:rsidR="00C342BF" w:rsidRPr="001D6B2E" w:rsidRDefault="00000000">
            <w:pPr>
              <w:spacing w:after="40" w:line="240" w:lineRule="auto"/>
              <w:jc w:val="center"/>
            </w:pPr>
            <w:r w:rsidRPr="001D6B2E">
              <w:rPr>
                <w:b/>
                <w:color w:val="FFFFFF"/>
                <w:sz w:val="15"/>
              </w:rPr>
              <w:t>Main evidence</w:t>
            </w:r>
          </w:p>
        </w:tc>
        <w:tc>
          <w:tcPr>
            <w:tcW w:w="1224" w:type="dxa"/>
            <w:shd w:val="clear" w:color="auto" w:fill="444444"/>
            <w:tcMar>
              <w:top w:w="75" w:type="dxa"/>
              <w:left w:w="90" w:type="dxa"/>
              <w:bottom w:w="75" w:type="dxa"/>
              <w:right w:w="90" w:type="dxa"/>
            </w:tcMar>
            <w:vAlign w:val="center"/>
          </w:tcPr>
          <w:p w14:paraId="04FDF70A" w14:textId="77777777" w:rsidR="00C342BF" w:rsidRPr="001D6B2E" w:rsidRDefault="00000000">
            <w:pPr>
              <w:spacing w:after="40" w:line="240" w:lineRule="auto"/>
              <w:jc w:val="center"/>
            </w:pPr>
            <w:r w:rsidRPr="001D6B2E">
              <w:rPr>
                <w:b/>
                <w:color w:val="FFFFFF"/>
                <w:sz w:val="15"/>
              </w:rPr>
              <w:t>Case role</w:t>
            </w:r>
          </w:p>
        </w:tc>
        <w:tc>
          <w:tcPr>
            <w:tcW w:w="1152" w:type="dxa"/>
            <w:shd w:val="clear" w:color="auto" w:fill="444444"/>
            <w:tcMar>
              <w:top w:w="75" w:type="dxa"/>
              <w:left w:w="90" w:type="dxa"/>
              <w:bottom w:w="75" w:type="dxa"/>
              <w:right w:w="90" w:type="dxa"/>
            </w:tcMar>
            <w:vAlign w:val="center"/>
          </w:tcPr>
          <w:p w14:paraId="1DFAE99E" w14:textId="77777777" w:rsidR="00C342BF" w:rsidRPr="001D6B2E" w:rsidRDefault="00000000">
            <w:pPr>
              <w:spacing w:after="40" w:line="240" w:lineRule="auto"/>
              <w:jc w:val="center"/>
            </w:pPr>
            <w:r w:rsidRPr="001D6B2E">
              <w:rPr>
                <w:b/>
                <w:color w:val="FFFFFF"/>
                <w:sz w:val="15"/>
              </w:rPr>
              <w:t>Objective link</w:t>
            </w:r>
          </w:p>
        </w:tc>
        <w:tc>
          <w:tcPr>
            <w:tcW w:w="2664" w:type="dxa"/>
            <w:shd w:val="clear" w:color="auto" w:fill="444444"/>
            <w:tcMar>
              <w:top w:w="75" w:type="dxa"/>
              <w:left w:w="90" w:type="dxa"/>
              <w:bottom w:w="75" w:type="dxa"/>
              <w:right w:w="90" w:type="dxa"/>
            </w:tcMar>
            <w:vAlign w:val="center"/>
          </w:tcPr>
          <w:p w14:paraId="3DE1019B" w14:textId="77777777" w:rsidR="00C342BF" w:rsidRPr="001D6B2E" w:rsidRDefault="00000000">
            <w:pPr>
              <w:spacing w:after="40" w:line="240" w:lineRule="auto"/>
              <w:jc w:val="center"/>
            </w:pPr>
            <w:r w:rsidRPr="001D6B2E">
              <w:rPr>
                <w:b/>
                <w:color w:val="FFFFFF"/>
                <w:sz w:val="15"/>
              </w:rPr>
              <w:t>Interpretive significance</w:t>
            </w:r>
          </w:p>
        </w:tc>
      </w:tr>
      <w:tr w:rsidR="00C342BF" w:rsidRPr="001D6B2E" w14:paraId="77B84829" w14:textId="77777777">
        <w:trPr>
          <w:cantSplit/>
        </w:trPr>
        <w:tc>
          <w:tcPr>
            <w:tcW w:w="1800" w:type="dxa"/>
            <w:tcMar>
              <w:top w:w="75" w:type="dxa"/>
              <w:left w:w="90" w:type="dxa"/>
              <w:bottom w:w="75" w:type="dxa"/>
              <w:right w:w="90" w:type="dxa"/>
            </w:tcMar>
            <w:vAlign w:val="center"/>
          </w:tcPr>
          <w:p w14:paraId="414AF5FB" w14:textId="77777777" w:rsidR="00C342BF" w:rsidRPr="001D6B2E" w:rsidRDefault="00000000">
            <w:pPr>
              <w:spacing w:after="40" w:line="240" w:lineRule="auto"/>
            </w:pPr>
            <w:r w:rsidRPr="001D6B2E">
              <w:rPr>
                <w:b/>
                <w:sz w:val="15"/>
              </w:rPr>
              <w:t>Flexible payment support is visible across all five companies</w:t>
            </w:r>
          </w:p>
        </w:tc>
        <w:tc>
          <w:tcPr>
            <w:tcW w:w="2232" w:type="dxa"/>
            <w:tcMar>
              <w:top w:w="75" w:type="dxa"/>
              <w:left w:w="90" w:type="dxa"/>
              <w:bottom w:w="75" w:type="dxa"/>
              <w:right w:w="90" w:type="dxa"/>
            </w:tcMar>
            <w:vAlign w:val="center"/>
          </w:tcPr>
          <w:p w14:paraId="73CB7D6A" w14:textId="77777777" w:rsidR="00C342BF" w:rsidRPr="001D6B2E" w:rsidRDefault="00000000">
            <w:pPr>
              <w:spacing w:after="40" w:line="240" w:lineRule="auto"/>
            </w:pPr>
            <w:r w:rsidRPr="001D6B2E">
              <w:rPr>
                <w:sz w:val="15"/>
              </w:rPr>
              <w:t>British Gas (n.d.-a); Octopus Energy (2022a); E.ON Next (n.d.-a); OVO Energy (n.d.-a); EDF Energy (n.d.-a)</w:t>
            </w:r>
          </w:p>
        </w:tc>
        <w:tc>
          <w:tcPr>
            <w:tcW w:w="1224" w:type="dxa"/>
            <w:tcMar>
              <w:top w:w="75" w:type="dxa"/>
              <w:left w:w="90" w:type="dxa"/>
              <w:bottom w:w="75" w:type="dxa"/>
              <w:right w:w="90" w:type="dxa"/>
            </w:tcMar>
            <w:vAlign w:val="center"/>
          </w:tcPr>
          <w:p w14:paraId="6097468A" w14:textId="77777777" w:rsidR="00C342BF" w:rsidRPr="001D6B2E" w:rsidRDefault="00000000">
            <w:pPr>
              <w:spacing w:after="40" w:line="240" w:lineRule="auto"/>
            </w:pPr>
            <w:r w:rsidRPr="001D6B2E">
              <w:rPr>
                <w:sz w:val="15"/>
              </w:rPr>
              <w:t>Shared</w:t>
            </w:r>
          </w:p>
        </w:tc>
        <w:tc>
          <w:tcPr>
            <w:tcW w:w="1152" w:type="dxa"/>
            <w:tcMar>
              <w:top w:w="75" w:type="dxa"/>
              <w:left w:w="90" w:type="dxa"/>
              <w:bottom w:w="75" w:type="dxa"/>
              <w:right w:w="90" w:type="dxa"/>
            </w:tcMar>
            <w:vAlign w:val="center"/>
          </w:tcPr>
          <w:p w14:paraId="2679FFB7" w14:textId="77777777" w:rsidR="00C342BF" w:rsidRPr="001D6B2E" w:rsidRDefault="00000000">
            <w:pPr>
              <w:spacing w:after="40" w:line="240" w:lineRule="auto"/>
            </w:pPr>
            <w:r w:rsidRPr="001D6B2E">
              <w:rPr>
                <w:sz w:val="15"/>
              </w:rPr>
              <w:t>Objective 1</w:t>
            </w:r>
          </w:p>
        </w:tc>
        <w:tc>
          <w:tcPr>
            <w:tcW w:w="2664" w:type="dxa"/>
            <w:tcMar>
              <w:top w:w="75" w:type="dxa"/>
              <w:left w:w="90" w:type="dxa"/>
              <w:bottom w:w="75" w:type="dxa"/>
              <w:right w:w="90" w:type="dxa"/>
            </w:tcMar>
            <w:vAlign w:val="center"/>
          </w:tcPr>
          <w:p w14:paraId="3153D251" w14:textId="77777777" w:rsidR="00C342BF" w:rsidRPr="001D6B2E" w:rsidRDefault="00000000">
            <w:pPr>
              <w:spacing w:after="40" w:line="240" w:lineRule="auto"/>
            </w:pPr>
            <w:r w:rsidRPr="001D6B2E">
              <w:rPr>
                <w:sz w:val="15"/>
              </w:rPr>
              <w:t>Compare clarity and practical accessibility</w:t>
            </w:r>
          </w:p>
        </w:tc>
      </w:tr>
      <w:tr w:rsidR="00C342BF" w:rsidRPr="001D6B2E" w14:paraId="15528FF2" w14:textId="77777777">
        <w:trPr>
          <w:cantSplit/>
        </w:trPr>
        <w:tc>
          <w:tcPr>
            <w:tcW w:w="1800" w:type="dxa"/>
            <w:shd w:val="clear" w:color="auto" w:fill="F3F4F6"/>
            <w:tcMar>
              <w:top w:w="75" w:type="dxa"/>
              <w:left w:w="90" w:type="dxa"/>
              <w:bottom w:w="75" w:type="dxa"/>
              <w:right w:w="90" w:type="dxa"/>
            </w:tcMar>
            <w:vAlign w:val="center"/>
          </w:tcPr>
          <w:p w14:paraId="73B54BD2" w14:textId="77777777" w:rsidR="00C342BF" w:rsidRPr="001D6B2E" w:rsidRDefault="00000000">
            <w:pPr>
              <w:spacing w:after="40" w:line="240" w:lineRule="auto"/>
            </w:pPr>
            <w:r w:rsidRPr="001D6B2E">
              <w:rPr>
                <w:b/>
                <w:sz w:val="15"/>
              </w:rPr>
              <w:lastRenderedPageBreak/>
              <w:t>PSR and communication accommodations recur across cases</w:t>
            </w:r>
          </w:p>
        </w:tc>
        <w:tc>
          <w:tcPr>
            <w:tcW w:w="2232" w:type="dxa"/>
            <w:shd w:val="clear" w:color="auto" w:fill="F3F4F6"/>
            <w:tcMar>
              <w:top w:w="75" w:type="dxa"/>
              <w:left w:w="90" w:type="dxa"/>
              <w:bottom w:w="75" w:type="dxa"/>
              <w:right w:w="90" w:type="dxa"/>
            </w:tcMar>
            <w:vAlign w:val="center"/>
          </w:tcPr>
          <w:p w14:paraId="0D2AABF5" w14:textId="77777777" w:rsidR="00C342BF" w:rsidRPr="001D6B2E" w:rsidRDefault="00000000">
            <w:pPr>
              <w:spacing w:after="40" w:line="240" w:lineRule="auto"/>
            </w:pPr>
            <w:r w:rsidRPr="001D6B2E">
              <w:rPr>
                <w:sz w:val="15"/>
              </w:rPr>
              <w:t>British Gas (n.d.-c); Octopus Energy (n.d.); E.ON Next (2026); OVO Energy (n.d.-c); EDF Energy (n.d.-c)</w:t>
            </w:r>
          </w:p>
        </w:tc>
        <w:tc>
          <w:tcPr>
            <w:tcW w:w="1224" w:type="dxa"/>
            <w:shd w:val="clear" w:color="auto" w:fill="F3F4F6"/>
            <w:tcMar>
              <w:top w:w="75" w:type="dxa"/>
              <w:left w:w="90" w:type="dxa"/>
              <w:bottom w:w="75" w:type="dxa"/>
              <w:right w:w="90" w:type="dxa"/>
            </w:tcMar>
            <w:vAlign w:val="center"/>
          </w:tcPr>
          <w:p w14:paraId="39138270" w14:textId="77777777" w:rsidR="00C342BF" w:rsidRPr="001D6B2E" w:rsidRDefault="00000000">
            <w:pPr>
              <w:spacing w:after="40" w:line="240" w:lineRule="auto"/>
            </w:pPr>
            <w:r w:rsidRPr="001D6B2E">
              <w:rPr>
                <w:sz w:val="15"/>
              </w:rPr>
              <w:t>Shared</w:t>
            </w:r>
          </w:p>
        </w:tc>
        <w:tc>
          <w:tcPr>
            <w:tcW w:w="1152" w:type="dxa"/>
            <w:shd w:val="clear" w:color="auto" w:fill="F3F4F6"/>
            <w:tcMar>
              <w:top w:w="75" w:type="dxa"/>
              <w:left w:w="90" w:type="dxa"/>
              <w:bottom w:w="75" w:type="dxa"/>
              <w:right w:w="90" w:type="dxa"/>
            </w:tcMar>
            <w:vAlign w:val="center"/>
          </w:tcPr>
          <w:p w14:paraId="3C7FD183" w14:textId="77777777" w:rsidR="00C342BF" w:rsidRPr="001D6B2E" w:rsidRDefault="00000000">
            <w:pPr>
              <w:spacing w:after="40" w:line="240" w:lineRule="auto"/>
            </w:pPr>
            <w:r w:rsidRPr="001D6B2E">
              <w:rPr>
                <w:sz w:val="15"/>
              </w:rPr>
              <w:t>Objective 2</w:t>
            </w:r>
          </w:p>
        </w:tc>
        <w:tc>
          <w:tcPr>
            <w:tcW w:w="2664" w:type="dxa"/>
            <w:shd w:val="clear" w:color="auto" w:fill="F3F4F6"/>
            <w:tcMar>
              <w:top w:w="75" w:type="dxa"/>
              <w:left w:w="90" w:type="dxa"/>
              <w:bottom w:w="75" w:type="dxa"/>
              <w:right w:w="90" w:type="dxa"/>
            </w:tcMar>
            <w:vAlign w:val="center"/>
          </w:tcPr>
          <w:p w14:paraId="0E956BBB" w14:textId="77777777" w:rsidR="00C342BF" w:rsidRPr="001D6B2E" w:rsidRDefault="00000000">
            <w:pPr>
              <w:spacing w:after="40" w:line="240" w:lineRule="auto"/>
            </w:pPr>
            <w:r w:rsidRPr="001D6B2E">
              <w:rPr>
                <w:sz w:val="15"/>
              </w:rPr>
              <w:t>Interpret competence and benevolence signals</w:t>
            </w:r>
          </w:p>
        </w:tc>
      </w:tr>
      <w:tr w:rsidR="00C342BF" w:rsidRPr="001D6B2E" w14:paraId="631D691E" w14:textId="77777777">
        <w:trPr>
          <w:cantSplit/>
        </w:trPr>
        <w:tc>
          <w:tcPr>
            <w:tcW w:w="1800" w:type="dxa"/>
            <w:tcMar>
              <w:top w:w="75" w:type="dxa"/>
              <w:left w:w="90" w:type="dxa"/>
              <w:bottom w:w="75" w:type="dxa"/>
              <w:right w:w="90" w:type="dxa"/>
            </w:tcMar>
            <w:vAlign w:val="center"/>
          </w:tcPr>
          <w:p w14:paraId="1B68F46F" w14:textId="77777777" w:rsidR="00C342BF" w:rsidRPr="001D6B2E" w:rsidRDefault="00000000">
            <w:pPr>
              <w:spacing w:after="40" w:line="240" w:lineRule="auto"/>
            </w:pPr>
            <w:r w:rsidRPr="001D6B2E">
              <w:rPr>
                <w:b/>
                <w:sz w:val="15"/>
              </w:rPr>
              <w:t>British Gas combines supplier routes with BGET</w:t>
            </w:r>
          </w:p>
        </w:tc>
        <w:tc>
          <w:tcPr>
            <w:tcW w:w="2232" w:type="dxa"/>
            <w:tcMar>
              <w:top w:w="75" w:type="dxa"/>
              <w:left w:w="90" w:type="dxa"/>
              <w:bottom w:w="75" w:type="dxa"/>
              <w:right w:w="90" w:type="dxa"/>
            </w:tcMar>
            <w:vAlign w:val="center"/>
          </w:tcPr>
          <w:p w14:paraId="2475FEAC" w14:textId="77777777" w:rsidR="00C342BF" w:rsidRPr="001D6B2E" w:rsidRDefault="00000000">
            <w:pPr>
              <w:spacing w:after="40" w:line="240" w:lineRule="auto"/>
            </w:pPr>
            <w:r w:rsidRPr="001D6B2E">
              <w:rPr>
                <w:sz w:val="15"/>
              </w:rPr>
              <w:t>British Gas Energy Trust (2024); British Gas (n.d.-a; n.d.-b; n.d.-c)</w:t>
            </w:r>
          </w:p>
        </w:tc>
        <w:tc>
          <w:tcPr>
            <w:tcW w:w="1224" w:type="dxa"/>
            <w:tcMar>
              <w:top w:w="75" w:type="dxa"/>
              <w:left w:w="90" w:type="dxa"/>
              <w:bottom w:w="75" w:type="dxa"/>
              <w:right w:w="90" w:type="dxa"/>
            </w:tcMar>
            <w:vAlign w:val="center"/>
          </w:tcPr>
          <w:p w14:paraId="5DB7D6BD" w14:textId="77777777" w:rsidR="00C342BF" w:rsidRPr="001D6B2E" w:rsidRDefault="00000000">
            <w:pPr>
              <w:spacing w:after="40" w:line="240" w:lineRule="auto"/>
            </w:pPr>
            <w:r w:rsidRPr="001D6B2E">
              <w:rPr>
                <w:sz w:val="15"/>
              </w:rPr>
              <w:t>Focal</w:t>
            </w:r>
          </w:p>
        </w:tc>
        <w:tc>
          <w:tcPr>
            <w:tcW w:w="1152" w:type="dxa"/>
            <w:tcMar>
              <w:top w:w="75" w:type="dxa"/>
              <w:left w:w="90" w:type="dxa"/>
              <w:bottom w:w="75" w:type="dxa"/>
              <w:right w:w="90" w:type="dxa"/>
            </w:tcMar>
            <w:vAlign w:val="center"/>
          </w:tcPr>
          <w:p w14:paraId="70B5EAB9" w14:textId="77777777" w:rsidR="00C342BF" w:rsidRPr="001D6B2E" w:rsidRDefault="00000000">
            <w:pPr>
              <w:spacing w:after="40" w:line="240" w:lineRule="auto"/>
            </w:pPr>
            <w:r w:rsidRPr="001D6B2E">
              <w:rPr>
                <w:sz w:val="15"/>
              </w:rPr>
              <w:t>Objectives 1-2</w:t>
            </w:r>
          </w:p>
        </w:tc>
        <w:tc>
          <w:tcPr>
            <w:tcW w:w="2664" w:type="dxa"/>
            <w:tcMar>
              <w:top w:w="75" w:type="dxa"/>
              <w:left w:w="90" w:type="dxa"/>
              <w:bottom w:w="75" w:type="dxa"/>
              <w:right w:w="90" w:type="dxa"/>
            </w:tcMar>
            <w:vAlign w:val="center"/>
          </w:tcPr>
          <w:p w14:paraId="0DFAA1CA" w14:textId="77777777" w:rsidR="00C342BF" w:rsidRPr="001D6B2E" w:rsidRDefault="00000000">
            <w:pPr>
              <w:spacing w:after="40" w:line="240" w:lineRule="auto"/>
            </w:pPr>
            <w:r w:rsidRPr="001D6B2E">
              <w:rPr>
                <w:sz w:val="15"/>
              </w:rPr>
              <w:t>Evaluate independence, reach and accountability</w:t>
            </w:r>
          </w:p>
        </w:tc>
      </w:tr>
      <w:tr w:rsidR="00C342BF" w:rsidRPr="001D6B2E" w14:paraId="1C4700AD" w14:textId="77777777">
        <w:trPr>
          <w:cantSplit/>
        </w:trPr>
        <w:tc>
          <w:tcPr>
            <w:tcW w:w="1800" w:type="dxa"/>
            <w:shd w:val="clear" w:color="auto" w:fill="F3F4F6"/>
            <w:tcMar>
              <w:top w:w="75" w:type="dxa"/>
              <w:left w:w="90" w:type="dxa"/>
              <w:bottom w:w="75" w:type="dxa"/>
              <w:right w:w="90" w:type="dxa"/>
            </w:tcMar>
            <w:vAlign w:val="center"/>
          </w:tcPr>
          <w:p w14:paraId="7A56A093" w14:textId="77777777" w:rsidR="00C342BF" w:rsidRPr="001D6B2E" w:rsidRDefault="00000000">
            <w:pPr>
              <w:spacing w:after="40" w:line="240" w:lineRule="auto"/>
            </w:pPr>
            <w:r w:rsidRPr="001D6B2E">
              <w:rPr>
                <w:b/>
                <w:sz w:val="15"/>
              </w:rPr>
              <w:t>Octopus presents the broadest integrated support bundle</w:t>
            </w:r>
          </w:p>
        </w:tc>
        <w:tc>
          <w:tcPr>
            <w:tcW w:w="2232" w:type="dxa"/>
            <w:shd w:val="clear" w:color="auto" w:fill="F3F4F6"/>
            <w:tcMar>
              <w:top w:w="75" w:type="dxa"/>
              <w:left w:w="90" w:type="dxa"/>
              <w:bottom w:w="75" w:type="dxa"/>
              <w:right w:w="90" w:type="dxa"/>
            </w:tcMar>
            <w:vAlign w:val="center"/>
          </w:tcPr>
          <w:p w14:paraId="685B3131" w14:textId="77777777" w:rsidR="00C342BF" w:rsidRPr="001D6B2E" w:rsidRDefault="00000000">
            <w:pPr>
              <w:spacing w:after="40" w:line="240" w:lineRule="auto"/>
            </w:pPr>
            <w:r w:rsidRPr="001D6B2E">
              <w:rPr>
                <w:sz w:val="15"/>
              </w:rPr>
              <w:t>Octopus Energy (2022a; 2022b; 2025); Octopus Energy Limited (2023)</w:t>
            </w:r>
          </w:p>
        </w:tc>
        <w:tc>
          <w:tcPr>
            <w:tcW w:w="1224" w:type="dxa"/>
            <w:shd w:val="clear" w:color="auto" w:fill="F3F4F6"/>
            <w:tcMar>
              <w:top w:w="75" w:type="dxa"/>
              <w:left w:w="90" w:type="dxa"/>
              <w:bottom w:w="75" w:type="dxa"/>
              <w:right w:w="90" w:type="dxa"/>
            </w:tcMar>
            <w:vAlign w:val="center"/>
          </w:tcPr>
          <w:p w14:paraId="0D7B2681" w14:textId="77777777" w:rsidR="00C342BF" w:rsidRPr="001D6B2E" w:rsidRDefault="00000000">
            <w:pPr>
              <w:spacing w:after="40" w:line="240" w:lineRule="auto"/>
            </w:pPr>
            <w:r w:rsidRPr="001D6B2E">
              <w:rPr>
                <w:sz w:val="15"/>
              </w:rPr>
              <w:t>Focal</w:t>
            </w:r>
          </w:p>
        </w:tc>
        <w:tc>
          <w:tcPr>
            <w:tcW w:w="1152" w:type="dxa"/>
            <w:shd w:val="clear" w:color="auto" w:fill="F3F4F6"/>
            <w:tcMar>
              <w:top w:w="75" w:type="dxa"/>
              <w:left w:w="90" w:type="dxa"/>
              <w:bottom w:w="75" w:type="dxa"/>
              <w:right w:w="90" w:type="dxa"/>
            </w:tcMar>
            <w:vAlign w:val="center"/>
          </w:tcPr>
          <w:p w14:paraId="4880E673" w14:textId="77777777" w:rsidR="00C342BF" w:rsidRPr="001D6B2E" w:rsidRDefault="00000000">
            <w:pPr>
              <w:spacing w:after="40" w:line="240" w:lineRule="auto"/>
            </w:pPr>
            <w:r w:rsidRPr="001D6B2E">
              <w:rPr>
                <w:sz w:val="15"/>
              </w:rPr>
              <w:t>Objectives 1-2</w:t>
            </w:r>
          </w:p>
        </w:tc>
        <w:tc>
          <w:tcPr>
            <w:tcW w:w="2664" w:type="dxa"/>
            <w:shd w:val="clear" w:color="auto" w:fill="F3F4F6"/>
            <w:tcMar>
              <w:top w:w="75" w:type="dxa"/>
              <w:left w:w="90" w:type="dxa"/>
              <w:bottom w:w="75" w:type="dxa"/>
              <w:right w:w="90" w:type="dxa"/>
            </w:tcMar>
            <w:vAlign w:val="center"/>
          </w:tcPr>
          <w:p w14:paraId="14159D7A" w14:textId="77777777" w:rsidR="00C342BF" w:rsidRPr="001D6B2E" w:rsidRDefault="00000000">
            <w:pPr>
              <w:spacing w:after="40" w:line="240" w:lineRule="auto"/>
            </w:pPr>
            <w:r w:rsidRPr="001D6B2E">
              <w:rPr>
                <w:sz w:val="15"/>
              </w:rPr>
              <w:t>Evaluate visibility, targeting and evidence quality</w:t>
            </w:r>
          </w:p>
        </w:tc>
      </w:tr>
      <w:tr w:rsidR="00C342BF" w:rsidRPr="001D6B2E" w14:paraId="3F2EF7BF" w14:textId="77777777">
        <w:trPr>
          <w:cantSplit/>
        </w:trPr>
        <w:tc>
          <w:tcPr>
            <w:tcW w:w="1800" w:type="dxa"/>
            <w:tcMar>
              <w:top w:w="75" w:type="dxa"/>
              <w:left w:w="90" w:type="dxa"/>
              <w:bottom w:w="75" w:type="dxa"/>
              <w:right w:w="90" w:type="dxa"/>
            </w:tcMar>
            <w:vAlign w:val="center"/>
          </w:tcPr>
          <w:p w14:paraId="6AF1BEE4" w14:textId="77777777" w:rsidR="00C342BF" w:rsidRPr="001D6B2E" w:rsidRDefault="00000000">
            <w:pPr>
              <w:spacing w:after="40" w:line="240" w:lineRule="auto"/>
            </w:pPr>
            <w:r w:rsidRPr="001D6B2E">
              <w:rPr>
                <w:b/>
                <w:sz w:val="15"/>
              </w:rPr>
              <w:t>Supplier outcome disclosure is uneven</w:t>
            </w:r>
          </w:p>
        </w:tc>
        <w:tc>
          <w:tcPr>
            <w:tcW w:w="2232" w:type="dxa"/>
            <w:tcMar>
              <w:top w:w="75" w:type="dxa"/>
              <w:left w:w="90" w:type="dxa"/>
              <w:bottom w:w="75" w:type="dxa"/>
              <w:right w:w="90" w:type="dxa"/>
            </w:tcMar>
            <w:vAlign w:val="center"/>
          </w:tcPr>
          <w:p w14:paraId="57352D0F" w14:textId="77777777" w:rsidR="00C342BF" w:rsidRPr="001D6B2E" w:rsidRDefault="00000000">
            <w:pPr>
              <w:spacing w:after="40" w:line="240" w:lineRule="auto"/>
            </w:pPr>
            <w:r w:rsidRPr="001D6B2E">
              <w:rPr>
                <w:sz w:val="15"/>
              </w:rPr>
              <w:t>Company reports and retained supplier pages</w:t>
            </w:r>
          </w:p>
        </w:tc>
        <w:tc>
          <w:tcPr>
            <w:tcW w:w="1224" w:type="dxa"/>
            <w:tcMar>
              <w:top w:w="75" w:type="dxa"/>
              <w:left w:w="90" w:type="dxa"/>
              <w:bottom w:w="75" w:type="dxa"/>
              <w:right w:w="90" w:type="dxa"/>
            </w:tcMar>
            <w:vAlign w:val="center"/>
          </w:tcPr>
          <w:p w14:paraId="2E0E786F" w14:textId="77777777" w:rsidR="00C342BF" w:rsidRPr="001D6B2E" w:rsidRDefault="00000000">
            <w:pPr>
              <w:spacing w:after="40" w:line="240" w:lineRule="auto"/>
            </w:pPr>
            <w:r w:rsidRPr="001D6B2E">
              <w:rPr>
                <w:sz w:val="15"/>
              </w:rPr>
              <w:t>Cross-case</w:t>
            </w:r>
          </w:p>
        </w:tc>
        <w:tc>
          <w:tcPr>
            <w:tcW w:w="1152" w:type="dxa"/>
            <w:tcMar>
              <w:top w:w="75" w:type="dxa"/>
              <w:left w:w="90" w:type="dxa"/>
              <w:bottom w:w="75" w:type="dxa"/>
              <w:right w:w="90" w:type="dxa"/>
            </w:tcMar>
            <w:vAlign w:val="center"/>
          </w:tcPr>
          <w:p w14:paraId="7C2F07F2" w14:textId="77777777" w:rsidR="00C342BF" w:rsidRPr="001D6B2E" w:rsidRDefault="00000000">
            <w:pPr>
              <w:spacing w:after="40" w:line="240" w:lineRule="auto"/>
            </w:pPr>
            <w:r w:rsidRPr="001D6B2E">
              <w:rPr>
                <w:sz w:val="15"/>
              </w:rPr>
              <w:t>Objective 2</w:t>
            </w:r>
          </w:p>
        </w:tc>
        <w:tc>
          <w:tcPr>
            <w:tcW w:w="2664" w:type="dxa"/>
            <w:tcMar>
              <w:top w:w="75" w:type="dxa"/>
              <w:left w:w="90" w:type="dxa"/>
              <w:bottom w:w="75" w:type="dxa"/>
              <w:right w:w="90" w:type="dxa"/>
            </w:tcMar>
            <w:vAlign w:val="center"/>
          </w:tcPr>
          <w:p w14:paraId="3350D603" w14:textId="77777777" w:rsidR="00C342BF" w:rsidRPr="001D6B2E" w:rsidRDefault="00000000">
            <w:pPr>
              <w:spacing w:after="40" w:line="240" w:lineRule="auto"/>
            </w:pPr>
            <w:r w:rsidRPr="001D6B2E">
              <w:rPr>
                <w:sz w:val="15"/>
              </w:rPr>
              <w:t>Assess transparency without treating absence as failure</w:t>
            </w:r>
          </w:p>
        </w:tc>
      </w:tr>
      <w:tr w:rsidR="00C342BF" w:rsidRPr="001D6B2E" w14:paraId="513251F2" w14:textId="77777777">
        <w:trPr>
          <w:cantSplit/>
        </w:trPr>
        <w:tc>
          <w:tcPr>
            <w:tcW w:w="1800" w:type="dxa"/>
            <w:shd w:val="clear" w:color="auto" w:fill="F3F4F6"/>
            <w:tcMar>
              <w:top w:w="75" w:type="dxa"/>
              <w:left w:w="90" w:type="dxa"/>
              <w:bottom w:w="75" w:type="dxa"/>
              <w:right w:w="90" w:type="dxa"/>
            </w:tcMar>
            <w:vAlign w:val="center"/>
          </w:tcPr>
          <w:p w14:paraId="07E33F3E" w14:textId="77777777" w:rsidR="00C342BF" w:rsidRPr="001D6B2E" w:rsidRDefault="00000000">
            <w:pPr>
              <w:spacing w:after="40" w:line="240" w:lineRule="auto"/>
            </w:pPr>
            <w:r w:rsidRPr="001D6B2E">
              <w:rPr>
                <w:b/>
                <w:sz w:val="15"/>
              </w:rPr>
              <w:t>Regulatory evidence identifies policy-delivery gaps</w:t>
            </w:r>
          </w:p>
        </w:tc>
        <w:tc>
          <w:tcPr>
            <w:tcW w:w="2232" w:type="dxa"/>
            <w:shd w:val="clear" w:color="auto" w:fill="F3F4F6"/>
            <w:tcMar>
              <w:top w:w="75" w:type="dxa"/>
              <w:left w:w="90" w:type="dxa"/>
              <w:bottom w:w="75" w:type="dxa"/>
              <w:right w:w="90" w:type="dxa"/>
            </w:tcMar>
            <w:vAlign w:val="center"/>
          </w:tcPr>
          <w:p w14:paraId="33FDF3BB" w14:textId="77777777" w:rsidR="00C342BF" w:rsidRPr="001D6B2E" w:rsidRDefault="00000000">
            <w:pPr>
              <w:spacing w:after="40" w:line="240" w:lineRule="auto"/>
            </w:pPr>
            <w:r w:rsidRPr="001D6B2E">
              <w:rPr>
                <w:sz w:val="15"/>
              </w:rPr>
              <w:t>Ofgem (2022a; 2022b; 2023a; 2023b; 2024d; 2026a; 2026e)</w:t>
            </w:r>
          </w:p>
        </w:tc>
        <w:tc>
          <w:tcPr>
            <w:tcW w:w="1224" w:type="dxa"/>
            <w:shd w:val="clear" w:color="auto" w:fill="F3F4F6"/>
            <w:tcMar>
              <w:top w:w="75" w:type="dxa"/>
              <w:left w:w="90" w:type="dxa"/>
              <w:bottom w:w="75" w:type="dxa"/>
              <w:right w:w="90" w:type="dxa"/>
            </w:tcMar>
            <w:vAlign w:val="center"/>
          </w:tcPr>
          <w:p w14:paraId="307C2E57" w14:textId="77777777" w:rsidR="00C342BF" w:rsidRPr="001D6B2E" w:rsidRDefault="00000000">
            <w:pPr>
              <w:spacing w:after="40" w:line="240" w:lineRule="auto"/>
            </w:pPr>
            <w:r w:rsidRPr="001D6B2E">
              <w:rPr>
                <w:sz w:val="15"/>
              </w:rPr>
              <w:t>Shared</w:t>
            </w:r>
          </w:p>
        </w:tc>
        <w:tc>
          <w:tcPr>
            <w:tcW w:w="1152" w:type="dxa"/>
            <w:shd w:val="clear" w:color="auto" w:fill="F3F4F6"/>
            <w:tcMar>
              <w:top w:w="75" w:type="dxa"/>
              <w:left w:w="90" w:type="dxa"/>
              <w:bottom w:w="75" w:type="dxa"/>
              <w:right w:w="90" w:type="dxa"/>
            </w:tcMar>
            <w:vAlign w:val="center"/>
          </w:tcPr>
          <w:p w14:paraId="270A9E8B" w14:textId="77777777" w:rsidR="00C342BF" w:rsidRPr="001D6B2E" w:rsidRDefault="00000000">
            <w:pPr>
              <w:spacing w:after="40" w:line="240" w:lineRule="auto"/>
            </w:pPr>
            <w:r w:rsidRPr="001D6B2E">
              <w:rPr>
                <w:sz w:val="15"/>
              </w:rPr>
              <w:t>Objective 2</w:t>
            </w:r>
          </w:p>
        </w:tc>
        <w:tc>
          <w:tcPr>
            <w:tcW w:w="2664" w:type="dxa"/>
            <w:shd w:val="clear" w:color="auto" w:fill="F3F4F6"/>
            <w:tcMar>
              <w:top w:w="75" w:type="dxa"/>
              <w:left w:w="90" w:type="dxa"/>
              <w:bottom w:w="75" w:type="dxa"/>
              <w:right w:w="90" w:type="dxa"/>
            </w:tcMar>
            <w:vAlign w:val="center"/>
          </w:tcPr>
          <w:p w14:paraId="5D70F34A" w14:textId="77777777" w:rsidR="00C342BF" w:rsidRPr="001D6B2E" w:rsidRDefault="00000000">
            <w:pPr>
              <w:spacing w:after="40" w:line="240" w:lineRule="auto"/>
            </w:pPr>
            <w:r w:rsidRPr="001D6B2E">
              <w:rPr>
                <w:sz w:val="15"/>
              </w:rPr>
              <w:t>Interpret integrity and consistency</w:t>
            </w:r>
          </w:p>
        </w:tc>
      </w:tr>
      <w:tr w:rsidR="00C342BF" w:rsidRPr="001D6B2E" w14:paraId="0C7C7F60" w14:textId="77777777">
        <w:trPr>
          <w:cantSplit/>
        </w:trPr>
        <w:tc>
          <w:tcPr>
            <w:tcW w:w="1800" w:type="dxa"/>
            <w:tcMar>
              <w:top w:w="75" w:type="dxa"/>
              <w:left w:w="90" w:type="dxa"/>
              <w:bottom w:w="75" w:type="dxa"/>
              <w:right w:w="90" w:type="dxa"/>
            </w:tcMar>
            <w:vAlign w:val="center"/>
          </w:tcPr>
          <w:p w14:paraId="127E989E" w14:textId="77777777" w:rsidR="00C342BF" w:rsidRPr="001D6B2E" w:rsidRDefault="00000000">
            <w:pPr>
              <w:spacing w:after="40" w:line="240" w:lineRule="auto"/>
            </w:pPr>
            <w:r w:rsidRPr="001D6B2E">
              <w:rPr>
                <w:b/>
                <w:sz w:val="15"/>
              </w:rPr>
              <w:t>Satisfaction differs across the five suppliers</w:t>
            </w:r>
          </w:p>
        </w:tc>
        <w:tc>
          <w:tcPr>
            <w:tcW w:w="2232" w:type="dxa"/>
            <w:tcMar>
              <w:top w:w="75" w:type="dxa"/>
              <w:left w:w="90" w:type="dxa"/>
              <w:bottom w:w="75" w:type="dxa"/>
              <w:right w:w="90" w:type="dxa"/>
            </w:tcMar>
            <w:vAlign w:val="center"/>
          </w:tcPr>
          <w:p w14:paraId="1DB1A7DD" w14:textId="77777777" w:rsidR="00C342BF" w:rsidRPr="001D6B2E" w:rsidRDefault="00000000">
            <w:pPr>
              <w:spacing w:after="40" w:line="240" w:lineRule="auto"/>
            </w:pPr>
            <w:r w:rsidRPr="001D6B2E">
              <w:rPr>
                <w:sz w:val="15"/>
              </w:rPr>
              <w:t>Ofgem (2024b)</w:t>
            </w:r>
          </w:p>
        </w:tc>
        <w:tc>
          <w:tcPr>
            <w:tcW w:w="1224" w:type="dxa"/>
            <w:tcMar>
              <w:top w:w="75" w:type="dxa"/>
              <w:left w:w="90" w:type="dxa"/>
              <w:bottom w:w="75" w:type="dxa"/>
              <w:right w:w="90" w:type="dxa"/>
            </w:tcMar>
            <w:vAlign w:val="center"/>
          </w:tcPr>
          <w:p w14:paraId="4381812F" w14:textId="77777777" w:rsidR="00C342BF" w:rsidRPr="001D6B2E" w:rsidRDefault="00000000">
            <w:pPr>
              <w:spacing w:after="40" w:line="240" w:lineRule="auto"/>
            </w:pPr>
            <w:r w:rsidRPr="001D6B2E">
              <w:rPr>
                <w:sz w:val="15"/>
              </w:rPr>
              <w:t>Shared</w:t>
            </w:r>
          </w:p>
        </w:tc>
        <w:tc>
          <w:tcPr>
            <w:tcW w:w="1152" w:type="dxa"/>
            <w:tcMar>
              <w:top w:w="75" w:type="dxa"/>
              <w:left w:w="90" w:type="dxa"/>
              <w:bottom w:w="75" w:type="dxa"/>
              <w:right w:w="90" w:type="dxa"/>
            </w:tcMar>
            <w:vAlign w:val="center"/>
          </w:tcPr>
          <w:p w14:paraId="5A45AEE1" w14:textId="77777777" w:rsidR="00C342BF" w:rsidRPr="001D6B2E" w:rsidRDefault="00000000">
            <w:pPr>
              <w:spacing w:after="40" w:line="240" w:lineRule="auto"/>
            </w:pPr>
            <w:r w:rsidRPr="001D6B2E">
              <w:rPr>
                <w:sz w:val="15"/>
              </w:rPr>
              <w:t>RQ context</w:t>
            </w:r>
          </w:p>
        </w:tc>
        <w:tc>
          <w:tcPr>
            <w:tcW w:w="2664" w:type="dxa"/>
            <w:tcMar>
              <w:top w:w="75" w:type="dxa"/>
              <w:left w:w="90" w:type="dxa"/>
              <w:bottom w:w="75" w:type="dxa"/>
              <w:right w:w="90" w:type="dxa"/>
            </w:tcMar>
            <w:vAlign w:val="center"/>
          </w:tcPr>
          <w:p w14:paraId="3E52E087" w14:textId="77777777" w:rsidR="00C342BF" w:rsidRPr="001D6B2E" w:rsidRDefault="00000000">
            <w:pPr>
              <w:spacing w:after="40" w:line="240" w:lineRule="auto"/>
            </w:pPr>
            <w:r w:rsidRPr="001D6B2E">
              <w:rPr>
                <w:sz w:val="15"/>
              </w:rPr>
              <w:t>Use as non-causal contextual evidence</w:t>
            </w:r>
          </w:p>
        </w:tc>
      </w:tr>
      <w:tr w:rsidR="00C342BF" w:rsidRPr="001D6B2E" w14:paraId="23B527F1" w14:textId="77777777">
        <w:trPr>
          <w:cantSplit/>
        </w:trPr>
        <w:tc>
          <w:tcPr>
            <w:tcW w:w="1800" w:type="dxa"/>
            <w:shd w:val="clear" w:color="auto" w:fill="F3F4F6"/>
            <w:tcMar>
              <w:top w:w="75" w:type="dxa"/>
              <w:left w:w="90" w:type="dxa"/>
              <w:bottom w:w="75" w:type="dxa"/>
              <w:right w:w="90" w:type="dxa"/>
            </w:tcMar>
            <w:vAlign w:val="center"/>
          </w:tcPr>
          <w:p w14:paraId="1F2F41AC" w14:textId="77777777" w:rsidR="00C342BF" w:rsidRPr="001D6B2E" w:rsidRDefault="00000000">
            <w:pPr>
              <w:spacing w:after="40" w:line="240" w:lineRule="auto"/>
            </w:pPr>
            <w:r w:rsidRPr="001D6B2E">
              <w:rPr>
                <w:b/>
                <w:sz w:val="15"/>
              </w:rPr>
              <w:t>The benchmark cases share focal policy features</w:t>
            </w:r>
          </w:p>
        </w:tc>
        <w:tc>
          <w:tcPr>
            <w:tcW w:w="2232" w:type="dxa"/>
            <w:shd w:val="clear" w:color="auto" w:fill="F3F4F6"/>
            <w:tcMar>
              <w:top w:w="75" w:type="dxa"/>
              <w:left w:w="90" w:type="dxa"/>
              <w:bottom w:w="75" w:type="dxa"/>
              <w:right w:w="90" w:type="dxa"/>
            </w:tcMar>
            <w:vAlign w:val="center"/>
          </w:tcPr>
          <w:p w14:paraId="72F71502" w14:textId="77777777" w:rsidR="00C342BF" w:rsidRPr="001D6B2E" w:rsidRDefault="00000000">
            <w:pPr>
              <w:spacing w:after="40" w:line="240" w:lineRule="auto"/>
            </w:pPr>
            <w:r w:rsidRPr="001D6B2E">
              <w:rPr>
                <w:sz w:val="15"/>
              </w:rPr>
              <w:t>E.ON Next, OVO Energy and EDF Energy case evidence</w:t>
            </w:r>
          </w:p>
        </w:tc>
        <w:tc>
          <w:tcPr>
            <w:tcW w:w="1224" w:type="dxa"/>
            <w:shd w:val="clear" w:color="auto" w:fill="F3F4F6"/>
            <w:tcMar>
              <w:top w:w="75" w:type="dxa"/>
              <w:left w:w="90" w:type="dxa"/>
              <w:bottom w:w="75" w:type="dxa"/>
              <w:right w:w="90" w:type="dxa"/>
            </w:tcMar>
            <w:vAlign w:val="center"/>
          </w:tcPr>
          <w:p w14:paraId="0BEDF068" w14:textId="77777777" w:rsidR="00C342BF" w:rsidRPr="001D6B2E" w:rsidRDefault="00000000">
            <w:pPr>
              <w:spacing w:after="40" w:line="240" w:lineRule="auto"/>
            </w:pPr>
            <w:r w:rsidRPr="001D6B2E">
              <w:rPr>
                <w:sz w:val="15"/>
              </w:rPr>
              <w:t>Benchmark</w:t>
            </w:r>
          </w:p>
        </w:tc>
        <w:tc>
          <w:tcPr>
            <w:tcW w:w="1152" w:type="dxa"/>
            <w:shd w:val="clear" w:color="auto" w:fill="F3F4F6"/>
            <w:tcMar>
              <w:top w:w="75" w:type="dxa"/>
              <w:left w:w="90" w:type="dxa"/>
              <w:bottom w:w="75" w:type="dxa"/>
              <w:right w:w="90" w:type="dxa"/>
            </w:tcMar>
            <w:vAlign w:val="center"/>
          </w:tcPr>
          <w:p w14:paraId="422C70DD" w14:textId="77777777" w:rsidR="00C342BF" w:rsidRPr="001D6B2E" w:rsidRDefault="00000000">
            <w:pPr>
              <w:spacing w:after="40" w:line="240" w:lineRule="auto"/>
            </w:pPr>
            <w:r w:rsidRPr="001D6B2E">
              <w:rPr>
                <w:sz w:val="15"/>
              </w:rPr>
              <w:t>Objectives 1-2</w:t>
            </w:r>
          </w:p>
        </w:tc>
        <w:tc>
          <w:tcPr>
            <w:tcW w:w="2664" w:type="dxa"/>
            <w:shd w:val="clear" w:color="auto" w:fill="F3F4F6"/>
            <w:tcMar>
              <w:top w:w="75" w:type="dxa"/>
              <w:left w:w="90" w:type="dxa"/>
              <w:bottom w:w="75" w:type="dxa"/>
              <w:right w:w="90" w:type="dxa"/>
            </w:tcMar>
            <w:vAlign w:val="center"/>
          </w:tcPr>
          <w:p w14:paraId="3DF2B922" w14:textId="77777777" w:rsidR="00C342BF" w:rsidRPr="001D6B2E" w:rsidRDefault="00000000">
            <w:pPr>
              <w:spacing w:after="40" w:line="240" w:lineRule="auto"/>
            </w:pPr>
            <w:r w:rsidRPr="001D6B2E">
              <w:rPr>
                <w:sz w:val="15"/>
              </w:rPr>
              <w:t>Test whether focal practices are distinctive</w:t>
            </w:r>
          </w:p>
        </w:tc>
      </w:tr>
      <w:tr w:rsidR="00C342BF" w:rsidRPr="001D6B2E" w14:paraId="12EC7DC9" w14:textId="77777777">
        <w:trPr>
          <w:cantSplit/>
        </w:trPr>
        <w:tc>
          <w:tcPr>
            <w:tcW w:w="1800" w:type="dxa"/>
            <w:tcMar>
              <w:top w:w="75" w:type="dxa"/>
              <w:left w:w="90" w:type="dxa"/>
              <w:bottom w:w="75" w:type="dxa"/>
              <w:right w:w="90" w:type="dxa"/>
            </w:tcMar>
            <w:vAlign w:val="center"/>
          </w:tcPr>
          <w:p w14:paraId="77CA132D" w14:textId="77777777" w:rsidR="00C342BF" w:rsidRPr="001D6B2E" w:rsidRDefault="00000000">
            <w:pPr>
              <w:spacing w:after="40" w:line="240" w:lineRule="auto"/>
            </w:pPr>
            <w:r w:rsidRPr="001D6B2E">
              <w:rPr>
                <w:b/>
                <w:sz w:val="15"/>
              </w:rPr>
              <w:t>Remediation is visible but issue-specific</w:t>
            </w:r>
          </w:p>
        </w:tc>
        <w:tc>
          <w:tcPr>
            <w:tcW w:w="2232" w:type="dxa"/>
            <w:tcMar>
              <w:top w:w="75" w:type="dxa"/>
              <w:left w:w="90" w:type="dxa"/>
              <w:bottom w:w="75" w:type="dxa"/>
              <w:right w:w="90" w:type="dxa"/>
            </w:tcMar>
            <w:vAlign w:val="center"/>
          </w:tcPr>
          <w:p w14:paraId="1E4EA241" w14:textId="77777777" w:rsidR="00C342BF" w:rsidRPr="001D6B2E" w:rsidRDefault="00000000">
            <w:pPr>
              <w:spacing w:after="40" w:line="240" w:lineRule="auto"/>
            </w:pPr>
            <w:r w:rsidRPr="001D6B2E">
              <w:rPr>
                <w:sz w:val="15"/>
              </w:rPr>
              <w:t>Ofgem (2023b; 2024d; 2026a; 2026e)</w:t>
            </w:r>
          </w:p>
        </w:tc>
        <w:tc>
          <w:tcPr>
            <w:tcW w:w="1224" w:type="dxa"/>
            <w:tcMar>
              <w:top w:w="75" w:type="dxa"/>
              <w:left w:w="90" w:type="dxa"/>
              <w:bottom w:w="75" w:type="dxa"/>
              <w:right w:w="90" w:type="dxa"/>
            </w:tcMar>
            <w:vAlign w:val="center"/>
          </w:tcPr>
          <w:p w14:paraId="49B369A9" w14:textId="77777777" w:rsidR="00C342BF" w:rsidRPr="001D6B2E" w:rsidRDefault="00000000">
            <w:pPr>
              <w:spacing w:after="40" w:line="240" w:lineRule="auto"/>
            </w:pPr>
            <w:r w:rsidRPr="001D6B2E">
              <w:rPr>
                <w:sz w:val="15"/>
              </w:rPr>
              <w:t>Shared</w:t>
            </w:r>
          </w:p>
        </w:tc>
        <w:tc>
          <w:tcPr>
            <w:tcW w:w="1152" w:type="dxa"/>
            <w:tcMar>
              <w:top w:w="75" w:type="dxa"/>
              <w:left w:w="90" w:type="dxa"/>
              <w:bottom w:w="75" w:type="dxa"/>
              <w:right w:w="90" w:type="dxa"/>
            </w:tcMar>
            <w:vAlign w:val="center"/>
          </w:tcPr>
          <w:p w14:paraId="02E94E44" w14:textId="77777777" w:rsidR="00C342BF" w:rsidRPr="001D6B2E" w:rsidRDefault="00000000">
            <w:pPr>
              <w:spacing w:after="40" w:line="240" w:lineRule="auto"/>
            </w:pPr>
            <w:r w:rsidRPr="001D6B2E">
              <w:rPr>
                <w:sz w:val="15"/>
              </w:rPr>
              <w:t>Objective 2</w:t>
            </w:r>
          </w:p>
        </w:tc>
        <w:tc>
          <w:tcPr>
            <w:tcW w:w="2664" w:type="dxa"/>
            <w:tcMar>
              <w:top w:w="75" w:type="dxa"/>
              <w:left w:w="90" w:type="dxa"/>
              <w:bottom w:w="75" w:type="dxa"/>
              <w:right w:w="90" w:type="dxa"/>
            </w:tcMar>
            <w:vAlign w:val="center"/>
          </w:tcPr>
          <w:p w14:paraId="4B6C4053" w14:textId="77777777" w:rsidR="00C342BF" w:rsidRPr="001D6B2E" w:rsidRDefault="00000000">
            <w:pPr>
              <w:spacing w:after="40" w:line="240" w:lineRule="auto"/>
            </w:pPr>
            <w:r w:rsidRPr="001D6B2E">
              <w:rPr>
                <w:sz w:val="15"/>
              </w:rPr>
              <w:t>Evaluate accountability without overgeneralisation</w:t>
            </w:r>
          </w:p>
        </w:tc>
      </w:tr>
      <w:tr w:rsidR="00C342BF" w:rsidRPr="001D6B2E" w14:paraId="426CC527" w14:textId="77777777">
        <w:trPr>
          <w:cantSplit/>
        </w:trPr>
        <w:tc>
          <w:tcPr>
            <w:tcW w:w="1800" w:type="dxa"/>
            <w:shd w:val="clear" w:color="auto" w:fill="F3F4F6"/>
            <w:tcMar>
              <w:top w:w="75" w:type="dxa"/>
              <w:left w:w="90" w:type="dxa"/>
              <w:bottom w:w="75" w:type="dxa"/>
              <w:right w:w="90" w:type="dxa"/>
            </w:tcMar>
            <w:vAlign w:val="center"/>
          </w:tcPr>
          <w:p w14:paraId="15A23308" w14:textId="77777777" w:rsidR="00C342BF" w:rsidRPr="001D6B2E" w:rsidRDefault="00000000">
            <w:pPr>
              <w:spacing w:after="40" w:line="240" w:lineRule="auto"/>
            </w:pPr>
            <w:r w:rsidRPr="001D6B2E">
              <w:rPr>
                <w:b/>
                <w:sz w:val="15"/>
              </w:rPr>
              <w:t>Trust remains an inferred implication rather than a measured outcome</w:t>
            </w:r>
          </w:p>
        </w:tc>
        <w:tc>
          <w:tcPr>
            <w:tcW w:w="2232" w:type="dxa"/>
            <w:shd w:val="clear" w:color="auto" w:fill="F3F4F6"/>
            <w:tcMar>
              <w:top w:w="75" w:type="dxa"/>
              <w:left w:w="90" w:type="dxa"/>
              <w:bottom w:w="75" w:type="dxa"/>
              <w:right w:w="90" w:type="dxa"/>
            </w:tcMar>
            <w:vAlign w:val="center"/>
          </w:tcPr>
          <w:p w14:paraId="0A8C776D" w14:textId="77777777" w:rsidR="00C342BF" w:rsidRPr="001D6B2E" w:rsidRDefault="00000000">
            <w:pPr>
              <w:spacing w:after="40" w:line="240" w:lineRule="auto"/>
            </w:pPr>
            <w:r w:rsidRPr="001D6B2E">
              <w:rPr>
                <w:sz w:val="15"/>
              </w:rPr>
              <w:t>Chapter 2 framework and Chapter 4 evidence boundaries</w:t>
            </w:r>
          </w:p>
        </w:tc>
        <w:tc>
          <w:tcPr>
            <w:tcW w:w="1224" w:type="dxa"/>
            <w:shd w:val="clear" w:color="auto" w:fill="F3F4F6"/>
            <w:tcMar>
              <w:top w:w="75" w:type="dxa"/>
              <w:left w:w="90" w:type="dxa"/>
              <w:bottom w:w="75" w:type="dxa"/>
              <w:right w:w="90" w:type="dxa"/>
            </w:tcMar>
            <w:vAlign w:val="center"/>
          </w:tcPr>
          <w:p w14:paraId="49CE48F2" w14:textId="77777777" w:rsidR="00C342BF" w:rsidRPr="001D6B2E" w:rsidRDefault="00000000">
            <w:pPr>
              <w:spacing w:after="40" w:line="240" w:lineRule="auto"/>
            </w:pPr>
            <w:r w:rsidRPr="001D6B2E">
              <w:rPr>
                <w:sz w:val="15"/>
              </w:rPr>
              <w:t>Research boundary</w:t>
            </w:r>
          </w:p>
        </w:tc>
        <w:tc>
          <w:tcPr>
            <w:tcW w:w="1152" w:type="dxa"/>
            <w:shd w:val="clear" w:color="auto" w:fill="F3F4F6"/>
            <w:tcMar>
              <w:top w:w="75" w:type="dxa"/>
              <w:left w:w="90" w:type="dxa"/>
              <w:bottom w:w="75" w:type="dxa"/>
              <w:right w:w="90" w:type="dxa"/>
            </w:tcMar>
            <w:vAlign w:val="center"/>
          </w:tcPr>
          <w:p w14:paraId="09D1362C" w14:textId="77777777" w:rsidR="00C342BF" w:rsidRPr="001D6B2E" w:rsidRDefault="00000000">
            <w:pPr>
              <w:spacing w:after="40" w:line="240" w:lineRule="auto"/>
            </w:pPr>
            <w:r w:rsidRPr="001D6B2E">
              <w:rPr>
                <w:sz w:val="15"/>
              </w:rPr>
              <w:t>Research question</w:t>
            </w:r>
          </w:p>
        </w:tc>
        <w:tc>
          <w:tcPr>
            <w:tcW w:w="2664" w:type="dxa"/>
            <w:shd w:val="clear" w:color="auto" w:fill="F3F4F6"/>
            <w:tcMar>
              <w:top w:w="75" w:type="dxa"/>
              <w:left w:w="90" w:type="dxa"/>
              <w:bottom w:w="75" w:type="dxa"/>
              <w:right w:w="90" w:type="dxa"/>
            </w:tcMar>
            <w:vAlign w:val="center"/>
          </w:tcPr>
          <w:p w14:paraId="3A17E9B0" w14:textId="77777777" w:rsidR="00C342BF" w:rsidRPr="001D6B2E" w:rsidRDefault="00000000">
            <w:pPr>
              <w:spacing w:after="40" w:line="240" w:lineRule="auto"/>
            </w:pPr>
            <w:r w:rsidRPr="001D6B2E">
              <w:rPr>
                <w:sz w:val="15"/>
              </w:rPr>
              <w:t>Supports a bounded answer that distinguishes inferred trustworthiness from measured trust</w:t>
            </w:r>
          </w:p>
        </w:tc>
      </w:tr>
    </w:tbl>
    <w:p w14:paraId="61D43631" w14:textId="77777777" w:rsidR="00C342BF" w:rsidRPr="001D6B2E" w:rsidRDefault="00C342BF">
      <w:pPr>
        <w:spacing w:after="40"/>
      </w:pPr>
    </w:p>
    <w:p w14:paraId="252FEB84" w14:textId="77777777" w:rsidR="00C342BF" w:rsidRPr="006C18D4" w:rsidRDefault="00000000">
      <w:pPr>
        <w:pStyle w:val="Caption"/>
        <w:spacing w:line="360" w:lineRule="auto"/>
        <w:jc w:val="center"/>
      </w:pPr>
      <w:r>
        <w:t>Table B1: Alignment of Chapter 4 findings with the research objectives and subsequent interpretation.</w:t>
      </w:r>
    </w:p>
    <w:sectPr w:rsidR="00C342BF" w:rsidRPr="006C18D4" w:rsidSect="00034616">
      <w:footerReference w:type="default" r:id="rId18"/>
      <w:pgSz w:w="11909" w:h="16834"/>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96C57A" w14:textId="77777777" w:rsidR="00AD4223" w:rsidRDefault="00AD4223">
      <w:pPr>
        <w:spacing w:after="0" w:line="240" w:lineRule="auto"/>
      </w:pPr>
      <w:r>
        <w:separator/>
      </w:r>
    </w:p>
  </w:endnote>
  <w:endnote w:type="continuationSeparator" w:id="0">
    <w:p w14:paraId="39AD642A" w14:textId="77777777" w:rsidR="00AD4223" w:rsidRDefault="00AD4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5EA70C" w14:textId="77777777" w:rsidR="00C342BF" w:rsidRDefault="00000000">
    <w:pPr>
      <w:pStyle w:val="Footer"/>
      <w:jc w:val="center"/>
    </w:pPr>
    <w:r>
      <w:rPr>
        <w:sz w:val="20"/>
      </w:rPr>
      <w:t xml:space="preserve">Page </w:t>
    </w:r>
    <w:r>
      <w:rPr>
        <w:sz w:val="20"/>
      </w:rPr>
      <w:fldChar w:fldCharType="begin"/>
    </w:r>
    <w:r>
      <w:rPr>
        <w:sz w:val="20"/>
      </w:rPr>
      <w:instrText>PAGE</w:instrText>
    </w:r>
    <w:r>
      <w:rPr>
        <w:sz w:val="20"/>
      </w:rPr>
      <w:fldChar w:fldCharType="separate"/>
    </w:r>
    <w:r>
      <w:rPr>
        <w:sz w:val="20"/>
      </w:rPr>
      <w:t>1</w:t>
    </w:r>
    <w:r>
      <w:rPr>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A7BCC0" w14:textId="77777777" w:rsidR="00C61975" w:rsidRDefault="00C619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2A1F3D" w14:textId="77777777" w:rsidR="00C342BF" w:rsidRDefault="00000000">
    <w:pPr>
      <w:pStyle w:val="Footer"/>
      <w:jc w:val="center"/>
    </w:pPr>
    <w:r>
      <w:rPr>
        <w:sz w:val="20"/>
      </w:rPr>
      <w:t xml:space="preserve">Page </w:t>
    </w:r>
    <w:r>
      <w:rPr>
        <w:sz w:val="20"/>
      </w:rPr>
      <w:fldChar w:fldCharType="begin"/>
    </w:r>
    <w:r>
      <w:rPr>
        <w:sz w:val="20"/>
      </w:rPr>
      <w:instrText>PAGE</w:instrText>
    </w:r>
    <w:r>
      <w:rPr>
        <w:sz w:val="20"/>
      </w:rPr>
      <w:fldChar w:fldCharType="separate"/>
    </w:r>
    <w:r>
      <w:rPr>
        <w:sz w:val="20"/>
      </w:rPr>
      <w:t>1</w:t>
    </w:r>
    <w:r>
      <w:rPr>
        <w:sz w:val="20"/>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1B980F" w14:textId="77777777" w:rsidR="00C342BF" w:rsidRDefault="00000000">
    <w:pPr>
      <w:pStyle w:val="Footer"/>
      <w:jc w:val="center"/>
    </w:pPr>
    <w:r>
      <w:rPr>
        <w:sz w:val="20"/>
      </w:rPr>
      <w:t xml:space="preserve">Page </w:t>
    </w:r>
    <w:r>
      <w:rPr>
        <w:sz w:val="20"/>
      </w:rPr>
      <w:fldChar w:fldCharType="begin"/>
    </w:r>
    <w:r>
      <w:rPr>
        <w:sz w:val="20"/>
      </w:rPr>
      <w:instrText>PAGE</w:instrText>
    </w:r>
    <w:r>
      <w:rPr>
        <w:sz w:val="20"/>
      </w:rPr>
      <w:fldChar w:fldCharType="separate"/>
    </w:r>
    <w:r>
      <w:rPr>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CA067" w14:textId="77777777" w:rsidR="00AD4223" w:rsidRDefault="00AD4223">
      <w:pPr>
        <w:spacing w:after="0" w:line="240" w:lineRule="auto"/>
      </w:pPr>
      <w:r>
        <w:separator/>
      </w:r>
    </w:p>
  </w:footnote>
  <w:footnote w:type="continuationSeparator" w:id="0">
    <w:p w14:paraId="751030D2" w14:textId="77777777" w:rsidR="00AD4223" w:rsidRDefault="00AD42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91959394">
    <w:abstractNumId w:val="8"/>
  </w:num>
  <w:num w:numId="2" w16cid:durableId="1224834933">
    <w:abstractNumId w:val="6"/>
  </w:num>
  <w:num w:numId="3" w16cid:durableId="885218178">
    <w:abstractNumId w:val="5"/>
  </w:num>
  <w:num w:numId="4" w16cid:durableId="2007904916">
    <w:abstractNumId w:val="4"/>
  </w:num>
  <w:num w:numId="5" w16cid:durableId="358550449">
    <w:abstractNumId w:val="7"/>
  </w:num>
  <w:num w:numId="6" w16cid:durableId="1516309507">
    <w:abstractNumId w:val="3"/>
  </w:num>
  <w:num w:numId="7" w16cid:durableId="2133474861">
    <w:abstractNumId w:val="2"/>
  </w:num>
  <w:num w:numId="8" w16cid:durableId="1132209213">
    <w:abstractNumId w:val="1"/>
  </w:num>
  <w:num w:numId="9" w16cid:durableId="391588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3C98"/>
    <w:rsid w:val="0006063C"/>
    <w:rsid w:val="000741D5"/>
    <w:rsid w:val="00091F5C"/>
    <w:rsid w:val="00092A4B"/>
    <w:rsid w:val="000A10C0"/>
    <w:rsid w:val="000E32CA"/>
    <w:rsid w:val="0011663F"/>
    <w:rsid w:val="00135607"/>
    <w:rsid w:val="0015074B"/>
    <w:rsid w:val="00163987"/>
    <w:rsid w:val="001B49BD"/>
    <w:rsid w:val="001D1ABC"/>
    <w:rsid w:val="001D6B2E"/>
    <w:rsid w:val="0029639D"/>
    <w:rsid w:val="00322240"/>
    <w:rsid w:val="00326F90"/>
    <w:rsid w:val="00333DF7"/>
    <w:rsid w:val="003471B2"/>
    <w:rsid w:val="003A5EA6"/>
    <w:rsid w:val="003E678A"/>
    <w:rsid w:val="003F124F"/>
    <w:rsid w:val="0046679B"/>
    <w:rsid w:val="00493D5B"/>
    <w:rsid w:val="0049611A"/>
    <w:rsid w:val="00503891"/>
    <w:rsid w:val="005908D5"/>
    <w:rsid w:val="00612F9A"/>
    <w:rsid w:val="006C18D4"/>
    <w:rsid w:val="00765859"/>
    <w:rsid w:val="00781693"/>
    <w:rsid w:val="007B35F6"/>
    <w:rsid w:val="007F0323"/>
    <w:rsid w:val="00847116"/>
    <w:rsid w:val="0088796B"/>
    <w:rsid w:val="00893778"/>
    <w:rsid w:val="008B0C35"/>
    <w:rsid w:val="009275AF"/>
    <w:rsid w:val="009E3BD0"/>
    <w:rsid w:val="00A020B6"/>
    <w:rsid w:val="00A1288B"/>
    <w:rsid w:val="00A216DC"/>
    <w:rsid w:val="00A70173"/>
    <w:rsid w:val="00A953D5"/>
    <w:rsid w:val="00A962E3"/>
    <w:rsid w:val="00AA1D8D"/>
    <w:rsid w:val="00AD12E0"/>
    <w:rsid w:val="00AD293A"/>
    <w:rsid w:val="00AD4223"/>
    <w:rsid w:val="00B47730"/>
    <w:rsid w:val="00B51F27"/>
    <w:rsid w:val="00B603FF"/>
    <w:rsid w:val="00B847D3"/>
    <w:rsid w:val="00B90A64"/>
    <w:rsid w:val="00C04C86"/>
    <w:rsid w:val="00C342BF"/>
    <w:rsid w:val="00C61975"/>
    <w:rsid w:val="00C75E3F"/>
    <w:rsid w:val="00C9746E"/>
    <w:rsid w:val="00CB0664"/>
    <w:rsid w:val="00CB3882"/>
    <w:rsid w:val="00D85782"/>
    <w:rsid w:val="00EF08B8"/>
    <w:rsid w:val="00F228AD"/>
    <w:rsid w:val="00F32089"/>
    <w:rsid w:val="00F51ADB"/>
    <w:rsid w:val="00F67DF8"/>
    <w:rsid w:val="00FC693F"/>
    <w:rsid w:val="00FF152C"/>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B97FF2"/>
  <w14:defaultImageDpi w14:val="300"/>
  <w15:docId w15:val="{00731CB8-4D2E-9742-ACC6-ACBD557EB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Times New Roman" w:eastAsia="Times New Roman" w:hAnsi="Times New Roman" w:cs="Times New Roman"/>
      <w:sz w:val="24"/>
    </w:rPr>
  </w:style>
  <w:style w:type="paragraph" w:styleId="Heading1">
    <w:name w:val="heading 1"/>
    <w:basedOn w:val="Normal"/>
    <w:next w:val="Normal"/>
    <w:link w:val="Heading1Char"/>
    <w:uiPriority w:val="9"/>
    <w:qFormat/>
    <w:rsid w:val="00FC693F"/>
    <w:pPr>
      <w:keepNext/>
      <w:keepLines/>
      <w:spacing w:before="480" w:after="160"/>
      <w:outlineLvl w:val="0"/>
    </w:pPr>
    <w:rPr>
      <w:rFonts w:asciiTheme="majorHAnsi" w:eastAsiaTheme="majorEastAsia" w:hAnsiTheme="majorHAnsi" w:cstheme="majorBidi"/>
      <w:b/>
      <w:bCs/>
      <w:color w:val="000000"/>
      <w:sz w:val="32"/>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unhideWhenUsed/>
    <w:qFormat/>
    <w:rsid w:val="00FC693F"/>
    <w:pPr>
      <w:keepNext/>
      <w:keepLines/>
      <w:spacing w:before="200" w:after="8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keepLines/>
      <w:spacing w:before="60" w:line="240" w:lineRule="auto"/>
    </w:pPr>
    <w:rPr>
      <w:bCs/>
      <w:color w:val="000000"/>
      <w:sz w:val="20"/>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3658">
      <w:bodyDiv w:val="1"/>
      <w:marLeft w:val="0"/>
      <w:marRight w:val="0"/>
      <w:marTop w:val="0"/>
      <w:marBottom w:val="0"/>
      <w:divBdr>
        <w:top w:val="none" w:sz="0" w:space="0" w:color="auto"/>
        <w:left w:val="none" w:sz="0" w:space="0" w:color="auto"/>
        <w:bottom w:val="none" w:sz="0" w:space="0" w:color="auto"/>
        <w:right w:val="none" w:sz="0" w:space="0" w:color="auto"/>
      </w:divBdr>
    </w:div>
    <w:div w:id="29301424">
      <w:bodyDiv w:val="1"/>
      <w:marLeft w:val="0"/>
      <w:marRight w:val="0"/>
      <w:marTop w:val="0"/>
      <w:marBottom w:val="0"/>
      <w:divBdr>
        <w:top w:val="none" w:sz="0" w:space="0" w:color="auto"/>
        <w:left w:val="none" w:sz="0" w:space="0" w:color="auto"/>
        <w:bottom w:val="none" w:sz="0" w:space="0" w:color="auto"/>
        <w:right w:val="none" w:sz="0" w:space="0" w:color="auto"/>
      </w:divBdr>
    </w:div>
    <w:div w:id="51465783">
      <w:bodyDiv w:val="1"/>
      <w:marLeft w:val="0"/>
      <w:marRight w:val="0"/>
      <w:marTop w:val="0"/>
      <w:marBottom w:val="0"/>
      <w:divBdr>
        <w:top w:val="none" w:sz="0" w:space="0" w:color="auto"/>
        <w:left w:val="none" w:sz="0" w:space="0" w:color="auto"/>
        <w:bottom w:val="none" w:sz="0" w:space="0" w:color="auto"/>
        <w:right w:val="none" w:sz="0" w:space="0" w:color="auto"/>
      </w:divBdr>
    </w:div>
    <w:div w:id="54165265">
      <w:bodyDiv w:val="1"/>
      <w:marLeft w:val="0"/>
      <w:marRight w:val="0"/>
      <w:marTop w:val="0"/>
      <w:marBottom w:val="0"/>
      <w:divBdr>
        <w:top w:val="none" w:sz="0" w:space="0" w:color="auto"/>
        <w:left w:val="none" w:sz="0" w:space="0" w:color="auto"/>
        <w:bottom w:val="none" w:sz="0" w:space="0" w:color="auto"/>
        <w:right w:val="none" w:sz="0" w:space="0" w:color="auto"/>
      </w:divBdr>
    </w:div>
    <w:div w:id="82726810">
      <w:bodyDiv w:val="1"/>
      <w:marLeft w:val="0"/>
      <w:marRight w:val="0"/>
      <w:marTop w:val="0"/>
      <w:marBottom w:val="0"/>
      <w:divBdr>
        <w:top w:val="none" w:sz="0" w:space="0" w:color="auto"/>
        <w:left w:val="none" w:sz="0" w:space="0" w:color="auto"/>
        <w:bottom w:val="none" w:sz="0" w:space="0" w:color="auto"/>
        <w:right w:val="none" w:sz="0" w:space="0" w:color="auto"/>
      </w:divBdr>
    </w:div>
    <w:div w:id="134687119">
      <w:bodyDiv w:val="1"/>
      <w:marLeft w:val="0"/>
      <w:marRight w:val="0"/>
      <w:marTop w:val="0"/>
      <w:marBottom w:val="0"/>
      <w:divBdr>
        <w:top w:val="none" w:sz="0" w:space="0" w:color="auto"/>
        <w:left w:val="none" w:sz="0" w:space="0" w:color="auto"/>
        <w:bottom w:val="none" w:sz="0" w:space="0" w:color="auto"/>
        <w:right w:val="none" w:sz="0" w:space="0" w:color="auto"/>
      </w:divBdr>
    </w:div>
    <w:div w:id="170875375">
      <w:bodyDiv w:val="1"/>
      <w:marLeft w:val="0"/>
      <w:marRight w:val="0"/>
      <w:marTop w:val="0"/>
      <w:marBottom w:val="0"/>
      <w:divBdr>
        <w:top w:val="none" w:sz="0" w:space="0" w:color="auto"/>
        <w:left w:val="none" w:sz="0" w:space="0" w:color="auto"/>
        <w:bottom w:val="none" w:sz="0" w:space="0" w:color="auto"/>
        <w:right w:val="none" w:sz="0" w:space="0" w:color="auto"/>
      </w:divBdr>
    </w:div>
    <w:div w:id="178158922">
      <w:bodyDiv w:val="1"/>
      <w:marLeft w:val="0"/>
      <w:marRight w:val="0"/>
      <w:marTop w:val="0"/>
      <w:marBottom w:val="0"/>
      <w:divBdr>
        <w:top w:val="none" w:sz="0" w:space="0" w:color="auto"/>
        <w:left w:val="none" w:sz="0" w:space="0" w:color="auto"/>
        <w:bottom w:val="none" w:sz="0" w:space="0" w:color="auto"/>
        <w:right w:val="none" w:sz="0" w:space="0" w:color="auto"/>
      </w:divBdr>
    </w:div>
    <w:div w:id="231476780">
      <w:bodyDiv w:val="1"/>
      <w:marLeft w:val="0"/>
      <w:marRight w:val="0"/>
      <w:marTop w:val="0"/>
      <w:marBottom w:val="0"/>
      <w:divBdr>
        <w:top w:val="none" w:sz="0" w:space="0" w:color="auto"/>
        <w:left w:val="none" w:sz="0" w:space="0" w:color="auto"/>
        <w:bottom w:val="none" w:sz="0" w:space="0" w:color="auto"/>
        <w:right w:val="none" w:sz="0" w:space="0" w:color="auto"/>
      </w:divBdr>
    </w:div>
    <w:div w:id="243151039">
      <w:bodyDiv w:val="1"/>
      <w:marLeft w:val="0"/>
      <w:marRight w:val="0"/>
      <w:marTop w:val="0"/>
      <w:marBottom w:val="0"/>
      <w:divBdr>
        <w:top w:val="none" w:sz="0" w:space="0" w:color="auto"/>
        <w:left w:val="none" w:sz="0" w:space="0" w:color="auto"/>
        <w:bottom w:val="none" w:sz="0" w:space="0" w:color="auto"/>
        <w:right w:val="none" w:sz="0" w:space="0" w:color="auto"/>
      </w:divBdr>
    </w:div>
    <w:div w:id="267547509">
      <w:bodyDiv w:val="1"/>
      <w:marLeft w:val="0"/>
      <w:marRight w:val="0"/>
      <w:marTop w:val="0"/>
      <w:marBottom w:val="0"/>
      <w:divBdr>
        <w:top w:val="none" w:sz="0" w:space="0" w:color="auto"/>
        <w:left w:val="none" w:sz="0" w:space="0" w:color="auto"/>
        <w:bottom w:val="none" w:sz="0" w:space="0" w:color="auto"/>
        <w:right w:val="none" w:sz="0" w:space="0" w:color="auto"/>
      </w:divBdr>
    </w:div>
    <w:div w:id="277755875">
      <w:bodyDiv w:val="1"/>
      <w:marLeft w:val="0"/>
      <w:marRight w:val="0"/>
      <w:marTop w:val="0"/>
      <w:marBottom w:val="0"/>
      <w:divBdr>
        <w:top w:val="none" w:sz="0" w:space="0" w:color="auto"/>
        <w:left w:val="none" w:sz="0" w:space="0" w:color="auto"/>
        <w:bottom w:val="none" w:sz="0" w:space="0" w:color="auto"/>
        <w:right w:val="none" w:sz="0" w:space="0" w:color="auto"/>
      </w:divBdr>
    </w:div>
    <w:div w:id="328221130">
      <w:bodyDiv w:val="1"/>
      <w:marLeft w:val="0"/>
      <w:marRight w:val="0"/>
      <w:marTop w:val="0"/>
      <w:marBottom w:val="0"/>
      <w:divBdr>
        <w:top w:val="none" w:sz="0" w:space="0" w:color="auto"/>
        <w:left w:val="none" w:sz="0" w:space="0" w:color="auto"/>
        <w:bottom w:val="none" w:sz="0" w:space="0" w:color="auto"/>
        <w:right w:val="none" w:sz="0" w:space="0" w:color="auto"/>
      </w:divBdr>
    </w:div>
    <w:div w:id="337658337">
      <w:bodyDiv w:val="1"/>
      <w:marLeft w:val="0"/>
      <w:marRight w:val="0"/>
      <w:marTop w:val="0"/>
      <w:marBottom w:val="0"/>
      <w:divBdr>
        <w:top w:val="none" w:sz="0" w:space="0" w:color="auto"/>
        <w:left w:val="none" w:sz="0" w:space="0" w:color="auto"/>
        <w:bottom w:val="none" w:sz="0" w:space="0" w:color="auto"/>
        <w:right w:val="none" w:sz="0" w:space="0" w:color="auto"/>
      </w:divBdr>
    </w:div>
    <w:div w:id="364451038">
      <w:bodyDiv w:val="1"/>
      <w:marLeft w:val="0"/>
      <w:marRight w:val="0"/>
      <w:marTop w:val="0"/>
      <w:marBottom w:val="0"/>
      <w:divBdr>
        <w:top w:val="none" w:sz="0" w:space="0" w:color="auto"/>
        <w:left w:val="none" w:sz="0" w:space="0" w:color="auto"/>
        <w:bottom w:val="none" w:sz="0" w:space="0" w:color="auto"/>
        <w:right w:val="none" w:sz="0" w:space="0" w:color="auto"/>
      </w:divBdr>
    </w:div>
    <w:div w:id="398552886">
      <w:bodyDiv w:val="1"/>
      <w:marLeft w:val="0"/>
      <w:marRight w:val="0"/>
      <w:marTop w:val="0"/>
      <w:marBottom w:val="0"/>
      <w:divBdr>
        <w:top w:val="none" w:sz="0" w:space="0" w:color="auto"/>
        <w:left w:val="none" w:sz="0" w:space="0" w:color="auto"/>
        <w:bottom w:val="none" w:sz="0" w:space="0" w:color="auto"/>
        <w:right w:val="none" w:sz="0" w:space="0" w:color="auto"/>
      </w:divBdr>
    </w:div>
    <w:div w:id="454561903">
      <w:bodyDiv w:val="1"/>
      <w:marLeft w:val="0"/>
      <w:marRight w:val="0"/>
      <w:marTop w:val="0"/>
      <w:marBottom w:val="0"/>
      <w:divBdr>
        <w:top w:val="none" w:sz="0" w:space="0" w:color="auto"/>
        <w:left w:val="none" w:sz="0" w:space="0" w:color="auto"/>
        <w:bottom w:val="none" w:sz="0" w:space="0" w:color="auto"/>
        <w:right w:val="none" w:sz="0" w:space="0" w:color="auto"/>
      </w:divBdr>
    </w:div>
    <w:div w:id="489685633">
      <w:bodyDiv w:val="1"/>
      <w:marLeft w:val="0"/>
      <w:marRight w:val="0"/>
      <w:marTop w:val="0"/>
      <w:marBottom w:val="0"/>
      <w:divBdr>
        <w:top w:val="none" w:sz="0" w:space="0" w:color="auto"/>
        <w:left w:val="none" w:sz="0" w:space="0" w:color="auto"/>
        <w:bottom w:val="none" w:sz="0" w:space="0" w:color="auto"/>
        <w:right w:val="none" w:sz="0" w:space="0" w:color="auto"/>
      </w:divBdr>
    </w:div>
    <w:div w:id="507985569">
      <w:bodyDiv w:val="1"/>
      <w:marLeft w:val="0"/>
      <w:marRight w:val="0"/>
      <w:marTop w:val="0"/>
      <w:marBottom w:val="0"/>
      <w:divBdr>
        <w:top w:val="none" w:sz="0" w:space="0" w:color="auto"/>
        <w:left w:val="none" w:sz="0" w:space="0" w:color="auto"/>
        <w:bottom w:val="none" w:sz="0" w:space="0" w:color="auto"/>
        <w:right w:val="none" w:sz="0" w:space="0" w:color="auto"/>
      </w:divBdr>
    </w:div>
    <w:div w:id="587230617">
      <w:bodyDiv w:val="1"/>
      <w:marLeft w:val="0"/>
      <w:marRight w:val="0"/>
      <w:marTop w:val="0"/>
      <w:marBottom w:val="0"/>
      <w:divBdr>
        <w:top w:val="none" w:sz="0" w:space="0" w:color="auto"/>
        <w:left w:val="none" w:sz="0" w:space="0" w:color="auto"/>
        <w:bottom w:val="none" w:sz="0" w:space="0" w:color="auto"/>
        <w:right w:val="none" w:sz="0" w:space="0" w:color="auto"/>
      </w:divBdr>
      <w:divsChild>
        <w:div w:id="788086706">
          <w:marLeft w:val="0"/>
          <w:marRight w:val="0"/>
          <w:marTop w:val="0"/>
          <w:marBottom w:val="0"/>
          <w:divBdr>
            <w:top w:val="none" w:sz="0" w:space="0" w:color="auto"/>
            <w:left w:val="none" w:sz="0" w:space="0" w:color="auto"/>
            <w:bottom w:val="none" w:sz="0" w:space="0" w:color="auto"/>
            <w:right w:val="none" w:sz="0" w:space="0" w:color="auto"/>
          </w:divBdr>
          <w:divsChild>
            <w:div w:id="1634672860">
              <w:marLeft w:val="0"/>
              <w:marRight w:val="0"/>
              <w:marTop w:val="0"/>
              <w:marBottom w:val="0"/>
              <w:divBdr>
                <w:top w:val="none" w:sz="0" w:space="0" w:color="auto"/>
                <w:left w:val="none" w:sz="0" w:space="0" w:color="auto"/>
                <w:bottom w:val="none" w:sz="0" w:space="0" w:color="auto"/>
                <w:right w:val="none" w:sz="0" w:space="0" w:color="auto"/>
              </w:divBdr>
              <w:divsChild>
                <w:div w:id="52953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962758">
      <w:bodyDiv w:val="1"/>
      <w:marLeft w:val="0"/>
      <w:marRight w:val="0"/>
      <w:marTop w:val="0"/>
      <w:marBottom w:val="0"/>
      <w:divBdr>
        <w:top w:val="none" w:sz="0" w:space="0" w:color="auto"/>
        <w:left w:val="none" w:sz="0" w:space="0" w:color="auto"/>
        <w:bottom w:val="none" w:sz="0" w:space="0" w:color="auto"/>
        <w:right w:val="none" w:sz="0" w:space="0" w:color="auto"/>
      </w:divBdr>
      <w:divsChild>
        <w:div w:id="19651851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79044251">
      <w:bodyDiv w:val="1"/>
      <w:marLeft w:val="0"/>
      <w:marRight w:val="0"/>
      <w:marTop w:val="0"/>
      <w:marBottom w:val="0"/>
      <w:divBdr>
        <w:top w:val="none" w:sz="0" w:space="0" w:color="auto"/>
        <w:left w:val="none" w:sz="0" w:space="0" w:color="auto"/>
        <w:bottom w:val="none" w:sz="0" w:space="0" w:color="auto"/>
        <w:right w:val="none" w:sz="0" w:space="0" w:color="auto"/>
      </w:divBdr>
    </w:div>
    <w:div w:id="706101626">
      <w:bodyDiv w:val="1"/>
      <w:marLeft w:val="0"/>
      <w:marRight w:val="0"/>
      <w:marTop w:val="0"/>
      <w:marBottom w:val="0"/>
      <w:divBdr>
        <w:top w:val="none" w:sz="0" w:space="0" w:color="auto"/>
        <w:left w:val="none" w:sz="0" w:space="0" w:color="auto"/>
        <w:bottom w:val="none" w:sz="0" w:space="0" w:color="auto"/>
        <w:right w:val="none" w:sz="0" w:space="0" w:color="auto"/>
      </w:divBdr>
    </w:div>
    <w:div w:id="707024461">
      <w:bodyDiv w:val="1"/>
      <w:marLeft w:val="0"/>
      <w:marRight w:val="0"/>
      <w:marTop w:val="0"/>
      <w:marBottom w:val="0"/>
      <w:divBdr>
        <w:top w:val="none" w:sz="0" w:space="0" w:color="auto"/>
        <w:left w:val="none" w:sz="0" w:space="0" w:color="auto"/>
        <w:bottom w:val="none" w:sz="0" w:space="0" w:color="auto"/>
        <w:right w:val="none" w:sz="0" w:space="0" w:color="auto"/>
      </w:divBdr>
    </w:div>
    <w:div w:id="708651744">
      <w:bodyDiv w:val="1"/>
      <w:marLeft w:val="0"/>
      <w:marRight w:val="0"/>
      <w:marTop w:val="0"/>
      <w:marBottom w:val="0"/>
      <w:divBdr>
        <w:top w:val="none" w:sz="0" w:space="0" w:color="auto"/>
        <w:left w:val="none" w:sz="0" w:space="0" w:color="auto"/>
        <w:bottom w:val="none" w:sz="0" w:space="0" w:color="auto"/>
        <w:right w:val="none" w:sz="0" w:space="0" w:color="auto"/>
      </w:divBdr>
    </w:div>
    <w:div w:id="731732476">
      <w:bodyDiv w:val="1"/>
      <w:marLeft w:val="0"/>
      <w:marRight w:val="0"/>
      <w:marTop w:val="0"/>
      <w:marBottom w:val="0"/>
      <w:divBdr>
        <w:top w:val="none" w:sz="0" w:space="0" w:color="auto"/>
        <w:left w:val="none" w:sz="0" w:space="0" w:color="auto"/>
        <w:bottom w:val="none" w:sz="0" w:space="0" w:color="auto"/>
        <w:right w:val="none" w:sz="0" w:space="0" w:color="auto"/>
      </w:divBdr>
    </w:div>
    <w:div w:id="737090549">
      <w:bodyDiv w:val="1"/>
      <w:marLeft w:val="0"/>
      <w:marRight w:val="0"/>
      <w:marTop w:val="0"/>
      <w:marBottom w:val="0"/>
      <w:divBdr>
        <w:top w:val="none" w:sz="0" w:space="0" w:color="auto"/>
        <w:left w:val="none" w:sz="0" w:space="0" w:color="auto"/>
        <w:bottom w:val="none" w:sz="0" w:space="0" w:color="auto"/>
        <w:right w:val="none" w:sz="0" w:space="0" w:color="auto"/>
      </w:divBdr>
    </w:div>
    <w:div w:id="847451385">
      <w:bodyDiv w:val="1"/>
      <w:marLeft w:val="0"/>
      <w:marRight w:val="0"/>
      <w:marTop w:val="0"/>
      <w:marBottom w:val="0"/>
      <w:divBdr>
        <w:top w:val="none" w:sz="0" w:space="0" w:color="auto"/>
        <w:left w:val="none" w:sz="0" w:space="0" w:color="auto"/>
        <w:bottom w:val="none" w:sz="0" w:space="0" w:color="auto"/>
        <w:right w:val="none" w:sz="0" w:space="0" w:color="auto"/>
      </w:divBdr>
      <w:divsChild>
        <w:div w:id="12328886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4562102">
      <w:bodyDiv w:val="1"/>
      <w:marLeft w:val="0"/>
      <w:marRight w:val="0"/>
      <w:marTop w:val="0"/>
      <w:marBottom w:val="0"/>
      <w:divBdr>
        <w:top w:val="none" w:sz="0" w:space="0" w:color="auto"/>
        <w:left w:val="none" w:sz="0" w:space="0" w:color="auto"/>
        <w:bottom w:val="none" w:sz="0" w:space="0" w:color="auto"/>
        <w:right w:val="none" w:sz="0" w:space="0" w:color="auto"/>
      </w:divBdr>
    </w:div>
    <w:div w:id="893278963">
      <w:bodyDiv w:val="1"/>
      <w:marLeft w:val="0"/>
      <w:marRight w:val="0"/>
      <w:marTop w:val="0"/>
      <w:marBottom w:val="0"/>
      <w:divBdr>
        <w:top w:val="none" w:sz="0" w:space="0" w:color="auto"/>
        <w:left w:val="none" w:sz="0" w:space="0" w:color="auto"/>
        <w:bottom w:val="none" w:sz="0" w:space="0" w:color="auto"/>
        <w:right w:val="none" w:sz="0" w:space="0" w:color="auto"/>
      </w:divBdr>
      <w:divsChild>
        <w:div w:id="15813318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56181614">
      <w:bodyDiv w:val="1"/>
      <w:marLeft w:val="0"/>
      <w:marRight w:val="0"/>
      <w:marTop w:val="0"/>
      <w:marBottom w:val="0"/>
      <w:divBdr>
        <w:top w:val="none" w:sz="0" w:space="0" w:color="auto"/>
        <w:left w:val="none" w:sz="0" w:space="0" w:color="auto"/>
        <w:bottom w:val="none" w:sz="0" w:space="0" w:color="auto"/>
        <w:right w:val="none" w:sz="0" w:space="0" w:color="auto"/>
      </w:divBdr>
    </w:div>
    <w:div w:id="960889076">
      <w:bodyDiv w:val="1"/>
      <w:marLeft w:val="0"/>
      <w:marRight w:val="0"/>
      <w:marTop w:val="0"/>
      <w:marBottom w:val="0"/>
      <w:divBdr>
        <w:top w:val="none" w:sz="0" w:space="0" w:color="auto"/>
        <w:left w:val="none" w:sz="0" w:space="0" w:color="auto"/>
        <w:bottom w:val="none" w:sz="0" w:space="0" w:color="auto"/>
        <w:right w:val="none" w:sz="0" w:space="0" w:color="auto"/>
      </w:divBdr>
    </w:div>
    <w:div w:id="966396670">
      <w:bodyDiv w:val="1"/>
      <w:marLeft w:val="0"/>
      <w:marRight w:val="0"/>
      <w:marTop w:val="0"/>
      <w:marBottom w:val="0"/>
      <w:divBdr>
        <w:top w:val="none" w:sz="0" w:space="0" w:color="auto"/>
        <w:left w:val="none" w:sz="0" w:space="0" w:color="auto"/>
        <w:bottom w:val="none" w:sz="0" w:space="0" w:color="auto"/>
        <w:right w:val="none" w:sz="0" w:space="0" w:color="auto"/>
      </w:divBdr>
    </w:div>
    <w:div w:id="983704300">
      <w:bodyDiv w:val="1"/>
      <w:marLeft w:val="0"/>
      <w:marRight w:val="0"/>
      <w:marTop w:val="0"/>
      <w:marBottom w:val="0"/>
      <w:divBdr>
        <w:top w:val="none" w:sz="0" w:space="0" w:color="auto"/>
        <w:left w:val="none" w:sz="0" w:space="0" w:color="auto"/>
        <w:bottom w:val="none" w:sz="0" w:space="0" w:color="auto"/>
        <w:right w:val="none" w:sz="0" w:space="0" w:color="auto"/>
      </w:divBdr>
    </w:div>
    <w:div w:id="1005858202">
      <w:bodyDiv w:val="1"/>
      <w:marLeft w:val="0"/>
      <w:marRight w:val="0"/>
      <w:marTop w:val="0"/>
      <w:marBottom w:val="0"/>
      <w:divBdr>
        <w:top w:val="none" w:sz="0" w:space="0" w:color="auto"/>
        <w:left w:val="none" w:sz="0" w:space="0" w:color="auto"/>
        <w:bottom w:val="none" w:sz="0" w:space="0" w:color="auto"/>
        <w:right w:val="none" w:sz="0" w:space="0" w:color="auto"/>
      </w:divBdr>
    </w:div>
    <w:div w:id="1053426908">
      <w:bodyDiv w:val="1"/>
      <w:marLeft w:val="0"/>
      <w:marRight w:val="0"/>
      <w:marTop w:val="0"/>
      <w:marBottom w:val="0"/>
      <w:divBdr>
        <w:top w:val="none" w:sz="0" w:space="0" w:color="auto"/>
        <w:left w:val="none" w:sz="0" w:space="0" w:color="auto"/>
        <w:bottom w:val="none" w:sz="0" w:space="0" w:color="auto"/>
        <w:right w:val="none" w:sz="0" w:space="0" w:color="auto"/>
      </w:divBdr>
    </w:div>
    <w:div w:id="1054893401">
      <w:bodyDiv w:val="1"/>
      <w:marLeft w:val="0"/>
      <w:marRight w:val="0"/>
      <w:marTop w:val="0"/>
      <w:marBottom w:val="0"/>
      <w:divBdr>
        <w:top w:val="none" w:sz="0" w:space="0" w:color="auto"/>
        <w:left w:val="none" w:sz="0" w:space="0" w:color="auto"/>
        <w:bottom w:val="none" w:sz="0" w:space="0" w:color="auto"/>
        <w:right w:val="none" w:sz="0" w:space="0" w:color="auto"/>
      </w:divBdr>
    </w:div>
    <w:div w:id="1197155227">
      <w:bodyDiv w:val="1"/>
      <w:marLeft w:val="0"/>
      <w:marRight w:val="0"/>
      <w:marTop w:val="0"/>
      <w:marBottom w:val="0"/>
      <w:divBdr>
        <w:top w:val="none" w:sz="0" w:space="0" w:color="auto"/>
        <w:left w:val="none" w:sz="0" w:space="0" w:color="auto"/>
        <w:bottom w:val="none" w:sz="0" w:space="0" w:color="auto"/>
        <w:right w:val="none" w:sz="0" w:space="0" w:color="auto"/>
      </w:divBdr>
    </w:div>
    <w:div w:id="1218542589">
      <w:bodyDiv w:val="1"/>
      <w:marLeft w:val="0"/>
      <w:marRight w:val="0"/>
      <w:marTop w:val="0"/>
      <w:marBottom w:val="0"/>
      <w:divBdr>
        <w:top w:val="none" w:sz="0" w:space="0" w:color="auto"/>
        <w:left w:val="none" w:sz="0" w:space="0" w:color="auto"/>
        <w:bottom w:val="none" w:sz="0" w:space="0" w:color="auto"/>
        <w:right w:val="none" w:sz="0" w:space="0" w:color="auto"/>
      </w:divBdr>
    </w:div>
    <w:div w:id="1276861197">
      <w:bodyDiv w:val="1"/>
      <w:marLeft w:val="0"/>
      <w:marRight w:val="0"/>
      <w:marTop w:val="0"/>
      <w:marBottom w:val="0"/>
      <w:divBdr>
        <w:top w:val="none" w:sz="0" w:space="0" w:color="auto"/>
        <w:left w:val="none" w:sz="0" w:space="0" w:color="auto"/>
        <w:bottom w:val="none" w:sz="0" w:space="0" w:color="auto"/>
        <w:right w:val="none" w:sz="0" w:space="0" w:color="auto"/>
      </w:divBdr>
    </w:div>
    <w:div w:id="1320117164">
      <w:bodyDiv w:val="1"/>
      <w:marLeft w:val="0"/>
      <w:marRight w:val="0"/>
      <w:marTop w:val="0"/>
      <w:marBottom w:val="0"/>
      <w:divBdr>
        <w:top w:val="none" w:sz="0" w:space="0" w:color="auto"/>
        <w:left w:val="none" w:sz="0" w:space="0" w:color="auto"/>
        <w:bottom w:val="none" w:sz="0" w:space="0" w:color="auto"/>
        <w:right w:val="none" w:sz="0" w:space="0" w:color="auto"/>
      </w:divBdr>
    </w:div>
    <w:div w:id="1332029242">
      <w:bodyDiv w:val="1"/>
      <w:marLeft w:val="0"/>
      <w:marRight w:val="0"/>
      <w:marTop w:val="0"/>
      <w:marBottom w:val="0"/>
      <w:divBdr>
        <w:top w:val="none" w:sz="0" w:space="0" w:color="auto"/>
        <w:left w:val="none" w:sz="0" w:space="0" w:color="auto"/>
        <w:bottom w:val="none" w:sz="0" w:space="0" w:color="auto"/>
        <w:right w:val="none" w:sz="0" w:space="0" w:color="auto"/>
      </w:divBdr>
    </w:div>
    <w:div w:id="1344355280">
      <w:bodyDiv w:val="1"/>
      <w:marLeft w:val="0"/>
      <w:marRight w:val="0"/>
      <w:marTop w:val="0"/>
      <w:marBottom w:val="0"/>
      <w:divBdr>
        <w:top w:val="none" w:sz="0" w:space="0" w:color="auto"/>
        <w:left w:val="none" w:sz="0" w:space="0" w:color="auto"/>
        <w:bottom w:val="none" w:sz="0" w:space="0" w:color="auto"/>
        <w:right w:val="none" w:sz="0" w:space="0" w:color="auto"/>
      </w:divBdr>
    </w:div>
    <w:div w:id="1366636969">
      <w:bodyDiv w:val="1"/>
      <w:marLeft w:val="0"/>
      <w:marRight w:val="0"/>
      <w:marTop w:val="0"/>
      <w:marBottom w:val="0"/>
      <w:divBdr>
        <w:top w:val="none" w:sz="0" w:space="0" w:color="auto"/>
        <w:left w:val="none" w:sz="0" w:space="0" w:color="auto"/>
        <w:bottom w:val="none" w:sz="0" w:space="0" w:color="auto"/>
        <w:right w:val="none" w:sz="0" w:space="0" w:color="auto"/>
      </w:divBdr>
    </w:div>
    <w:div w:id="1387529332">
      <w:bodyDiv w:val="1"/>
      <w:marLeft w:val="0"/>
      <w:marRight w:val="0"/>
      <w:marTop w:val="0"/>
      <w:marBottom w:val="0"/>
      <w:divBdr>
        <w:top w:val="none" w:sz="0" w:space="0" w:color="auto"/>
        <w:left w:val="none" w:sz="0" w:space="0" w:color="auto"/>
        <w:bottom w:val="none" w:sz="0" w:space="0" w:color="auto"/>
        <w:right w:val="none" w:sz="0" w:space="0" w:color="auto"/>
      </w:divBdr>
    </w:div>
    <w:div w:id="1393695896">
      <w:bodyDiv w:val="1"/>
      <w:marLeft w:val="0"/>
      <w:marRight w:val="0"/>
      <w:marTop w:val="0"/>
      <w:marBottom w:val="0"/>
      <w:divBdr>
        <w:top w:val="none" w:sz="0" w:space="0" w:color="auto"/>
        <w:left w:val="none" w:sz="0" w:space="0" w:color="auto"/>
        <w:bottom w:val="none" w:sz="0" w:space="0" w:color="auto"/>
        <w:right w:val="none" w:sz="0" w:space="0" w:color="auto"/>
      </w:divBdr>
    </w:div>
    <w:div w:id="1525749245">
      <w:bodyDiv w:val="1"/>
      <w:marLeft w:val="0"/>
      <w:marRight w:val="0"/>
      <w:marTop w:val="0"/>
      <w:marBottom w:val="0"/>
      <w:divBdr>
        <w:top w:val="none" w:sz="0" w:space="0" w:color="auto"/>
        <w:left w:val="none" w:sz="0" w:space="0" w:color="auto"/>
        <w:bottom w:val="none" w:sz="0" w:space="0" w:color="auto"/>
        <w:right w:val="none" w:sz="0" w:space="0" w:color="auto"/>
      </w:divBdr>
    </w:div>
    <w:div w:id="1537619329">
      <w:bodyDiv w:val="1"/>
      <w:marLeft w:val="0"/>
      <w:marRight w:val="0"/>
      <w:marTop w:val="0"/>
      <w:marBottom w:val="0"/>
      <w:divBdr>
        <w:top w:val="none" w:sz="0" w:space="0" w:color="auto"/>
        <w:left w:val="none" w:sz="0" w:space="0" w:color="auto"/>
        <w:bottom w:val="none" w:sz="0" w:space="0" w:color="auto"/>
        <w:right w:val="none" w:sz="0" w:space="0" w:color="auto"/>
      </w:divBdr>
    </w:div>
    <w:div w:id="1553884100">
      <w:bodyDiv w:val="1"/>
      <w:marLeft w:val="0"/>
      <w:marRight w:val="0"/>
      <w:marTop w:val="0"/>
      <w:marBottom w:val="0"/>
      <w:divBdr>
        <w:top w:val="none" w:sz="0" w:space="0" w:color="auto"/>
        <w:left w:val="none" w:sz="0" w:space="0" w:color="auto"/>
        <w:bottom w:val="none" w:sz="0" w:space="0" w:color="auto"/>
        <w:right w:val="none" w:sz="0" w:space="0" w:color="auto"/>
      </w:divBdr>
    </w:div>
    <w:div w:id="1563827904">
      <w:bodyDiv w:val="1"/>
      <w:marLeft w:val="0"/>
      <w:marRight w:val="0"/>
      <w:marTop w:val="0"/>
      <w:marBottom w:val="0"/>
      <w:divBdr>
        <w:top w:val="none" w:sz="0" w:space="0" w:color="auto"/>
        <w:left w:val="none" w:sz="0" w:space="0" w:color="auto"/>
        <w:bottom w:val="none" w:sz="0" w:space="0" w:color="auto"/>
        <w:right w:val="none" w:sz="0" w:space="0" w:color="auto"/>
      </w:divBdr>
    </w:div>
    <w:div w:id="1580016630">
      <w:bodyDiv w:val="1"/>
      <w:marLeft w:val="0"/>
      <w:marRight w:val="0"/>
      <w:marTop w:val="0"/>
      <w:marBottom w:val="0"/>
      <w:divBdr>
        <w:top w:val="none" w:sz="0" w:space="0" w:color="auto"/>
        <w:left w:val="none" w:sz="0" w:space="0" w:color="auto"/>
        <w:bottom w:val="none" w:sz="0" w:space="0" w:color="auto"/>
        <w:right w:val="none" w:sz="0" w:space="0" w:color="auto"/>
      </w:divBdr>
    </w:div>
    <w:div w:id="1589537917">
      <w:bodyDiv w:val="1"/>
      <w:marLeft w:val="0"/>
      <w:marRight w:val="0"/>
      <w:marTop w:val="0"/>
      <w:marBottom w:val="0"/>
      <w:divBdr>
        <w:top w:val="none" w:sz="0" w:space="0" w:color="auto"/>
        <w:left w:val="none" w:sz="0" w:space="0" w:color="auto"/>
        <w:bottom w:val="none" w:sz="0" w:space="0" w:color="auto"/>
        <w:right w:val="none" w:sz="0" w:space="0" w:color="auto"/>
      </w:divBdr>
    </w:div>
    <w:div w:id="1595935432">
      <w:bodyDiv w:val="1"/>
      <w:marLeft w:val="0"/>
      <w:marRight w:val="0"/>
      <w:marTop w:val="0"/>
      <w:marBottom w:val="0"/>
      <w:divBdr>
        <w:top w:val="none" w:sz="0" w:space="0" w:color="auto"/>
        <w:left w:val="none" w:sz="0" w:space="0" w:color="auto"/>
        <w:bottom w:val="none" w:sz="0" w:space="0" w:color="auto"/>
        <w:right w:val="none" w:sz="0" w:space="0" w:color="auto"/>
      </w:divBdr>
    </w:div>
    <w:div w:id="1641156745">
      <w:bodyDiv w:val="1"/>
      <w:marLeft w:val="0"/>
      <w:marRight w:val="0"/>
      <w:marTop w:val="0"/>
      <w:marBottom w:val="0"/>
      <w:divBdr>
        <w:top w:val="none" w:sz="0" w:space="0" w:color="auto"/>
        <w:left w:val="none" w:sz="0" w:space="0" w:color="auto"/>
        <w:bottom w:val="none" w:sz="0" w:space="0" w:color="auto"/>
        <w:right w:val="none" w:sz="0" w:space="0" w:color="auto"/>
      </w:divBdr>
    </w:div>
    <w:div w:id="1658995789">
      <w:bodyDiv w:val="1"/>
      <w:marLeft w:val="0"/>
      <w:marRight w:val="0"/>
      <w:marTop w:val="0"/>
      <w:marBottom w:val="0"/>
      <w:divBdr>
        <w:top w:val="none" w:sz="0" w:space="0" w:color="auto"/>
        <w:left w:val="none" w:sz="0" w:space="0" w:color="auto"/>
        <w:bottom w:val="none" w:sz="0" w:space="0" w:color="auto"/>
        <w:right w:val="none" w:sz="0" w:space="0" w:color="auto"/>
      </w:divBdr>
    </w:div>
    <w:div w:id="1717437003">
      <w:bodyDiv w:val="1"/>
      <w:marLeft w:val="0"/>
      <w:marRight w:val="0"/>
      <w:marTop w:val="0"/>
      <w:marBottom w:val="0"/>
      <w:divBdr>
        <w:top w:val="none" w:sz="0" w:space="0" w:color="auto"/>
        <w:left w:val="none" w:sz="0" w:space="0" w:color="auto"/>
        <w:bottom w:val="none" w:sz="0" w:space="0" w:color="auto"/>
        <w:right w:val="none" w:sz="0" w:space="0" w:color="auto"/>
      </w:divBdr>
    </w:div>
    <w:div w:id="1729574821">
      <w:bodyDiv w:val="1"/>
      <w:marLeft w:val="0"/>
      <w:marRight w:val="0"/>
      <w:marTop w:val="0"/>
      <w:marBottom w:val="0"/>
      <w:divBdr>
        <w:top w:val="none" w:sz="0" w:space="0" w:color="auto"/>
        <w:left w:val="none" w:sz="0" w:space="0" w:color="auto"/>
        <w:bottom w:val="none" w:sz="0" w:space="0" w:color="auto"/>
        <w:right w:val="none" w:sz="0" w:space="0" w:color="auto"/>
      </w:divBdr>
    </w:div>
    <w:div w:id="1759786301">
      <w:bodyDiv w:val="1"/>
      <w:marLeft w:val="0"/>
      <w:marRight w:val="0"/>
      <w:marTop w:val="0"/>
      <w:marBottom w:val="0"/>
      <w:divBdr>
        <w:top w:val="none" w:sz="0" w:space="0" w:color="auto"/>
        <w:left w:val="none" w:sz="0" w:space="0" w:color="auto"/>
        <w:bottom w:val="none" w:sz="0" w:space="0" w:color="auto"/>
        <w:right w:val="none" w:sz="0" w:space="0" w:color="auto"/>
      </w:divBdr>
    </w:div>
    <w:div w:id="1817255215">
      <w:bodyDiv w:val="1"/>
      <w:marLeft w:val="0"/>
      <w:marRight w:val="0"/>
      <w:marTop w:val="0"/>
      <w:marBottom w:val="0"/>
      <w:divBdr>
        <w:top w:val="none" w:sz="0" w:space="0" w:color="auto"/>
        <w:left w:val="none" w:sz="0" w:space="0" w:color="auto"/>
        <w:bottom w:val="none" w:sz="0" w:space="0" w:color="auto"/>
        <w:right w:val="none" w:sz="0" w:space="0" w:color="auto"/>
      </w:divBdr>
    </w:div>
    <w:div w:id="1830368839">
      <w:bodyDiv w:val="1"/>
      <w:marLeft w:val="0"/>
      <w:marRight w:val="0"/>
      <w:marTop w:val="0"/>
      <w:marBottom w:val="0"/>
      <w:divBdr>
        <w:top w:val="none" w:sz="0" w:space="0" w:color="auto"/>
        <w:left w:val="none" w:sz="0" w:space="0" w:color="auto"/>
        <w:bottom w:val="none" w:sz="0" w:space="0" w:color="auto"/>
        <w:right w:val="none" w:sz="0" w:space="0" w:color="auto"/>
      </w:divBdr>
    </w:div>
    <w:div w:id="1926113410">
      <w:bodyDiv w:val="1"/>
      <w:marLeft w:val="0"/>
      <w:marRight w:val="0"/>
      <w:marTop w:val="0"/>
      <w:marBottom w:val="0"/>
      <w:divBdr>
        <w:top w:val="none" w:sz="0" w:space="0" w:color="auto"/>
        <w:left w:val="none" w:sz="0" w:space="0" w:color="auto"/>
        <w:bottom w:val="none" w:sz="0" w:space="0" w:color="auto"/>
        <w:right w:val="none" w:sz="0" w:space="0" w:color="auto"/>
      </w:divBdr>
    </w:div>
    <w:div w:id="1950817982">
      <w:bodyDiv w:val="1"/>
      <w:marLeft w:val="0"/>
      <w:marRight w:val="0"/>
      <w:marTop w:val="0"/>
      <w:marBottom w:val="0"/>
      <w:divBdr>
        <w:top w:val="none" w:sz="0" w:space="0" w:color="auto"/>
        <w:left w:val="none" w:sz="0" w:space="0" w:color="auto"/>
        <w:bottom w:val="none" w:sz="0" w:space="0" w:color="auto"/>
        <w:right w:val="none" w:sz="0" w:space="0" w:color="auto"/>
      </w:divBdr>
    </w:div>
    <w:div w:id="1958828390">
      <w:bodyDiv w:val="1"/>
      <w:marLeft w:val="0"/>
      <w:marRight w:val="0"/>
      <w:marTop w:val="0"/>
      <w:marBottom w:val="0"/>
      <w:divBdr>
        <w:top w:val="none" w:sz="0" w:space="0" w:color="auto"/>
        <w:left w:val="none" w:sz="0" w:space="0" w:color="auto"/>
        <w:bottom w:val="none" w:sz="0" w:space="0" w:color="auto"/>
        <w:right w:val="none" w:sz="0" w:space="0" w:color="auto"/>
      </w:divBdr>
    </w:div>
    <w:div w:id="1964727384">
      <w:bodyDiv w:val="1"/>
      <w:marLeft w:val="0"/>
      <w:marRight w:val="0"/>
      <w:marTop w:val="0"/>
      <w:marBottom w:val="0"/>
      <w:divBdr>
        <w:top w:val="none" w:sz="0" w:space="0" w:color="auto"/>
        <w:left w:val="none" w:sz="0" w:space="0" w:color="auto"/>
        <w:bottom w:val="none" w:sz="0" w:space="0" w:color="auto"/>
        <w:right w:val="none" w:sz="0" w:space="0" w:color="auto"/>
      </w:divBdr>
    </w:div>
    <w:div w:id="1968581766">
      <w:bodyDiv w:val="1"/>
      <w:marLeft w:val="0"/>
      <w:marRight w:val="0"/>
      <w:marTop w:val="0"/>
      <w:marBottom w:val="0"/>
      <w:divBdr>
        <w:top w:val="none" w:sz="0" w:space="0" w:color="auto"/>
        <w:left w:val="none" w:sz="0" w:space="0" w:color="auto"/>
        <w:bottom w:val="none" w:sz="0" w:space="0" w:color="auto"/>
        <w:right w:val="none" w:sz="0" w:space="0" w:color="auto"/>
      </w:divBdr>
    </w:div>
    <w:div w:id="2001304699">
      <w:bodyDiv w:val="1"/>
      <w:marLeft w:val="0"/>
      <w:marRight w:val="0"/>
      <w:marTop w:val="0"/>
      <w:marBottom w:val="0"/>
      <w:divBdr>
        <w:top w:val="none" w:sz="0" w:space="0" w:color="auto"/>
        <w:left w:val="none" w:sz="0" w:space="0" w:color="auto"/>
        <w:bottom w:val="none" w:sz="0" w:space="0" w:color="auto"/>
        <w:right w:val="none" w:sz="0" w:space="0" w:color="auto"/>
      </w:divBdr>
    </w:div>
    <w:div w:id="2052685069">
      <w:bodyDiv w:val="1"/>
      <w:marLeft w:val="0"/>
      <w:marRight w:val="0"/>
      <w:marTop w:val="0"/>
      <w:marBottom w:val="0"/>
      <w:divBdr>
        <w:top w:val="none" w:sz="0" w:space="0" w:color="auto"/>
        <w:left w:val="none" w:sz="0" w:space="0" w:color="auto"/>
        <w:bottom w:val="none" w:sz="0" w:space="0" w:color="auto"/>
        <w:right w:val="none" w:sz="0" w:space="0" w:color="auto"/>
      </w:divBdr>
    </w:div>
    <w:div w:id="2052919875">
      <w:bodyDiv w:val="1"/>
      <w:marLeft w:val="0"/>
      <w:marRight w:val="0"/>
      <w:marTop w:val="0"/>
      <w:marBottom w:val="0"/>
      <w:divBdr>
        <w:top w:val="none" w:sz="0" w:space="0" w:color="auto"/>
        <w:left w:val="none" w:sz="0" w:space="0" w:color="auto"/>
        <w:bottom w:val="none" w:sz="0" w:space="0" w:color="auto"/>
        <w:right w:val="none" w:sz="0" w:space="0" w:color="auto"/>
      </w:divBdr>
    </w:div>
    <w:div w:id="2092003550">
      <w:bodyDiv w:val="1"/>
      <w:marLeft w:val="0"/>
      <w:marRight w:val="0"/>
      <w:marTop w:val="0"/>
      <w:marBottom w:val="0"/>
      <w:divBdr>
        <w:top w:val="none" w:sz="0" w:space="0" w:color="auto"/>
        <w:left w:val="none" w:sz="0" w:space="0" w:color="auto"/>
        <w:bottom w:val="none" w:sz="0" w:space="0" w:color="auto"/>
        <w:right w:val="none" w:sz="0" w:space="0" w:color="auto"/>
      </w:divBdr>
    </w:div>
    <w:div w:id="2098944207">
      <w:bodyDiv w:val="1"/>
      <w:marLeft w:val="0"/>
      <w:marRight w:val="0"/>
      <w:marTop w:val="0"/>
      <w:marBottom w:val="0"/>
      <w:divBdr>
        <w:top w:val="none" w:sz="0" w:space="0" w:color="auto"/>
        <w:left w:val="none" w:sz="0" w:space="0" w:color="auto"/>
        <w:bottom w:val="none" w:sz="0" w:space="0" w:color="auto"/>
        <w:right w:val="none" w:sz="0" w:space="0" w:color="auto"/>
      </w:divBdr>
    </w:div>
    <w:div w:id="2104644164">
      <w:bodyDiv w:val="1"/>
      <w:marLeft w:val="0"/>
      <w:marRight w:val="0"/>
      <w:marTop w:val="0"/>
      <w:marBottom w:val="0"/>
      <w:divBdr>
        <w:top w:val="none" w:sz="0" w:space="0" w:color="auto"/>
        <w:left w:val="none" w:sz="0" w:space="0" w:color="auto"/>
        <w:bottom w:val="none" w:sz="0" w:space="0" w:color="auto"/>
        <w:right w:val="none" w:sz="0" w:space="0" w:color="auto"/>
      </w:divBdr>
    </w:div>
    <w:div w:id="214214086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69</Pages>
  <Words>20282</Words>
  <Characters>115608</Characters>
  <Application>Microsoft Office Word</Application>
  <DocSecurity>0</DocSecurity>
  <Lines>963</Lines>
  <Paragraphs>271</Paragraphs>
  <ScaleCrop>false</ScaleCrop>
  <HeadingPairs>
    <vt:vector size="2" baseType="variant">
      <vt:variant>
        <vt:lpstr>Title</vt:lpstr>
      </vt:variant>
      <vt:variant>
        <vt:i4>1</vt:i4>
      </vt:variant>
    </vt:vector>
  </HeadingPairs>
  <TitlesOfParts>
    <vt:vector size="1" baseType="lpstr">
      <vt:lpstr>Energy Affordability and Vulnerable Customers in the UK Retail Energy Sector: A Comparative Study of British Gas and Octopus Energy</vt:lpstr>
    </vt:vector>
  </TitlesOfParts>
  <Manager/>
  <Company/>
  <LinksUpToDate>false</LinksUpToDate>
  <CharactersWithSpaces>135619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Energy Affordability and Vulnerable Customers in the UK Retail Energy Sector: A Comparative Study of British Gas and Octopus Energy</dc:title>
  <dc:subject>MBA Dissertation</dc:subject>
  <dc:creator>Kamrul Islam Bayazid</dc:creator>
  <cp:keywords/>
  <dc:description/>
  <cp:lastModifiedBy>Kamrul Islam Bayazid (2506580)</cp:lastModifiedBy>
  <cp:revision>40</cp:revision>
  <dcterms:created xsi:type="dcterms:W3CDTF">2026-08-27T00:00:00Z</dcterms:created>
  <dcterms:modified xsi:type="dcterms:W3CDTF">2026-09-18T09:48:00Z</dcterms:modified>
  <cp:category/>
</cp:coreProperties>
</file>