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7489746B" w:rsidP="28F5E621" w:rsidRDefault="7489746B" w14:paraId="65F31033" w14:textId="2A23EE57">
      <w:pPr>
        <w:pStyle w:val="Header"/>
        <w:bidi w:val="0"/>
        <w:ind w:left="-115"/>
        <w:jc w:val="left"/>
      </w:pPr>
      <w:r w:rsidR="28F5E621">
        <w:rPr/>
        <w:t>ECAD7003 – Where am I teaching? Part B</w:t>
      </w:r>
    </w:p>
    <w:p w:rsidR="7489746B" w:rsidP="28F5E621" w:rsidRDefault="7489746B" w14:paraId="586141BC" w14:textId="76B6AB3C">
      <w:pPr>
        <w:pStyle w:val="Header"/>
        <w:bidi w:val="0"/>
        <w:ind w:left="-115"/>
        <w:jc w:val="left"/>
      </w:pPr>
      <w:r w:rsidR="3C4D1407">
        <w:rPr/>
        <w:t>2104988</w:t>
      </w:r>
    </w:p>
    <w:p w:rsidR="3C4D1407" w:rsidP="3C4D1407" w:rsidRDefault="3C4D1407" w14:paraId="62EB87CA" w14:textId="30CC415E">
      <w:pPr>
        <w:pStyle w:val="Header"/>
        <w:bidi w:val="0"/>
        <w:ind w:left="-115"/>
        <w:jc w:val="left"/>
      </w:pPr>
    </w:p>
    <w:p w:rsidR="3C4D1407" w:rsidP="3C4D1407" w:rsidRDefault="3C4D1407" w14:paraId="41929B94" w14:textId="35D2E7B6">
      <w:pPr>
        <w:pStyle w:val="Header"/>
        <w:bidi w:val="0"/>
        <w:ind w:left="-115"/>
        <w:jc w:val="left"/>
      </w:pPr>
    </w:p>
    <w:p w:rsidR="3C4D1407" w:rsidP="3C4D1407" w:rsidRDefault="3C4D1407" w14:paraId="0B56A8A8" w14:textId="78E415C6">
      <w:pPr>
        <w:pStyle w:val="Header"/>
        <w:bidi w:val="0"/>
        <w:ind w:left="-115"/>
        <w:jc w:val="center"/>
      </w:pPr>
      <w:r>
        <w:drawing>
          <wp:inline wp14:editId="4942864D" wp14:anchorId="5552A1EE">
            <wp:extent cx="4514850" cy="1495425"/>
            <wp:effectExtent l="0" t="0" r="0" b="0"/>
            <wp:docPr id="1563122245" name="" title=""/>
            <wp:cNvGraphicFramePr>
              <a:graphicFrameLocks noChangeAspect="1"/>
            </wp:cNvGraphicFramePr>
            <a:graphic>
              <a:graphicData uri="http://schemas.openxmlformats.org/drawingml/2006/picture">
                <pic:pic>
                  <pic:nvPicPr>
                    <pic:cNvPr id="0" name=""/>
                    <pic:cNvPicPr/>
                  </pic:nvPicPr>
                  <pic:blipFill>
                    <a:blip r:embed="R47b93cc99ff14638">
                      <a:extLst>
                        <a:ext xmlns:a="http://schemas.openxmlformats.org/drawingml/2006/main" uri="{28A0092B-C50C-407E-A947-70E740481C1C}">
                          <a14:useLocalDpi val="0"/>
                        </a:ext>
                      </a:extLst>
                    </a:blip>
                    <a:stretch>
                      <a:fillRect/>
                    </a:stretch>
                  </pic:blipFill>
                  <pic:spPr>
                    <a:xfrm>
                      <a:off x="0" y="0"/>
                      <a:ext cx="4514850" cy="1495425"/>
                    </a:xfrm>
                    <a:prstGeom prst="rect">
                      <a:avLst/>
                    </a:prstGeom>
                  </pic:spPr>
                </pic:pic>
              </a:graphicData>
            </a:graphic>
          </wp:inline>
        </w:drawing>
      </w:r>
    </w:p>
    <w:p w:rsidR="3C4D1407" w:rsidP="3C4D1407" w:rsidRDefault="3C4D1407" w14:paraId="32C7E17D" w14:textId="53851025">
      <w:pPr>
        <w:pStyle w:val="Header"/>
        <w:bidi w:val="0"/>
        <w:ind w:left="-115"/>
        <w:jc w:val="center"/>
      </w:pPr>
    </w:p>
    <w:p w:rsidR="3C4D1407" w:rsidP="3C4D1407" w:rsidRDefault="3C4D1407" w14:paraId="6C7BEEBB" w14:textId="79BC73A6">
      <w:pPr>
        <w:pStyle w:val="Normal"/>
        <w:bidi w:val="0"/>
        <w:spacing w:after="160" w:line="360"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3C4D1407" w:rsidR="3C4D1407">
        <w:rPr>
          <w:rFonts w:ascii="Arial" w:hAnsi="Arial" w:eastAsia="Arial" w:cs="Arial"/>
          <w:b w:val="1"/>
          <w:bCs w:val="1"/>
          <w:i w:val="0"/>
          <w:iCs w:val="0"/>
          <w:caps w:val="0"/>
          <w:smallCaps w:val="0"/>
          <w:noProof w:val="0"/>
          <w:color w:val="000000" w:themeColor="text1" w:themeTint="FF" w:themeShade="FF"/>
          <w:sz w:val="28"/>
          <w:szCs w:val="28"/>
          <w:lang w:val="en-GB"/>
        </w:rPr>
        <w:t>Module</w:t>
      </w:r>
      <w:r w:rsidRPr="3C4D1407" w:rsidR="3C4D1407">
        <w:rPr>
          <w:rFonts w:ascii="Arial" w:hAnsi="Arial" w:eastAsia="Arial" w:cs="Arial"/>
          <w:b w:val="0"/>
          <w:bCs w:val="0"/>
          <w:i w:val="0"/>
          <w:iCs w:val="0"/>
          <w:caps w:val="0"/>
          <w:smallCaps w:val="0"/>
          <w:noProof w:val="0"/>
          <w:color w:val="000000" w:themeColor="text1" w:themeTint="FF" w:themeShade="FF"/>
          <w:sz w:val="28"/>
          <w:szCs w:val="28"/>
          <w:lang w:val="en-GB"/>
        </w:rPr>
        <w:t xml:space="preserve">: </w:t>
      </w:r>
      <w:r w:rsidRPr="3C4D1407" w:rsidR="3C4D1407">
        <w:rPr>
          <w:sz w:val="28"/>
          <w:szCs w:val="28"/>
        </w:rPr>
        <w:t>ECAD7003 – Where am I teaching?</w:t>
      </w:r>
    </w:p>
    <w:p w:rsidR="3C4D1407" w:rsidP="3C4D1407" w:rsidRDefault="3C4D1407" w14:paraId="72ABBF15" w14:textId="6AE06AF0">
      <w:pPr>
        <w:bidi w:val="0"/>
        <w:spacing w:after="160" w:line="360"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3C4D1407" w:rsidR="3C4D1407">
        <w:rPr>
          <w:rFonts w:ascii="Arial" w:hAnsi="Arial" w:eastAsia="Arial" w:cs="Arial"/>
          <w:b w:val="0"/>
          <w:bCs w:val="0"/>
          <w:i w:val="0"/>
          <w:iCs w:val="0"/>
          <w:caps w:val="0"/>
          <w:smallCaps w:val="0"/>
          <w:noProof w:val="0"/>
          <w:color w:val="000000" w:themeColor="text1" w:themeTint="FF" w:themeShade="FF"/>
          <w:sz w:val="28"/>
          <w:szCs w:val="28"/>
          <w:lang w:val="en-GB"/>
        </w:rPr>
        <w:t xml:space="preserve">             </w:t>
      </w:r>
      <w:r w:rsidRPr="3C4D1407" w:rsidR="3C4D1407">
        <w:rPr>
          <w:rFonts w:ascii="Arial" w:hAnsi="Arial" w:eastAsia="Arial" w:cs="Arial"/>
          <w:b w:val="1"/>
          <w:bCs w:val="1"/>
          <w:i w:val="0"/>
          <w:iCs w:val="0"/>
          <w:caps w:val="0"/>
          <w:smallCaps w:val="0"/>
          <w:noProof w:val="0"/>
          <w:color w:val="000000" w:themeColor="text1" w:themeTint="FF" w:themeShade="FF"/>
          <w:sz w:val="28"/>
          <w:szCs w:val="28"/>
          <w:lang w:val="en-GB"/>
        </w:rPr>
        <w:t>Student Number</w:t>
      </w:r>
      <w:r w:rsidRPr="3C4D1407" w:rsidR="3C4D1407">
        <w:rPr>
          <w:rFonts w:ascii="Arial" w:hAnsi="Arial" w:eastAsia="Arial" w:cs="Arial"/>
          <w:b w:val="0"/>
          <w:bCs w:val="0"/>
          <w:i w:val="0"/>
          <w:iCs w:val="0"/>
          <w:caps w:val="0"/>
          <w:smallCaps w:val="0"/>
          <w:noProof w:val="0"/>
          <w:color w:val="000000" w:themeColor="text1" w:themeTint="FF" w:themeShade="FF"/>
          <w:sz w:val="28"/>
          <w:szCs w:val="28"/>
          <w:lang w:val="en-GB"/>
        </w:rPr>
        <w:t xml:space="preserve">: 2104988     </w:t>
      </w:r>
    </w:p>
    <w:p w:rsidR="3C4D1407" w:rsidP="3C4D1407" w:rsidRDefault="3C4D1407" w14:paraId="2893DC34" w14:textId="6EB41AF2">
      <w:pPr>
        <w:pStyle w:val="Normal"/>
        <w:bidi w:val="0"/>
        <w:jc w:val="center"/>
        <w:rPr>
          <w:rFonts w:ascii="Calibri" w:hAnsi="Calibri" w:eastAsia="Calibri" w:cs="Calibri"/>
          <w:sz w:val="28"/>
          <w:szCs w:val="28"/>
          <w:u w:val="single"/>
        </w:rPr>
      </w:pPr>
      <w:r w:rsidRPr="3C4D1407" w:rsidR="3C4D1407">
        <w:rPr>
          <w:rFonts w:ascii="Arial" w:hAnsi="Arial" w:eastAsia="Arial" w:cs="Arial"/>
          <w:b w:val="1"/>
          <w:bCs w:val="1"/>
          <w:i w:val="0"/>
          <w:iCs w:val="0"/>
          <w:caps w:val="0"/>
          <w:smallCaps w:val="0"/>
          <w:noProof w:val="0"/>
          <w:color w:val="000000" w:themeColor="text1" w:themeTint="FF" w:themeShade="FF"/>
          <w:sz w:val="28"/>
          <w:szCs w:val="28"/>
          <w:lang w:val="en-GB"/>
        </w:rPr>
        <w:t>Assignment Title</w:t>
      </w:r>
      <w:r w:rsidRPr="3C4D1407" w:rsidR="3C4D1407">
        <w:rPr>
          <w:rFonts w:ascii="Arial" w:hAnsi="Arial" w:eastAsia="Arial" w:cs="Arial"/>
          <w:b w:val="0"/>
          <w:bCs w:val="0"/>
          <w:i w:val="0"/>
          <w:iCs w:val="0"/>
          <w:caps w:val="0"/>
          <w:smallCaps w:val="0"/>
          <w:noProof w:val="0"/>
          <w:color w:val="000000" w:themeColor="text1" w:themeTint="FF" w:themeShade="FF"/>
          <w:sz w:val="28"/>
          <w:szCs w:val="28"/>
          <w:lang w:val="en-GB"/>
        </w:rPr>
        <w:t xml:space="preserve">: </w:t>
      </w:r>
      <w:r w:rsidRPr="3C4D1407" w:rsidR="3C4D1407">
        <w:rPr>
          <w:rFonts w:ascii="Calibri" w:hAnsi="Calibri" w:eastAsia="Calibri" w:cs="Calibri"/>
          <w:sz w:val="28"/>
          <w:szCs w:val="28"/>
          <w:u w:val="none"/>
        </w:rPr>
        <w:t>How a school develops one aspect of its SDP: a report that critically reflects on the actions, impact, and evidence base.</w:t>
      </w:r>
    </w:p>
    <w:p w:rsidR="3C4D1407" w:rsidP="3C4D1407" w:rsidRDefault="3C4D1407" w14:paraId="2ECADC14" w14:textId="3F505E07">
      <w:pPr>
        <w:bidi w:val="0"/>
        <w:spacing w:after="160" w:line="360"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3C4D1407" w:rsidR="3C4D1407">
        <w:rPr>
          <w:rFonts w:ascii="Arial" w:hAnsi="Arial" w:eastAsia="Arial" w:cs="Arial"/>
          <w:b w:val="1"/>
          <w:bCs w:val="1"/>
          <w:i w:val="0"/>
          <w:iCs w:val="0"/>
          <w:caps w:val="0"/>
          <w:smallCaps w:val="0"/>
          <w:noProof w:val="0"/>
          <w:color w:val="000000" w:themeColor="text1" w:themeTint="FF" w:themeShade="FF"/>
          <w:sz w:val="28"/>
          <w:szCs w:val="28"/>
          <w:lang w:val="en-GB"/>
        </w:rPr>
        <w:t>Word count</w:t>
      </w:r>
      <w:r w:rsidRPr="3C4D1407" w:rsidR="3C4D1407">
        <w:rPr>
          <w:rFonts w:ascii="Arial" w:hAnsi="Arial" w:eastAsia="Arial" w:cs="Arial"/>
          <w:b w:val="0"/>
          <w:bCs w:val="0"/>
          <w:i w:val="0"/>
          <w:iCs w:val="0"/>
          <w:caps w:val="0"/>
          <w:smallCaps w:val="0"/>
          <w:noProof w:val="0"/>
          <w:color w:val="000000" w:themeColor="text1" w:themeTint="FF" w:themeShade="FF"/>
          <w:sz w:val="28"/>
          <w:szCs w:val="28"/>
          <w:lang w:val="en-GB"/>
        </w:rPr>
        <w:t xml:space="preserve">: </w:t>
      </w:r>
      <w:r w:rsidRPr="3C4D1407" w:rsidR="3C4D1407">
        <w:rPr>
          <w:rFonts w:ascii="Arial" w:hAnsi="Arial" w:eastAsia="Arial" w:cs="Arial"/>
          <w:b w:val="0"/>
          <w:bCs w:val="0"/>
          <w:i w:val="0"/>
          <w:iCs w:val="0"/>
          <w:caps w:val="0"/>
          <w:smallCaps w:val="0"/>
          <w:noProof w:val="0"/>
          <w:color w:val="000000" w:themeColor="text1" w:themeTint="FF" w:themeShade="FF"/>
          <w:sz w:val="28"/>
          <w:szCs w:val="28"/>
          <w:lang w:val="en-GB"/>
        </w:rPr>
        <w:t>10-minute</w:t>
      </w:r>
      <w:r w:rsidRPr="3C4D1407" w:rsidR="3C4D1407">
        <w:rPr>
          <w:rFonts w:ascii="Arial" w:hAnsi="Arial" w:eastAsia="Arial" w:cs="Arial"/>
          <w:b w:val="0"/>
          <w:bCs w:val="0"/>
          <w:i w:val="0"/>
          <w:iCs w:val="0"/>
          <w:caps w:val="0"/>
          <w:smallCaps w:val="0"/>
          <w:noProof w:val="0"/>
          <w:color w:val="000000" w:themeColor="text1" w:themeTint="FF" w:themeShade="FF"/>
          <w:sz w:val="28"/>
          <w:szCs w:val="28"/>
          <w:lang w:val="en-GB"/>
        </w:rPr>
        <w:t xml:space="preserve"> video, Part A, 2,500 words, Part B.</w:t>
      </w:r>
    </w:p>
    <w:p w:rsidR="3C4D1407" w:rsidP="3C4D1407" w:rsidRDefault="3C4D1407" w14:paraId="645E0F67" w14:textId="7AB506AA">
      <w:pPr>
        <w:pStyle w:val="Header"/>
        <w:bidi w:val="0"/>
        <w:ind w:left="-115"/>
        <w:jc w:val="center"/>
      </w:pPr>
    </w:p>
    <w:tbl>
      <w:tblPr>
        <w:tblStyle w:val="TableGrid"/>
        <w:tblW w:w="0" w:type="auto"/>
        <w:tblLayout w:type="fixed"/>
        <w:tblLook w:val="04A0" w:firstRow="1" w:lastRow="0" w:firstColumn="1" w:lastColumn="0" w:noHBand="0" w:noVBand="1"/>
      </w:tblPr>
      <w:tblGrid>
        <w:gridCol w:w="1725"/>
        <w:gridCol w:w="3645"/>
        <w:gridCol w:w="3645"/>
      </w:tblGrid>
      <w:tr w:rsidR="7489746B" w:rsidTr="3C4D1407" w14:paraId="48A74A94" w14:textId="77777777">
        <w:trPr>
          <w:trHeight w:val="300"/>
        </w:trPr>
        <w:tc>
          <w:tcPr>
            <w:tcW w:w="1725" w:type="dxa"/>
            <w:tcBorders>
              <w:top w:val="single" w:color="auto" w:sz="8" w:space="0"/>
              <w:left w:val="single" w:color="auto" w:sz="8" w:space="0"/>
              <w:bottom w:val="single" w:color="auto" w:sz="8" w:space="0"/>
              <w:right w:val="single" w:color="auto" w:sz="8" w:space="0"/>
            </w:tcBorders>
            <w:tcMar>
              <w:left w:w="108" w:type="dxa"/>
              <w:right w:w="108" w:type="dxa"/>
            </w:tcMar>
          </w:tcPr>
          <w:p w:rsidR="7489746B" w:rsidP="7489746B" w:rsidRDefault="7489746B" w14:paraId="0F7C1EFA" w14:textId="123E0884">
            <w:pPr>
              <w:spacing w:line="360" w:lineRule="auto"/>
            </w:pPr>
            <w:r w:rsidRPr="7489746B">
              <w:rPr>
                <w:rFonts w:ascii="Arial" w:hAnsi="Arial" w:eastAsia="Arial" w:cs="Arial"/>
              </w:rPr>
              <w:t xml:space="preserve"> </w:t>
            </w:r>
          </w:p>
        </w:tc>
        <w:tc>
          <w:tcPr>
            <w:tcW w:w="3645" w:type="dxa"/>
            <w:tcBorders>
              <w:top w:val="single" w:color="auto" w:sz="8" w:space="0"/>
              <w:left w:val="single" w:color="auto" w:sz="8" w:space="0"/>
              <w:bottom w:val="single" w:color="auto" w:sz="8" w:space="0"/>
              <w:right w:val="single" w:color="auto" w:sz="8" w:space="0"/>
            </w:tcBorders>
            <w:tcMar>
              <w:left w:w="108" w:type="dxa"/>
              <w:right w:w="108" w:type="dxa"/>
            </w:tcMar>
          </w:tcPr>
          <w:p w:rsidR="7489746B" w:rsidP="7489746B" w:rsidRDefault="7489746B" w14:paraId="47AA2DE5" w14:textId="26041BAA">
            <w:pPr>
              <w:spacing w:line="360" w:lineRule="auto"/>
            </w:pPr>
            <w:proofErr w:type="spellStart"/>
            <w:r w:rsidRPr="7489746B">
              <w:rPr>
                <w:rFonts w:ascii="Arial" w:hAnsi="Arial" w:eastAsia="Arial" w:cs="Arial"/>
              </w:rPr>
              <w:t>Targed</w:t>
            </w:r>
            <w:proofErr w:type="spellEnd"/>
            <w:r w:rsidRPr="7489746B">
              <w:rPr>
                <w:rFonts w:ascii="Arial" w:hAnsi="Arial" w:eastAsia="Arial" w:cs="Arial"/>
              </w:rPr>
              <w:t>/target</w:t>
            </w:r>
          </w:p>
        </w:tc>
        <w:tc>
          <w:tcPr>
            <w:tcW w:w="3645" w:type="dxa"/>
            <w:tcBorders>
              <w:top w:val="single" w:color="auto" w:sz="8" w:space="0"/>
              <w:left w:val="single" w:color="auto" w:sz="8" w:space="0"/>
              <w:bottom w:val="single" w:color="auto" w:sz="8" w:space="0"/>
              <w:right w:val="single" w:color="auto" w:sz="8" w:space="0"/>
            </w:tcBorders>
            <w:tcMar>
              <w:left w:w="108" w:type="dxa"/>
              <w:right w:w="108" w:type="dxa"/>
            </w:tcMar>
          </w:tcPr>
          <w:p w:rsidR="7489746B" w:rsidRDefault="7489746B" w14:paraId="31BB6BBE" w14:textId="598FB37C">
            <w:proofErr w:type="spellStart"/>
            <w:r w:rsidRPr="7489746B">
              <w:rPr>
                <w:rFonts w:ascii="Arial" w:hAnsi="Arial" w:eastAsia="Arial" w:cs="Arial"/>
                <w:color w:val="222222"/>
                <w:lang w:val="en-US"/>
              </w:rPr>
              <w:t>Yr</w:t>
            </w:r>
            <w:proofErr w:type="spellEnd"/>
            <w:r w:rsidRPr="7489746B">
              <w:rPr>
                <w:rFonts w:ascii="Arial" w:hAnsi="Arial" w:eastAsia="Arial" w:cs="Arial"/>
                <w:color w:val="222222"/>
                <w:lang w:val="en-US"/>
              </w:rPr>
              <w:t xml:space="preserve"> </w:t>
            </w:r>
            <w:proofErr w:type="spellStart"/>
            <w:r w:rsidRPr="7489746B">
              <w:rPr>
                <w:rFonts w:ascii="Arial" w:hAnsi="Arial" w:eastAsia="Arial" w:cs="Arial"/>
                <w:color w:val="222222"/>
                <w:lang w:val="en-US"/>
              </w:rPr>
              <w:t>hyn</w:t>
            </w:r>
            <w:proofErr w:type="spellEnd"/>
            <w:r w:rsidRPr="7489746B">
              <w:rPr>
                <w:rFonts w:ascii="Arial" w:hAnsi="Arial" w:eastAsia="Arial" w:cs="Arial"/>
                <w:color w:val="222222"/>
                <w:lang w:val="en-US"/>
              </w:rPr>
              <w:t xml:space="preserve"> </w:t>
            </w:r>
            <w:proofErr w:type="spellStart"/>
            <w:r w:rsidRPr="7489746B">
              <w:rPr>
                <w:rFonts w:ascii="Arial" w:hAnsi="Arial" w:eastAsia="Arial" w:cs="Arial"/>
                <w:color w:val="222222"/>
                <w:lang w:val="en-US"/>
              </w:rPr>
              <w:t>yr</w:t>
            </w:r>
            <w:proofErr w:type="spellEnd"/>
            <w:r w:rsidRPr="7489746B">
              <w:rPr>
                <w:rFonts w:ascii="Arial" w:hAnsi="Arial" w:eastAsia="Arial" w:cs="Arial"/>
                <w:color w:val="222222"/>
                <w:lang w:val="en-US"/>
              </w:rPr>
              <w:t xml:space="preserve"> </w:t>
            </w:r>
            <w:proofErr w:type="spellStart"/>
            <w:r w:rsidRPr="7489746B">
              <w:rPr>
                <w:rFonts w:ascii="Arial" w:hAnsi="Arial" w:eastAsia="Arial" w:cs="Arial"/>
                <w:color w:val="222222"/>
                <w:lang w:val="en-US"/>
              </w:rPr>
              <w:t>wyf</w:t>
            </w:r>
            <w:proofErr w:type="spellEnd"/>
            <w:r w:rsidRPr="7489746B">
              <w:rPr>
                <w:rFonts w:ascii="Arial" w:hAnsi="Arial" w:eastAsia="Arial" w:cs="Arial"/>
                <w:color w:val="222222"/>
                <w:lang w:val="en-US"/>
              </w:rPr>
              <w:t xml:space="preserve"> </w:t>
            </w:r>
            <w:proofErr w:type="spellStart"/>
            <w:r w:rsidRPr="7489746B">
              <w:rPr>
                <w:rFonts w:ascii="Arial" w:hAnsi="Arial" w:eastAsia="Arial" w:cs="Arial"/>
                <w:color w:val="222222"/>
                <w:lang w:val="en-US"/>
              </w:rPr>
              <w:t>wedi'i</w:t>
            </w:r>
            <w:proofErr w:type="spellEnd"/>
            <w:r w:rsidRPr="7489746B">
              <w:rPr>
                <w:rFonts w:ascii="Arial" w:hAnsi="Arial" w:eastAsia="Arial" w:cs="Arial"/>
                <w:color w:val="222222"/>
                <w:lang w:val="en-US"/>
              </w:rPr>
              <w:t xml:space="preserve"> </w:t>
            </w:r>
            <w:proofErr w:type="spellStart"/>
            <w:r w:rsidRPr="7489746B">
              <w:rPr>
                <w:rFonts w:ascii="Arial" w:hAnsi="Arial" w:eastAsia="Arial" w:cs="Arial"/>
                <w:color w:val="222222"/>
                <w:lang w:val="en-US"/>
              </w:rPr>
              <w:t>wneud</w:t>
            </w:r>
            <w:proofErr w:type="spellEnd"/>
            <w:r w:rsidRPr="7489746B">
              <w:rPr>
                <w:rFonts w:ascii="Arial" w:hAnsi="Arial" w:eastAsia="Arial" w:cs="Arial"/>
                <w:color w:val="222222"/>
                <w:lang w:val="en-US"/>
              </w:rPr>
              <w:t xml:space="preserve"> </w:t>
            </w:r>
            <w:proofErr w:type="spellStart"/>
            <w:r w:rsidRPr="7489746B">
              <w:rPr>
                <w:rFonts w:ascii="Arial" w:hAnsi="Arial" w:eastAsia="Arial" w:cs="Arial"/>
                <w:color w:val="222222"/>
                <w:lang w:val="en-US"/>
              </w:rPr>
              <w:t>yn</w:t>
            </w:r>
            <w:proofErr w:type="spellEnd"/>
            <w:r w:rsidRPr="7489746B">
              <w:rPr>
                <w:rFonts w:ascii="Arial" w:hAnsi="Arial" w:eastAsia="Arial" w:cs="Arial"/>
                <w:color w:val="222222"/>
                <w:lang w:val="en-US"/>
              </w:rPr>
              <w:t xml:space="preserve"> </w:t>
            </w:r>
            <w:proofErr w:type="spellStart"/>
            <w:r w:rsidRPr="7489746B">
              <w:rPr>
                <w:rFonts w:ascii="Arial" w:hAnsi="Arial" w:eastAsia="Arial" w:cs="Arial"/>
                <w:color w:val="222222"/>
                <w:lang w:val="en-US"/>
              </w:rPr>
              <w:t>yr</w:t>
            </w:r>
            <w:proofErr w:type="spellEnd"/>
            <w:r w:rsidRPr="7489746B">
              <w:rPr>
                <w:rFonts w:ascii="Arial" w:hAnsi="Arial" w:eastAsia="Arial" w:cs="Arial"/>
                <w:color w:val="222222"/>
                <w:lang w:val="en-US"/>
              </w:rPr>
              <w:t xml:space="preserve"> </w:t>
            </w:r>
            <w:proofErr w:type="spellStart"/>
            <w:r w:rsidRPr="7489746B">
              <w:rPr>
                <w:rFonts w:ascii="Arial" w:hAnsi="Arial" w:eastAsia="Arial" w:cs="Arial"/>
                <w:color w:val="222222"/>
                <w:lang w:val="en-US"/>
              </w:rPr>
              <w:t>aseiniad</w:t>
            </w:r>
            <w:proofErr w:type="spellEnd"/>
            <w:r w:rsidRPr="7489746B">
              <w:rPr>
                <w:rFonts w:ascii="Arial" w:hAnsi="Arial" w:eastAsia="Arial" w:cs="Arial"/>
                <w:color w:val="222222"/>
                <w:lang w:val="en-US"/>
              </w:rPr>
              <w:t xml:space="preserve"> </w:t>
            </w:r>
            <w:proofErr w:type="spellStart"/>
            <w:r w:rsidRPr="7489746B">
              <w:rPr>
                <w:rFonts w:ascii="Arial" w:hAnsi="Arial" w:eastAsia="Arial" w:cs="Arial"/>
                <w:color w:val="222222"/>
                <w:lang w:val="en-US"/>
              </w:rPr>
              <w:t>hwn</w:t>
            </w:r>
            <w:proofErr w:type="spellEnd"/>
          </w:p>
          <w:p w:rsidR="7489746B" w:rsidRDefault="7489746B" w14:paraId="79020B40" w14:textId="617738E7">
            <w:r w:rsidRPr="7489746B">
              <w:rPr>
                <w:rFonts w:ascii="Arial" w:hAnsi="Arial" w:eastAsia="Arial" w:cs="Arial"/>
                <w:lang w:val="en-US"/>
              </w:rPr>
              <w:t>What I have done in this assignment...</w:t>
            </w:r>
          </w:p>
          <w:p w:rsidR="7489746B" w:rsidP="7489746B" w:rsidRDefault="7489746B" w14:paraId="06927674" w14:textId="14CFF2F5">
            <w:pPr>
              <w:spacing w:line="360" w:lineRule="auto"/>
            </w:pPr>
            <w:r w:rsidRPr="7489746B">
              <w:rPr>
                <w:rFonts w:ascii="Arial" w:hAnsi="Arial" w:eastAsia="Arial" w:cs="Arial"/>
              </w:rPr>
              <w:t xml:space="preserve"> </w:t>
            </w:r>
          </w:p>
        </w:tc>
      </w:tr>
      <w:tr w:rsidR="7489746B" w:rsidTr="3C4D1407" w14:paraId="61EC2F24" w14:textId="77777777">
        <w:trPr>
          <w:trHeight w:val="300"/>
        </w:trPr>
        <w:tc>
          <w:tcPr>
            <w:tcW w:w="1725" w:type="dxa"/>
            <w:tcBorders>
              <w:top w:val="single" w:color="auto" w:sz="8" w:space="0"/>
              <w:left w:val="single" w:color="auto" w:sz="8" w:space="0"/>
              <w:bottom w:val="single" w:color="auto" w:sz="8" w:space="0"/>
              <w:right w:val="single" w:color="auto" w:sz="8" w:space="0"/>
            </w:tcBorders>
            <w:tcMar>
              <w:left w:w="108" w:type="dxa"/>
              <w:right w:w="108" w:type="dxa"/>
            </w:tcMar>
          </w:tcPr>
          <w:p w:rsidR="7489746B" w:rsidP="7489746B" w:rsidRDefault="7489746B" w14:paraId="16DA3930" w14:textId="3E0934AE">
            <w:pPr>
              <w:spacing w:line="360" w:lineRule="auto"/>
            </w:pPr>
            <w:proofErr w:type="spellStart"/>
            <w:r w:rsidRPr="7489746B">
              <w:rPr>
                <w:rFonts w:ascii="Arial" w:hAnsi="Arial" w:eastAsia="Arial" w:cs="Arial"/>
              </w:rPr>
              <w:t>Targed</w:t>
            </w:r>
            <w:proofErr w:type="spellEnd"/>
            <w:r w:rsidRPr="7489746B">
              <w:rPr>
                <w:rFonts w:ascii="Arial" w:hAnsi="Arial" w:eastAsia="Arial" w:cs="Arial"/>
              </w:rPr>
              <w:t>/Target 1</w:t>
            </w:r>
          </w:p>
        </w:tc>
        <w:tc>
          <w:tcPr>
            <w:tcW w:w="3645" w:type="dxa"/>
            <w:tcBorders>
              <w:top w:val="single" w:color="auto" w:sz="8" w:space="0"/>
              <w:left w:val="single" w:color="auto" w:sz="8" w:space="0"/>
              <w:bottom w:val="single" w:color="auto" w:sz="8" w:space="0"/>
              <w:right w:val="single" w:color="auto" w:sz="8" w:space="0"/>
            </w:tcBorders>
            <w:tcMar>
              <w:left w:w="108" w:type="dxa"/>
              <w:right w:w="108" w:type="dxa"/>
            </w:tcMar>
          </w:tcPr>
          <w:p w:rsidR="7489746B" w:rsidP="7489746B" w:rsidRDefault="7489746B" w14:paraId="5BFDCCD2" w14:textId="7FBC81DF">
            <w:pPr>
              <w:spacing w:line="360" w:lineRule="auto"/>
              <w:rPr>
                <w:rFonts w:ascii="Arial" w:hAnsi="Arial" w:eastAsia="Arial" w:cs="Arial"/>
              </w:rPr>
            </w:pPr>
            <w:r w:rsidRPr="7489746B">
              <w:rPr>
                <w:rFonts w:ascii="Arial" w:hAnsi="Arial" w:eastAsia="Arial" w:cs="Arial"/>
              </w:rPr>
              <w:t xml:space="preserve"> </w:t>
            </w:r>
            <w:r w:rsidRPr="7489746B" w:rsidR="730C31FE">
              <w:rPr>
                <w:rFonts w:ascii="Arial" w:hAnsi="Arial" w:eastAsia="Arial" w:cs="Arial"/>
                <w:sz w:val="24"/>
                <w:szCs w:val="24"/>
              </w:rPr>
              <w:t>Ensure you include more depth when discussing certain themes as mentioned above.</w:t>
            </w:r>
          </w:p>
        </w:tc>
        <w:tc>
          <w:tcPr>
            <w:tcW w:w="3645" w:type="dxa"/>
            <w:tcBorders>
              <w:top w:val="single" w:color="auto" w:sz="8" w:space="0"/>
              <w:left w:val="single" w:color="auto" w:sz="8" w:space="0"/>
              <w:bottom w:val="single" w:color="auto" w:sz="8" w:space="0"/>
              <w:right w:val="single" w:color="auto" w:sz="8" w:space="0"/>
            </w:tcBorders>
            <w:tcMar>
              <w:left w:w="108" w:type="dxa"/>
              <w:right w:w="108" w:type="dxa"/>
            </w:tcMar>
          </w:tcPr>
          <w:p w:rsidR="7489746B" w:rsidP="28F5E621" w:rsidRDefault="7489746B" w14:paraId="64091CE4" w14:textId="4EB278B9">
            <w:pPr>
              <w:spacing w:line="360" w:lineRule="auto"/>
              <w:rPr>
                <w:rFonts w:ascii="Arial" w:hAnsi="Arial" w:eastAsia="Arial" w:cs="Arial"/>
              </w:rPr>
            </w:pPr>
            <w:r w:rsidRPr="3C4D1407" w:rsidR="3C4D1407">
              <w:rPr>
                <w:rFonts w:ascii="Arial" w:hAnsi="Arial" w:eastAsia="Arial" w:cs="Arial"/>
              </w:rPr>
              <w:t xml:space="preserve"> This assignment focuses attentions on two themes to </w:t>
            </w:r>
            <w:r w:rsidRPr="3C4D1407" w:rsidR="3C4D1407">
              <w:rPr>
                <w:rFonts w:ascii="Arial" w:hAnsi="Arial" w:eastAsia="Arial" w:cs="Arial"/>
              </w:rPr>
              <w:t>provide</w:t>
            </w:r>
            <w:r w:rsidRPr="3C4D1407" w:rsidR="3C4D1407">
              <w:rPr>
                <w:rFonts w:ascii="Arial" w:hAnsi="Arial" w:eastAsia="Arial" w:cs="Arial"/>
              </w:rPr>
              <w:t xml:space="preserve"> an in-depth analysis of SDPs and key skills in school improvement. Both themes include literature relevant to discussion and critically analyse their points. </w:t>
            </w:r>
          </w:p>
        </w:tc>
      </w:tr>
      <w:tr w:rsidR="7489746B" w:rsidTr="3C4D1407" w14:paraId="4E05E0CF" w14:textId="77777777">
        <w:trPr>
          <w:trHeight w:val="300"/>
        </w:trPr>
        <w:tc>
          <w:tcPr>
            <w:tcW w:w="1725" w:type="dxa"/>
            <w:tcBorders>
              <w:top w:val="single" w:color="auto" w:sz="8" w:space="0"/>
              <w:left w:val="single" w:color="auto" w:sz="8" w:space="0"/>
              <w:bottom w:val="single" w:color="auto" w:sz="8" w:space="0"/>
              <w:right w:val="single" w:color="auto" w:sz="8" w:space="0"/>
            </w:tcBorders>
            <w:tcMar>
              <w:left w:w="108" w:type="dxa"/>
              <w:right w:w="108" w:type="dxa"/>
            </w:tcMar>
          </w:tcPr>
          <w:p w:rsidR="7489746B" w:rsidP="7489746B" w:rsidRDefault="7489746B" w14:paraId="6BCA9129" w14:textId="4F65A233">
            <w:pPr>
              <w:spacing w:line="360" w:lineRule="auto"/>
            </w:pPr>
            <w:proofErr w:type="spellStart"/>
            <w:r w:rsidRPr="7489746B">
              <w:rPr>
                <w:rFonts w:ascii="Arial" w:hAnsi="Arial" w:eastAsia="Arial" w:cs="Arial"/>
              </w:rPr>
              <w:t>Targed</w:t>
            </w:r>
            <w:proofErr w:type="spellEnd"/>
            <w:r w:rsidRPr="7489746B">
              <w:rPr>
                <w:rFonts w:ascii="Arial" w:hAnsi="Arial" w:eastAsia="Arial" w:cs="Arial"/>
              </w:rPr>
              <w:t>/Target 2</w:t>
            </w:r>
          </w:p>
        </w:tc>
        <w:tc>
          <w:tcPr>
            <w:tcW w:w="3645" w:type="dxa"/>
            <w:tcBorders>
              <w:top w:val="single" w:color="auto" w:sz="8" w:space="0"/>
              <w:left w:val="single" w:color="auto" w:sz="8" w:space="0"/>
              <w:bottom w:val="single" w:color="auto" w:sz="8" w:space="0"/>
              <w:right w:val="single" w:color="auto" w:sz="8" w:space="0"/>
            </w:tcBorders>
            <w:tcMar>
              <w:left w:w="108" w:type="dxa"/>
              <w:right w:w="108" w:type="dxa"/>
            </w:tcMar>
          </w:tcPr>
          <w:p w:rsidR="7489746B" w:rsidP="7489746B" w:rsidRDefault="7489746B" w14:paraId="60EB381A" w14:textId="2955161C">
            <w:pPr>
              <w:spacing w:line="360" w:lineRule="auto"/>
              <w:rPr>
                <w:rFonts w:ascii="Arial" w:hAnsi="Arial" w:eastAsia="Arial" w:cs="Arial"/>
              </w:rPr>
            </w:pPr>
            <w:r w:rsidRPr="7489746B">
              <w:rPr>
                <w:rFonts w:ascii="Arial" w:hAnsi="Arial" w:eastAsia="Arial" w:cs="Arial"/>
              </w:rPr>
              <w:t xml:space="preserve"> </w:t>
            </w:r>
            <w:r w:rsidRPr="7489746B" w:rsidR="105C6C81">
              <w:rPr>
                <w:rFonts w:ascii="Arial" w:hAnsi="Arial" w:eastAsia="Arial" w:cs="Arial"/>
              </w:rPr>
              <w:t>N/A</w:t>
            </w:r>
          </w:p>
        </w:tc>
        <w:tc>
          <w:tcPr>
            <w:tcW w:w="3645" w:type="dxa"/>
            <w:tcBorders>
              <w:top w:val="single" w:color="auto" w:sz="8" w:space="0"/>
              <w:left w:val="single" w:color="auto" w:sz="8" w:space="0"/>
              <w:bottom w:val="single" w:color="auto" w:sz="8" w:space="0"/>
              <w:right w:val="single" w:color="auto" w:sz="8" w:space="0"/>
            </w:tcBorders>
            <w:tcMar>
              <w:left w:w="108" w:type="dxa"/>
              <w:right w:w="108" w:type="dxa"/>
            </w:tcMar>
          </w:tcPr>
          <w:p w:rsidR="7489746B" w:rsidP="7489746B" w:rsidRDefault="7489746B" w14:paraId="5ACBF759" w14:textId="4CE08BCC">
            <w:pPr>
              <w:spacing w:line="360" w:lineRule="auto"/>
            </w:pPr>
            <w:r w:rsidRPr="7489746B">
              <w:rPr>
                <w:rFonts w:ascii="Arial" w:hAnsi="Arial" w:eastAsia="Arial" w:cs="Arial"/>
              </w:rPr>
              <w:t xml:space="preserve"> </w:t>
            </w:r>
          </w:p>
        </w:tc>
      </w:tr>
      <w:tr w:rsidR="7489746B" w:rsidTr="3C4D1407" w14:paraId="55867AF5" w14:textId="77777777">
        <w:trPr>
          <w:trHeight w:val="300"/>
        </w:trPr>
        <w:tc>
          <w:tcPr>
            <w:tcW w:w="1725" w:type="dxa"/>
            <w:tcBorders>
              <w:top w:val="single" w:color="auto" w:sz="8" w:space="0"/>
              <w:left w:val="single" w:color="auto" w:sz="8" w:space="0"/>
              <w:bottom w:val="single" w:color="auto" w:sz="8" w:space="0"/>
              <w:right w:val="single" w:color="auto" w:sz="8" w:space="0"/>
            </w:tcBorders>
            <w:tcMar>
              <w:left w:w="108" w:type="dxa"/>
              <w:right w:w="108" w:type="dxa"/>
            </w:tcMar>
          </w:tcPr>
          <w:p w:rsidR="7489746B" w:rsidP="7489746B" w:rsidRDefault="7489746B" w14:paraId="5CD74EC2" w14:textId="401CDB3E">
            <w:pPr>
              <w:spacing w:line="360" w:lineRule="auto"/>
            </w:pPr>
            <w:proofErr w:type="spellStart"/>
            <w:r w:rsidRPr="7489746B">
              <w:rPr>
                <w:rFonts w:ascii="Arial" w:hAnsi="Arial" w:eastAsia="Arial" w:cs="Arial"/>
              </w:rPr>
              <w:t>Targed</w:t>
            </w:r>
            <w:proofErr w:type="spellEnd"/>
            <w:r w:rsidRPr="7489746B">
              <w:rPr>
                <w:rFonts w:ascii="Arial" w:hAnsi="Arial" w:eastAsia="Arial" w:cs="Arial"/>
              </w:rPr>
              <w:t>/Target 3</w:t>
            </w:r>
          </w:p>
        </w:tc>
        <w:tc>
          <w:tcPr>
            <w:tcW w:w="3645" w:type="dxa"/>
            <w:tcBorders>
              <w:top w:val="single" w:color="auto" w:sz="8" w:space="0"/>
              <w:left w:val="single" w:color="auto" w:sz="8" w:space="0"/>
              <w:bottom w:val="single" w:color="auto" w:sz="8" w:space="0"/>
              <w:right w:val="single" w:color="auto" w:sz="8" w:space="0"/>
            </w:tcBorders>
            <w:tcMar>
              <w:left w:w="108" w:type="dxa"/>
              <w:right w:w="108" w:type="dxa"/>
            </w:tcMar>
          </w:tcPr>
          <w:p w:rsidR="7489746B" w:rsidP="7489746B" w:rsidRDefault="7489746B" w14:paraId="093513B9" w14:textId="58D02DC7">
            <w:pPr>
              <w:spacing w:line="360" w:lineRule="auto"/>
            </w:pPr>
            <w:r w:rsidRPr="7489746B">
              <w:rPr>
                <w:rFonts w:ascii="Arial" w:hAnsi="Arial" w:eastAsia="Arial" w:cs="Arial"/>
              </w:rPr>
              <w:t xml:space="preserve"> </w:t>
            </w:r>
            <w:r w:rsidRPr="7489746B" w:rsidR="05B4AE31">
              <w:rPr>
                <w:rFonts w:ascii="Arial" w:hAnsi="Arial" w:eastAsia="Arial" w:cs="Arial"/>
              </w:rPr>
              <w:t>N/A</w:t>
            </w:r>
          </w:p>
        </w:tc>
        <w:tc>
          <w:tcPr>
            <w:tcW w:w="3645" w:type="dxa"/>
            <w:tcBorders>
              <w:top w:val="single" w:color="auto" w:sz="8" w:space="0"/>
              <w:left w:val="single" w:color="auto" w:sz="8" w:space="0"/>
              <w:bottom w:val="single" w:color="auto" w:sz="8" w:space="0"/>
              <w:right w:val="single" w:color="auto" w:sz="8" w:space="0"/>
            </w:tcBorders>
            <w:tcMar>
              <w:left w:w="108" w:type="dxa"/>
              <w:right w:w="108" w:type="dxa"/>
            </w:tcMar>
          </w:tcPr>
          <w:p w:rsidR="7489746B" w:rsidP="7489746B" w:rsidRDefault="7489746B" w14:paraId="32C8306F" w14:textId="416309CB">
            <w:pPr>
              <w:spacing w:line="360" w:lineRule="auto"/>
            </w:pPr>
            <w:r w:rsidRPr="7489746B">
              <w:rPr>
                <w:rFonts w:ascii="Arial" w:hAnsi="Arial" w:eastAsia="Arial" w:cs="Arial"/>
              </w:rPr>
              <w:t xml:space="preserve"> </w:t>
            </w:r>
          </w:p>
        </w:tc>
      </w:tr>
    </w:tbl>
    <w:p w:rsidR="7489746B" w:rsidP="7489746B" w:rsidRDefault="7489746B" w14:paraId="03CF221A" w14:textId="3A59829A">
      <w:pPr>
        <w:spacing w:line="360" w:lineRule="auto"/>
        <w:jc w:val="center"/>
        <w:rPr>
          <w:rFonts w:ascii="Arial" w:hAnsi="Arial" w:eastAsia="Arial" w:cs="Arial"/>
        </w:rPr>
      </w:pPr>
    </w:p>
    <w:p w:rsidR="3C4D1407" w:rsidP="3C4D1407" w:rsidRDefault="3C4D1407" w14:paraId="55573A00" w14:textId="321988B1">
      <w:pPr>
        <w:jc w:val="center"/>
        <w:rPr>
          <w:rFonts w:ascii="Calibri" w:hAnsi="Calibri" w:eastAsia="Calibri" w:cs="Calibri"/>
          <w:sz w:val="28"/>
          <w:szCs w:val="28"/>
          <w:u w:val="single"/>
        </w:rPr>
      </w:pPr>
    </w:p>
    <w:p w:rsidR="7489746B" w:rsidP="3C4D1407" w:rsidRDefault="681DEA2C" w14:paraId="11F7EB84" w14:textId="3249AC01">
      <w:pPr>
        <w:jc w:val="center"/>
        <w:rPr>
          <w:rFonts w:ascii="Calibri" w:hAnsi="Calibri" w:eastAsia="Calibri" w:cs="Calibri"/>
          <w:sz w:val="28"/>
          <w:szCs w:val="28"/>
          <w:u w:val="single"/>
        </w:rPr>
      </w:pPr>
      <w:r w:rsidRPr="3C4D1407" w:rsidR="3C4D1407">
        <w:rPr>
          <w:rFonts w:ascii="Calibri" w:hAnsi="Calibri" w:eastAsia="Calibri" w:cs="Calibri"/>
          <w:sz w:val="28"/>
          <w:szCs w:val="28"/>
          <w:u w:val="single"/>
        </w:rPr>
        <w:t>How a school develops one aspect of its SDP: a report that critically reflects on the actions, impact, and evidence base.</w:t>
      </w:r>
    </w:p>
    <w:p w:rsidR="7D2ED76D" w:rsidP="3C4D1407" w:rsidRDefault="7D2ED76D" w14:paraId="056734E1" w14:textId="3416ECA6">
      <w:pPr>
        <w:pStyle w:val="Normal"/>
        <w:bidi w:val="0"/>
        <w:spacing w:before="0" w:beforeAutospacing="off" w:after="160" w:afterAutospacing="off" w:line="360" w:lineRule="auto"/>
        <w:ind w:left="0" w:right="0"/>
        <w:jc w:val="left"/>
        <w:rPr>
          <w:rFonts w:ascii="Calibri" w:hAnsi="Calibri" w:eastAsia="Calibri" w:cs="Calibri" w:asciiTheme="minorAscii" w:hAnsiTheme="minorAscii" w:eastAsiaTheme="minorAscii" w:cstheme="minorAscii"/>
          <w:sz w:val="24"/>
          <w:szCs w:val="24"/>
        </w:rPr>
      </w:pPr>
      <w:r w:rsidRPr="3C4D1407" w:rsidR="3C4D1407">
        <w:rPr>
          <w:rFonts w:ascii="Calibri" w:hAnsi="Calibri" w:eastAsia="Calibri" w:cs="Calibri" w:asciiTheme="minorAscii" w:hAnsiTheme="minorAscii" w:eastAsiaTheme="minorAscii" w:cstheme="minorAscii"/>
          <w:sz w:val="24"/>
          <w:szCs w:val="24"/>
        </w:rPr>
        <w:t xml:space="preserve">Following the drastic effects of COVID-19 and the changes of curriculum reform, schools are now facing a new age in how they recognise whole school improvements. School development plans (SDPs) are critical in allowing schools to continuously grow and enhance learning and each SDP is as unique as the school it serves (Welsh Government, 2014). This report will use specific information taken from personal research of an SDP in an English-medium primary school with 207 pupils of ages 3-11, 12 of whom have English as an </w:t>
      </w:r>
      <w:r w:rsidRPr="3C4D1407" w:rsidR="3C4D1407">
        <w:rPr>
          <w:rFonts w:ascii="Calibri" w:hAnsi="Calibri" w:eastAsia="Calibri" w:cs="Calibri" w:asciiTheme="minorAscii" w:hAnsiTheme="minorAscii" w:eastAsiaTheme="minorAscii" w:cstheme="minorAscii"/>
          <w:sz w:val="24"/>
          <w:szCs w:val="24"/>
        </w:rPr>
        <w:t>additional</w:t>
      </w:r>
      <w:r w:rsidRPr="3C4D1407" w:rsidR="3C4D1407">
        <w:rPr>
          <w:rFonts w:ascii="Calibri" w:hAnsi="Calibri" w:eastAsia="Calibri" w:cs="Calibri" w:asciiTheme="minorAscii" w:hAnsiTheme="minorAscii" w:eastAsiaTheme="minorAscii" w:cstheme="minorAscii"/>
          <w:sz w:val="24"/>
          <w:szCs w:val="24"/>
        </w:rPr>
        <w:t xml:space="preserve"> language and 4 looked after children (LAC) (Placement school, 2022). There are 2 specialist facilities catering for 16 children with moderate to severe learning difficulties, meaning all SDP initiatives also look towards inclusivity of all children (Placement school, 2022). Furthermore, 33% of the school's population have </w:t>
      </w:r>
      <w:r w:rsidRPr="3C4D1407" w:rsidR="3C4D1407">
        <w:rPr>
          <w:rFonts w:ascii="Calibri" w:hAnsi="Calibri" w:eastAsia="Calibri" w:cs="Calibri" w:asciiTheme="minorAscii" w:hAnsiTheme="minorAscii" w:eastAsiaTheme="minorAscii" w:cstheme="minorAscii"/>
          <w:sz w:val="24"/>
          <w:szCs w:val="24"/>
        </w:rPr>
        <w:t>additional</w:t>
      </w:r>
      <w:r w:rsidRPr="3C4D1407" w:rsidR="3C4D1407">
        <w:rPr>
          <w:rFonts w:ascii="Calibri" w:hAnsi="Calibri" w:eastAsia="Calibri" w:cs="Calibri" w:asciiTheme="minorAscii" w:hAnsiTheme="minorAscii" w:eastAsiaTheme="minorAscii" w:cstheme="minorAscii"/>
          <w:sz w:val="24"/>
          <w:szCs w:val="24"/>
        </w:rPr>
        <w:t xml:space="preserve"> learning needs (ALN) and 20.38% are eligible for free school meals, highlighting hardship in parts of the community (Placement school, 2022). Finally, there are statemented children within the school and 7 children with individual development plans (IDPs) making this SDP’s priority of raising standards in key skills unique in addressing the needs of all students it aims to support (Placement school, 2022).</w:t>
      </w:r>
      <w:r w:rsidRPr="3C4D1407" w:rsidR="3C4D1407">
        <w:rPr>
          <w:rFonts w:ascii="Calibri" w:hAnsi="Calibri" w:eastAsia="Calibri" w:cs="Calibri" w:asciiTheme="minorAscii" w:hAnsiTheme="minorAscii" w:eastAsiaTheme="minorAscii" w:cstheme="minorAscii"/>
          <w:b w:val="1"/>
          <w:bCs w:val="1"/>
          <w:sz w:val="24"/>
          <w:szCs w:val="24"/>
        </w:rPr>
        <w:t xml:space="preserve"> </w:t>
      </w:r>
      <w:r w:rsidRPr="3C4D1407" w:rsidR="3C4D1407">
        <w:rPr>
          <w:rFonts w:ascii="Calibri" w:hAnsi="Calibri" w:eastAsia="Calibri" w:cs="Calibri" w:asciiTheme="minorAscii" w:hAnsiTheme="minorAscii" w:eastAsiaTheme="minorAscii" w:cstheme="minorAscii"/>
          <w:sz w:val="24"/>
          <w:szCs w:val="24"/>
        </w:rPr>
        <w:t xml:space="preserve">The SDP priorities focuses on a ‘whole school/community’ approach to improve pupil learning aimed at improving mental health and wellbeing, raising standards in key skills, implementing the new ALN Bill and developing the curriculum for Wales (Placement school, 2022). This report will focus on the priority of developing the standards of key skills through all areas of learning as it underlines a need for support following COVID-19 and its links with Welsh language development in English medium schools which is based on The Education (School Development Plan, Wales) Regulation of 2014 (Welsh Government, 2014). Using relevant literature by McBeath, Mortimore, Fantin and et al, this report will develop an understanding of action plans focusing on areas of context, strategy, evaluation, and impacts to highlight the significance of SDPs and the key skills </w:t>
      </w:r>
      <w:r w:rsidRPr="3C4D1407" w:rsidR="3C4D1407">
        <w:rPr>
          <w:rFonts w:ascii="Calibri" w:hAnsi="Calibri" w:eastAsia="Calibri" w:cs="Calibri" w:asciiTheme="minorAscii" w:hAnsiTheme="minorAscii" w:eastAsiaTheme="minorAscii" w:cstheme="minorAscii"/>
          <w:sz w:val="24"/>
          <w:szCs w:val="24"/>
        </w:rPr>
        <w:t>priority</w:t>
      </w:r>
      <w:r w:rsidRPr="3C4D1407" w:rsidR="3C4D1407">
        <w:rPr>
          <w:rFonts w:ascii="Calibri" w:hAnsi="Calibri" w:eastAsia="Calibri" w:cs="Calibri" w:asciiTheme="minorAscii" w:hAnsiTheme="minorAscii" w:eastAsiaTheme="minorAscii" w:cstheme="minorAscii"/>
          <w:sz w:val="24"/>
          <w:szCs w:val="24"/>
        </w:rPr>
        <w:t xml:space="preserve">. This report aims </w:t>
      </w:r>
      <w:r w:rsidRPr="3C4D1407" w:rsidR="3C4D1407">
        <w:rPr>
          <w:rFonts w:ascii="Calibri" w:hAnsi="Calibri" w:eastAsia="Calibri" w:cs="Calibri" w:asciiTheme="minorAscii" w:hAnsiTheme="minorAscii" w:eastAsiaTheme="minorAscii" w:cstheme="minorAscii"/>
          <w:sz w:val="24"/>
          <w:szCs w:val="24"/>
        </w:rPr>
        <w:t xml:space="preserve">to </w:t>
      </w:r>
      <w:r w:rsidRPr="3C4D1407" w:rsidR="3C4D1407">
        <w:rPr>
          <w:rFonts w:ascii="Calibri" w:hAnsi="Calibri" w:eastAsia="Calibri" w:cs="Calibri" w:asciiTheme="minorAscii" w:hAnsiTheme="minorAscii" w:eastAsiaTheme="minorAscii" w:cstheme="minorAscii"/>
          <w:sz w:val="24"/>
          <w:szCs w:val="24"/>
        </w:rPr>
        <w:t>ident</w:t>
      </w:r>
      <w:r w:rsidRPr="3C4D1407" w:rsidR="3C4D1407">
        <w:rPr>
          <w:rFonts w:ascii="Calibri" w:hAnsi="Calibri" w:eastAsia="Calibri" w:cs="Calibri" w:asciiTheme="minorAscii" w:hAnsiTheme="minorAscii" w:eastAsiaTheme="minorAscii" w:cstheme="minorAscii"/>
          <w:sz w:val="24"/>
          <w:szCs w:val="24"/>
        </w:rPr>
        <w:t>ify</w:t>
      </w:r>
      <w:r w:rsidRPr="3C4D1407" w:rsidR="3C4D1407">
        <w:rPr>
          <w:rFonts w:ascii="Calibri" w:hAnsi="Calibri" w:eastAsia="Calibri" w:cs="Calibri" w:asciiTheme="minorAscii" w:hAnsiTheme="minorAscii" w:eastAsiaTheme="minorAscii" w:cstheme="minorAscii"/>
          <w:sz w:val="24"/>
          <w:szCs w:val="24"/>
        </w:rPr>
        <w:t xml:space="preserve"> how they can be used for reflection and future consideration in teaching practice. </w:t>
      </w:r>
    </w:p>
    <w:p w:rsidR="2038AF07" w:rsidP="3C4D1407" w:rsidRDefault="2038AF07" w14:paraId="18D4CBCB" w14:textId="31695B23">
      <w:pPr>
        <w:spacing w:line="360" w:lineRule="auto"/>
        <w:ind w:firstLine="720"/>
        <w:rPr>
          <w:rFonts w:ascii="Calibri" w:hAnsi="Calibri" w:eastAsia="Calibri" w:cs="Calibri" w:asciiTheme="minorAscii" w:hAnsiTheme="minorAscii" w:eastAsiaTheme="minorAscii" w:cstheme="minorAscii"/>
          <w:sz w:val="24"/>
          <w:szCs w:val="24"/>
        </w:rPr>
      </w:pPr>
      <w:r w:rsidRPr="3C4D1407" w:rsidR="3C4D1407">
        <w:rPr>
          <w:rFonts w:ascii="Calibri" w:hAnsi="Calibri" w:eastAsia="Calibri" w:cs="Calibri" w:asciiTheme="minorAscii" w:hAnsiTheme="minorAscii" w:eastAsiaTheme="minorAscii" w:cstheme="minorAscii"/>
          <w:sz w:val="24"/>
          <w:szCs w:val="24"/>
        </w:rPr>
        <w:t xml:space="preserve">Woods and Brighouse explain that school improvement can be broken down into two approaches, the first being a pragmatic approach which focuses on continual responsibility, and the second focuses on creativity and addressing accountability (Woods and Brighouse, 2013). Although school improvement often adopts one approach, recent changes within the curriculum means that both approaches are becoming increasingly significant in ensuring schools take on cohesive methods where all aspects of an individual's development are being considered (Woods and Brighouse, 2013). Following curriculum reform in Wales, the Welsh government have curated </w:t>
      </w:r>
      <w:bookmarkStart w:name="_Int_no42xXUm" w:id="17"/>
      <w:r w:rsidRPr="3C4D1407" w:rsidR="3C4D1407">
        <w:rPr>
          <w:rFonts w:ascii="Calibri" w:hAnsi="Calibri" w:eastAsia="Calibri" w:cs="Calibri" w:asciiTheme="minorAscii" w:hAnsiTheme="minorAscii" w:eastAsiaTheme="minorAscii" w:cstheme="minorAscii"/>
          <w:sz w:val="24"/>
          <w:szCs w:val="24"/>
        </w:rPr>
        <w:t>SDPs</w:t>
      </w:r>
      <w:bookmarkEnd w:id="17"/>
      <w:r w:rsidRPr="3C4D1407" w:rsidR="3C4D1407">
        <w:rPr>
          <w:rFonts w:ascii="Calibri" w:hAnsi="Calibri" w:eastAsia="Calibri" w:cs="Calibri" w:asciiTheme="minorAscii" w:hAnsiTheme="minorAscii" w:eastAsiaTheme="minorAscii" w:cstheme="minorAscii"/>
          <w:sz w:val="24"/>
          <w:szCs w:val="24"/>
        </w:rPr>
        <w:t xml:space="preserve"> as a framework of expectations and strategies for school improvement highlighting processes of self-evaluation, improvement, and accountability (Welsh Government, 2021). Previously, schools were understood to be primarily places of education; however, school development now incorporates more than just standards of education for a child and as research emphasises SDPs create a path that allow schools to use this knowledge to better the emotional and social processes associated with learning (MacBeath and Mortimore, 2001, p.1). </w:t>
      </w:r>
    </w:p>
    <w:p w:rsidR="6C8FECCB" w:rsidP="3C4D1407" w:rsidRDefault="6C8FECCB" w14:paraId="3A66D6EC" w14:textId="2532FB89">
      <w:pPr>
        <w:pStyle w:val="Normal"/>
        <w:bidi w:val="0"/>
        <w:spacing w:before="0" w:beforeAutospacing="off" w:after="160" w:afterAutospacing="off" w:line="360" w:lineRule="auto"/>
        <w:ind w:left="0" w:right="0" w:firstLine="720"/>
        <w:jc w:val="left"/>
        <w:rPr>
          <w:rFonts w:ascii="Calibri" w:hAnsi="Calibri" w:eastAsia="Calibri" w:cs="Calibri" w:asciiTheme="minorAscii" w:hAnsiTheme="minorAscii" w:eastAsiaTheme="minorAscii" w:cstheme="minorAscii"/>
          <w:b w:val="1"/>
          <w:bCs w:val="1"/>
          <w:sz w:val="24"/>
          <w:szCs w:val="24"/>
        </w:rPr>
      </w:pPr>
      <w:r w:rsidRPr="3C4D1407" w:rsidR="3C4D1407">
        <w:rPr>
          <w:rFonts w:ascii="Calibri" w:hAnsi="Calibri" w:eastAsia="Calibri" w:cs="Calibri" w:asciiTheme="minorAscii" w:hAnsiTheme="minorAscii" w:eastAsiaTheme="minorAscii" w:cstheme="minorAscii"/>
          <w:sz w:val="24"/>
          <w:szCs w:val="24"/>
        </w:rPr>
        <w:t xml:space="preserve">The first key advantage of SDPs is their individuality. Each SDP is unique as it serves a specific purpose and is often tailored to meet the needs of those in that school and community, therefore, the SDP works to promote and advocate for learners in areas where government or local legislation cannot (Welsh Government, 2014, p.6). All schools are encouraged to create their SDP according to the Welsh Government’s structure of contents, review processes and publishing (Welsh Government, 2014, pp. 6-7). All Welsh SDPs are designed to promote transparency and accuracy in all stages of planning and progression should follow a 3-year programme (Welsh Government, 2014, p.6). However, this SDP works in annual instalments and only accounts for year-long progression (Placement school, 2022). Another advantage to school development highlights the significance of self-evaluation and reflection encouraging the use of progression through data analysis, reviews, and the publication of improvements for all to see; including parents and the community (Welsh Government, 2021). Therefore, SDPs ensure responsibility and accountability for both staff as individuals and as part of the wider educational system (Welsh Government, 2021). Additionally, self-evaluation through data representation is something that O’Brien and et al consider to be influential in ensuring structural development of intervention, </w:t>
      </w:r>
      <w:r w:rsidRPr="3C4D1407" w:rsidR="3C4D1407">
        <w:rPr>
          <w:rFonts w:ascii="Calibri" w:hAnsi="Calibri" w:eastAsia="Calibri" w:cs="Calibri" w:asciiTheme="minorAscii" w:hAnsiTheme="minorAscii" w:eastAsiaTheme="minorAscii" w:cstheme="minorAscii"/>
          <w:sz w:val="24"/>
          <w:szCs w:val="24"/>
        </w:rPr>
        <w:t>identifying</w:t>
      </w:r>
      <w:r w:rsidRPr="3C4D1407" w:rsidR="3C4D1407">
        <w:rPr>
          <w:rFonts w:ascii="Calibri" w:hAnsi="Calibri" w:eastAsia="Calibri" w:cs="Calibri" w:asciiTheme="minorAscii" w:hAnsiTheme="minorAscii" w:eastAsiaTheme="minorAscii" w:cstheme="minorAscii"/>
          <w:sz w:val="24"/>
          <w:szCs w:val="24"/>
        </w:rPr>
        <w:t xml:space="preserve"> shifts in teacher's skills, knowledge, and perspectives (O’Brien and et al, 2022, p. 1). </w:t>
      </w:r>
    </w:p>
    <w:p w:rsidR="03C4CC69" w:rsidP="3C4D1407" w:rsidRDefault="03C4CC69" w14:paraId="750EE90A" w14:textId="471892D3">
      <w:pPr>
        <w:pStyle w:val="Normal"/>
        <w:bidi w:val="0"/>
        <w:spacing w:before="0" w:beforeAutospacing="off" w:after="160" w:afterAutospacing="off" w:line="360" w:lineRule="auto"/>
        <w:ind w:left="0" w:right="0" w:firstLine="720"/>
        <w:jc w:val="left"/>
        <w:rPr>
          <w:rFonts w:ascii="Calibri" w:hAnsi="Calibri" w:eastAsia="Calibri" w:cs="Calibri" w:asciiTheme="minorAscii" w:hAnsiTheme="minorAscii" w:eastAsiaTheme="minorAscii" w:cstheme="minorAscii"/>
          <w:sz w:val="24"/>
          <w:szCs w:val="24"/>
        </w:rPr>
      </w:pPr>
      <w:r w:rsidRPr="3C4D1407" w:rsidR="3C4D140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An essential aspect of an SDP are the policies</w:t>
      </w:r>
      <w:r w:rsidRPr="3C4D1407" w:rsidR="3C4D1407">
        <w:rPr>
          <w:rFonts w:ascii="Calibri" w:hAnsi="Calibri" w:eastAsia="Calibri" w:cs="Calibri" w:asciiTheme="minorAscii" w:hAnsiTheme="minorAscii" w:eastAsiaTheme="minorAscii" w:cstheme="minorAscii"/>
          <w:sz w:val="24"/>
          <w:szCs w:val="24"/>
        </w:rPr>
        <w:t xml:space="preserve"> implemented by the school which focuses directly on necessary changes recognised by </w:t>
      </w:r>
      <w:r w:rsidRPr="3C4D1407" w:rsidR="3C4D1407">
        <w:rPr>
          <w:rFonts w:ascii="Calibri" w:hAnsi="Calibri" w:eastAsia="Calibri" w:cs="Calibri" w:asciiTheme="minorAscii" w:hAnsiTheme="minorAscii" w:eastAsiaTheme="minorAscii" w:cstheme="minorAscii"/>
          <w:sz w:val="24"/>
          <w:szCs w:val="24"/>
        </w:rPr>
        <w:t>previous</w:t>
      </w:r>
      <w:r w:rsidRPr="3C4D1407" w:rsidR="3C4D1407">
        <w:rPr>
          <w:rFonts w:ascii="Calibri" w:hAnsi="Calibri" w:eastAsia="Calibri" w:cs="Calibri" w:asciiTheme="minorAscii" w:hAnsiTheme="minorAscii" w:eastAsiaTheme="minorAscii" w:cstheme="minorAscii"/>
          <w:sz w:val="24"/>
          <w:szCs w:val="24"/>
        </w:rPr>
        <w:t xml:space="preserve"> inspections, and consensus from school's stakeholders (Welsh Government, 2021). When researching this SDP there were 4 priorities </w:t>
      </w:r>
      <w:r w:rsidRPr="3C4D1407" w:rsidR="3C4D1407">
        <w:rPr>
          <w:rFonts w:ascii="Calibri" w:hAnsi="Calibri" w:eastAsia="Calibri" w:cs="Calibri" w:asciiTheme="minorAscii" w:hAnsiTheme="minorAscii" w:eastAsiaTheme="minorAscii" w:cstheme="minorAscii"/>
          <w:sz w:val="24"/>
          <w:szCs w:val="24"/>
        </w:rPr>
        <w:t>identified</w:t>
      </w:r>
      <w:r w:rsidRPr="3C4D1407" w:rsidR="3C4D1407">
        <w:rPr>
          <w:rFonts w:ascii="Calibri" w:hAnsi="Calibri" w:eastAsia="Calibri" w:cs="Calibri" w:asciiTheme="minorAscii" w:hAnsiTheme="minorAscii" w:eastAsiaTheme="minorAscii" w:cstheme="minorAscii"/>
          <w:sz w:val="24"/>
          <w:szCs w:val="24"/>
        </w:rPr>
        <w:t xml:space="preserve"> through a range of qualitative data such as questionnaires, pupil voice, staff meetings and parent workshops (Placement school, 2022). According to Holt, a child's learning is dependent on routine, practice, and the skills of correcting mistakes (Holt, 1994, p. 9). Holt also argues that children need the ability to dedicate time within a day to develop essential areas of learning including maths and literacy, encouraging the learner to take time to use self-correction and evaluative skills to develop each day (Holt, 1995, p.9). There is no doubt that an increase in maths and literacy skills implemented throughout daily learning can enhance the experiences of the learner, creating knowledgeable and ambitious citizens, however key skills can stretch beyond this (Holt, 1994, p. 9). </w:t>
      </w:r>
    </w:p>
    <w:p w:rsidR="03C4CC69" w:rsidP="3C4D1407" w:rsidRDefault="03C4CC69" w14:paraId="604F62C0" w14:textId="002D2D21">
      <w:pPr>
        <w:pStyle w:val="Normal"/>
        <w:spacing w:line="360" w:lineRule="auto"/>
        <w:ind w:firstLine="720"/>
        <w:rPr>
          <w:rFonts w:ascii="Calibri" w:hAnsi="Calibri" w:eastAsia="Calibri" w:cs="Calibri" w:asciiTheme="minorAscii" w:hAnsiTheme="minorAscii" w:eastAsiaTheme="minorAscii" w:cstheme="minorAscii"/>
          <w:sz w:val="24"/>
          <w:szCs w:val="24"/>
        </w:rPr>
      </w:pPr>
      <w:r w:rsidRPr="3C4D1407" w:rsidR="3C4D1407">
        <w:rPr>
          <w:rFonts w:ascii="Calibri" w:hAnsi="Calibri" w:eastAsia="Calibri" w:cs="Calibri" w:asciiTheme="minorAscii" w:hAnsiTheme="minorAscii" w:eastAsiaTheme="minorAscii" w:cstheme="minorAscii"/>
          <w:sz w:val="24"/>
          <w:szCs w:val="24"/>
        </w:rPr>
        <w:t xml:space="preserve">The Welsh language has become an essential key skill, and the Welsh government claims that bilingualism cognitively and socially imparts positive experiences and knowledge on the learner to experience their culture, opening avenues to further communications within their community (Welsh Government, 2015). However, a problem many schools are facing is the lack of Welsh speaking teachers in ensuring pupils continue with this key skill, therefore teachers must be willing to continue professional development throughout the SDP process (Evans, Llewelyn and </w:t>
      </w:r>
      <w:r w:rsidRPr="3C4D1407" w:rsidR="3C4D1407">
        <w:rPr>
          <w:rFonts w:ascii="Calibri" w:hAnsi="Calibri" w:eastAsia="Calibri" w:cs="Calibri" w:asciiTheme="minorAscii" w:hAnsiTheme="minorAscii" w:eastAsiaTheme="minorAscii" w:cstheme="minorAscii"/>
          <w:sz w:val="24"/>
          <w:szCs w:val="24"/>
        </w:rPr>
        <w:t>Lewabe</w:t>
      </w:r>
      <w:r w:rsidRPr="3C4D1407" w:rsidR="3C4D1407">
        <w:rPr>
          <w:rFonts w:ascii="Calibri" w:hAnsi="Calibri" w:eastAsia="Calibri" w:cs="Calibri" w:asciiTheme="minorAscii" w:hAnsiTheme="minorAscii" w:eastAsiaTheme="minorAscii" w:cstheme="minorAscii"/>
          <w:sz w:val="24"/>
          <w:szCs w:val="24"/>
        </w:rPr>
        <w:t>, 2022). Additionally, Curriculum for Wales emphasises the key skill of digital competency often known as the digital competency framework (DCF) and highlights how all areas of learning should include ICT and computational skills to ensure further knowledge on all areas of research, communication, and creative processes (Welsh Government, 2018). According to Fantin, learning is now faced with the multiliteracies of the 21</w:t>
      </w:r>
      <w:r w:rsidRPr="3C4D1407" w:rsidR="3C4D1407">
        <w:rPr>
          <w:rFonts w:ascii="Calibri" w:hAnsi="Calibri" w:eastAsia="Calibri" w:cs="Calibri" w:asciiTheme="minorAscii" w:hAnsiTheme="minorAscii" w:eastAsiaTheme="minorAscii" w:cstheme="minorAscii"/>
          <w:sz w:val="24"/>
          <w:szCs w:val="24"/>
          <w:vertAlign w:val="superscript"/>
        </w:rPr>
        <w:t>st</w:t>
      </w:r>
      <w:r w:rsidRPr="3C4D1407" w:rsidR="3C4D1407">
        <w:rPr>
          <w:rFonts w:ascii="Calibri" w:hAnsi="Calibri" w:eastAsia="Calibri" w:cs="Calibri" w:asciiTheme="minorAscii" w:hAnsiTheme="minorAscii" w:eastAsiaTheme="minorAscii" w:cstheme="minorAscii"/>
          <w:sz w:val="24"/>
          <w:szCs w:val="24"/>
        </w:rPr>
        <w:t xml:space="preserve"> centuries which include oral, written, and creative literacies which extend digitally, and learning must account for furthered understanding of ICT (Fantin, 2013, p.3). Fantin also argues that DCF and digital multiliteracies ensures learners are continually living to the needs of the modern-day, ensuring they are well-equipped for personal development (Fantin, 2013, pp. 3-4). </w:t>
      </w:r>
    </w:p>
    <w:p w:rsidR="62767FB0" w:rsidP="3C4D1407" w:rsidRDefault="62767FB0" w14:paraId="180A2ACA" w14:textId="6EC0DC1D">
      <w:pPr>
        <w:pStyle w:val="Normal"/>
        <w:bidi w:val="0"/>
        <w:spacing w:before="0" w:beforeAutospacing="off" w:after="160" w:afterAutospacing="off" w:line="360" w:lineRule="auto"/>
        <w:ind w:left="0" w:right="0" w:firstLine="720"/>
        <w:jc w:val="left"/>
        <w:rPr>
          <w:rFonts w:ascii="Calibri" w:hAnsi="Calibri" w:eastAsia="Calibri" w:cs="Calibri" w:asciiTheme="minorAscii" w:hAnsiTheme="minorAscii" w:eastAsiaTheme="minorAscii" w:cstheme="minorAscii"/>
          <w:sz w:val="24"/>
          <w:szCs w:val="24"/>
        </w:rPr>
      </w:pPr>
      <w:r w:rsidRPr="3C4D1407" w:rsidR="3C4D1407">
        <w:rPr>
          <w:rFonts w:ascii="Calibri" w:hAnsi="Calibri" w:eastAsia="Calibri" w:cs="Calibri" w:asciiTheme="minorAscii" w:hAnsiTheme="minorAscii" w:eastAsiaTheme="minorAscii" w:cstheme="minorAscii"/>
          <w:sz w:val="24"/>
          <w:szCs w:val="24"/>
        </w:rPr>
        <w:t xml:space="preserve">Processes to develop priorities in SDP’s often </w:t>
      </w:r>
      <w:r w:rsidRPr="3C4D1407" w:rsidR="3C4D1407">
        <w:rPr>
          <w:rFonts w:ascii="Calibri" w:hAnsi="Calibri" w:eastAsia="Calibri" w:cs="Calibri" w:asciiTheme="minorAscii" w:hAnsiTheme="minorAscii" w:eastAsiaTheme="minorAscii" w:cstheme="minorAscii"/>
          <w:sz w:val="24"/>
          <w:szCs w:val="24"/>
        </w:rPr>
        <w:t>benefit</w:t>
      </w:r>
      <w:r w:rsidRPr="3C4D1407" w:rsidR="3C4D1407">
        <w:rPr>
          <w:rFonts w:ascii="Calibri" w:hAnsi="Calibri" w:eastAsia="Calibri" w:cs="Calibri" w:asciiTheme="minorAscii" w:hAnsiTheme="minorAscii" w:eastAsiaTheme="minorAscii" w:cstheme="minorAscii"/>
          <w:sz w:val="24"/>
          <w:szCs w:val="24"/>
        </w:rPr>
        <w:t xml:space="preserve"> from an action plan for both present and future strategies in school improvement. Action plans can vary depending on the SDP of each individual school, however following the guidance of the Welsh government, this SDP focuses on the process of self-evaluation, strategic planning, including data analysis and relationships with stakeholders, making improvements/actions, and measuring impact (Welsh Government, 2022, See figure A of appendix). The first step in developing an action plan focuses on self-evaluation and refers to the act of continual accountability for ensuring an </w:t>
      </w:r>
      <w:bookmarkStart w:name="_Int_u4SNreq9" w:id="29"/>
      <w:r w:rsidRPr="3C4D1407" w:rsidR="3C4D1407">
        <w:rPr>
          <w:rFonts w:ascii="Calibri" w:hAnsi="Calibri" w:eastAsia="Calibri" w:cs="Calibri" w:asciiTheme="minorAscii" w:hAnsiTheme="minorAscii" w:eastAsiaTheme="minorAscii" w:cstheme="minorAscii"/>
          <w:sz w:val="24"/>
          <w:szCs w:val="24"/>
        </w:rPr>
        <w:t xml:space="preserve">SDP </w:t>
      </w:r>
      <w:bookmarkEnd w:id="29"/>
      <w:r w:rsidRPr="3C4D1407" w:rsidR="3C4D1407">
        <w:rPr>
          <w:rFonts w:ascii="Calibri" w:hAnsi="Calibri" w:eastAsia="Calibri" w:cs="Calibri" w:asciiTheme="minorAscii" w:hAnsiTheme="minorAscii" w:eastAsiaTheme="minorAscii" w:cstheme="minorAscii"/>
          <w:sz w:val="24"/>
          <w:szCs w:val="24"/>
        </w:rPr>
        <w:t xml:space="preserve">is effective (Welsh Government, 2022). Koh, Askell-Williams, and Barr explain that self-evaluation </w:t>
      </w:r>
      <w:r w:rsidRPr="3C4D1407" w:rsidR="3C4D1407">
        <w:rPr>
          <w:rFonts w:ascii="Calibri" w:hAnsi="Calibri" w:eastAsia="Calibri" w:cs="Calibri" w:asciiTheme="minorAscii" w:hAnsiTheme="minorAscii" w:eastAsiaTheme="minorAscii" w:cstheme="minorAscii"/>
          <w:sz w:val="24"/>
          <w:szCs w:val="24"/>
        </w:rPr>
        <w:t>in accordance with</w:t>
      </w:r>
      <w:r w:rsidRPr="3C4D1407" w:rsidR="3C4D1407">
        <w:rPr>
          <w:rFonts w:ascii="Calibri" w:hAnsi="Calibri" w:eastAsia="Calibri" w:cs="Calibri" w:asciiTheme="minorAscii" w:hAnsiTheme="minorAscii" w:eastAsiaTheme="minorAscii" w:cstheme="minorAscii"/>
          <w:sz w:val="24"/>
          <w:szCs w:val="24"/>
        </w:rPr>
        <w:t xml:space="preserve"> school improvement rarely endure longer time-frames due to a lack in momentum in strategy, therefore, schools must </w:t>
      </w:r>
      <w:r w:rsidRPr="3C4D1407" w:rsidR="3C4D1407">
        <w:rPr>
          <w:rFonts w:ascii="Calibri" w:hAnsi="Calibri" w:eastAsia="Calibri" w:cs="Calibri" w:asciiTheme="minorAscii" w:hAnsiTheme="minorAscii" w:eastAsiaTheme="minorAscii" w:cstheme="minorAscii"/>
          <w:sz w:val="24"/>
          <w:szCs w:val="24"/>
        </w:rPr>
        <w:t>identify</w:t>
      </w:r>
      <w:r w:rsidRPr="3C4D1407" w:rsidR="3C4D1407">
        <w:rPr>
          <w:rFonts w:ascii="Calibri" w:hAnsi="Calibri" w:eastAsia="Calibri" w:cs="Calibri" w:asciiTheme="minorAscii" w:hAnsiTheme="minorAscii" w:eastAsiaTheme="minorAscii" w:cstheme="minorAscii"/>
          <w:sz w:val="24"/>
          <w:szCs w:val="24"/>
        </w:rPr>
        <w:t xml:space="preserve"> applicable self-evaluative strategies that continue improvement throughout these stages and beyond (Koh, Askell-Williams, and Barr, 2023). To </w:t>
      </w:r>
      <w:r w:rsidRPr="3C4D1407" w:rsidR="3C4D1407">
        <w:rPr>
          <w:rFonts w:ascii="Calibri" w:hAnsi="Calibri" w:eastAsia="Calibri" w:cs="Calibri" w:asciiTheme="minorAscii" w:hAnsiTheme="minorAscii" w:eastAsiaTheme="minorAscii" w:cstheme="minorAscii"/>
          <w:sz w:val="24"/>
          <w:szCs w:val="24"/>
        </w:rPr>
        <w:t>identify</w:t>
      </w:r>
      <w:r w:rsidRPr="3C4D1407" w:rsidR="3C4D1407">
        <w:rPr>
          <w:rFonts w:ascii="Calibri" w:hAnsi="Calibri" w:eastAsia="Calibri" w:cs="Calibri" w:asciiTheme="minorAscii" w:hAnsiTheme="minorAscii" w:eastAsiaTheme="minorAscii" w:cstheme="minorAscii"/>
          <w:sz w:val="24"/>
          <w:szCs w:val="24"/>
        </w:rPr>
        <w:t xml:space="preserve"> improvements this SDP analysed </w:t>
      </w:r>
      <w:r w:rsidRPr="3C4D1407" w:rsidR="3C4D1407">
        <w:rPr>
          <w:rFonts w:ascii="Calibri" w:hAnsi="Calibri" w:eastAsia="Calibri" w:cs="Calibri" w:asciiTheme="minorAscii" w:hAnsiTheme="minorAscii" w:eastAsiaTheme="minorAscii" w:cstheme="minorAscii"/>
          <w:sz w:val="24"/>
          <w:szCs w:val="24"/>
        </w:rPr>
        <w:t>previous</w:t>
      </w:r>
      <w:r w:rsidRPr="3C4D1407" w:rsidR="3C4D1407">
        <w:rPr>
          <w:rFonts w:ascii="Calibri" w:hAnsi="Calibri" w:eastAsia="Calibri" w:cs="Calibri" w:asciiTheme="minorAscii" w:hAnsiTheme="minorAscii" w:eastAsiaTheme="minorAscii" w:cstheme="minorAscii"/>
          <w:sz w:val="24"/>
          <w:szCs w:val="24"/>
        </w:rPr>
        <w:t xml:space="preserve"> reports from ESTYN and focussed on key areas of challenges following the impacts of COVID-19, such as social, emotional, and educational development, and community challenges (Placement School, 2022). In accordance with national guidelines, this priority was also identified following reviews of previous school priorities and as of July 2021, the school looked to continue improvements on the priority of developing maths and remembered facts, thus determining further analysis and development of all other key skills including maths, LLC (language, literacy, and communication), Welsh language and digital competency (Placement school, 2022). </w:t>
      </w:r>
    </w:p>
    <w:p w:rsidR="62767FB0" w:rsidP="3C4D1407" w:rsidRDefault="62767FB0" w14:paraId="1F381D4D" w14:textId="45F4FCA5">
      <w:pPr>
        <w:pStyle w:val="Normal"/>
        <w:bidi w:val="0"/>
        <w:spacing w:before="0" w:beforeAutospacing="off" w:after="160" w:afterAutospacing="off" w:line="360" w:lineRule="auto"/>
        <w:ind w:left="0" w:right="0" w:firstLine="720"/>
        <w:jc w:val="left"/>
        <w:rPr>
          <w:rFonts w:ascii="Calibri" w:hAnsi="Calibri" w:eastAsia="Calibri" w:cs="Calibri" w:asciiTheme="minorAscii" w:hAnsiTheme="minorAscii" w:eastAsiaTheme="minorAscii" w:cstheme="minorAscii"/>
          <w:sz w:val="24"/>
          <w:szCs w:val="24"/>
        </w:rPr>
      </w:pPr>
      <w:r w:rsidRPr="3C4D1407" w:rsidR="3C4D1407">
        <w:rPr>
          <w:rFonts w:ascii="Calibri" w:hAnsi="Calibri" w:eastAsia="Calibri" w:cs="Calibri" w:asciiTheme="minorAscii" w:hAnsiTheme="minorAscii" w:eastAsiaTheme="minorAscii" w:cstheme="minorAscii"/>
          <w:sz w:val="24"/>
          <w:szCs w:val="24"/>
        </w:rPr>
        <w:t xml:space="preserve">To understand strategic planning, Schmoker explains data analysis is significant in ensuring prolonged successes of whole-school improvement and allows schools to focus attentions, turn </w:t>
      </w:r>
      <w:r w:rsidRPr="3C4D1407" w:rsidR="3C4D1407">
        <w:rPr>
          <w:rFonts w:ascii="Calibri" w:hAnsi="Calibri" w:eastAsia="Calibri" w:cs="Calibri" w:asciiTheme="minorAscii" w:hAnsiTheme="minorAscii" w:eastAsiaTheme="minorAscii" w:cstheme="minorAscii"/>
          <w:sz w:val="24"/>
          <w:szCs w:val="24"/>
        </w:rPr>
        <w:t>previous</w:t>
      </w:r>
      <w:r w:rsidRPr="3C4D1407" w:rsidR="3C4D1407">
        <w:rPr>
          <w:rFonts w:ascii="Calibri" w:hAnsi="Calibri" w:eastAsia="Calibri" w:cs="Calibri" w:asciiTheme="minorAscii" w:hAnsiTheme="minorAscii" w:eastAsiaTheme="minorAscii" w:cstheme="minorAscii"/>
          <w:sz w:val="24"/>
          <w:szCs w:val="24"/>
        </w:rPr>
        <w:t xml:space="preserve"> challenges or weaknesses into strengths and </w:t>
      </w:r>
      <w:r w:rsidRPr="3C4D1407" w:rsidR="3C4D1407">
        <w:rPr>
          <w:rFonts w:ascii="Calibri" w:hAnsi="Calibri" w:eastAsia="Calibri" w:cs="Calibri" w:asciiTheme="minorAscii" w:hAnsiTheme="minorAscii" w:eastAsiaTheme="minorAscii" w:cstheme="minorAscii"/>
          <w:sz w:val="24"/>
          <w:szCs w:val="24"/>
        </w:rPr>
        <w:t>identify</w:t>
      </w:r>
      <w:r w:rsidRPr="3C4D1407" w:rsidR="3C4D1407">
        <w:rPr>
          <w:rFonts w:ascii="Calibri" w:hAnsi="Calibri" w:eastAsia="Calibri" w:cs="Calibri" w:asciiTheme="minorAscii" w:hAnsiTheme="minorAscii" w:eastAsiaTheme="minorAscii" w:cstheme="minorAscii"/>
          <w:sz w:val="24"/>
          <w:szCs w:val="24"/>
        </w:rPr>
        <w:t xml:space="preserve"> future problems that may arise (Schmoker, 2003, pp. 22-24). This SDP used qualitative data to </w:t>
      </w:r>
      <w:r w:rsidRPr="3C4D1407" w:rsidR="3C4D1407">
        <w:rPr>
          <w:rFonts w:ascii="Calibri" w:hAnsi="Calibri" w:eastAsia="Calibri" w:cs="Calibri" w:asciiTheme="minorAscii" w:hAnsiTheme="minorAscii" w:eastAsiaTheme="minorAscii" w:cstheme="minorAscii"/>
          <w:sz w:val="24"/>
          <w:szCs w:val="24"/>
        </w:rPr>
        <w:t>determine</w:t>
      </w:r>
      <w:r w:rsidRPr="3C4D1407" w:rsidR="3C4D1407">
        <w:rPr>
          <w:rFonts w:ascii="Calibri" w:hAnsi="Calibri" w:eastAsia="Calibri" w:cs="Calibri" w:asciiTheme="minorAscii" w:hAnsiTheme="minorAscii" w:eastAsiaTheme="minorAscii" w:cstheme="minorAscii"/>
          <w:sz w:val="24"/>
          <w:szCs w:val="24"/>
        </w:rPr>
        <w:t xml:space="preserve"> the strategies it may need using its stakeholders to focus on input from staff, governors, parents, and pupils, constructed from SPD reviews, twilight sessions, INSET days (In-Service Training), questionnaires, parent workshops, and pupils voice meetings (Placement school, 2022). In understanding specific strategies needed to develop key skills, data analysis found that parents wanted a place to learn with their children whilst the community felt they should help </w:t>
      </w:r>
      <w:r w:rsidRPr="3C4D1407" w:rsidR="3C4D1407">
        <w:rPr>
          <w:rFonts w:ascii="Calibri" w:hAnsi="Calibri" w:eastAsia="Calibri" w:cs="Calibri" w:asciiTheme="minorAscii" w:hAnsiTheme="minorAscii" w:eastAsiaTheme="minorAscii" w:cstheme="minorAscii"/>
          <w:sz w:val="24"/>
          <w:szCs w:val="24"/>
        </w:rPr>
        <w:t>determine</w:t>
      </w:r>
      <w:r w:rsidRPr="3C4D1407" w:rsidR="3C4D1407">
        <w:rPr>
          <w:rFonts w:ascii="Calibri" w:hAnsi="Calibri" w:eastAsia="Calibri" w:cs="Calibri" w:asciiTheme="minorAscii" w:hAnsiTheme="minorAscii" w:eastAsiaTheme="minorAscii" w:cstheme="minorAscii"/>
          <w:sz w:val="24"/>
          <w:szCs w:val="24"/>
        </w:rPr>
        <w:t xml:space="preserve"> what their children learn in school to develop well-rounded, educated citizens, linking Donaldson’s 4 purposes (Donaldson, 2015). Thus, strategies such as parent maths and LLC workshops were developed, as well as a community wide approaches to developing curriculum themes for term-time teaching (Placement school, 2022). Extra-curricular groups for Welsh language development such as </w:t>
      </w:r>
      <w:r w:rsidRPr="3C4D1407" w:rsidR="3C4D1407">
        <w:rPr>
          <w:rFonts w:ascii="Calibri" w:hAnsi="Calibri" w:eastAsia="Calibri" w:cs="Calibri" w:asciiTheme="minorAscii" w:hAnsiTheme="minorAscii" w:eastAsiaTheme="minorAscii" w:cstheme="minorAscii"/>
          <w:sz w:val="24"/>
          <w:szCs w:val="24"/>
        </w:rPr>
        <w:t>‘</w:t>
      </w:r>
      <w:r w:rsidRPr="3C4D1407" w:rsidR="3C4D1407">
        <w:rPr>
          <w:rFonts w:ascii="Calibri" w:hAnsi="Calibri" w:eastAsia="Calibri" w:cs="Calibri" w:asciiTheme="minorAscii" w:hAnsiTheme="minorAscii" w:eastAsiaTheme="minorAscii" w:cstheme="minorAscii"/>
          <w:sz w:val="24"/>
          <w:szCs w:val="24"/>
        </w:rPr>
        <w:t>Cri</w:t>
      </w:r>
      <w:r w:rsidRPr="3C4D1407" w:rsidR="3C4D1407">
        <w:rPr>
          <w:rFonts w:ascii="Calibri" w:hAnsi="Calibri" w:eastAsia="Calibri" w:cs="Calibri" w:asciiTheme="minorAscii" w:hAnsiTheme="minorAscii" w:eastAsiaTheme="minorAscii" w:cstheme="minorAscii"/>
          <w:sz w:val="24"/>
          <w:szCs w:val="24"/>
        </w:rPr>
        <w:t>w</w:t>
      </w:r>
      <w:r w:rsidRPr="3C4D1407" w:rsidR="3C4D1407">
        <w:rPr>
          <w:rFonts w:ascii="Calibri" w:hAnsi="Calibri" w:eastAsia="Calibri" w:cs="Calibri" w:asciiTheme="minorAscii" w:hAnsiTheme="minorAscii" w:eastAsiaTheme="minorAscii" w:cstheme="minorAscii"/>
          <w:sz w:val="24"/>
          <w:szCs w:val="24"/>
        </w:rPr>
        <w:t xml:space="preserve"> Cymraeg’ were created</w:t>
      </w:r>
      <w:r w:rsidRPr="3C4D1407" w:rsidR="3C4D1407">
        <w:rPr>
          <w:rFonts w:ascii="Calibri" w:hAnsi="Calibri" w:eastAsia="Calibri" w:cs="Calibri" w:asciiTheme="minorAscii" w:hAnsiTheme="minorAscii" w:eastAsiaTheme="minorAscii" w:cstheme="minorAscii"/>
          <w:sz w:val="24"/>
          <w:szCs w:val="24"/>
        </w:rPr>
        <w:t xml:space="preserve"> </w:t>
      </w:r>
      <w:r w:rsidRPr="3C4D1407" w:rsidR="3C4D1407">
        <w:rPr>
          <w:rFonts w:ascii="Calibri" w:hAnsi="Calibri" w:eastAsia="Calibri" w:cs="Calibri" w:asciiTheme="minorAscii" w:hAnsiTheme="minorAscii" w:eastAsiaTheme="minorAscii" w:cstheme="minorAscii"/>
          <w:sz w:val="24"/>
          <w:szCs w:val="24"/>
        </w:rPr>
        <w:t>in accordance wit</w:t>
      </w:r>
      <w:r w:rsidRPr="3C4D1407" w:rsidR="3C4D1407">
        <w:rPr>
          <w:rFonts w:ascii="Calibri" w:hAnsi="Calibri" w:eastAsia="Calibri" w:cs="Calibri" w:asciiTheme="minorAscii" w:hAnsiTheme="minorAscii" w:eastAsiaTheme="minorAscii" w:cstheme="minorAscii"/>
          <w:sz w:val="24"/>
          <w:szCs w:val="24"/>
        </w:rPr>
        <w:t>h</w:t>
      </w:r>
      <w:r w:rsidRPr="3C4D1407" w:rsidR="3C4D1407">
        <w:rPr>
          <w:rFonts w:ascii="Calibri" w:hAnsi="Calibri" w:eastAsia="Calibri" w:cs="Calibri" w:asciiTheme="minorAscii" w:hAnsiTheme="minorAscii" w:eastAsiaTheme="minorAscii" w:cstheme="minorAscii"/>
          <w:sz w:val="24"/>
          <w:szCs w:val="24"/>
        </w:rPr>
        <w:t xml:space="preserve"> the Cymraeg 2050 action plan (Welsh Government, 2022). Although this analysis proves affective, it should be highlighted that opening the platform to those outside of the school can sometimes be problematic as it lacks</w:t>
      </w:r>
      <w:r w:rsidRPr="3C4D1407" w:rsidR="3C4D1407">
        <w:rPr>
          <w:rFonts w:ascii="Calibri" w:hAnsi="Calibri" w:eastAsia="Calibri" w:cs="Calibri" w:asciiTheme="minorAscii" w:hAnsiTheme="minorAscii" w:eastAsiaTheme="minorAscii" w:cstheme="minorAscii"/>
          <w:sz w:val="24"/>
          <w:szCs w:val="24"/>
        </w:rPr>
        <w:t xml:space="preserve"> </w:t>
      </w:r>
      <w:r w:rsidRPr="3C4D1407" w:rsidR="3C4D1407">
        <w:rPr>
          <w:rFonts w:ascii="Calibri" w:hAnsi="Calibri" w:eastAsia="Calibri" w:cs="Calibri" w:asciiTheme="minorAscii" w:hAnsiTheme="minorAscii" w:eastAsiaTheme="minorAscii" w:cstheme="minorAscii"/>
          <w:sz w:val="24"/>
          <w:szCs w:val="24"/>
        </w:rPr>
        <w:t>expertis</w:t>
      </w:r>
      <w:r w:rsidRPr="3C4D1407" w:rsidR="3C4D1407">
        <w:rPr>
          <w:rFonts w:ascii="Calibri" w:hAnsi="Calibri" w:eastAsia="Calibri" w:cs="Calibri" w:asciiTheme="minorAscii" w:hAnsiTheme="minorAscii" w:eastAsiaTheme="minorAscii" w:cstheme="minorAscii"/>
          <w:sz w:val="24"/>
          <w:szCs w:val="24"/>
        </w:rPr>
        <w:t>e</w:t>
      </w:r>
      <w:r w:rsidRPr="3C4D1407" w:rsidR="3C4D1407">
        <w:rPr>
          <w:rFonts w:ascii="Calibri" w:hAnsi="Calibri" w:eastAsia="Calibri" w:cs="Calibri" w:asciiTheme="minorAscii" w:hAnsiTheme="minorAscii" w:eastAsiaTheme="minorAscii" w:cstheme="minorAscii"/>
          <w:sz w:val="24"/>
          <w:szCs w:val="24"/>
        </w:rPr>
        <w:t xml:space="preserve"> in the curriculum, however research suggests that community exposer aids improvements in key skills learning </w:t>
      </w:r>
      <w:r w:rsidRPr="3C4D1407" w:rsidR="3C4D1407">
        <w:rPr>
          <w:rFonts w:ascii="Calibri" w:hAnsi="Calibri" w:eastAsia="Calibri" w:cs="Calibri" w:asciiTheme="minorAscii" w:hAnsiTheme="minorAscii" w:eastAsiaTheme="minorAscii" w:cstheme="minorAscii"/>
          <w:sz w:val="24"/>
          <w:szCs w:val="24"/>
        </w:rPr>
        <w:t>(</w:t>
      </w:r>
      <w:r w:rsidRPr="3C4D1407" w:rsidR="3C4D1407">
        <w:rPr>
          <w:rFonts w:ascii="Calibri" w:hAnsi="Calibri" w:eastAsia="Calibri" w:cs="Calibri" w:asciiTheme="minorAscii" w:hAnsiTheme="minorAscii" w:eastAsiaTheme="minorAscii" w:cstheme="minorAscii"/>
          <w:sz w:val="24"/>
          <w:szCs w:val="24"/>
        </w:rPr>
        <w:t>Mougeo</w:t>
      </w:r>
      <w:r w:rsidRPr="3C4D1407" w:rsidR="3C4D1407">
        <w:rPr>
          <w:rFonts w:ascii="Calibri" w:hAnsi="Calibri" w:eastAsia="Calibri" w:cs="Calibri" w:asciiTheme="minorAscii" w:hAnsiTheme="minorAscii" w:eastAsiaTheme="minorAscii" w:cstheme="minorAscii"/>
          <w:sz w:val="24"/>
          <w:szCs w:val="24"/>
        </w:rPr>
        <w:t>n</w:t>
      </w:r>
      <w:r w:rsidRPr="3C4D1407" w:rsidR="3C4D1407">
        <w:rPr>
          <w:rFonts w:ascii="Calibri" w:hAnsi="Calibri" w:eastAsia="Calibri" w:cs="Calibri" w:asciiTheme="minorAscii" w:hAnsiTheme="minorAscii" w:eastAsiaTheme="minorAscii" w:cstheme="minorAscii"/>
          <w:sz w:val="24"/>
          <w:szCs w:val="24"/>
        </w:rPr>
        <w:t xml:space="preserve"> and Rehner, 2017, p. 22). In addition, stakeholders play a critical role in aiding school improvement and are also unique to each SDP. This SDP worked alongside staff, parents, governors, pupils, and local and national authorities to communicate areas of improvement whilst ensuring initiatives progress in termly or yearly reviews (placement school, 2022). Constant referral to stakeholders can also build what Koh, Askell-Williams and Barr call a ‘school culture’ that works united to develop a successful school environment for all involved (Koh, Askell-Williams, and Barr, 2023).</w:t>
      </w:r>
    </w:p>
    <w:p w:rsidR="55E83A58" w:rsidP="3C4D1407" w:rsidRDefault="55E83A58" w14:paraId="4EA5F96B" w14:textId="6F24A7DE">
      <w:pPr>
        <w:pStyle w:val="Normal"/>
        <w:spacing w:line="360" w:lineRule="auto"/>
        <w:ind w:firstLine="720"/>
        <w:rPr>
          <w:rFonts w:ascii="Calibri" w:hAnsi="Calibri" w:eastAsia="Calibri" w:cs="Calibri" w:asciiTheme="minorAscii" w:hAnsiTheme="minorAscii" w:eastAsiaTheme="minorAscii" w:cstheme="minorAscii"/>
          <w:sz w:val="24"/>
          <w:szCs w:val="24"/>
        </w:rPr>
      </w:pPr>
      <w:r w:rsidRPr="3C4D1407" w:rsidR="3C4D1407">
        <w:rPr>
          <w:rFonts w:ascii="Calibri" w:hAnsi="Calibri" w:eastAsia="Calibri" w:cs="Calibri" w:asciiTheme="minorAscii" w:hAnsiTheme="minorAscii" w:eastAsiaTheme="minorAscii" w:cstheme="minorAscii"/>
          <w:sz w:val="24"/>
          <w:szCs w:val="24"/>
        </w:rPr>
        <w:t xml:space="preserve"> Consequently, whilst making improvements in key skills, it should be noted that the school has met most recommendations within the last 8 months and looks to continue its implementation and improvement (Placement school, 2022). The targets of this SDP include a range of approaches that allow the school to develop key skills in all areas of learning, such as, developing mental maths, </w:t>
      </w:r>
      <w:r w:rsidRPr="3C4D1407" w:rsidR="3C4D1407">
        <w:rPr>
          <w:rFonts w:ascii="Calibri" w:hAnsi="Calibri" w:eastAsia="Calibri" w:cs="Calibri" w:asciiTheme="minorAscii" w:hAnsiTheme="minorAscii" w:eastAsiaTheme="minorAscii" w:cstheme="minorAscii"/>
          <w:sz w:val="24"/>
          <w:szCs w:val="24"/>
        </w:rPr>
        <w:t>consolidating</w:t>
      </w:r>
      <w:r w:rsidRPr="3C4D1407" w:rsidR="3C4D1407">
        <w:rPr>
          <w:rFonts w:ascii="Calibri" w:hAnsi="Calibri" w:eastAsia="Calibri" w:cs="Calibri" w:asciiTheme="minorAscii" w:hAnsiTheme="minorAscii" w:eastAsiaTheme="minorAscii" w:cstheme="minorAscii"/>
          <w:sz w:val="24"/>
          <w:szCs w:val="24"/>
        </w:rPr>
        <w:t xml:space="preserve"> LLC </w:t>
      </w:r>
      <w:r w:rsidRPr="3C4D1407" w:rsidR="3C4D1407">
        <w:rPr>
          <w:rFonts w:ascii="Calibri" w:hAnsi="Calibri" w:eastAsia="Calibri" w:cs="Calibri" w:asciiTheme="minorAscii" w:hAnsiTheme="minorAscii" w:eastAsiaTheme="minorAscii" w:cstheme="minorAscii"/>
          <w:sz w:val="24"/>
          <w:szCs w:val="24"/>
        </w:rPr>
        <w:t>skills</w:t>
      </w:r>
      <w:r w:rsidRPr="3C4D1407" w:rsidR="3C4D1407">
        <w:rPr>
          <w:rFonts w:ascii="Calibri" w:hAnsi="Calibri" w:eastAsia="Calibri" w:cs="Calibri" w:asciiTheme="minorAscii" w:hAnsiTheme="minorAscii" w:eastAsiaTheme="minorAscii" w:cstheme="minorAscii"/>
          <w:sz w:val="24"/>
          <w:szCs w:val="24"/>
        </w:rPr>
        <w:t xml:space="preserve"> and </w:t>
      </w:r>
      <w:r w:rsidRPr="3C4D1407" w:rsidR="3C4D1407">
        <w:rPr>
          <w:rFonts w:ascii="Calibri" w:hAnsi="Calibri" w:eastAsia="Calibri" w:cs="Calibri" w:asciiTheme="minorAscii" w:hAnsiTheme="minorAscii" w:eastAsiaTheme="minorAscii" w:cstheme="minorAscii"/>
          <w:sz w:val="24"/>
          <w:szCs w:val="24"/>
        </w:rPr>
        <w:t>providing</w:t>
      </w:r>
      <w:r w:rsidRPr="3C4D1407" w:rsidR="3C4D1407">
        <w:rPr>
          <w:rFonts w:ascii="Calibri" w:hAnsi="Calibri" w:eastAsia="Calibri" w:cs="Calibri" w:asciiTheme="minorAscii" w:hAnsiTheme="minorAscii" w:eastAsiaTheme="minorAscii" w:cstheme="minorAscii"/>
          <w:sz w:val="24"/>
          <w:szCs w:val="24"/>
        </w:rPr>
        <w:t xml:space="preserve"> authentic learning experiences in and around the school environment (Placement school, 2022). Additionally, since September 2022, the school has introduced enterprise projects, ‘numeracy and play’ for parents and nursery children, </w:t>
      </w:r>
      <w:r w:rsidRPr="3C4D1407" w:rsidR="3C4D1407">
        <w:rPr>
          <w:rFonts w:ascii="Calibri" w:hAnsi="Calibri" w:eastAsia="Calibri" w:cs="Calibri" w:asciiTheme="minorAscii" w:hAnsiTheme="minorAscii" w:eastAsiaTheme="minorAscii" w:cstheme="minorAscii"/>
          <w:sz w:val="24"/>
          <w:szCs w:val="24"/>
        </w:rPr>
        <w:t>maintained</w:t>
      </w:r>
      <w:r w:rsidRPr="3C4D1407" w:rsidR="3C4D1407">
        <w:rPr>
          <w:rFonts w:ascii="Calibri" w:hAnsi="Calibri" w:eastAsia="Calibri" w:cs="Calibri" w:asciiTheme="minorAscii" w:hAnsiTheme="minorAscii" w:eastAsiaTheme="minorAscii" w:cstheme="minorAscii"/>
          <w:sz w:val="24"/>
          <w:szCs w:val="24"/>
        </w:rPr>
        <w:t xml:space="preserve"> extended writing across the curriculum and focused efforts on developing Welsh language as a fundamental part of daily routine (Placement school, 2022). All SDPs should </w:t>
      </w:r>
      <w:r w:rsidRPr="3C4D1407" w:rsidR="3C4D1407">
        <w:rPr>
          <w:rFonts w:ascii="Calibri" w:hAnsi="Calibri" w:eastAsia="Calibri" w:cs="Calibri" w:asciiTheme="minorAscii" w:hAnsiTheme="minorAscii" w:eastAsiaTheme="minorAscii" w:cstheme="minorAscii"/>
          <w:sz w:val="24"/>
          <w:szCs w:val="24"/>
        </w:rPr>
        <w:t>provide</w:t>
      </w:r>
      <w:r w:rsidRPr="3C4D1407" w:rsidR="3C4D1407">
        <w:rPr>
          <w:rFonts w:ascii="Calibri" w:hAnsi="Calibri" w:eastAsia="Calibri" w:cs="Calibri" w:asciiTheme="minorAscii" w:hAnsiTheme="minorAscii" w:eastAsiaTheme="minorAscii" w:cstheme="minorAscii"/>
          <w:sz w:val="24"/>
          <w:szCs w:val="24"/>
        </w:rPr>
        <w:t xml:space="preserve"> transparent evidence of </w:t>
      </w:r>
      <w:r w:rsidRPr="3C4D1407" w:rsidR="3C4D1407">
        <w:rPr>
          <w:rFonts w:ascii="Calibri" w:hAnsi="Calibri" w:eastAsia="Calibri" w:cs="Calibri" w:asciiTheme="minorAscii" w:hAnsiTheme="minorAscii" w:eastAsiaTheme="minorAscii" w:cstheme="minorAscii"/>
          <w:sz w:val="24"/>
          <w:szCs w:val="24"/>
        </w:rPr>
        <w:t>allocated</w:t>
      </w:r>
      <w:r w:rsidRPr="3C4D1407" w:rsidR="3C4D1407">
        <w:rPr>
          <w:rFonts w:ascii="Calibri" w:hAnsi="Calibri" w:eastAsia="Calibri" w:cs="Calibri" w:asciiTheme="minorAscii" w:hAnsiTheme="minorAscii" w:eastAsiaTheme="minorAscii" w:cstheme="minorAscii"/>
          <w:sz w:val="24"/>
          <w:szCs w:val="24"/>
        </w:rPr>
        <w:t xml:space="preserve"> funding by either local or national authorities, including timescales for spending (Welsh Government 2022). This SDP included 3 areas of funding including the Education Improvement Grant, the Pupil Development Grant and MERGT (Placement school, 2022). Although all funding highlights some development of key skills, it primarily represented opportunities</w:t>
      </w:r>
      <w:r w:rsidRPr="3C4D1407" w:rsidR="3C4D1407">
        <w:rPr>
          <w:rFonts w:ascii="Calibri" w:hAnsi="Calibri" w:eastAsia="Calibri" w:cs="Calibri" w:asciiTheme="minorAscii" w:hAnsiTheme="minorAscii" w:eastAsiaTheme="minorAscii" w:cstheme="minorAscii"/>
          <w:sz w:val="24"/>
          <w:szCs w:val="24"/>
        </w:rPr>
        <w:t xml:space="preserve"> for prior</w:t>
      </w:r>
      <w:r w:rsidRPr="3C4D1407" w:rsidR="3C4D1407">
        <w:rPr>
          <w:rFonts w:ascii="Calibri" w:hAnsi="Calibri" w:eastAsia="Calibri" w:cs="Calibri" w:asciiTheme="minorAscii" w:hAnsiTheme="minorAscii" w:eastAsiaTheme="minorAscii" w:cstheme="minorAscii"/>
          <w:sz w:val="24"/>
          <w:szCs w:val="24"/>
        </w:rPr>
        <w:t xml:space="preserve">ities 1 and 4 </w:t>
      </w:r>
      <w:r w:rsidRPr="3C4D1407" w:rsidR="3C4D1407">
        <w:rPr>
          <w:rFonts w:ascii="Calibri" w:hAnsi="Calibri" w:eastAsia="Calibri" w:cs="Calibri" w:asciiTheme="minorAscii" w:hAnsiTheme="minorAscii" w:eastAsiaTheme="minorAscii" w:cstheme="minorAscii"/>
          <w:sz w:val="24"/>
          <w:szCs w:val="24"/>
        </w:rPr>
        <w:t>indicating</w:t>
      </w:r>
      <w:r w:rsidRPr="3C4D1407" w:rsidR="3C4D1407">
        <w:rPr>
          <w:rFonts w:ascii="Calibri" w:hAnsi="Calibri" w:eastAsia="Calibri" w:cs="Calibri" w:asciiTheme="minorAscii" w:hAnsiTheme="minorAscii" w:eastAsiaTheme="minorAscii" w:cstheme="minorAscii"/>
          <w:sz w:val="24"/>
          <w:szCs w:val="24"/>
        </w:rPr>
        <w:t xml:space="preserve"> that future funding could be considered further for all priorities (Placement school, 2022).  </w:t>
      </w:r>
    </w:p>
    <w:p w:rsidR="2324BA9C" w:rsidP="3C4D1407" w:rsidRDefault="2324BA9C" w14:paraId="2B6920C0" w14:textId="529C837D">
      <w:pPr>
        <w:pStyle w:val="Normal"/>
        <w:spacing w:before="0" w:beforeAutospacing="off" w:after="160" w:afterAutospacing="off" w:line="360" w:lineRule="auto"/>
        <w:ind w:left="0" w:right="0" w:firstLine="720"/>
        <w:jc w:val="left"/>
        <w:rPr>
          <w:rFonts w:ascii="Calibri" w:hAnsi="Calibri" w:eastAsia="Calibri" w:cs="Calibri" w:asciiTheme="minorAscii" w:hAnsiTheme="minorAscii" w:eastAsiaTheme="minorAscii" w:cstheme="minorAscii"/>
          <w:sz w:val="24"/>
          <w:szCs w:val="24"/>
        </w:rPr>
      </w:pPr>
      <w:r w:rsidRPr="3C4D1407" w:rsidR="3C4D1407">
        <w:rPr>
          <w:rFonts w:ascii="Calibri" w:hAnsi="Calibri" w:eastAsia="Calibri" w:cs="Calibri" w:asciiTheme="minorAscii" w:hAnsiTheme="minorAscii" w:eastAsiaTheme="minorAscii" w:cstheme="minorAscii"/>
          <w:sz w:val="24"/>
          <w:szCs w:val="24"/>
        </w:rPr>
        <w:t xml:space="preserve">Finally, the measured impact of this priority focuses on reviews, usually conducted by stakeholders, and signifies the effectiveness of SDP strategies. This SDP has made considerable impacts and shown effective strategies in its priority of raising standards in key skills and although the school has already met several targets, it should be noted that many targets are currently in progress (Placement school, 2022). Some of the targets met for this priority implemented daily maths programmes, included more visitors for external learning experiences and used class assemblies for a whole-school approach in developing numeracy, </w:t>
      </w:r>
      <w:r w:rsidRPr="3C4D1407" w:rsidR="3C4D1407">
        <w:rPr>
          <w:rFonts w:ascii="Calibri" w:hAnsi="Calibri" w:eastAsia="Calibri" w:cs="Calibri" w:asciiTheme="minorAscii" w:hAnsiTheme="minorAscii" w:eastAsiaTheme="minorAscii" w:cstheme="minorAscii"/>
          <w:sz w:val="24"/>
          <w:szCs w:val="24"/>
        </w:rPr>
        <w:t>LLC</w:t>
      </w:r>
      <w:r w:rsidRPr="3C4D1407" w:rsidR="3C4D1407">
        <w:rPr>
          <w:rFonts w:ascii="Calibri" w:hAnsi="Calibri" w:eastAsia="Calibri" w:cs="Calibri" w:asciiTheme="minorAscii" w:hAnsiTheme="minorAscii" w:eastAsiaTheme="minorAscii" w:cstheme="minorAscii"/>
          <w:sz w:val="24"/>
          <w:szCs w:val="24"/>
        </w:rPr>
        <w:t xml:space="preserve"> and expressive arts (Placement school, 2022). Pupil voice groups and progress towards the ‘</w:t>
      </w:r>
      <w:r w:rsidRPr="3C4D1407" w:rsidR="3C4D1407">
        <w:rPr>
          <w:rFonts w:ascii="Calibri" w:hAnsi="Calibri" w:eastAsia="Calibri" w:cs="Calibri" w:asciiTheme="minorAscii" w:hAnsiTheme="minorAscii" w:eastAsiaTheme="minorAscii" w:cstheme="minorAscii"/>
          <w:sz w:val="24"/>
          <w:szCs w:val="24"/>
        </w:rPr>
        <w:t>Siartar</w:t>
      </w:r>
      <w:r w:rsidRPr="3C4D1407" w:rsidR="3C4D1407">
        <w:rPr>
          <w:rFonts w:ascii="Calibri" w:hAnsi="Calibri" w:eastAsia="Calibri" w:cs="Calibri" w:asciiTheme="minorAscii" w:hAnsiTheme="minorAscii" w:eastAsiaTheme="minorAscii" w:cstheme="minorAscii"/>
          <w:sz w:val="24"/>
          <w:szCs w:val="24"/>
        </w:rPr>
        <w:t xml:space="preserve"> </w:t>
      </w:r>
      <w:r w:rsidRPr="3C4D1407" w:rsidR="3C4D1407">
        <w:rPr>
          <w:rFonts w:ascii="Calibri" w:hAnsi="Calibri" w:eastAsia="Calibri" w:cs="Calibri" w:asciiTheme="minorAscii" w:hAnsiTheme="minorAscii" w:eastAsiaTheme="minorAscii" w:cstheme="minorAscii"/>
          <w:sz w:val="24"/>
          <w:szCs w:val="24"/>
        </w:rPr>
        <w:t>iaith</w:t>
      </w:r>
      <w:r w:rsidRPr="3C4D1407" w:rsidR="3C4D1407">
        <w:rPr>
          <w:rFonts w:ascii="Calibri" w:hAnsi="Calibri" w:eastAsia="Calibri" w:cs="Calibri" w:asciiTheme="minorAscii" w:hAnsiTheme="minorAscii" w:eastAsiaTheme="minorAscii" w:cstheme="minorAscii"/>
          <w:sz w:val="24"/>
          <w:szCs w:val="24"/>
        </w:rPr>
        <w:t>’ award ensured daily implementation of the communication and incidental Welsh (Placement school, 2022). Additionally, using a traffic-light coded analysis method within this SDP allows all stakeholders to see improvements, making it accessible to all (Placement school, 2022). However, it should be noted that using colour coding can leave progression up to interpretation as it lacks accuracy in understanding where it remai</w:t>
      </w:r>
      <w:r w:rsidRPr="3C4D1407" w:rsidR="3C4D1407">
        <w:rPr>
          <w:rFonts w:ascii="Calibri" w:hAnsi="Calibri" w:eastAsia="Calibri" w:cs="Calibri" w:asciiTheme="minorAscii" w:hAnsiTheme="minorAscii" w:eastAsiaTheme="minorAscii" w:cstheme="minorAscii"/>
          <w:sz w:val="24"/>
          <w:szCs w:val="24"/>
        </w:rPr>
        <w:t>ns in i</w:t>
      </w:r>
      <w:r w:rsidRPr="3C4D1407" w:rsidR="3C4D1407">
        <w:rPr>
          <w:rFonts w:ascii="Calibri" w:hAnsi="Calibri" w:eastAsia="Calibri" w:cs="Calibri" w:asciiTheme="minorAscii" w:hAnsiTheme="minorAscii" w:eastAsiaTheme="minorAscii" w:cstheme="minorAscii"/>
          <w:sz w:val="24"/>
          <w:szCs w:val="24"/>
        </w:rPr>
        <w:t>ts processes. Finally, tracking processes and measured impacts consider parent and pupil voice to deter</w:t>
      </w:r>
      <w:r w:rsidRPr="3C4D1407" w:rsidR="3C4D1407">
        <w:rPr>
          <w:rFonts w:ascii="Calibri" w:hAnsi="Calibri" w:eastAsia="Calibri" w:cs="Calibri" w:asciiTheme="minorAscii" w:hAnsiTheme="minorAscii" w:eastAsiaTheme="minorAscii" w:cstheme="minorAscii"/>
          <w:sz w:val="24"/>
          <w:szCs w:val="24"/>
        </w:rPr>
        <w:t xml:space="preserve">mine the </w:t>
      </w:r>
      <w:r w:rsidRPr="3C4D1407" w:rsidR="3C4D1407">
        <w:rPr>
          <w:rFonts w:ascii="Calibri" w:hAnsi="Calibri" w:eastAsia="Calibri" w:cs="Calibri" w:asciiTheme="minorAscii" w:hAnsiTheme="minorAscii" w:eastAsiaTheme="minorAscii" w:cstheme="minorAscii"/>
          <w:sz w:val="24"/>
          <w:szCs w:val="24"/>
        </w:rPr>
        <w:t xml:space="preserve">extent of their met targets and whether they see visible changes in education. </w:t>
      </w:r>
      <w:r>
        <w:tab/>
      </w:r>
    </w:p>
    <w:p w:rsidR="41DE98C7" w:rsidP="3C4D1407" w:rsidRDefault="41DE98C7" w14:paraId="6B0C2C33" w14:textId="4BB165D4">
      <w:pPr>
        <w:pStyle w:val="Normal"/>
        <w:spacing w:line="360" w:lineRule="auto"/>
        <w:ind w:firstLine="720"/>
        <w:rPr>
          <w:rFonts w:ascii="Calibri" w:hAnsi="Calibri" w:eastAsia="Calibri" w:cs="Calibri" w:asciiTheme="minorAscii" w:hAnsiTheme="minorAscii" w:eastAsiaTheme="minorAscii" w:cstheme="minorAscii"/>
          <w:sz w:val="24"/>
          <w:szCs w:val="24"/>
        </w:rPr>
      </w:pPr>
      <w:r w:rsidRPr="3C4D1407" w:rsidR="3C4D1407">
        <w:rPr>
          <w:rFonts w:ascii="Calibri" w:hAnsi="Calibri" w:eastAsia="Calibri" w:cs="Calibri" w:asciiTheme="minorAscii" w:hAnsiTheme="minorAscii" w:eastAsiaTheme="minorAscii" w:cstheme="minorAscii"/>
          <w:sz w:val="24"/>
          <w:szCs w:val="24"/>
        </w:rPr>
        <w:t xml:space="preserve">There are several points to consider when reflecting and evaluating an SDPs process. First, the use of SDPs has become a significant area in developing appropriate and prolonged improvements to pupil development. The process of strategic planning, whilst incorporating data analysis, is crucial in </w:t>
      </w:r>
      <w:r w:rsidRPr="3C4D1407" w:rsidR="3C4D1407">
        <w:rPr>
          <w:rFonts w:ascii="Calibri" w:hAnsi="Calibri" w:eastAsia="Calibri" w:cs="Calibri" w:asciiTheme="minorAscii" w:hAnsiTheme="minorAscii" w:eastAsiaTheme="minorAscii" w:cstheme="minorAscii"/>
          <w:sz w:val="24"/>
          <w:szCs w:val="24"/>
        </w:rPr>
        <w:t>determining</w:t>
      </w:r>
      <w:r w:rsidRPr="3C4D1407" w:rsidR="3C4D1407">
        <w:rPr>
          <w:rFonts w:ascii="Calibri" w:hAnsi="Calibri" w:eastAsia="Calibri" w:cs="Calibri" w:asciiTheme="minorAscii" w:hAnsiTheme="minorAscii" w:eastAsiaTheme="minorAscii" w:cstheme="minorAscii"/>
          <w:sz w:val="24"/>
          <w:szCs w:val="24"/>
        </w:rPr>
        <w:t xml:space="preserve"> the steps and procedures necessary for school improvement, however, some issues arise especially </w:t>
      </w:r>
      <w:r w:rsidRPr="3C4D1407" w:rsidR="3C4D1407">
        <w:rPr>
          <w:rFonts w:ascii="Calibri" w:hAnsi="Calibri" w:eastAsia="Calibri" w:cs="Calibri" w:asciiTheme="minorAscii" w:hAnsiTheme="minorAscii" w:eastAsiaTheme="minorAscii" w:cstheme="minorAscii"/>
          <w:sz w:val="24"/>
          <w:szCs w:val="24"/>
        </w:rPr>
        <w:t>regarding</w:t>
      </w:r>
      <w:r w:rsidRPr="3C4D1407" w:rsidR="3C4D1407">
        <w:rPr>
          <w:rFonts w:ascii="Calibri" w:hAnsi="Calibri" w:eastAsia="Calibri" w:cs="Calibri" w:asciiTheme="minorAscii" w:hAnsiTheme="minorAscii" w:eastAsiaTheme="minorAscii" w:cstheme="minorAscii"/>
          <w:sz w:val="24"/>
          <w:szCs w:val="24"/>
        </w:rPr>
        <w:t xml:space="preserve"> community input and available resources. Where external input can be </w:t>
      </w:r>
      <w:r w:rsidRPr="3C4D1407" w:rsidR="3C4D1407">
        <w:rPr>
          <w:rFonts w:ascii="Calibri" w:hAnsi="Calibri" w:eastAsia="Calibri" w:cs="Calibri" w:asciiTheme="minorAscii" w:hAnsiTheme="minorAscii" w:eastAsiaTheme="minorAscii" w:cstheme="minorAscii"/>
          <w:sz w:val="24"/>
          <w:szCs w:val="24"/>
        </w:rPr>
        <w:t>advantageous</w:t>
      </w:r>
      <w:r w:rsidRPr="3C4D1407" w:rsidR="3C4D1407">
        <w:rPr>
          <w:rFonts w:ascii="Calibri" w:hAnsi="Calibri" w:eastAsia="Calibri" w:cs="Calibri" w:asciiTheme="minorAscii" w:hAnsiTheme="minorAscii" w:eastAsiaTheme="minorAscii" w:cstheme="minorAscii"/>
          <w:sz w:val="24"/>
          <w:szCs w:val="24"/>
        </w:rPr>
        <w:t xml:space="preserve"> to the improvement process, this SDP runs the risk of complicating certain strategies especially </w:t>
      </w:r>
      <w:r w:rsidRPr="3C4D1407" w:rsidR="3C4D1407">
        <w:rPr>
          <w:rFonts w:ascii="Calibri" w:hAnsi="Calibri" w:eastAsia="Calibri" w:cs="Calibri" w:asciiTheme="minorAscii" w:hAnsiTheme="minorAscii" w:eastAsiaTheme="minorAscii" w:cstheme="minorAscii"/>
          <w:sz w:val="24"/>
          <w:szCs w:val="24"/>
        </w:rPr>
        <w:t>regarding</w:t>
      </w:r>
      <w:r w:rsidRPr="3C4D1407" w:rsidR="3C4D1407">
        <w:rPr>
          <w:rFonts w:ascii="Calibri" w:hAnsi="Calibri" w:eastAsia="Calibri" w:cs="Calibri" w:asciiTheme="minorAscii" w:hAnsiTheme="minorAscii" w:eastAsiaTheme="minorAscii" w:cstheme="minorAscii"/>
          <w:sz w:val="24"/>
          <w:szCs w:val="24"/>
        </w:rPr>
        <w:t xml:space="preserve"> its priority of key skills. Systems of learning through the curriculum and the community should incorporate the time and workforce to ensure implementation is effective. Similarly, this SDP focuses on yearlong improvement and although shorter timing can be effective, it can run the risk of feeling rushed and vague if certain priorities do not continue into daily practice. For example, the school's implementation of parent workshops to improve numeracy and LLC may benefit further from a long-term programme for continual development. Upon reflection of measuring impact, this SDP shows successful improvements through thorough implementations and initiatives (Placement school, 2022). However, tracking strategies of colour-coding could prove problematic to some as it lacks accuracy and often would need to rely on efficient reviews to show transparent and impactful improvements. </w:t>
      </w:r>
    </w:p>
    <w:p w:rsidR="1C010561" w:rsidP="3C4D1407" w:rsidRDefault="1C010561" w14:paraId="3E9108B7" w14:textId="3C0846B4">
      <w:pPr>
        <w:pStyle w:val="Normal"/>
        <w:bidi w:val="0"/>
        <w:spacing w:before="0" w:beforeAutospacing="off" w:after="160" w:afterAutospacing="off" w:line="360" w:lineRule="auto"/>
        <w:ind w:left="0" w:right="0" w:firstLine="720"/>
        <w:jc w:val="left"/>
        <w:rPr>
          <w:rFonts w:ascii="Calibri" w:hAnsi="Calibri" w:eastAsia="Calibri" w:cs="Calibri" w:asciiTheme="minorAscii" w:hAnsiTheme="minorAscii" w:eastAsiaTheme="minorAscii" w:cstheme="minorAscii"/>
          <w:b w:val="1"/>
          <w:bCs w:val="1"/>
          <w:color w:val="FF0000"/>
          <w:sz w:val="24"/>
          <w:szCs w:val="24"/>
        </w:rPr>
      </w:pPr>
      <w:r w:rsidRPr="3C4D1407" w:rsidR="3C4D1407">
        <w:rPr>
          <w:rFonts w:ascii="Calibri" w:hAnsi="Calibri" w:eastAsia="Calibri" w:cs="Calibri" w:asciiTheme="minorAscii" w:hAnsiTheme="minorAscii" w:eastAsiaTheme="minorAscii" w:cstheme="minorAscii"/>
          <w:sz w:val="24"/>
          <w:szCs w:val="24"/>
        </w:rPr>
        <w:t xml:space="preserve">This review has highlighted a range of considerations for future practices within teaching. The most significant consideration is that of professional development both individually and as part of the wider school community. Thus, self-evaluation can also be recognised as self-reflection and is something to ensure within future practice to improve teaching and learning (Evans, Llewelyn and </w:t>
      </w:r>
      <w:r w:rsidRPr="3C4D1407" w:rsidR="3C4D1407">
        <w:rPr>
          <w:rFonts w:ascii="Calibri" w:hAnsi="Calibri" w:eastAsia="Calibri" w:cs="Calibri" w:asciiTheme="minorAscii" w:hAnsiTheme="minorAscii" w:eastAsiaTheme="minorAscii" w:cstheme="minorAscii"/>
          <w:sz w:val="24"/>
          <w:szCs w:val="24"/>
        </w:rPr>
        <w:t>Lewabe</w:t>
      </w:r>
      <w:r w:rsidRPr="3C4D1407" w:rsidR="3C4D1407">
        <w:rPr>
          <w:rFonts w:ascii="Calibri" w:hAnsi="Calibri" w:eastAsia="Calibri" w:cs="Calibri" w:asciiTheme="minorAscii" w:hAnsiTheme="minorAscii" w:eastAsiaTheme="minorAscii" w:cstheme="minorAscii"/>
          <w:sz w:val="24"/>
          <w:szCs w:val="24"/>
        </w:rPr>
        <w:t xml:space="preserve">, 2022). Similarly, future practices will look to ensure inclusivity and develop an understanding how the stakeholders and data analysis process </w:t>
      </w:r>
      <w:r w:rsidRPr="3C4D1407" w:rsidR="3C4D1407">
        <w:rPr>
          <w:rFonts w:ascii="Calibri" w:hAnsi="Calibri" w:eastAsia="Calibri" w:cs="Calibri" w:asciiTheme="minorAscii" w:hAnsiTheme="minorAscii" w:eastAsiaTheme="minorAscii" w:cstheme="minorAscii"/>
          <w:sz w:val="24"/>
          <w:szCs w:val="24"/>
        </w:rPr>
        <w:t>benefits</w:t>
      </w:r>
      <w:r w:rsidRPr="3C4D1407" w:rsidR="3C4D1407">
        <w:rPr>
          <w:rFonts w:ascii="Calibri" w:hAnsi="Calibri" w:eastAsia="Calibri" w:cs="Calibri" w:asciiTheme="minorAscii" w:hAnsiTheme="minorAscii" w:eastAsiaTheme="minorAscii" w:cstheme="minorAscii"/>
          <w:sz w:val="24"/>
          <w:szCs w:val="24"/>
        </w:rPr>
        <w:t xml:space="preserve"> its pupil, </w:t>
      </w:r>
      <w:r w:rsidRPr="3C4D1407" w:rsidR="3C4D1407">
        <w:rPr>
          <w:rFonts w:ascii="Calibri" w:hAnsi="Calibri" w:eastAsia="Calibri" w:cs="Calibri" w:asciiTheme="minorAscii" w:hAnsiTheme="minorAscii" w:eastAsiaTheme="minorAscii" w:cstheme="minorAscii"/>
          <w:sz w:val="24"/>
          <w:szCs w:val="24"/>
        </w:rPr>
        <w:t>school</w:t>
      </w:r>
      <w:r w:rsidRPr="3C4D1407" w:rsidR="3C4D1407">
        <w:rPr>
          <w:rFonts w:ascii="Calibri" w:hAnsi="Calibri" w:eastAsia="Calibri" w:cs="Calibri" w:asciiTheme="minorAscii" w:hAnsiTheme="minorAscii" w:eastAsiaTheme="minorAscii" w:cstheme="minorAscii"/>
          <w:sz w:val="24"/>
          <w:szCs w:val="24"/>
        </w:rPr>
        <w:t xml:space="preserve"> and community. Therefore, future practices will also consider the use of reflection upon </w:t>
      </w:r>
      <w:r w:rsidRPr="3C4D1407" w:rsidR="3C4D1407">
        <w:rPr>
          <w:rFonts w:ascii="Calibri" w:hAnsi="Calibri" w:eastAsia="Calibri" w:cs="Calibri" w:asciiTheme="minorAscii" w:hAnsiTheme="minorAscii" w:eastAsiaTheme="minorAscii" w:cstheme="minorAscii"/>
          <w:sz w:val="24"/>
          <w:szCs w:val="24"/>
        </w:rPr>
        <w:t>previous</w:t>
      </w:r>
      <w:r w:rsidRPr="3C4D1407" w:rsidR="3C4D1407">
        <w:rPr>
          <w:rFonts w:ascii="Calibri" w:hAnsi="Calibri" w:eastAsia="Calibri" w:cs="Calibri" w:asciiTheme="minorAscii" w:hAnsiTheme="minorAscii" w:eastAsiaTheme="minorAscii" w:cstheme="minorAscii"/>
          <w:sz w:val="24"/>
          <w:szCs w:val="24"/>
        </w:rPr>
        <w:t xml:space="preserve"> inspections which opens communication when </w:t>
      </w:r>
      <w:r w:rsidRPr="3C4D1407" w:rsidR="3C4D1407">
        <w:rPr>
          <w:rFonts w:ascii="Calibri" w:hAnsi="Calibri" w:eastAsia="Calibri" w:cs="Calibri" w:asciiTheme="minorAscii" w:hAnsiTheme="minorAscii" w:eastAsiaTheme="minorAscii" w:cstheme="minorAscii"/>
          <w:sz w:val="24"/>
          <w:szCs w:val="24"/>
        </w:rPr>
        <w:t>identifying</w:t>
      </w:r>
      <w:r w:rsidRPr="3C4D1407" w:rsidR="3C4D1407">
        <w:rPr>
          <w:rFonts w:ascii="Calibri" w:hAnsi="Calibri" w:eastAsia="Calibri" w:cs="Calibri" w:asciiTheme="minorAscii" w:hAnsiTheme="minorAscii" w:eastAsiaTheme="minorAscii" w:cstheme="minorAscii"/>
          <w:sz w:val="24"/>
          <w:szCs w:val="24"/>
        </w:rPr>
        <w:t xml:space="preserve"> successful strategies. Finally, due to some restrictions and challenges found within this SDP and specifically within the priority of key skill, future practices will consider how funding, progress tracking and time constraints </w:t>
      </w:r>
      <w:r w:rsidRPr="3C4D1407" w:rsidR="3C4D1407">
        <w:rPr>
          <w:rFonts w:ascii="Calibri" w:hAnsi="Calibri" w:eastAsia="Calibri" w:cs="Calibri" w:asciiTheme="minorAscii" w:hAnsiTheme="minorAscii" w:eastAsiaTheme="minorAscii" w:cstheme="minorAscii"/>
          <w:sz w:val="24"/>
          <w:szCs w:val="24"/>
        </w:rPr>
        <w:t>impact</w:t>
      </w:r>
      <w:r w:rsidRPr="3C4D1407" w:rsidR="3C4D1407">
        <w:rPr>
          <w:rFonts w:ascii="Calibri" w:hAnsi="Calibri" w:eastAsia="Calibri" w:cs="Calibri" w:asciiTheme="minorAscii" w:hAnsiTheme="minorAscii" w:eastAsiaTheme="minorAscii" w:cstheme="minorAscii"/>
          <w:sz w:val="24"/>
          <w:szCs w:val="24"/>
        </w:rPr>
        <w:t xml:space="preserve"> the effectiveness of improvement and will focus on enhancing these strategies through regularly reviewed times-frames, regularly reviewed tracking systems, and open communication on funding with all local and national authorities. </w:t>
      </w:r>
    </w:p>
    <w:p w:rsidR="229E1CE9" w:rsidP="3C4D1407" w:rsidRDefault="229E1CE9" w14:paraId="11DA23A5" w14:textId="03EF9060">
      <w:pPr>
        <w:spacing w:line="360" w:lineRule="auto"/>
        <w:ind w:firstLine="720"/>
        <w:rPr>
          <w:rFonts w:ascii="Calibri" w:hAnsi="Calibri" w:eastAsia="Calibri" w:cs="Calibri" w:asciiTheme="minorAscii" w:hAnsiTheme="minorAscii" w:eastAsiaTheme="minorAscii" w:cstheme="minorAscii"/>
          <w:sz w:val="24"/>
          <w:szCs w:val="24"/>
        </w:rPr>
      </w:pPr>
      <w:r w:rsidRPr="3C4D1407" w:rsidR="3C4D1407">
        <w:rPr>
          <w:rFonts w:ascii="Calibri" w:hAnsi="Calibri" w:eastAsia="Calibri" w:cs="Calibri" w:asciiTheme="minorAscii" w:hAnsiTheme="minorAscii" w:eastAsiaTheme="minorAscii" w:cstheme="minorAscii"/>
          <w:sz w:val="24"/>
          <w:szCs w:val="24"/>
        </w:rPr>
        <w:t xml:space="preserve">To conclude, SDPs are crucial in </w:t>
      </w:r>
      <w:r w:rsidRPr="3C4D1407" w:rsidR="3C4D1407">
        <w:rPr>
          <w:rFonts w:ascii="Calibri" w:hAnsi="Calibri" w:eastAsia="Calibri" w:cs="Calibri" w:asciiTheme="minorAscii" w:hAnsiTheme="minorAscii" w:eastAsiaTheme="minorAscii" w:cstheme="minorAscii"/>
          <w:sz w:val="24"/>
          <w:szCs w:val="24"/>
        </w:rPr>
        <w:t>determining</w:t>
      </w:r>
      <w:r w:rsidRPr="3C4D1407" w:rsidR="3C4D1407">
        <w:rPr>
          <w:rFonts w:ascii="Calibri" w:hAnsi="Calibri" w:eastAsia="Calibri" w:cs="Calibri" w:asciiTheme="minorAscii" w:hAnsiTheme="minorAscii" w:eastAsiaTheme="minorAscii" w:cstheme="minorAscii"/>
          <w:sz w:val="24"/>
          <w:szCs w:val="24"/>
        </w:rPr>
        <w:t xml:space="preserve"> improvement both in and out of schools and their communities. Their systematic approaches as suggested by the Welsh government mean that they can succeed in relation to the school whilst lending to the ability to become unique for all specific needs. Regarding how SDPs address priorities, Koh, Askell-Williams, and Barr highlight that improvement in education should be sustainable and offer the opportunity to evolve and continue, something in which this SDP practices for future recommendations. Although some challenges arise for all SDPs, the priorities that they include are relevant in ensuring specific improvements in necessary areas and in the case of key skills, this SDP has shown significance advantages in ensuring this priority was evaluated, analysed, planned, and measured successfully, creating impactful strategies that helped learners and the community. Addressing numeracy, LLC and digital competency has shown clear benefits on the impacts of learning, and as a result, has shown that pupils are improving from authentic experiences in daily learning. Finally, MacBeath and Mortimore highlight that schools are no longer places of education but rather serve as communities that aid in nurturing learners, parents, families, staff, and the wider community, </w:t>
      </w:r>
      <w:r w:rsidRPr="3C4D1407" w:rsidR="3C4D1407">
        <w:rPr>
          <w:rFonts w:ascii="Calibri" w:hAnsi="Calibri" w:eastAsia="Calibri" w:cs="Calibri" w:asciiTheme="minorAscii" w:hAnsiTheme="minorAscii" w:eastAsiaTheme="minorAscii" w:cstheme="minorAscii"/>
          <w:sz w:val="24"/>
          <w:szCs w:val="24"/>
        </w:rPr>
        <w:t>indicating</w:t>
      </w:r>
      <w:r w:rsidRPr="3C4D1407" w:rsidR="3C4D1407">
        <w:rPr>
          <w:rFonts w:ascii="Calibri" w:hAnsi="Calibri" w:eastAsia="Calibri" w:cs="Calibri" w:asciiTheme="minorAscii" w:hAnsiTheme="minorAscii" w:eastAsiaTheme="minorAscii" w:cstheme="minorAscii"/>
          <w:sz w:val="24"/>
          <w:szCs w:val="24"/>
        </w:rPr>
        <w:t xml:space="preserve"> that SDPs </w:t>
      </w:r>
      <w:r w:rsidRPr="3C4D1407" w:rsidR="3C4D1407">
        <w:rPr>
          <w:rFonts w:ascii="Calibri" w:hAnsi="Calibri" w:eastAsia="Calibri" w:cs="Calibri" w:asciiTheme="minorAscii" w:hAnsiTheme="minorAscii" w:eastAsiaTheme="minorAscii" w:cstheme="minorAscii"/>
          <w:sz w:val="24"/>
          <w:szCs w:val="24"/>
        </w:rPr>
        <w:t>are responsible for</w:t>
      </w:r>
      <w:r w:rsidRPr="3C4D1407" w:rsidR="3C4D1407">
        <w:rPr>
          <w:rFonts w:ascii="Calibri" w:hAnsi="Calibri" w:eastAsia="Calibri" w:cs="Calibri" w:asciiTheme="minorAscii" w:hAnsiTheme="minorAscii" w:eastAsiaTheme="minorAscii" w:cstheme="minorAscii"/>
          <w:sz w:val="24"/>
          <w:szCs w:val="24"/>
        </w:rPr>
        <w:t xml:space="preserve"> ensuring this culture is effective and beneficial to all (MacBeath and Mortimore, 2001, p.1).</w:t>
      </w:r>
    </w:p>
    <w:p w:rsidR="1B86006E" w:rsidP="3C4D1407" w:rsidRDefault="1B86006E" w14:paraId="6B092BB3" w14:textId="1602EC33" w14:noSpellErr="1">
      <w:pPr>
        <w:rPr>
          <w:rFonts w:ascii="Calibri" w:hAnsi="Calibri" w:eastAsia="Calibri" w:cs="Calibri" w:asciiTheme="minorAscii" w:hAnsiTheme="minorAscii" w:eastAsiaTheme="minorAscii" w:cstheme="minorAscii"/>
          <w:sz w:val="24"/>
          <w:szCs w:val="24"/>
        </w:rPr>
      </w:pPr>
    </w:p>
    <w:p w:rsidR="28F5E621" w:rsidP="3C4D1407" w:rsidRDefault="28F5E621" w14:paraId="3ABAEC38" w14:textId="3C87333C">
      <w:pPr>
        <w:pStyle w:val="Normal"/>
        <w:rPr>
          <w:rFonts w:ascii="Calibri" w:hAnsi="Calibri" w:eastAsia="Calibri" w:cs="Calibri" w:asciiTheme="minorAscii" w:hAnsiTheme="minorAscii" w:eastAsiaTheme="minorAscii" w:cstheme="minorAscii"/>
          <w:sz w:val="24"/>
          <w:szCs w:val="24"/>
        </w:rPr>
      </w:pPr>
    </w:p>
    <w:p w:rsidR="28F5E621" w:rsidP="3C4D1407" w:rsidRDefault="28F5E621" w14:paraId="2833E0F4" w14:textId="14804CB5">
      <w:pPr>
        <w:pStyle w:val="Normal"/>
        <w:rPr>
          <w:rFonts w:ascii="Calibri" w:hAnsi="Calibri" w:eastAsia="Calibri" w:cs="Calibri" w:asciiTheme="minorAscii" w:hAnsiTheme="minorAscii" w:eastAsiaTheme="minorAscii" w:cstheme="minorAscii"/>
          <w:sz w:val="24"/>
          <w:szCs w:val="24"/>
        </w:rPr>
      </w:pPr>
    </w:p>
    <w:p w:rsidR="3C4D1407" w:rsidP="3C4D1407" w:rsidRDefault="3C4D1407" w14:paraId="230BC146" w14:textId="13973BD8">
      <w:pPr>
        <w:pStyle w:val="Normal"/>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single"/>
          <w:lang w:val="en-GB"/>
        </w:rPr>
      </w:pPr>
    </w:p>
    <w:p w:rsidR="28F5E621" w:rsidP="3C4D1407" w:rsidRDefault="28F5E621" w14:paraId="089E442A" w14:textId="2B056AAA">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r w:rsidRPr="3C4D1407" w:rsidR="3C4D1407">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single"/>
          <w:lang w:val="en-GB"/>
        </w:rPr>
        <w:t>Reference List</w:t>
      </w:r>
      <w:r w:rsidRPr="3C4D1407" w:rsidR="3C4D140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p>
    <w:p w:rsidR="28F5E621" w:rsidP="3C4D1407" w:rsidRDefault="28F5E621" w14:paraId="332CEE62" w14:textId="7A774FB2">
      <w:pPr>
        <w:spacing w:after="160"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3C4D1407" w:rsidR="3C4D140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Brighouse, T. and Woods, D. (2013) </w:t>
      </w:r>
      <w:r w:rsidRPr="3C4D1407" w:rsidR="3C4D1407">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The A-Z of school improvement: principles and practice</w:t>
      </w:r>
      <w:r w:rsidRPr="3C4D1407" w:rsidR="3C4D140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London: Bloomsbury.</w:t>
      </w:r>
    </w:p>
    <w:p w:rsidR="3C4D1407" w:rsidP="3C4D1407" w:rsidRDefault="3C4D1407" w14:paraId="39A46F1A" w14:textId="0D30EAAB">
      <w:pPr>
        <w:pStyle w:val="Normal"/>
        <w:spacing w:after="160"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28F5E621" w:rsidP="3C4D1407" w:rsidRDefault="28F5E621" w14:paraId="00BDB013" w14:textId="46A3D883">
      <w:pPr>
        <w:pStyle w:val="Normal"/>
        <w:spacing w:after="160" w:line="360" w:lineRule="auto"/>
        <w:rPr>
          <w:rFonts w:ascii="Calibri" w:hAnsi="Calibri" w:eastAsia="Calibri" w:cs="Calibri" w:asciiTheme="minorAscii" w:hAnsiTheme="minorAscii" w:eastAsiaTheme="minorAscii" w:cstheme="minorAscii"/>
          <w:noProof w:val="0"/>
          <w:color w:val="auto" w:themeColor="text1" w:themeTint="FF" w:themeShade="FF"/>
          <w:sz w:val="24"/>
          <w:szCs w:val="24"/>
          <w:lang w:val="en-GB"/>
        </w:rPr>
      </w:pPr>
      <w:r w:rsidRPr="3C4D1407" w:rsidR="3C4D140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Evans, G., Llewellyn, S. and </w:t>
      </w:r>
      <w:r w:rsidRPr="3C4D1407" w:rsidR="3C4D140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Lewabe</w:t>
      </w:r>
      <w:r w:rsidRPr="3C4D1407" w:rsidR="3C4D140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J. (2022) ‘Towards a research-engaged teaching profession: insider reflections on a collaborative approach to developing teachers in Wales as professional enquirers’, </w:t>
      </w:r>
      <w:r w:rsidRPr="3C4D1407" w:rsidR="3C4D1407">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Practice (Abingdon, England)</w:t>
      </w:r>
      <w:r w:rsidRPr="3C4D1407" w:rsidR="3C4D140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4(3), pp. 171–190. Available at: https://doi.org/10.1080/25783858.2022.2109987.</w:t>
      </w:r>
    </w:p>
    <w:p w:rsidR="3C4D1407" w:rsidP="3C4D1407" w:rsidRDefault="3C4D1407" w14:paraId="00BD99D7" w14:textId="0C87C082">
      <w:pPr>
        <w:pStyle w:val="Normal"/>
        <w:spacing w:after="160"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3C4D1407" w:rsidP="3C4D1407" w:rsidRDefault="3C4D1407" w14:paraId="14689943" w14:textId="27880B38">
      <w:pPr>
        <w:pStyle w:val="AssignBody"/>
        <w:spacing w:after="0" w:line="360" w:lineRule="auto"/>
        <w:ind w:left="0" w:right="0"/>
        <w:rPr>
          <w:rFonts w:ascii="Calibri" w:hAnsi="Calibri" w:eastAsia="Calibri" w:cs="Calibri" w:asciiTheme="minorAscii" w:hAnsiTheme="minorAscii" w:eastAsiaTheme="minorAscii" w:cstheme="minorAscii"/>
          <w:noProof w:val="0"/>
          <w:color w:val="auto"/>
          <w:sz w:val="24"/>
          <w:szCs w:val="24"/>
          <w:lang w:val="en-GB"/>
        </w:rPr>
      </w:pPr>
      <w:r w:rsidRPr="3C4D1407" w:rsidR="3C4D140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Donaldson, G. (2015) Successful Futures: Independent Review of Curriculum and Assessment Arrangements in Wales, Available at: </w:t>
      </w:r>
      <w:hyperlink r:id="R30c88dadaa5548a0">
        <w:r w:rsidRPr="3C4D1407" w:rsidR="3C4D1407">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lang w:val="en-GB"/>
          </w:rPr>
          <w:t>successful-futures.pdf (gov.wales)</w:t>
        </w:r>
      </w:hyperlink>
      <w:r w:rsidRPr="3C4D1407" w:rsidR="3C4D140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(Accessed: 14.04.23)</w:t>
      </w:r>
      <w:r w:rsidRPr="3C4D1407" w:rsidR="3C4D140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3C4D1407" w:rsidR="3C4D1407">
        <w:rPr>
          <w:rFonts w:ascii="Calibri" w:hAnsi="Calibri" w:eastAsia="Calibri" w:cs="Calibri" w:asciiTheme="minorAscii" w:hAnsiTheme="minorAscii" w:eastAsiaTheme="minorAscii" w:cstheme="minorAscii"/>
          <w:noProof w:val="0"/>
          <w:color w:val="auto"/>
          <w:sz w:val="24"/>
          <w:szCs w:val="24"/>
          <w:lang w:val="en-GB"/>
        </w:rPr>
        <w:t xml:space="preserve"> </w:t>
      </w:r>
    </w:p>
    <w:p w:rsidR="3C4D1407" w:rsidP="3C4D1407" w:rsidRDefault="3C4D1407" w14:paraId="09267F14" w14:textId="0B43F140">
      <w:pPr>
        <w:pStyle w:val="Normal"/>
        <w:spacing w:after="160"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28F5E621" w:rsidP="3C4D1407" w:rsidRDefault="28F5E621" w14:paraId="128FBC45" w14:textId="5121D76B">
      <w:pPr>
        <w:spacing w:after="160"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3C4D1407" w:rsidR="3C4D140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Fantin, M. (2013) ‘Beyond Babel: Multiliteracies in Digital Culture’, in </w:t>
      </w:r>
      <w:r w:rsidRPr="3C4D1407" w:rsidR="3C4D1407">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Fostering 21st Century Digital Literacy and Technical Competency</w:t>
      </w:r>
      <w:r w:rsidRPr="3C4D1407" w:rsidR="3C4D140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United States: IGI Global, pp. 1–6. Available at: </w:t>
      </w:r>
      <w:hyperlink r:id="R2d86e6dc9ea04283">
        <w:r w:rsidRPr="3C4D1407" w:rsidR="3C4D1407">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https://doi.org/10.4018/978-1-4666-2943-1.ch001</w:t>
        </w:r>
      </w:hyperlink>
      <w:r w:rsidRPr="3C4D1407" w:rsidR="3C4D140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p>
    <w:p w:rsidR="3C4D1407" w:rsidP="3C4D1407" w:rsidRDefault="3C4D1407" w14:paraId="6D0499CE" w14:textId="18D9FC35">
      <w:pPr>
        <w:pStyle w:val="Normal"/>
        <w:spacing w:after="160"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28F5E621" w:rsidP="3C4D1407" w:rsidRDefault="28F5E621" w14:paraId="2589713D" w14:textId="2233AD15">
      <w:pPr>
        <w:spacing w:after="160"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3C4D1407" w:rsidR="3C4D140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Holt, J.C. and Meier, D. (1995) </w:t>
      </w:r>
      <w:r w:rsidRPr="3C4D1407" w:rsidR="3C4D1407">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How children learn</w:t>
      </w:r>
      <w:r w:rsidRPr="3C4D1407" w:rsidR="3C4D140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Revised edition. Reading, Massachusetts: Addison-Wesley Pub. Co.</w:t>
      </w:r>
    </w:p>
    <w:p w:rsidR="3C4D1407" w:rsidP="3C4D1407" w:rsidRDefault="3C4D1407" w14:paraId="279C949E" w14:textId="503975B8">
      <w:pPr>
        <w:pStyle w:val="Normal"/>
        <w:spacing w:after="160"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28F5E621" w:rsidP="3C4D1407" w:rsidRDefault="28F5E621" w14:paraId="7FA360B1" w14:textId="541A4B3E">
      <w:pPr>
        <w:spacing w:after="160"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3C4D1407" w:rsidR="3C4D140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MacBeath, J.E.C. and Mortimore, P. (2001) </w:t>
      </w:r>
      <w:r w:rsidRPr="3C4D1407" w:rsidR="3C4D1407">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Improving school effectiveness</w:t>
      </w:r>
      <w:r w:rsidRPr="3C4D1407" w:rsidR="3C4D140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Edited by J.E.C. MacBeath and P. Mortimore. Maidenhead, </w:t>
      </w:r>
      <w:r w:rsidRPr="3C4D1407" w:rsidR="3C4D140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England:</w:t>
      </w:r>
      <w:r w:rsidRPr="3C4D1407" w:rsidR="3C4D140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Open University Press.</w:t>
      </w:r>
    </w:p>
    <w:p w:rsidR="3C4D1407" w:rsidP="3C4D1407" w:rsidRDefault="3C4D1407" w14:paraId="73DAD156" w14:textId="57820ACA">
      <w:pPr>
        <w:pStyle w:val="Normal"/>
        <w:spacing w:after="160"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28F5E621" w:rsidP="3C4D1407" w:rsidRDefault="28F5E621" w14:paraId="23319914" w14:textId="2E5D85FF">
      <w:pPr>
        <w:spacing w:after="160"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r w:rsidRPr="3C4D1407" w:rsidR="3C4D140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3C4D1407" w:rsidR="3C4D140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Mougeon</w:t>
      </w:r>
      <w:r w:rsidRPr="3C4D1407" w:rsidR="3C4D140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R. and Rehner, K. (2017) ‘The influence of classroom input and community exposure on the learning of variable grammar’, </w:t>
      </w:r>
      <w:r w:rsidRPr="3C4D1407" w:rsidR="3C4D1407">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Bilingualism (Cambridge, England)</w:t>
      </w:r>
      <w:r w:rsidRPr="3C4D1407" w:rsidR="3C4D140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20(1), pp. 21–22. Available at: </w:t>
      </w:r>
      <w:hyperlink r:id="Rf6a8c2e3b37644d1">
        <w:r w:rsidRPr="3C4D1407" w:rsidR="3C4D1407">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https://doi.org/10.1017/S1366728916000304</w:t>
        </w:r>
      </w:hyperlink>
      <w:r w:rsidRPr="3C4D1407" w:rsidR="3C4D140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p>
    <w:p w:rsidR="3C4D1407" w:rsidP="3C4D1407" w:rsidRDefault="3C4D1407" w14:paraId="635193AC" w14:textId="31E83049">
      <w:pPr>
        <w:pStyle w:val="Normal"/>
        <w:spacing w:after="160"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28F5E621" w:rsidP="3C4D1407" w:rsidRDefault="28F5E621" w14:paraId="2BA9CEEF" w14:textId="0F4A3D40">
      <w:pPr>
        <w:spacing w:after="160"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r w:rsidRPr="3C4D1407" w:rsidR="3C4D140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highlight w:val="black"/>
          <w:lang w:val="en-GB"/>
        </w:rPr>
        <w:t>Mrs C. Harvard and Mrs L. Davies</w:t>
      </w:r>
      <w:r w:rsidRPr="3C4D1407" w:rsidR="3C4D140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(2023) Conversation with </w:t>
      </w:r>
      <w:r w:rsidRPr="3C4D1407" w:rsidR="3C4D140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highlight w:val="black"/>
          <w:lang w:val="en-GB"/>
        </w:rPr>
        <w:t>Lowri Clark</w:t>
      </w:r>
      <w:r w:rsidRPr="3C4D1407" w:rsidR="3C4D140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20 March</w:t>
      </w:r>
    </w:p>
    <w:p w:rsidR="3C4D1407" w:rsidP="3C4D1407" w:rsidRDefault="3C4D1407" w14:paraId="5A0A8F7D" w14:textId="206C97D6">
      <w:pPr>
        <w:pStyle w:val="Normal"/>
        <w:spacing w:after="160"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3C4D1407" w:rsidP="3C4D1407" w:rsidRDefault="3C4D1407" w14:paraId="3B612E6B" w14:textId="0FC482AA">
      <w:pPr>
        <w:pStyle w:val="Normal"/>
        <w:spacing w:after="160" w:line="360" w:lineRule="auto"/>
        <w:rPr>
          <w:rFonts w:ascii="Calibri" w:hAnsi="Calibri" w:eastAsia="Calibri" w:cs="Calibri" w:asciiTheme="minorAscii" w:hAnsiTheme="minorAscii" w:eastAsiaTheme="minorAscii" w:cstheme="minorAscii"/>
          <w:noProof w:val="0"/>
          <w:color w:val="auto"/>
          <w:sz w:val="24"/>
          <w:szCs w:val="24"/>
          <w:lang w:val="en-GB"/>
        </w:rPr>
      </w:pPr>
      <w:r w:rsidRPr="3C4D1407" w:rsidR="3C4D140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O’Brien, S. </w:t>
      </w:r>
      <w:r w:rsidRPr="3C4D1407" w:rsidR="3C4D1407">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et al.</w:t>
      </w:r>
      <w:r w:rsidRPr="3C4D1407" w:rsidR="3C4D140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(2022) ‘Learning by doing: evaluating the key features of a professional development intervention for teachers in data-use, as part of whole school self-evaluation process’, </w:t>
      </w:r>
      <w:r w:rsidRPr="3C4D1407" w:rsidR="3C4D1407">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Professional development in education</w:t>
      </w:r>
      <w:r w:rsidRPr="3C4D1407" w:rsidR="3C4D140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48(2), pp. 273–297. Available at: </w:t>
      </w:r>
      <w:hyperlink r:id="R3f0adfa32e1a48ef">
        <w:r w:rsidRPr="3C4D1407" w:rsidR="3C4D1407">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https://doi.org/10.1080/19415257.2020.1720778</w:t>
        </w:r>
      </w:hyperlink>
      <w:r w:rsidRPr="3C4D1407" w:rsidR="3C4D140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p>
    <w:p w:rsidR="3C4D1407" w:rsidP="3C4D1407" w:rsidRDefault="3C4D1407" w14:paraId="21D7165E" w14:textId="1607EA8B">
      <w:pPr>
        <w:pStyle w:val="Normal"/>
        <w:spacing w:after="160"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28F5E621" w:rsidP="3C4D1407" w:rsidRDefault="28F5E621" w14:paraId="763ED22C" w14:textId="22262113">
      <w:pPr>
        <w:spacing w:after="160"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r w:rsidRPr="3C4D1407" w:rsidR="3C4D140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Schmoker, M, (2003) ‘First Thing’s First: Demystifying Data Analysis’, 60(50), pp. 22-24, Available at: </w:t>
      </w:r>
      <w:hyperlink r:id="R805396e63d544d10">
        <w:r w:rsidRPr="3C4D1407" w:rsidR="3C4D1407">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lang w:val="en-GB"/>
          </w:rPr>
          <w:t>First Things First: Demystifying Data Analysis (mikeschmoker.com)</w:t>
        </w:r>
      </w:hyperlink>
      <w:r w:rsidRPr="3C4D1407" w:rsidR="3C4D140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(Accessed: 11/04/23).</w:t>
      </w:r>
    </w:p>
    <w:p w:rsidR="3C4D1407" w:rsidP="3C4D1407" w:rsidRDefault="3C4D1407" w14:paraId="18173536" w14:textId="51FC3612">
      <w:pPr>
        <w:pStyle w:val="Normal"/>
        <w:spacing w:after="160"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28F5E621" w:rsidP="3C4D1407" w:rsidRDefault="28F5E621" w14:paraId="5D44C5AF" w14:textId="074BAEE4">
      <w:pPr>
        <w:spacing w:after="160"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r w:rsidRPr="3C4D1407" w:rsidR="3C4D140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The National Archives, (2014) ‘</w:t>
      </w:r>
      <w:r w:rsidRPr="3C4D1407" w:rsidR="3C4D140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The Education (School Development Plans) (Wales) Regulations 2014’. Available at: </w:t>
      </w:r>
      <w:hyperlink r:id="R5c7bf871f5be43b8">
        <w:r w:rsidRPr="3C4D1407" w:rsidR="3C4D1407">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lang w:val="en-GB"/>
          </w:rPr>
          <w:t>The Education (School Development Plans) (Wales) Regulations 2014 (legislation.gov.uk),</w:t>
        </w:r>
      </w:hyperlink>
      <w:r w:rsidRPr="3C4D1407" w:rsidR="3C4D140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(Accessed: 11.04.23). </w:t>
      </w:r>
    </w:p>
    <w:p w:rsidR="3C4D1407" w:rsidP="3C4D1407" w:rsidRDefault="3C4D1407" w14:paraId="1A7C6595" w14:textId="39B1F622">
      <w:pPr>
        <w:pStyle w:val="Normal"/>
        <w:spacing w:after="160"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28F5E621" w:rsidP="3C4D1407" w:rsidRDefault="28F5E621" w14:paraId="3C4E12B3" w14:textId="12DE47CA">
      <w:pPr>
        <w:spacing w:after="160"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3C4D1407" w:rsidR="3C4D140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highlight w:val="black"/>
          <w:lang w:val="en-GB"/>
        </w:rPr>
        <w:t xml:space="preserve">Tre </w:t>
      </w:r>
      <w:r w:rsidRPr="3C4D1407" w:rsidR="3C4D140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highlight w:val="black"/>
          <w:lang w:val="en-GB"/>
        </w:rPr>
        <w:t>Uchaf</w:t>
      </w:r>
      <w:r w:rsidRPr="3C4D1407" w:rsidR="3C4D140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highlight w:val="black"/>
          <w:lang w:val="en-GB"/>
        </w:rPr>
        <w:t xml:space="preserve"> Primary School</w:t>
      </w:r>
      <w:r w:rsidRPr="3C4D1407" w:rsidR="3C4D140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(2022) </w:t>
      </w:r>
      <w:r w:rsidRPr="3C4D1407" w:rsidR="3C4D1407">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Development Plan: 2022-2023</w:t>
      </w:r>
      <w:r w:rsidRPr="3C4D1407" w:rsidR="3C4D140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Available at: </w:t>
      </w:r>
      <w:hyperlink r:id="R5c9b7d5bd71f4c1e">
        <w:r w:rsidRPr="3C4D1407" w:rsidR="3C4D1407">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highlight w:val="black"/>
            <w:lang w:val="en-GB"/>
          </w:rPr>
          <w:t>SDP 2022-Treuchaf Primary school Reformatted.docx (sharepoint.com)</w:t>
        </w:r>
        <w:r w:rsidRPr="3C4D1407" w:rsidR="3C4D1407">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lang w:val="en-GB"/>
          </w:rPr>
          <w:t>,</w:t>
        </w:r>
      </w:hyperlink>
      <w:r w:rsidRPr="3C4D1407" w:rsidR="3C4D140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(Accessed: 20.03.23).</w:t>
      </w:r>
    </w:p>
    <w:p w:rsidR="3C4D1407" w:rsidP="3C4D1407" w:rsidRDefault="3C4D1407" w14:paraId="7000B3CC" w14:textId="1030CFEB">
      <w:pPr>
        <w:pStyle w:val="Normal"/>
        <w:spacing w:after="160"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28F5E621" w:rsidP="3C4D1407" w:rsidRDefault="28F5E621" w14:paraId="5F3793ED" w14:textId="67F4ECB0">
      <w:pPr>
        <w:spacing w:after="160"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r w:rsidRPr="3C4D1407" w:rsidR="3C4D140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Welsh Government (2018) ‘Cross-curricular Skills Framework’, Available at: </w:t>
      </w:r>
      <w:hyperlink r:id="R02d79581ef9e47e4">
        <w:r w:rsidRPr="3C4D1407" w:rsidR="3C4D1407">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lang w:val="en-GB"/>
          </w:rPr>
          <w:t>Cross-curricular skills frameworks - Hwb (gov.wales),</w:t>
        </w:r>
      </w:hyperlink>
      <w:r w:rsidRPr="3C4D1407" w:rsidR="3C4D140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(Accessed: 11/04/23).</w:t>
      </w:r>
    </w:p>
    <w:p w:rsidR="3C4D1407" w:rsidP="3C4D1407" w:rsidRDefault="3C4D1407" w14:paraId="000609D8" w14:textId="0C1E634B">
      <w:pPr>
        <w:pStyle w:val="Normal"/>
        <w:spacing w:after="160"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28F5E621" w:rsidP="3C4D1407" w:rsidRDefault="28F5E621" w14:paraId="5E76ED86" w14:textId="512FB4A7">
      <w:pPr>
        <w:spacing w:after="160"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r w:rsidRPr="3C4D1407" w:rsidR="3C4D140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Welsh Government, (2018), ‘Digital Competency Framework Guidance’, Available at: </w:t>
      </w:r>
      <w:hyperlink w:anchor=":~:text=In%20A%20curriculum%20for%20Wales%20%E2%80%93%20a%20curriculum,from%20Cardiff%20Metropolitan%20University%2C%20Estyn%20and%20regional%20consortia." r:id="Rbde152163e514ce5">
        <w:r w:rsidRPr="3C4D1407" w:rsidR="3C4D1407">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lang w:val="en-GB"/>
          </w:rPr>
          <w:t>A curriculum for Wales – a curriculum for life (gov.wales),</w:t>
        </w:r>
      </w:hyperlink>
      <w:r w:rsidRPr="3C4D1407" w:rsidR="3C4D140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(Accessed: 11/04/23).</w:t>
      </w:r>
    </w:p>
    <w:p w:rsidR="3C4D1407" w:rsidP="3C4D1407" w:rsidRDefault="3C4D1407" w14:paraId="4A2215B5" w14:textId="09249E52">
      <w:pPr>
        <w:pStyle w:val="Normal"/>
        <w:spacing w:after="160"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28F5E621" w:rsidP="3C4D1407" w:rsidRDefault="28F5E621" w14:paraId="7AB5B37B" w14:textId="346D28F8">
      <w:pPr>
        <w:spacing w:after="160"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r w:rsidRPr="3C4D1407" w:rsidR="3C4D140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Welsh Government, (2014) School Development Plans, Available at: </w:t>
      </w:r>
      <w:hyperlink r:id="Rabe85b1f690a488e">
        <w:r w:rsidRPr="3C4D1407" w:rsidR="3C4D1407">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lang w:val="en-GB"/>
          </w:rPr>
          <w:t>School Development Plans Guidance Document (gov.wales),</w:t>
        </w:r>
      </w:hyperlink>
      <w:r w:rsidRPr="3C4D1407" w:rsidR="3C4D140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(Accessed: 11/04/23). </w:t>
      </w:r>
    </w:p>
    <w:p w:rsidR="3C4D1407" w:rsidP="3C4D1407" w:rsidRDefault="3C4D1407" w14:paraId="26AFB5D9" w14:textId="245F8D24">
      <w:pPr>
        <w:pStyle w:val="Normal"/>
        <w:spacing w:after="160"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28F5E621" w:rsidP="3C4D1407" w:rsidRDefault="28F5E621" w14:paraId="4AC47234" w14:textId="5CB371DB">
      <w:pPr>
        <w:spacing w:after="160"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r w:rsidRPr="3C4D1407" w:rsidR="3C4D140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Welsh Government, (2022) ‘School Improvement Guidance: Framework for Evaluation, Improvement and Accountability’, Available at: </w:t>
      </w:r>
      <w:hyperlink w:anchor="our-vision-for-each-aspect-of-the-framework-for-evaluation,-improvement-and-accountability" r:id="R07a89448019a4c1e">
        <w:r w:rsidRPr="3C4D1407" w:rsidR="3C4D1407">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lang w:val="en-GB"/>
          </w:rPr>
          <w:t>School improvement guidance: framework for evaluation, improvement and accountability - Hwb (gov.wales),</w:t>
        </w:r>
      </w:hyperlink>
      <w:r w:rsidRPr="3C4D1407" w:rsidR="3C4D140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(Accessed: 11/04/23).</w:t>
      </w:r>
    </w:p>
    <w:p w:rsidR="3C4D1407" w:rsidP="3C4D1407" w:rsidRDefault="3C4D1407" w14:paraId="12AB3460" w14:textId="798EB682">
      <w:pPr>
        <w:pStyle w:val="Normal"/>
        <w:spacing w:after="160"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28F5E621" w:rsidP="3C4D1407" w:rsidRDefault="28F5E621" w14:paraId="00815809" w14:textId="4A6BE97C">
      <w:pPr>
        <w:spacing w:after="160"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r w:rsidRPr="3C4D1407" w:rsidR="3C4D140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Welsh government, (2021) The National Resource: Evaluation and Improvement, Available at: </w:t>
      </w:r>
      <w:hyperlink r:id="R93762c003ecb44bc">
        <w:r w:rsidRPr="3C4D1407" w:rsidR="3C4D1407">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lang w:val="en-GB"/>
          </w:rPr>
          <w:t>The national resource: overview - Hwb (gov.wales),</w:t>
        </w:r>
      </w:hyperlink>
      <w:r w:rsidRPr="3C4D1407" w:rsidR="3C4D140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(Accessed: 11/04/23). </w:t>
      </w:r>
    </w:p>
    <w:p w:rsidR="3C4D1407" w:rsidP="3C4D1407" w:rsidRDefault="3C4D1407" w14:paraId="7353F4E0" w14:textId="7721D425">
      <w:pPr>
        <w:pStyle w:val="Normal"/>
        <w:spacing w:after="160"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28F5E621" w:rsidP="3C4D1407" w:rsidRDefault="28F5E621" w14:paraId="77EBF44E" w14:textId="597D63BE">
      <w:pPr>
        <w:spacing w:after="160"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r w:rsidRPr="3C4D1407" w:rsidR="3C4D140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Welsh Government (2015), ‘Written Statement: Welsh Language Second Language within our new Curriculum’, Available at: </w:t>
      </w:r>
      <w:hyperlink w:anchor=":~:text=The%20new%20curriculum%20will%20see%20the%20introduction%20of,outcomes%20for%20developing%20Welsh%20language%20skills%20over%20time." r:id="Rba01fac388124a9a">
        <w:r w:rsidRPr="3C4D1407" w:rsidR="3C4D1407">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lang w:val="en-GB"/>
          </w:rPr>
          <w:t>Written Statement - Welsh Second Language within our new curriculum (15 October 2015) | GOV.WALES,</w:t>
        </w:r>
      </w:hyperlink>
      <w:r w:rsidRPr="3C4D1407" w:rsidR="3C4D140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(Accessed: 11/04/23). </w:t>
      </w:r>
    </w:p>
    <w:p w:rsidR="28F5E621" w:rsidP="3C4D1407" w:rsidRDefault="28F5E621" w14:paraId="1BACCD7D" w14:textId="19DE2F5B">
      <w:pPr>
        <w:spacing w:after="160"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p>
    <w:p w:rsidR="28F5E621" w:rsidP="3C4D1407" w:rsidRDefault="28F5E621" w14:paraId="080FB7CE" w14:textId="534F441B">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28F5E621" w:rsidP="3C4D1407" w:rsidRDefault="28F5E621" w14:paraId="50DC81C9" w14:textId="399EFC4B">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28F5E621" w:rsidP="3C4D1407" w:rsidRDefault="28F5E621" w14:paraId="66C9DA9E" w14:textId="3193928C">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28F5E621" w:rsidP="3C4D1407" w:rsidRDefault="28F5E621" w14:paraId="30A6D3CB" w14:textId="2C821A18">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28F5E621" w:rsidP="3C4D1407" w:rsidRDefault="28F5E621" w14:paraId="276DD48D" w14:textId="3460373E">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28F5E621" w:rsidP="3C4D1407" w:rsidRDefault="28F5E621" w14:paraId="117789C5" w14:textId="55024087">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28F5E621" w:rsidP="3C4D1407" w:rsidRDefault="28F5E621" w14:paraId="630FDB39" w14:textId="0B4BB111">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28F5E621" w:rsidP="3C4D1407" w:rsidRDefault="28F5E621" w14:paraId="55465A83" w14:textId="758D5A00">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28F5E621" w:rsidP="3C4D1407" w:rsidRDefault="28F5E621" w14:paraId="0792CB5A" w14:textId="33A795E7">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28F5E621" w:rsidP="3C4D1407" w:rsidRDefault="28F5E621" w14:paraId="1DDDA43D" w14:textId="623E6797">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28F5E621" w:rsidP="3C4D1407" w:rsidRDefault="28F5E621" w14:paraId="19A7FF03" w14:textId="79DB67B9">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28F5E621" w:rsidP="3C4D1407" w:rsidRDefault="28F5E621" w14:paraId="382BEB1E" w14:textId="4D1FF817">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28F5E621" w:rsidP="3C4D1407" w:rsidRDefault="28F5E621" w14:paraId="79C8260B" w14:textId="3B331CF3">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28F5E621" w:rsidP="3C4D1407" w:rsidRDefault="28F5E621" w14:paraId="3AF19F32" w14:textId="066320D6">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28F5E621" w:rsidP="3C4D1407" w:rsidRDefault="28F5E621" w14:paraId="5D89835F" w14:textId="70D1CB8A">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28F5E621" w:rsidP="3C4D1407" w:rsidRDefault="28F5E621" w14:paraId="74ED7478" w14:textId="6CDD4AD3">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28F5E621" w:rsidP="3C4D1407" w:rsidRDefault="28F5E621" w14:paraId="37C1986D" w14:textId="45CBA478">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3C4D1407" w:rsidP="3C4D1407" w:rsidRDefault="3C4D1407" w14:paraId="2EBEE5A4" w14:textId="56E6C027">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GB"/>
        </w:rPr>
      </w:pPr>
    </w:p>
    <w:p w:rsidR="28F5E621" w:rsidP="3C4D1407" w:rsidRDefault="28F5E621" w14:paraId="413E6AF0" w14:textId="2191F1B1">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GB"/>
        </w:rPr>
      </w:pPr>
      <w:r w:rsidRPr="3C4D1407" w:rsidR="3C4D140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GB"/>
        </w:rPr>
        <w:t>Appendix</w:t>
      </w:r>
    </w:p>
    <w:p w:rsidR="28F5E621" w:rsidP="3C4D1407" w:rsidRDefault="28F5E621" w14:paraId="4BE31F7D" w14:textId="253BECBB">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C4D1407" w:rsidR="3C4D140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Figure A: Diagram </w:t>
      </w:r>
      <w:r w:rsidRPr="3C4D1407" w:rsidR="3C4D140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representing</w:t>
      </w:r>
      <w:r w:rsidRPr="3C4D1407" w:rsidR="3C4D140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Welsh Governments SDP (School Development Plan) creation and planning processes: -</w:t>
      </w:r>
      <w:r w:rsidRPr="3C4D1407" w:rsidR="3C4D1407">
        <w:rPr>
          <w:rFonts w:ascii="Calibri" w:hAnsi="Calibri" w:eastAsia="Calibri" w:cs="Calibri" w:asciiTheme="minorAscii" w:hAnsiTheme="minorAscii" w:eastAsiaTheme="minorAscii" w:cstheme="minorAscii"/>
          <w:b w:val="0"/>
          <w:bCs w:val="0"/>
          <w:i w:val="0"/>
          <w:iCs w:val="0"/>
          <w:caps w:val="0"/>
          <w:smallCaps w:val="0"/>
          <w:noProof w:val="0"/>
          <w:color w:val="3A3A3A"/>
          <w:sz w:val="24"/>
          <w:szCs w:val="24"/>
          <w:lang w:val="en-GB"/>
        </w:rPr>
        <w:t>W</w:t>
      </w:r>
      <w:r w:rsidRPr="3C4D1407" w:rsidR="3C4D1407">
        <w:rPr>
          <w:rFonts w:ascii="Calibri" w:hAnsi="Calibri" w:eastAsia="Calibri" w:cs="Calibri" w:asciiTheme="minorAscii" w:hAnsiTheme="minorAscii" w:eastAsiaTheme="minorAscii" w:cstheme="minorAscii"/>
          <w:b w:val="0"/>
          <w:bCs w:val="0"/>
          <w:i w:val="0"/>
          <w:iCs w:val="0"/>
          <w:caps w:val="0"/>
          <w:smallCaps w:val="0"/>
          <w:noProof w:val="0"/>
          <w:color w:val="3A3A3A"/>
          <w:sz w:val="24"/>
          <w:szCs w:val="24"/>
          <w:lang w:val="en-GB"/>
        </w:rPr>
        <w:t>elsh</w:t>
      </w:r>
      <w:r w:rsidRPr="3C4D1407" w:rsidR="3C4D1407">
        <w:rPr>
          <w:rFonts w:ascii="Calibri" w:hAnsi="Calibri" w:eastAsia="Calibri" w:cs="Calibri" w:asciiTheme="minorAscii" w:hAnsiTheme="minorAscii" w:eastAsiaTheme="minorAscii" w:cstheme="minorAscii"/>
          <w:b w:val="0"/>
          <w:bCs w:val="0"/>
          <w:i w:val="0"/>
          <w:iCs w:val="0"/>
          <w:caps w:val="0"/>
          <w:smallCaps w:val="0"/>
          <w:noProof w:val="0"/>
          <w:color w:val="3A3A3A"/>
          <w:sz w:val="24"/>
          <w:szCs w:val="24"/>
          <w:lang w:val="en-GB"/>
        </w:rPr>
        <w:t xml:space="preserve"> Government, (2014) School Development Plans, Available at: </w:t>
      </w:r>
      <w:r w:rsidRPr="3C4D1407" w:rsidR="3C4D140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School Development Plans Guidance Document (</w:t>
      </w:r>
      <w:r w:rsidRPr="3C4D1407" w:rsidR="3C4D140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gov.wales</w:t>
      </w:r>
      <w:r w:rsidRPr="3C4D1407" w:rsidR="3C4D140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(Accessed: 11/04/23).</w:t>
      </w:r>
    </w:p>
    <w:p w:rsidR="28F5E621" w:rsidP="28F5E621" w:rsidRDefault="28F5E621" w14:paraId="4399691B" w14:textId="2C472132">
      <w:pPr>
        <w:pStyle w:val="Normal"/>
        <w:spacing w:after="160" w:line="259" w:lineRule="auto"/>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en-GB"/>
        </w:rPr>
      </w:pPr>
    </w:p>
    <w:p w:rsidR="28F5E621" w:rsidP="28F5E621" w:rsidRDefault="28F5E621" w14:paraId="5A9AF2A8" w14:textId="6E052707">
      <w:pPr>
        <w:spacing w:after="160" w:line="259" w:lineRule="auto"/>
        <w:jc w:val="center"/>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en-GB"/>
        </w:rPr>
      </w:pPr>
      <w:r>
        <w:drawing>
          <wp:inline wp14:editId="1C2F0E8B" wp14:anchorId="46874B58">
            <wp:extent cx="4229100" cy="4371975"/>
            <wp:effectExtent l="0" t="0" r="0" b="0"/>
            <wp:docPr id="547460195" name="" title=""/>
            <wp:cNvGraphicFramePr>
              <a:graphicFrameLocks noChangeAspect="1"/>
            </wp:cNvGraphicFramePr>
            <a:graphic>
              <a:graphicData uri="http://schemas.openxmlformats.org/drawingml/2006/picture">
                <pic:pic>
                  <pic:nvPicPr>
                    <pic:cNvPr id="0" name=""/>
                    <pic:cNvPicPr/>
                  </pic:nvPicPr>
                  <pic:blipFill>
                    <a:blip r:embed="R94fa254dc5404cce">
                      <a:extLst>
                        <a:ext xmlns:a="http://schemas.openxmlformats.org/drawingml/2006/main" uri="{28A0092B-C50C-407E-A947-70E740481C1C}">
                          <a14:useLocalDpi val="0"/>
                        </a:ext>
                      </a:extLst>
                    </a:blip>
                    <a:stretch>
                      <a:fillRect/>
                    </a:stretch>
                  </pic:blipFill>
                  <pic:spPr>
                    <a:xfrm>
                      <a:off x="0" y="0"/>
                      <a:ext cx="4229100" cy="4371975"/>
                    </a:xfrm>
                    <a:prstGeom prst="rect">
                      <a:avLst/>
                    </a:prstGeom>
                  </pic:spPr>
                </pic:pic>
              </a:graphicData>
            </a:graphic>
          </wp:inline>
        </w:drawing>
      </w:r>
    </w:p>
    <w:p w:rsidR="28F5E621" w:rsidP="28F5E621" w:rsidRDefault="28F5E621" w14:paraId="7AD2CC7E" w14:textId="12CEAA13">
      <w:pPr>
        <w:spacing w:after="160" w:line="259" w:lineRule="auto"/>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en-GB"/>
        </w:rPr>
      </w:pPr>
    </w:p>
    <w:p w:rsidR="28F5E621" w:rsidP="28F5E621" w:rsidRDefault="28F5E621" w14:paraId="53D9AE13" w14:textId="6D79B5E6">
      <w:pPr>
        <w:spacing w:after="160" w:line="259" w:lineRule="auto"/>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en-GB"/>
        </w:rPr>
      </w:pPr>
    </w:p>
    <w:p w:rsidR="28F5E621" w:rsidP="28F5E621" w:rsidRDefault="28F5E621" w14:paraId="63221627" w14:textId="11222417">
      <w:pPr>
        <w:spacing w:after="160" w:line="259" w:lineRule="auto"/>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en-GB"/>
        </w:rPr>
      </w:pPr>
    </w:p>
    <w:p w:rsidR="28F5E621" w:rsidP="28F5E621" w:rsidRDefault="28F5E621" w14:paraId="2A604D4A" w14:textId="3C99F306">
      <w:pPr>
        <w:pStyle w:val="Normal"/>
        <w:rPr>
          <w:rFonts w:ascii="Calibri" w:hAnsi="Calibri" w:eastAsia="Calibri" w:cs="Calibri"/>
        </w:rPr>
      </w:pPr>
    </w:p>
    <w:p w:rsidR="28F5E621" w:rsidP="28F5E621" w:rsidRDefault="28F5E621" w14:paraId="313A328A" w14:textId="192715B6">
      <w:pPr>
        <w:pStyle w:val="Normal"/>
        <w:rPr>
          <w:rFonts w:ascii="Calibri" w:hAnsi="Calibri" w:eastAsia="Calibri" w:cs="Calibri"/>
        </w:rPr>
      </w:pPr>
    </w:p>
    <w:p w:rsidR="28F5E621" w:rsidP="28F5E621" w:rsidRDefault="28F5E621" w14:paraId="38DF3A97" w14:textId="4480D8F2">
      <w:pPr>
        <w:pStyle w:val="Normal"/>
        <w:rPr>
          <w:rFonts w:ascii="Calibri" w:hAnsi="Calibri" w:eastAsia="Calibri" w:cs="Calibri"/>
        </w:rPr>
      </w:pPr>
    </w:p>
    <w:sectPr w:rsidR="1B86006E">
      <w:pgSz w:w="11906" w:h="16838" w:orient="portrait"/>
      <w:pgMar w:top="1440" w:right="1440" w:bottom="1440" w:left="1440" w:header="720" w:footer="720" w:gutter="0"/>
      <w:cols w:space="720"/>
      <w:docGrid w:linePitch="360"/>
      <w:headerReference w:type="default" r:id="Rf34321c469684e04"/>
      <w:footerReference w:type="default" r:id="R804dabc571d1462d"/>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8F5E621" w:rsidTr="28F5E621" w14:paraId="547B718E">
      <w:trPr>
        <w:trHeight w:val="300"/>
      </w:trPr>
      <w:tc>
        <w:tcPr>
          <w:tcW w:w="3005" w:type="dxa"/>
          <w:tcMar/>
        </w:tcPr>
        <w:p w:rsidR="28F5E621" w:rsidP="28F5E621" w:rsidRDefault="28F5E621" w14:paraId="7BCFCA73" w14:textId="39D2152D">
          <w:pPr>
            <w:pStyle w:val="Header"/>
            <w:bidi w:val="0"/>
            <w:ind w:left="-115"/>
            <w:jc w:val="left"/>
          </w:pPr>
        </w:p>
      </w:tc>
      <w:tc>
        <w:tcPr>
          <w:tcW w:w="3005" w:type="dxa"/>
          <w:tcMar/>
        </w:tcPr>
        <w:p w:rsidR="28F5E621" w:rsidP="28F5E621" w:rsidRDefault="28F5E621" w14:paraId="2B4A8682" w14:textId="70D3C270">
          <w:pPr>
            <w:pStyle w:val="Header"/>
            <w:bidi w:val="0"/>
            <w:jc w:val="center"/>
          </w:pPr>
        </w:p>
      </w:tc>
      <w:tc>
        <w:tcPr>
          <w:tcW w:w="3005" w:type="dxa"/>
          <w:tcMar/>
        </w:tcPr>
        <w:p w:rsidR="28F5E621" w:rsidP="28F5E621" w:rsidRDefault="28F5E621" w14:paraId="0DD9D96A" w14:textId="025AA28D">
          <w:pPr>
            <w:pStyle w:val="Header"/>
            <w:bidi w:val="0"/>
            <w:ind w:right="-115"/>
            <w:jc w:val="right"/>
          </w:pPr>
        </w:p>
      </w:tc>
    </w:tr>
  </w:tbl>
  <w:p w:rsidR="28F5E621" w:rsidP="28F5E621" w:rsidRDefault="28F5E621" w14:paraId="4C753491" w14:textId="7052C47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8F5E621" w:rsidTr="28F5E621" w14:paraId="0340B670">
      <w:trPr>
        <w:trHeight w:val="300"/>
      </w:trPr>
      <w:tc>
        <w:tcPr>
          <w:tcW w:w="3005" w:type="dxa"/>
          <w:tcMar/>
        </w:tcPr>
        <w:p w:rsidR="28F5E621" w:rsidP="28F5E621" w:rsidRDefault="28F5E621" w14:paraId="057B886B" w14:textId="2A23EE57">
          <w:pPr>
            <w:pStyle w:val="Header"/>
            <w:bidi w:val="0"/>
            <w:ind w:left="-115"/>
            <w:jc w:val="left"/>
          </w:pPr>
          <w:r w:rsidR="28F5E621">
            <w:rPr/>
            <w:t>ECAD7003 – Where am I teaching? Part B</w:t>
          </w:r>
        </w:p>
        <w:p w:rsidR="28F5E621" w:rsidP="28F5E621" w:rsidRDefault="28F5E621" w14:paraId="10D069E2" w14:textId="0F0B2AD7">
          <w:pPr>
            <w:pStyle w:val="Header"/>
            <w:bidi w:val="0"/>
            <w:ind w:left="-115"/>
            <w:jc w:val="left"/>
          </w:pPr>
          <w:r w:rsidR="28F5E621">
            <w:rPr/>
            <w:t>2104988</w:t>
          </w:r>
        </w:p>
      </w:tc>
      <w:tc>
        <w:tcPr>
          <w:tcW w:w="3005" w:type="dxa"/>
          <w:tcMar/>
        </w:tcPr>
        <w:p w:rsidR="28F5E621" w:rsidP="28F5E621" w:rsidRDefault="28F5E621" w14:paraId="30DB011A" w14:textId="0263EBE7">
          <w:pPr>
            <w:pStyle w:val="Header"/>
            <w:bidi w:val="0"/>
            <w:jc w:val="center"/>
          </w:pPr>
        </w:p>
      </w:tc>
      <w:tc>
        <w:tcPr>
          <w:tcW w:w="3005" w:type="dxa"/>
          <w:tcMar/>
        </w:tcPr>
        <w:p w:rsidR="28F5E621" w:rsidP="28F5E621" w:rsidRDefault="28F5E621" w14:paraId="666BF430" w14:textId="1EB3D70A">
          <w:pPr>
            <w:pStyle w:val="Header"/>
            <w:bidi w:val="0"/>
            <w:ind w:right="-115"/>
            <w:jc w:val="right"/>
          </w:pPr>
        </w:p>
      </w:tc>
    </w:tr>
  </w:tbl>
  <w:p w:rsidR="28F5E621" w:rsidP="28F5E621" w:rsidRDefault="28F5E621" w14:paraId="772BF5FC" w14:textId="051CACCC">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ttQApqEbOJAAW2" int2:id="06p3T2yr">
      <int2:state int2:value="Rejected" int2:type="AugLoop_Text_Critique"/>
    </int2:textHash>
    <int2:textHash int2:hashCode="juLMc04HU1ZEQV" int2:id="gfZDO94A">
      <int2:state int2:value="Rejected" int2:type="AugLoop_Text_Critique"/>
    </int2:textHash>
    <int2:textHash int2:hashCode="9/ATH6DIorf5Yk" int2:id="6cGlancR">
      <int2:state int2:value="Rejected" int2:type="AugLoop_Text_Critique"/>
    </int2:textHash>
    <int2:textHash int2:hashCode="Ap8DCzpEI+Ici8" int2:id="OztebkSi">
      <int2:state int2:value="Rejected" int2:type="AugLoop_Text_Critique"/>
    </int2:textHash>
    <int2:textHash int2:hashCode="tHYBaQKhPEqdjl" int2:id="ZgxilEEs">
      <int2:state int2:value="Rejected" int2:type="AugLoop_Text_Critique"/>
    </int2:textHash>
    <int2:textHash int2:hashCode="2jmj7l5rSw0yVb" int2:id="PNW5pWKl">
      <int2:state int2:value="Rejected" int2:type="AugLoop_Text_Critique"/>
    </int2:textHash>
    <int2:textHash int2:hashCode="JcfnNt1gfGGbDH" int2:id="tKAhqi1f">
      <int2:state int2:value="Rejected" int2:type="AugLoop_Text_Critique"/>
    </int2:textHash>
    <int2:textHash int2:hashCode="e0fNJFvUawOaVG" int2:id="kFlKxiKv">
      <int2:state int2:value="Rejected" int2:type="AugLoop_Text_Critique"/>
    </int2:textHash>
    <int2:textHash int2:hashCode="3IdKMHtQNy9/dN" int2:id="fUlHWOLc">
      <int2:state int2:value="Rejected" int2:type="AugLoop_Text_Critique"/>
    </int2:textHash>
    <int2:textHash int2:hashCode="Rrp9BUNwpHn0rE" int2:id="yAon28LW">
      <int2:state int2:value="Rejected" int2:type="AugLoop_Text_Critique"/>
    </int2:textHash>
    <int2:textHash int2:hashCode="iSN0v28a8K7Szw" int2:id="IiLguCHV">
      <int2:state int2:value="Rejected" int2:type="AugLoop_Text_Critique"/>
    </int2:textHash>
    <int2:textHash int2:hashCode="YlcHEivfKcEtr3" int2:id="fC0sCHZS">
      <int2:state int2:value="Rejected" int2:type="AugLoop_Text_Critique"/>
    </int2:textHash>
    <int2:textHash int2:hashCode="0WHy8LBVQlhu0c" int2:id="514Ef6jK">
      <int2:state int2:value="Rejected" int2:type="AugLoop_Text_Critique"/>
    </int2:textHash>
    <int2:textHash int2:hashCode="VjafIYC3/Q0CeY" int2:id="YPlBhvC9">
      <int2:state int2:value="Rejected" int2:type="AugLoop_Text_Critique"/>
    </int2:textHash>
    <int2:textHash int2:hashCode="Nuo9agaKL733o9" int2:id="E56OWVdY">
      <int2:state int2:value="Rejected" int2:type="AugLoop_Text_Critique"/>
    </int2:textHash>
    <int2:textHash int2:hashCode="ZDwntKefNIdV+R" int2:id="w05foQ1I">
      <int2:state int2:value="Rejected" int2:type="AugLoop_Text_Critique"/>
    </int2:textHash>
    <int2:textHash int2:hashCode="gkWX6TcnAk7dBy" int2:id="geggxYk7">
      <int2:state int2:value="Rejected" int2:type="AugLoop_Text_Critique"/>
    </int2:textHash>
    <int2:bookmark int2:bookmarkName="_Int_no42xXUm" int2:invalidationBookmarkName="" int2:hashCode="NedII2UMMRax1u" int2:id="gh9EXNNR">
      <int2:state int2:value="Rejected" int2:type="AugLoop_Acronyms_AcronymsCritique"/>
    </int2:bookmark>
    <int2:bookmark int2:bookmarkName="_Int_u4SNreq9" int2:invalidationBookmarkName="" int2:hashCode="eePxth0tcv9bPx" int2:id="GfaSk0K3">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6D4333"/>
    <w:multiLevelType w:val="hybridMultilevel"/>
    <w:tmpl w:val="5832CF18"/>
    <w:lvl w:ilvl="0" w:tplc="7CCC02F4">
      <w:start w:val="1"/>
      <w:numFmt w:val="decimal"/>
      <w:lvlText w:val="%1."/>
      <w:lvlJc w:val="left"/>
      <w:pPr>
        <w:ind w:left="720" w:hanging="360"/>
      </w:pPr>
    </w:lvl>
    <w:lvl w:ilvl="1" w:tplc="AA7A9082">
      <w:start w:val="1"/>
      <w:numFmt w:val="lowerLetter"/>
      <w:lvlText w:val="%2."/>
      <w:lvlJc w:val="left"/>
      <w:pPr>
        <w:ind w:left="1440" w:hanging="360"/>
      </w:pPr>
    </w:lvl>
    <w:lvl w:ilvl="2" w:tplc="5B068840">
      <w:start w:val="1"/>
      <w:numFmt w:val="lowerRoman"/>
      <w:lvlText w:val="%3."/>
      <w:lvlJc w:val="right"/>
      <w:pPr>
        <w:ind w:left="2160" w:hanging="180"/>
      </w:pPr>
    </w:lvl>
    <w:lvl w:ilvl="3" w:tplc="64DA87C4">
      <w:start w:val="1"/>
      <w:numFmt w:val="decimal"/>
      <w:lvlText w:val="%4."/>
      <w:lvlJc w:val="left"/>
      <w:pPr>
        <w:ind w:left="2880" w:hanging="360"/>
      </w:pPr>
    </w:lvl>
    <w:lvl w:ilvl="4" w:tplc="D6785C14">
      <w:start w:val="1"/>
      <w:numFmt w:val="lowerLetter"/>
      <w:lvlText w:val="%5."/>
      <w:lvlJc w:val="left"/>
      <w:pPr>
        <w:ind w:left="3600" w:hanging="360"/>
      </w:pPr>
    </w:lvl>
    <w:lvl w:ilvl="5" w:tplc="CF545D46">
      <w:start w:val="1"/>
      <w:numFmt w:val="lowerRoman"/>
      <w:lvlText w:val="%6."/>
      <w:lvlJc w:val="right"/>
      <w:pPr>
        <w:ind w:left="4320" w:hanging="180"/>
      </w:pPr>
    </w:lvl>
    <w:lvl w:ilvl="6" w:tplc="C75ED658">
      <w:start w:val="1"/>
      <w:numFmt w:val="decimal"/>
      <w:lvlText w:val="%7."/>
      <w:lvlJc w:val="left"/>
      <w:pPr>
        <w:ind w:left="5040" w:hanging="360"/>
      </w:pPr>
    </w:lvl>
    <w:lvl w:ilvl="7" w:tplc="7B169BE4">
      <w:start w:val="1"/>
      <w:numFmt w:val="lowerLetter"/>
      <w:lvlText w:val="%8."/>
      <w:lvlJc w:val="left"/>
      <w:pPr>
        <w:ind w:left="5760" w:hanging="360"/>
      </w:pPr>
    </w:lvl>
    <w:lvl w:ilvl="8" w:tplc="0262E4E6">
      <w:start w:val="1"/>
      <w:numFmt w:val="lowerRoman"/>
      <w:lvlText w:val="%9."/>
      <w:lvlJc w:val="right"/>
      <w:pPr>
        <w:ind w:left="6480" w:hanging="180"/>
      </w:pPr>
    </w:lvl>
  </w:abstractNum>
  <w:abstractNum w:abstractNumId="1" w15:restartNumberingAfterBreak="0">
    <w:nsid w:val="56F4804E"/>
    <w:multiLevelType w:val="hybridMultilevel"/>
    <w:tmpl w:val="7B7A778A"/>
    <w:lvl w:ilvl="0" w:tplc="48B6D704">
      <w:start w:val="1"/>
      <w:numFmt w:val="decimal"/>
      <w:lvlText w:val="%1."/>
      <w:lvlJc w:val="left"/>
      <w:pPr>
        <w:ind w:left="720" w:hanging="360"/>
      </w:pPr>
    </w:lvl>
    <w:lvl w:ilvl="1" w:tplc="4D3457BE">
      <w:start w:val="1"/>
      <w:numFmt w:val="lowerLetter"/>
      <w:lvlText w:val="%2."/>
      <w:lvlJc w:val="left"/>
      <w:pPr>
        <w:ind w:left="1440" w:hanging="360"/>
      </w:pPr>
    </w:lvl>
    <w:lvl w:ilvl="2" w:tplc="A8F0AB22">
      <w:start w:val="1"/>
      <w:numFmt w:val="lowerRoman"/>
      <w:lvlText w:val="%3."/>
      <w:lvlJc w:val="right"/>
      <w:pPr>
        <w:ind w:left="2160" w:hanging="180"/>
      </w:pPr>
    </w:lvl>
    <w:lvl w:ilvl="3" w:tplc="B316CCD4">
      <w:start w:val="1"/>
      <w:numFmt w:val="decimal"/>
      <w:lvlText w:val="%4."/>
      <w:lvlJc w:val="left"/>
      <w:pPr>
        <w:ind w:left="2880" w:hanging="360"/>
      </w:pPr>
    </w:lvl>
    <w:lvl w:ilvl="4" w:tplc="9710B884">
      <w:start w:val="1"/>
      <w:numFmt w:val="lowerLetter"/>
      <w:lvlText w:val="%5."/>
      <w:lvlJc w:val="left"/>
      <w:pPr>
        <w:ind w:left="3600" w:hanging="360"/>
      </w:pPr>
    </w:lvl>
    <w:lvl w:ilvl="5" w:tplc="539E4C22">
      <w:start w:val="1"/>
      <w:numFmt w:val="lowerRoman"/>
      <w:lvlText w:val="%6."/>
      <w:lvlJc w:val="right"/>
      <w:pPr>
        <w:ind w:left="4320" w:hanging="180"/>
      </w:pPr>
    </w:lvl>
    <w:lvl w:ilvl="6" w:tplc="28F257F6">
      <w:start w:val="1"/>
      <w:numFmt w:val="decimal"/>
      <w:lvlText w:val="%7."/>
      <w:lvlJc w:val="left"/>
      <w:pPr>
        <w:ind w:left="5040" w:hanging="360"/>
      </w:pPr>
    </w:lvl>
    <w:lvl w:ilvl="7" w:tplc="0064734A">
      <w:start w:val="1"/>
      <w:numFmt w:val="lowerLetter"/>
      <w:lvlText w:val="%8."/>
      <w:lvlJc w:val="left"/>
      <w:pPr>
        <w:ind w:left="5760" w:hanging="360"/>
      </w:pPr>
    </w:lvl>
    <w:lvl w:ilvl="8" w:tplc="4CE6792C">
      <w:start w:val="1"/>
      <w:numFmt w:val="lowerRoman"/>
      <w:lvlText w:val="%9."/>
      <w:lvlJc w:val="right"/>
      <w:pPr>
        <w:ind w:left="6480" w:hanging="180"/>
      </w:pPr>
    </w:lvl>
  </w:abstractNum>
  <w:abstractNum w:abstractNumId="2" w15:restartNumberingAfterBreak="0">
    <w:nsid w:val="5CD63D35"/>
    <w:multiLevelType w:val="hybridMultilevel"/>
    <w:tmpl w:val="36FA8E5C"/>
    <w:lvl w:ilvl="0" w:tplc="C2F4AE00">
      <w:start w:val="1"/>
      <w:numFmt w:val="decimal"/>
      <w:lvlText w:val="%1."/>
      <w:lvlJc w:val="left"/>
      <w:pPr>
        <w:ind w:left="720" w:hanging="360"/>
      </w:pPr>
    </w:lvl>
    <w:lvl w:ilvl="1" w:tplc="CB667B7E">
      <w:start w:val="1"/>
      <w:numFmt w:val="lowerLetter"/>
      <w:lvlText w:val="%2."/>
      <w:lvlJc w:val="left"/>
      <w:pPr>
        <w:ind w:left="1440" w:hanging="360"/>
      </w:pPr>
    </w:lvl>
    <w:lvl w:ilvl="2" w:tplc="16D404A0">
      <w:start w:val="1"/>
      <w:numFmt w:val="lowerRoman"/>
      <w:lvlText w:val="%3."/>
      <w:lvlJc w:val="right"/>
      <w:pPr>
        <w:ind w:left="2160" w:hanging="180"/>
      </w:pPr>
    </w:lvl>
    <w:lvl w:ilvl="3" w:tplc="DF208CA4">
      <w:start w:val="1"/>
      <w:numFmt w:val="decimal"/>
      <w:lvlText w:val="%4."/>
      <w:lvlJc w:val="left"/>
      <w:pPr>
        <w:ind w:left="2880" w:hanging="360"/>
      </w:pPr>
    </w:lvl>
    <w:lvl w:ilvl="4" w:tplc="079EBA02">
      <w:start w:val="1"/>
      <w:numFmt w:val="lowerLetter"/>
      <w:lvlText w:val="%5."/>
      <w:lvlJc w:val="left"/>
      <w:pPr>
        <w:ind w:left="3600" w:hanging="360"/>
      </w:pPr>
    </w:lvl>
    <w:lvl w:ilvl="5" w:tplc="68365842">
      <w:start w:val="1"/>
      <w:numFmt w:val="lowerRoman"/>
      <w:lvlText w:val="%6."/>
      <w:lvlJc w:val="right"/>
      <w:pPr>
        <w:ind w:left="4320" w:hanging="180"/>
      </w:pPr>
    </w:lvl>
    <w:lvl w:ilvl="6" w:tplc="3DA688B6">
      <w:start w:val="1"/>
      <w:numFmt w:val="decimal"/>
      <w:lvlText w:val="%7."/>
      <w:lvlJc w:val="left"/>
      <w:pPr>
        <w:ind w:left="5040" w:hanging="360"/>
      </w:pPr>
    </w:lvl>
    <w:lvl w:ilvl="7" w:tplc="2480A116">
      <w:start w:val="1"/>
      <w:numFmt w:val="lowerLetter"/>
      <w:lvlText w:val="%8."/>
      <w:lvlJc w:val="left"/>
      <w:pPr>
        <w:ind w:left="5760" w:hanging="360"/>
      </w:pPr>
    </w:lvl>
    <w:lvl w:ilvl="8" w:tplc="35C4F500">
      <w:start w:val="1"/>
      <w:numFmt w:val="lowerRoman"/>
      <w:lvlText w:val="%9."/>
      <w:lvlJc w:val="right"/>
      <w:pPr>
        <w:ind w:left="6480" w:hanging="180"/>
      </w:pPr>
    </w:lvl>
  </w:abstractNum>
  <w:abstractNum w:abstractNumId="3" w15:restartNumberingAfterBreak="0">
    <w:nsid w:val="5F89568C"/>
    <w:multiLevelType w:val="hybridMultilevel"/>
    <w:tmpl w:val="E3BEAE5A"/>
    <w:lvl w:ilvl="0" w:tplc="4370872C">
      <w:start w:val="1"/>
      <w:numFmt w:val="decimal"/>
      <w:lvlText w:val="%1."/>
      <w:lvlJc w:val="left"/>
      <w:pPr>
        <w:ind w:left="720" w:hanging="360"/>
      </w:pPr>
    </w:lvl>
    <w:lvl w:ilvl="1" w:tplc="394ED956">
      <w:start w:val="1"/>
      <w:numFmt w:val="lowerLetter"/>
      <w:lvlText w:val="%2."/>
      <w:lvlJc w:val="left"/>
      <w:pPr>
        <w:ind w:left="1440" w:hanging="360"/>
      </w:pPr>
    </w:lvl>
    <w:lvl w:ilvl="2" w:tplc="56D49EE0">
      <w:start w:val="1"/>
      <w:numFmt w:val="lowerRoman"/>
      <w:lvlText w:val="%3."/>
      <w:lvlJc w:val="right"/>
      <w:pPr>
        <w:ind w:left="2160" w:hanging="180"/>
      </w:pPr>
    </w:lvl>
    <w:lvl w:ilvl="3" w:tplc="82D49CF8">
      <w:start w:val="1"/>
      <w:numFmt w:val="decimal"/>
      <w:lvlText w:val="%4."/>
      <w:lvlJc w:val="left"/>
      <w:pPr>
        <w:ind w:left="2880" w:hanging="360"/>
      </w:pPr>
    </w:lvl>
    <w:lvl w:ilvl="4" w:tplc="64A2F4D2">
      <w:start w:val="1"/>
      <w:numFmt w:val="lowerLetter"/>
      <w:lvlText w:val="%5."/>
      <w:lvlJc w:val="left"/>
      <w:pPr>
        <w:ind w:left="3600" w:hanging="360"/>
      </w:pPr>
    </w:lvl>
    <w:lvl w:ilvl="5" w:tplc="D20A485E">
      <w:start w:val="1"/>
      <w:numFmt w:val="lowerRoman"/>
      <w:lvlText w:val="%6."/>
      <w:lvlJc w:val="right"/>
      <w:pPr>
        <w:ind w:left="4320" w:hanging="180"/>
      </w:pPr>
    </w:lvl>
    <w:lvl w:ilvl="6" w:tplc="B2E0EE2C">
      <w:start w:val="1"/>
      <w:numFmt w:val="decimal"/>
      <w:lvlText w:val="%7."/>
      <w:lvlJc w:val="left"/>
      <w:pPr>
        <w:ind w:left="5040" w:hanging="360"/>
      </w:pPr>
    </w:lvl>
    <w:lvl w:ilvl="7" w:tplc="D2548DA8">
      <w:start w:val="1"/>
      <w:numFmt w:val="lowerLetter"/>
      <w:lvlText w:val="%8."/>
      <w:lvlJc w:val="left"/>
      <w:pPr>
        <w:ind w:left="5760" w:hanging="360"/>
      </w:pPr>
    </w:lvl>
    <w:lvl w:ilvl="8" w:tplc="F18880A6">
      <w:start w:val="1"/>
      <w:numFmt w:val="lowerRoman"/>
      <w:lvlText w:val="%9."/>
      <w:lvlJc w:val="right"/>
      <w:pPr>
        <w:ind w:left="6480" w:hanging="180"/>
      </w:pPr>
    </w:lvl>
  </w:abstractNum>
  <w:num w:numId="1" w16cid:durableId="315034785">
    <w:abstractNumId w:val="2"/>
  </w:num>
  <w:num w:numId="2" w16cid:durableId="1371034827">
    <w:abstractNumId w:val="0"/>
  </w:num>
  <w:num w:numId="3" w16cid:durableId="977564128">
    <w:abstractNumId w:val="1"/>
  </w:num>
  <w:num w:numId="4" w16cid:durableId="1957560859">
    <w:abstractNumId w:val="3"/>
  </w:num>
</w:numbering>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6AF8BBE"/>
    <w:rsid w:val="0014715C"/>
    <w:rsid w:val="00246742"/>
    <w:rsid w:val="0026168D"/>
    <w:rsid w:val="00306421"/>
    <w:rsid w:val="00408E94"/>
    <w:rsid w:val="005E8D8D"/>
    <w:rsid w:val="006ACCCF"/>
    <w:rsid w:val="00853FCC"/>
    <w:rsid w:val="008A48DB"/>
    <w:rsid w:val="0092AEDC"/>
    <w:rsid w:val="0099002D"/>
    <w:rsid w:val="00B13067"/>
    <w:rsid w:val="00B5B081"/>
    <w:rsid w:val="00CB8643"/>
    <w:rsid w:val="00E4E1D1"/>
    <w:rsid w:val="00EF4E93"/>
    <w:rsid w:val="00F47F56"/>
    <w:rsid w:val="00F95B37"/>
    <w:rsid w:val="00FA22C5"/>
    <w:rsid w:val="0147D72F"/>
    <w:rsid w:val="017D6C3C"/>
    <w:rsid w:val="01BB894E"/>
    <w:rsid w:val="01C037A3"/>
    <w:rsid w:val="01CBE89F"/>
    <w:rsid w:val="01D29D62"/>
    <w:rsid w:val="01D606A3"/>
    <w:rsid w:val="01FD10C1"/>
    <w:rsid w:val="02065EE2"/>
    <w:rsid w:val="021041F2"/>
    <w:rsid w:val="0213B726"/>
    <w:rsid w:val="0226193C"/>
    <w:rsid w:val="02565861"/>
    <w:rsid w:val="02592800"/>
    <w:rsid w:val="027C458C"/>
    <w:rsid w:val="027E37D2"/>
    <w:rsid w:val="028A29EF"/>
    <w:rsid w:val="029E9735"/>
    <w:rsid w:val="02F7B991"/>
    <w:rsid w:val="03032B18"/>
    <w:rsid w:val="034B9270"/>
    <w:rsid w:val="03726ADA"/>
    <w:rsid w:val="03773062"/>
    <w:rsid w:val="037D7972"/>
    <w:rsid w:val="0385207F"/>
    <w:rsid w:val="03C2406C"/>
    <w:rsid w:val="03C4CC69"/>
    <w:rsid w:val="03DEB576"/>
    <w:rsid w:val="03FACB5C"/>
    <w:rsid w:val="041E3842"/>
    <w:rsid w:val="043E604B"/>
    <w:rsid w:val="04595E3A"/>
    <w:rsid w:val="049D7C35"/>
    <w:rsid w:val="04D54AC1"/>
    <w:rsid w:val="04E06F05"/>
    <w:rsid w:val="04E48C25"/>
    <w:rsid w:val="04F7D865"/>
    <w:rsid w:val="04F7E234"/>
    <w:rsid w:val="05166FE3"/>
    <w:rsid w:val="055492F0"/>
    <w:rsid w:val="0564A127"/>
    <w:rsid w:val="05AAECEF"/>
    <w:rsid w:val="05AFD745"/>
    <w:rsid w:val="05B4AE31"/>
    <w:rsid w:val="05CC3891"/>
    <w:rsid w:val="05E37E56"/>
    <w:rsid w:val="05F23969"/>
    <w:rsid w:val="05F3B2B5"/>
    <w:rsid w:val="06133E58"/>
    <w:rsid w:val="062CCED7"/>
    <w:rsid w:val="063FD8CF"/>
    <w:rsid w:val="0642412B"/>
    <w:rsid w:val="06576716"/>
    <w:rsid w:val="0675165D"/>
    <w:rsid w:val="067C9103"/>
    <w:rsid w:val="06880977"/>
    <w:rsid w:val="068FF6E9"/>
    <w:rsid w:val="06AC1717"/>
    <w:rsid w:val="06C6A500"/>
    <w:rsid w:val="06EEDF97"/>
    <w:rsid w:val="06F1121A"/>
    <w:rsid w:val="0702DCDE"/>
    <w:rsid w:val="070F5752"/>
    <w:rsid w:val="071E1477"/>
    <w:rsid w:val="072A3B71"/>
    <w:rsid w:val="073AE523"/>
    <w:rsid w:val="0743B6E5"/>
    <w:rsid w:val="0745FFD6"/>
    <w:rsid w:val="0746E1C6"/>
    <w:rsid w:val="074F3E13"/>
    <w:rsid w:val="075BCF26"/>
    <w:rsid w:val="076BB6B7"/>
    <w:rsid w:val="0775CC87"/>
    <w:rsid w:val="077AD2DE"/>
    <w:rsid w:val="077DC312"/>
    <w:rsid w:val="078286CD"/>
    <w:rsid w:val="078F8316"/>
    <w:rsid w:val="07917E0E"/>
    <w:rsid w:val="0793B67C"/>
    <w:rsid w:val="07D7F07D"/>
    <w:rsid w:val="07F69529"/>
    <w:rsid w:val="08018B05"/>
    <w:rsid w:val="08196A60"/>
    <w:rsid w:val="085F85D3"/>
    <w:rsid w:val="08609C14"/>
    <w:rsid w:val="0867AB22"/>
    <w:rsid w:val="08756923"/>
    <w:rsid w:val="08AFD73F"/>
    <w:rsid w:val="08C49425"/>
    <w:rsid w:val="08DDC399"/>
    <w:rsid w:val="08F9A24B"/>
    <w:rsid w:val="09047447"/>
    <w:rsid w:val="09129772"/>
    <w:rsid w:val="0912E86B"/>
    <w:rsid w:val="091613B8"/>
    <w:rsid w:val="0928A0A0"/>
    <w:rsid w:val="09375BCC"/>
    <w:rsid w:val="0963B928"/>
    <w:rsid w:val="097E3274"/>
    <w:rsid w:val="0984EC8E"/>
    <w:rsid w:val="098DFC76"/>
    <w:rsid w:val="09B25E0B"/>
    <w:rsid w:val="09B431C5"/>
    <w:rsid w:val="09EBE1AC"/>
    <w:rsid w:val="0A142BAE"/>
    <w:rsid w:val="0A1BB8D7"/>
    <w:rsid w:val="0A4149BB"/>
    <w:rsid w:val="0A435C7F"/>
    <w:rsid w:val="0A520625"/>
    <w:rsid w:val="0A71DA0A"/>
    <w:rsid w:val="0AA71245"/>
    <w:rsid w:val="0AAB4BFD"/>
    <w:rsid w:val="0AACCAC6"/>
    <w:rsid w:val="0AC47101"/>
    <w:rsid w:val="0AF42659"/>
    <w:rsid w:val="0B0898B2"/>
    <w:rsid w:val="0B0E3CFD"/>
    <w:rsid w:val="0B11E995"/>
    <w:rsid w:val="0B12E927"/>
    <w:rsid w:val="0B1C177E"/>
    <w:rsid w:val="0B1C3F20"/>
    <w:rsid w:val="0B20BCEF"/>
    <w:rsid w:val="0B59D0EB"/>
    <w:rsid w:val="0B74ED29"/>
    <w:rsid w:val="0B9A1623"/>
    <w:rsid w:val="0BC3D250"/>
    <w:rsid w:val="0BEDC638"/>
    <w:rsid w:val="0BF93A4E"/>
    <w:rsid w:val="0C00254D"/>
    <w:rsid w:val="0C2B3ECC"/>
    <w:rsid w:val="0C38491E"/>
    <w:rsid w:val="0C63B5A9"/>
    <w:rsid w:val="0C73542A"/>
    <w:rsid w:val="0C8FF6BA"/>
    <w:rsid w:val="0C9C7487"/>
    <w:rsid w:val="0CAA0D5E"/>
    <w:rsid w:val="0CBC8D50"/>
    <w:rsid w:val="0CE9FECD"/>
    <w:rsid w:val="0CECF216"/>
    <w:rsid w:val="0CEF9E0A"/>
    <w:rsid w:val="0CF143AF"/>
    <w:rsid w:val="0D141544"/>
    <w:rsid w:val="0D1DCD63"/>
    <w:rsid w:val="0D2B9962"/>
    <w:rsid w:val="0D35E684"/>
    <w:rsid w:val="0D4BCC70"/>
    <w:rsid w:val="0D5CB6F3"/>
    <w:rsid w:val="0D630063"/>
    <w:rsid w:val="0D6547C2"/>
    <w:rsid w:val="0D88589D"/>
    <w:rsid w:val="0D9EE6E5"/>
    <w:rsid w:val="0DA823F2"/>
    <w:rsid w:val="0DDC62EB"/>
    <w:rsid w:val="0DF72CD3"/>
    <w:rsid w:val="0E1428F3"/>
    <w:rsid w:val="0E2BC71B"/>
    <w:rsid w:val="0E437B64"/>
    <w:rsid w:val="0E45DDBF"/>
    <w:rsid w:val="0E52DB7A"/>
    <w:rsid w:val="0E647C9D"/>
    <w:rsid w:val="0E71D225"/>
    <w:rsid w:val="0E71E031"/>
    <w:rsid w:val="0E81E071"/>
    <w:rsid w:val="0E85CF2E"/>
    <w:rsid w:val="0E8B6E6B"/>
    <w:rsid w:val="0E9B08CE"/>
    <w:rsid w:val="0EA89612"/>
    <w:rsid w:val="0EAC9D08"/>
    <w:rsid w:val="0EAFE5A5"/>
    <w:rsid w:val="0ECE4186"/>
    <w:rsid w:val="0EE43C61"/>
    <w:rsid w:val="0EF70EB6"/>
    <w:rsid w:val="0EF81F22"/>
    <w:rsid w:val="0F07ECB5"/>
    <w:rsid w:val="0F0C3E9D"/>
    <w:rsid w:val="0F3AB746"/>
    <w:rsid w:val="0F3FD268"/>
    <w:rsid w:val="0F470BAA"/>
    <w:rsid w:val="0F5EFD9A"/>
    <w:rsid w:val="0F843724"/>
    <w:rsid w:val="0FB52212"/>
    <w:rsid w:val="0FB56B37"/>
    <w:rsid w:val="0FF42E12"/>
    <w:rsid w:val="1000D453"/>
    <w:rsid w:val="101DB0D2"/>
    <w:rsid w:val="10219F8F"/>
    <w:rsid w:val="104BB606"/>
    <w:rsid w:val="105C6C81"/>
    <w:rsid w:val="10649984"/>
    <w:rsid w:val="106A9EC8"/>
    <w:rsid w:val="106BCAE7"/>
    <w:rsid w:val="1078D0FA"/>
    <w:rsid w:val="108650BE"/>
    <w:rsid w:val="108B5AB8"/>
    <w:rsid w:val="108EF28C"/>
    <w:rsid w:val="10E9D0A4"/>
    <w:rsid w:val="10FEAFEF"/>
    <w:rsid w:val="110530C2"/>
    <w:rsid w:val="11200785"/>
    <w:rsid w:val="11594B7C"/>
    <w:rsid w:val="116367DD"/>
    <w:rsid w:val="117D6815"/>
    <w:rsid w:val="117F69C9"/>
    <w:rsid w:val="118521F1"/>
    <w:rsid w:val="11C4B4D2"/>
    <w:rsid w:val="11E78667"/>
    <w:rsid w:val="11FC9C47"/>
    <w:rsid w:val="12019097"/>
    <w:rsid w:val="12033C41"/>
    <w:rsid w:val="121C8051"/>
    <w:rsid w:val="12272B19"/>
    <w:rsid w:val="12369DC9"/>
    <w:rsid w:val="123F8D77"/>
    <w:rsid w:val="1277F41E"/>
    <w:rsid w:val="12863586"/>
    <w:rsid w:val="128CAD8E"/>
    <w:rsid w:val="128E1A8C"/>
    <w:rsid w:val="129A8050"/>
    <w:rsid w:val="12A55C7B"/>
    <w:rsid w:val="12B9CED0"/>
    <w:rsid w:val="12D2F72D"/>
    <w:rsid w:val="12E5E8BF"/>
    <w:rsid w:val="13192A2B"/>
    <w:rsid w:val="131A098E"/>
    <w:rsid w:val="1344F22A"/>
    <w:rsid w:val="13555194"/>
    <w:rsid w:val="13594051"/>
    <w:rsid w:val="136CFD3E"/>
    <w:rsid w:val="138356C8"/>
    <w:rsid w:val="13A4AA82"/>
    <w:rsid w:val="13B850B2"/>
    <w:rsid w:val="13DB5DD8"/>
    <w:rsid w:val="13DFAFC0"/>
    <w:rsid w:val="13E8219E"/>
    <w:rsid w:val="14166FFE"/>
    <w:rsid w:val="14344B21"/>
    <w:rsid w:val="143B578E"/>
    <w:rsid w:val="147340CD"/>
    <w:rsid w:val="1481B920"/>
    <w:rsid w:val="14C81EA6"/>
    <w:rsid w:val="14CAE1AC"/>
    <w:rsid w:val="14E8299B"/>
    <w:rsid w:val="14FB55E6"/>
    <w:rsid w:val="150AACC8"/>
    <w:rsid w:val="150DAE90"/>
    <w:rsid w:val="15248425"/>
    <w:rsid w:val="152A3005"/>
    <w:rsid w:val="152A9342"/>
    <w:rsid w:val="15380AA7"/>
    <w:rsid w:val="15511E9C"/>
    <w:rsid w:val="15569759"/>
    <w:rsid w:val="155F1D7C"/>
    <w:rsid w:val="15624803"/>
    <w:rsid w:val="157B8021"/>
    <w:rsid w:val="157BBF6F"/>
    <w:rsid w:val="159FD398"/>
    <w:rsid w:val="15C593FE"/>
    <w:rsid w:val="15CB0E27"/>
    <w:rsid w:val="15F16F92"/>
    <w:rsid w:val="1602539A"/>
    <w:rsid w:val="160F112E"/>
    <w:rsid w:val="162EFC52"/>
    <w:rsid w:val="165FC71B"/>
    <w:rsid w:val="16843896"/>
    <w:rsid w:val="1694A736"/>
    <w:rsid w:val="169FDC10"/>
    <w:rsid w:val="16AC2770"/>
    <w:rsid w:val="16CC4462"/>
    <w:rsid w:val="16EFF174"/>
    <w:rsid w:val="173603E5"/>
    <w:rsid w:val="173BA3F9"/>
    <w:rsid w:val="1744B937"/>
    <w:rsid w:val="174E80B8"/>
    <w:rsid w:val="176C6CF0"/>
    <w:rsid w:val="17800FDE"/>
    <w:rsid w:val="179854A7"/>
    <w:rsid w:val="17AAE18F"/>
    <w:rsid w:val="17CCAF75"/>
    <w:rsid w:val="17D68226"/>
    <w:rsid w:val="17DFF56B"/>
    <w:rsid w:val="17EFF096"/>
    <w:rsid w:val="17FB977C"/>
    <w:rsid w:val="181EF15F"/>
    <w:rsid w:val="181FCA5D"/>
    <w:rsid w:val="1825512E"/>
    <w:rsid w:val="188226A7"/>
    <w:rsid w:val="1887E689"/>
    <w:rsid w:val="188BC1D5"/>
    <w:rsid w:val="18966C9D"/>
    <w:rsid w:val="18A8C148"/>
    <w:rsid w:val="18E3228B"/>
    <w:rsid w:val="18E3AB35"/>
    <w:rsid w:val="18FFCCC7"/>
    <w:rsid w:val="19038103"/>
    <w:rsid w:val="191AD7DF"/>
    <w:rsid w:val="192F04A1"/>
    <w:rsid w:val="1946B1F0"/>
    <w:rsid w:val="194964C7"/>
    <w:rsid w:val="195CAA05"/>
    <w:rsid w:val="1982624F"/>
    <w:rsid w:val="19889066"/>
    <w:rsid w:val="199FC2CA"/>
    <w:rsid w:val="19AA596A"/>
    <w:rsid w:val="19AF5AFC"/>
    <w:rsid w:val="19AFE829"/>
    <w:rsid w:val="19CA566B"/>
    <w:rsid w:val="19E69551"/>
    <w:rsid w:val="19F7F630"/>
    <w:rsid w:val="1A0B7BCA"/>
    <w:rsid w:val="1A23B6EA"/>
    <w:rsid w:val="1A43285E"/>
    <w:rsid w:val="1A4491A9"/>
    <w:rsid w:val="1A481117"/>
    <w:rsid w:val="1A4EF144"/>
    <w:rsid w:val="1A5E707E"/>
    <w:rsid w:val="1A7344BB"/>
    <w:rsid w:val="1A774EC5"/>
    <w:rsid w:val="1A7B9F3B"/>
    <w:rsid w:val="1A7F7B96"/>
    <w:rsid w:val="1AC7FD52"/>
    <w:rsid w:val="1ACAD502"/>
    <w:rsid w:val="1ACFF569"/>
    <w:rsid w:val="1AEC74EC"/>
    <w:rsid w:val="1AEF0422"/>
    <w:rsid w:val="1B2460C7"/>
    <w:rsid w:val="1B4B2B5D"/>
    <w:rsid w:val="1B4D5127"/>
    <w:rsid w:val="1B4F246C"/>
    <w:rsid w:val="1B6F1C72"/>
    <w:rsid w:val="1B71DEF9"/>
    <w:rsid w:val="1B8265B2"/>
    <w:rsid w:val="1B859C17"/>
    <w:rsid w:val="1B86006E"/>
    <w:rsid w:val="1BA3C2B7"/>
    <w:rsid w:val="1BB271F2"/>
    <w:rsid w:val="1BB60264"/>
    <w:rsid w:val="1BC27EE8"/>
    <w:rsid w:val="1BD04978"/>
    <w:rsid w:val="1BE1E5C4"/>
    <w:rsid w:val="1C010561"/>
    <w:rsid w:val="1C2E9000"/>
    <w:rsid w:val="1C4A7B20"/>
    <w:rsid w:val="1C6BC5CA"/>
    <w:rsid w:val="1C6F7262"/>
    <w:rsid w:val="1C8AD483"/>
    <w:rsid w:val="1C93FA0D"/>
    <w:rsid w:val="1CCC3DE3"/>
    <w:rsid w:val="1CCC668C"/>
    <w:rsid w:val="1CEADBC3"/>
    <w:rsid w:val="1CEF5C70"/>
    <w:rsid w:val="1D07E668"/>
    <w:rsid w:val="1D0D119F"/>
    <w:rsid w:val="1D0DAF5A"/>
    <w:rsid w:val="1D1E3613"/>
    <w:rsid w:val="1D2FEADD"/>
    <w:rsid w:val="1D60E8E5"/>
    <w:rsid w:val="1D70AD3A"/>
    <w:rsid w:val="1D7ADB6D"/>
    <w:rsid w:val="1D8C205D"/>
    <w:rsid w:val="1D9ACBBE"/>
    <w:rsid w:val="1DAAE57D"/>
    <w:rsid w:val="1DABC60E"/>
    <w:rsid w:val="1DAE8271"/>
    <w:rsid w:val="1DCF8B04"/>
    <w:rsid w:val="1DF63EF9"/>
    <w:rsid w:val="1E26A4E4"/>
    <w:rsid w:val="1E2BDCD9"/>
    <w:rsid w:val="1E3CD87D"/>
    <w:rsid w:val="1E46FC06"/>
    <w:rsid w:val="1E49D86B"/>
    <w:rsid w:val="1E5E749D"/>
    <w:rsid w:val="1E652F45"/>
    <w:rsid w:val="1E679EC6"/>
    <w:rsid w:val="1E6A3AEE"/>
    <w:rsid w:val="1E886118"/>
    <w:rsid w:val="1EA1C007"/>
    <w:rsid w:val="1EBA0674"/>
    <w:rsid w:val="1ECBBB3E"/>
    <w:rsid w:val="1ECD08EF"/>
    <w:rsid w:val="1F068DED"/>
    <w:rsid w:val="1F1802CC"/>
    <w:rsid w:val="1F3A318A"/>
    <w:rsid w:val="1F40AFB5"/>
    <w:rsid w:val="1F421B3E"/>
    <w:rsid w:val="1F58C896"/>
    <w:rsid w:val="1F5F0AD6"/>
    <w:rsid w:val="1F69A677"/>
    <w:rsid w:val="1F6D7423"/>
    <w:rsid w:val="1F79B0FB"/>
    <w:rsid w:val="1F881CA9"/>
    <w:rsid w:val="1FB45731"/>
    <w:rsid w:val="1FBF808C"/>
    <w:rsid w:val="1FCD5E6D"/>
    <w:rsid w:val="1FF7D1EA"/>
    <w:rsid w:val="201254F1"/>
    <w:rsid w:val="20365772"/>
    <w:rsid w:val="2038AF07"/>
    <w:rsid w:val="2045501C"/>
    <w:rsid w:val="2051C6EA"/>
    <w:rsid w:val="2068D950"/>
    <w:rsid w:val="2094AA4E"/>
    <w:rsid w:val="20A17E82"/>
    <w:rsid w:val="20A6F90C"/>
    <w:rsid w:val="21030279"/>
    <w:rsid w:val="2117A0D1"/>
    <w:rsid w:val="213F36ED"/>
    <w:rsid w:val="21502792"/>
    <w:rsid w:val="2151C3D5"/>
    <w:rsid w:val="215BCE79"/>
    <w:rsid w:val="216E6A16"/>
    <w:rsid w:val="217FB401"/>
    <w:rsid w:val="219DFA6A"/>
    <w:rsid w:val="21D036CA"/>
    <w:rsid w:val="21DB578B"/>
    <w:rsid w:val="21E693E4"/>
    <w:rsid w:val="2204A9B1"/>
    <w:rsid w:val="2218FBEC"/>
    <w:rsid w:val="221D878C"/>
    <w:rsid w:val="222B30AF"/>
    <w:rsid w:val="22381CDC"/>
    <w:rsid w:val="2261CDC7"/>
    <w:rsid w:val="22679BC5"/>
    <w:rsid w:val="2283940A"/>
    <w:rsid w:val="229E1CE9"/>
    <w:rsid w:val="22B5F800"/>
    <w:rsid w:val="22CC9EB9"/>
    <w:rsid w:val="22D20103"/>
    <w:rsid w:val="22D5A564"/>
    <w:rsid w:val="22EA9251"/>
    <w:rsid w:val="22F379AA"/>
    <w:rsid w:val="22F64E9D"/>
    <w:rsid w:val="230B8B28"/>
    <w:rsid w:val="2324BA9C"/>
    <w:rsid w:val="232F72AC"/>
    <w:rsid w:val="2337B756"/>
    <w:rsid w:val="233F3AAF"/>
    <w:rsid w:val="2355F2D4"/>
    <w:rsid w:val="235A3651"/>
    <w:rsid w:val="235ED646"/>
    <w:rsid w:val="23814896"/>
    <w:rsid w:val="239F2C61"/>
    <w:rsid w:val="23A07A12"/>
    <w:rsid w:val="23A28DBA"/>
    <w:rsid w:val="23ECF7A9"/>
    <w:rsid w:val="24034255"/>
    <w:rsid w:val="241518D5"/>
    <w:rsid w:val="242517A3"/>
    <w:rsid w:val="24516CA9"/>
    <w:rsid w:val="247175C5"/>
    <w:rsid w:val="247A668B"/>
    <w:rsid w:val="24A36EE1"/>
    <w:rsid w:val="24CB430D"/>
    <w:rsid w:val="2500D85A"/>
    <w:rsid w:val="2512D03E"/>
    <w:rsid w:val="25162C69"/>
    <w:rsid w:val="251CC089"/>
    <w:rsid w:val="252947F8"/>
    <w:rsid w:val="252DFB60"/>
    <w:rsid w:val="2535F436"/>
    <w:rsid w:val="253C3E98"/>
    <w:rsid w:val="253E5E1B"/>
    <w:rsid w:val="25657A3B"/>
    <w:rsid w:val="256D2451"/>
    <w:rsid w:val="257AFA99"/>
    <w:rsid w:val="25B774AA"/>
    <w:rsid w:val="25C45439"/>
    <w:rsid w:val="25C47C81"/>
    <w:rsid w:val="25C80A1A"/>
    <w:rsid w:val="25CDA630"/>
    <w:rsid w:val="25F72751"/>
    <w:rsid w:val="26035825"/>
    <w:rsid w:val="260404F9"/>
    <w:rsid w:val="2616C0F6"/>
    <w:rsid w:val="261DC661"/>
    <w:rsid w:val="2633BA02"/>
    <w:rsid w:val="2650E941"/>
    <w:rsid w:val="2676493E"/>
    <w:rsid w:val="2696A803"/>
    <w:rsid w:val="26FFCF8E"/>
    <w:rsid w:val="2704F47D"/>
    <w:rsid w:val="27121AAE"/>
    <w:rsid w:val="273561D2"/>
    <w:rsid w:val="273AE317"/>
    <w:rsid w:val="274BF662"/>
    <w:rsid w:val="274CB3EA"/>
    <w:rsid w:val="275E8E60"/>
    <w:rsid w:val="27796B4B"/>
    <w:rsid w:val="278FAA61"/>
    <w:rsid w:val="27A5C631"/>
    <w:rsid w:val="27AAA397"/>
    <w:rsid w:val="27B996C2"/>
    <w:rsid w:val="27D260A8"/>
    <w:rsid w:val="27D7091D"/>
    <w:rsid w:val="27E16B38"/>
    <w:rsid w:val="27FB602E"/>
    <w:rsid w:val="28061AD0"/>
    <w:rsid w:val="2808A358"/>
    <w:rsid w:val="28099260"/>
    <w:rsid w:val="280B2322"/>
    <w:rsid w:val="28171224"/>
    <w:rsid w:val="2836CD2E"/>
    <w:rsid w:val="2894D482"/>
    <w:rsid w:val="28A7293E"/>
    <w:rsid w:val="28CCF693"/>
    <w:rsid w:val="28DD7E65"/>
    <w:rsid w:val="28E665D7"/>
    <w:rsid w:val="28F5E621"/>
    <w:rsid w:val="2913343A"/>
    <w:rsid w:val="291348E6"/>
    <w:rsid w:val="291396EA"/>
    <w:rsid w:val="2954D8FA"/>
    <w:rsid w:val="298B5100"/>
    <w:rsid w:val="29A72FB2"/>
    <w:rsid w:val="29AFCEB3"/>
    <w:rsid w:val="29C977D5"/>
    <w:rsid w:val="29D887C3"/>
    <w:rsid w:val="29E41AC9"/>
    <w:rsid w:val="29E4C9C8"/>
    <w:rsid w:val="29FCB91B"/>
    <w:rsid w:val="2A022BFF"/>
    <w:rsid w:val="2A0715E1"/>
    <w:rsid w:val="2A1A0945"/>
    <w:rsid w:val="2A7B8815"/>
    <w:rsid w:val="2A7F97F1"/>
    <w:rsid w:val="2A8BAAFB"/>
    <w:rsid w:val="2AC6EF37"/>
    <w:rsid w:val="2ACD47C1"/>
    <w:rsid w:val="2B185878"/>
    <w:rsid w:val="2B267786"/>
    <w:rsid w:val="2B3B5EB7"/>
    <w:rsid w:val="2B4CFEAB"/>
    <w:rsid w:val="2B5A582D"/>
    <w:rsid w:val="2BAC63E6"/>
    <w:rsid w:val="2BED2D95"/>
    <w:rsid w:val="2BF08469"/>
    <w:rsid w:val="2C151F27"/>
    <w:rsid w:val="2C20250D"/>
    <w:rsid w:val="2C279F19"/>
    <w:rsid w:val="2C3BE9BD"/>
    <w:rsid w:val="2C715FB7"/>
    <w:rsid w:val="2C8EF171"/>
    <w:rsid w:val="2CEE4BA5"/>
    <w:rsid w:val="2D2B043D"/>
    <w:rsid w:val="2D3220F6"/>
    <w:rsid w:val="2D69974A"/>
    <w:rsid w:val="2D9B2CBD"/>
    <w:rsid w:val="2DB083E6"/>
    <w:rsid w:val="2DCB5ACA"/>
    <w:rsid w:val="2DECF23A"/>
    <w:rsid w:val="2E0137A0"/>
    <w:rsid w:val="2E281CD0"/>
    <w:rsid w:val="2E3DFDCB"/>
    <w:rsid w:val="2E8004F5"/>
    <w:rsid w:val="2E8BC400"/>
    <w:rsid w:val="2EB1E43F"/>
    <w:rsid w:val="2ED62090"/>
    <w:rsid w:val="2EE1203A"/>
    <w:rsid w:val="2EFA7524"/>
    <w:rsid w:val="2F1AEFCF"/>
    <w:rsid w:val="2F214C75"/>
    <w:rsid w:val="2F2BF642"/>
    <w:rsid w:val="2F2C9013"/>
    <w:rsid w:val="2F36FD1E"/>
    <w:rsid w:val="2F3D96F9"/>
    <w:rsid w:val="2F5E2090"/>
    <w:rsid w:val="2F751E16"/>
    <w:rsid w:val="2F7FCA41"/>
    <w:rsid w:val="2F8AC1F9"/>
    <w:rsid w:val="2F96ADAF"/>
    <w:rsid w:val="2FA5F01B"/>
    <w:rsid w:val="2FD827F8"/>
    <w:rsid w:val="2FDAD114"/>
    <w:rsid w:val="2FE67DCE"/>
    <w:rsid w:val="2FFA940B"/>
    <w:rsid w:val="300A44E6"/>
    <w:rsid w:val="300C8B01"/>
    <w:rsid w:val="300ECFDA"/>
    <w:rsid w:val="301BD556"/>
    <w:rsid w:val="3022B389"/>
    <w:rsid w:val="305F7330"/>
    <w:rsid w:val="3062AF79"/>
    <w:rsid w:val="3071F0F1"/>
    <w:rsid w:val="309BE2D4"/>
    <w:rsid w:val="30D07B32"/>
    <w:rsid w:val="30D491AE"/>
    <w:rsid w:val="30F567D8"/>
    <w:rsid w:val="310C6DF1"/>
    <w:rsid w:val="31133B65"/>
    <w:rsid w:val="312C8082"/>
    <w:rsid w:val="3133DE25"/>
    <w:rsid w:val="318DF5C2"/>
    <w:rsid w:val="3190CE65"/>
    <w:rsid w:val="31D39178"/>
    <w:rsid w:val="31EECE80"/>
    <w:rsid w:val="31FB4391"/>
    <w:rsid w:val="321F2D38"/>
    <w:rsid w:val="3232048A"/>
    <w:rsid w:val="32473004"/>
    <w:rsid w:val="324FD1BC"/>
    <w:rsid w:val="325AD1BA"/>
    <w:rsid w:val="326E6B9C"/>
    <w:rsid w:val="32864BF3"/>
    <w:rsid w:val="32B0C9A8"/>
    <w:rsid w:val="32C3FBB3"/>
    <w:rsid w:val="32C850E3"/>
    <w:rsid w:val="32C91DAA"/>
    <w:rsid w:val="32CE151E"/>
    <w:rsid w:val="32CF00EC"/>
    <w:rsid w:val="32D89E92"/>
    <w:rsid w:val="32F26A57"/>
    <w:rsid w:val="3314E4E6"/>
    <w:rsid w:val="3315329E"/>
    <w:rsid w:val="331E1609"/>
    <w:rsid w:val="3342FFB9"/>
    <w:rsid w:val="33678F0E"/>
    <w:rsid w:val="336F61D9"/>
    <w:rsid w:val="337AC331"/>
    <w:rsid w:val="339713F2"/>
    <w:rsid w:val="33AB5752"/>
    <w:rsid w:val="33C7EDCC"/>
    <w:rsid w:val="33DE5296"/>
    <w:rsid w:val="33E30065"/>
    <w:rsid w:val="33F6DF2C"/>
    <w:rsid w:val="34281E92"/>
    <w:rsid w:val="34376370"/>
    <w:rsid w:val="34642144"/>
    <w:rsid w:val="34791C6C"/>
    <w:rsid w:val="348BE2B4"/>
    <w:rsid w:val="34CEB2DE"/>
    <w:rsid w:val="34D6E9A6"/>
    <w:rsid w:val="34EB7B97"/>
    <w:rsid w:val="34F93198"/>
    <w:rsid w:val="34FE3502"/>
    <w:rsid w:val="35027FDC"/>
    <w:rsid w:val="35035477"/>
    <w:rsid w:val="3532E453"/>
    <w:rsid w:val="3552A227"/>
    <w:rsid w:val="3555B66E"/>
    <w:rsid w:val="35590E12"/>
    <w:rsid w:val="3560FA9A"/>
    <w:rsid w:val="3575AC0D"/>
    <w:rsid w:val="357A22F7"/>
    <w:rsid w:val="357D8985"/>
    <w:rsid w:val="359198B9"/>
    <w:rsid w:val="360424C0"/>
    <w:rsid w:val="36385F9F"/>
    <w:rsid w:val="363B635D"/>
    <w:rsid w:val="36457AF7"/>
    <w:rsid w:val="367802B0"/>
    <w:rsid w:val="36CBF6F2"/>
    <w:rsid w:val="36DFEBB1"/>
    <w:rsid w:val="36F186CF"/>
    <w:rsid w:val="36F4DE73"/>
    <w:rsid w:val="371AA127"/>
    <w:rsid w:val="371B1800"/>
    <w:rsid w:val="374C2D76"/>
    <w:rsid w:val="37636BEC"/>
    <w:rsid w:val="3765AD54"/>
    <w:rsid w:val="376BD965"/>
    <w:rsid w:val="3793D480"/>
    <w:rsid w:val="379BC206"/>
    <w:rsid w:val="37A1B134"/>
    <w:rsid w:val="37C3627F"/>
    <w:rsid w:val="37E14B58"/>
    <w:rsid w:val="37E2436C"/>
    <w:rsid w:val="37EDB3D9"/>
    <w:rsid w:val="37F5EFEF"/>
    <w:rsid w:val="37F9DE4F"/>
    <w:rsid w:val="3830ED20"/>
    <w:rsid w:val="383DB945"/>
    <w:rsid w:val="385197D9"/>
    <w:rsid w:val="387A3CDC"/>
    <w:rsid w:val="3883AD72"/>
    <w:rsid w:val="38860E74"/>
    <w:rsid w:val="3899D4E7"/>
    <w:rsid w:val="389F36D1"/>
    <w:rsid w:val="38AD22FC"/>
    <w:rsid w:val="38B06955"/>
    <w:rsid w:val="38B7CC1E"/>
    <w:rsid w:val="39376126"/>
    <w:rsid w:val="39379267"/>
    <w:rsid w:val="39504928"/>
    <w:rsid w:val="395F53D7"/>
    <w:rsid w:val="396C0A67"/>
    <w:rsid w:val="3989090F"/>
    <w:rsid w:val="3997FECF"/>
    <w:rsid w:val="39A08B1F"/>
    <w:rsid w:val="3A2C7F35"/>
    <w:rsid w:val="3A427DDA"/>
    <w:rsid w:val="3A5E792E"/>
    <w:rsid w:val="3A8C3646"/>
    <w:rsid w:val="3A9D14C9"/>
    <w:rsid w:val="3AB4612A"/>
    <w:rsid w:val="3AC36288"/>
    <w:rsid w:val="3AD362C8"/>
    <w:rsid w:val="3AE3D2E2"/>
    <w:rsid w:val="3AFB2438"/>
    <w:rsid w:val="3B311ABE"/>
    <w:rsid w:val="3B59C217"/>
    <w:rsid w:val="3B688DE2"/>
    <w:rsid w:val="3B832D30"/>
    <w:rsid w:val="3B955D46"/>
    <w:rsid w:val="3BA225D7"/>
    <w:rsid w:val="3BAA135D"/>
    <w:rsid w:val="3BAA7639"/>
    <w:rsid w:val="3BB16C8D"/>
    <w:rsid w:val="3BE65DB3"/>
    <w:rsid w:val="3BFB5A60"/>
    <w:rsid w:val="3C36417B"/>
    <w:rsid w:val="3C38E52A"/>
    <w:rsid w:val="3C391A29"/>
    <w:rsid w:val="3C3A78C1"/>
    <w:rsid w:val="3C493099"/>
    <w:rsid w:val="3C4D1407"/>
    <w:rsid w:val="3C4FDAF3"/>
    <w:rsid w:val="3C5F98C6"/>
    <w:rsid w:val="3C714192"/>
    <w:rsid w:val="3C800228"/>
    <w:rsid w:val="3CA8C4CA"/>
    <w:rsid w:val="3CB540E6"/>
    <w:rsid w:val="3CC3FF11"/>
    <w:rsid w:val="3CC40EC1"/>
    <w:rsid w:val="3CCF9F91"/>
    <w:rsid w:val="3CD4EF89"/>
    <w:rsid w:val="3CDF1C97"/>
    <w:rsid w:val="3CE5DA0C"/>
    <w:rsid w:val="3CFD8C3F"/>
    <w:rsid w:val="3CFDE5B7"/>
    <w:rsid w:val="3D1E31A5"/>
    <w:rsid w:val="3D316743"/>
    <w:rsid w:val="3D3DF638"/>
    <w:rsid w:val="3D3E4CF7"/>
    <w:rsid w:val="3D45E3BE"/>
    <w:rsid w:val="3D66E6A7"/>
    <w:rsid w:val="3D6F80C6"/>
    <w:rsid w:val="3D72BC3C"/>
    <w:rsid w:val="3DB4EA34"/>
    <w:rsid w:val="3DD64922"/>
    <w:rsid w:val="3DED9FB6"/>
    <w:rsid w:val="3DF89068"/>
    <w:rsid w:val="3E057D0E"/>
    <w:rsid w:val="3E0B2275"/>
    <w:rsid w:val="3E1C7DAD"/>
    <w:rsid w:val="3E53C9BB"/>
    <w:rsid w:val="3E65DCC9"/>
    <w:rsid w:val="3E7C2998"/>
    <w:rsid w:val="3E81AA6D"/>
    <w:rsid w:val="3E910FCE"/>
    <w:rsid w:val="3E9561B6"/>
    <w:rsid w:val="3EB3652A"/>
    <w:rsid w:val="3EE1B41F"/>
    <w:rsid w:val="3EF4896D"/>
    <w:rsid w:val="3F25EB80"/>
    <w:rsid w:val="3F37974C"/>
    <w:rsid w:val="3F448689"/>
    <w:rsid w:val="3F4A6807"/>
    <w:rsid w:val="3F4C23A4"/>
    <w:rsid w:val="3F62E3B3"/>
    <w:rsid w:val="3F6AD139"/>
    <w:rsid w:val="3F85A09E"/>
    <w:rsid w:val="3F897017"/>
    <w:rsid w:val="3F8B9B1C"/>
    <w:rsid w:val="3F955234"/>
    <w:rsid w:val="3FAC0982"/>
    <w:rsid w:val="3FE2B9F7"/>
    <w:rsid w:val="3FEFA8A5"/>
    <w:rsid w:val="3FFB9BC1"/>
    <w:rsid w:val="4010F6A7"/>
    <w:rsid w:val="403C9696"/>
    <w:rsid w:val="407596FA"/>
    <w:rsid w:val="407A714C"/>
    <w:rsid w:val="40864E85"/>
    <w:rsid w:val="40BFE258"/>
    <w:rsid w:val="40EC8AF6"/>
    <w:rsid w:val="4102C72C"/>
    <w:rsid w:val="41208395"/>
    <w:rsid w:val="41212ABD"/>
    <w:rsid w:val="4140FC16"/>
    <w:rsid w:val="414BEB80"/>
    <w:rsid w:val="4154420B"/>
    <w:rsid w:val="41755EF0"/>
    <w:rsid w:val="417CF407"/>
    <w:rsid w:val="41898CFE"/>
    <w:rsid w:val="41A310B4"/>
    <w:rsid w:val="41B3CA5A"/>
    <w:rsid w:val="41C32BF6"/>
    <w:rsid w:val="41DE98C7"/>
    <w:rsid w:val="41E93F09"/>
    <w:rsid w:val="41FD0420"/>
    <w:rsid w:val="4215F467"/>
    <w:rsid w:val="421641AD"/>
    <w:rsid w:val="421954E1"/>
    <w:rsid w:val="42221EE6"/>
    <w:rsid w:val="4256F364"/>
    <w:rsid w:val="425DD62A"/>
    <w:rsid w:val="4267C709"/>
    <w:rsid w:val="42798CBD"/>
    <w:rsid w:val="429CD7DF"/>
    <w:rsid w:val="42D07FEF"/>
    <w:rsid w:val="42D9F751"/>
    <w:rsid w:val="42E9C59F"/>
    <w:rsid w:val="42F6F7CE"/>
    <w:rsid w:val="42F87EF9"/>
    <w:rsid w:val="430B60D9"/>
    <w:rsid w:val="4335F5DA"/>
    <w:rsid w:val="434173CB"/>
    <w:rsid w:val="435F49DB"/>
    <w:rsid w:val="43647C1B"/>
    <w:rsid w:val="436480F1"/>
    <w:rsid w:val="43690F8E"/>
    <w:rsid w:val="437A4191"/>
    <w:rsid w:val="4397EC7C"/>
    <w:rsid w:val="4398D481"/>
    <w:rsid w:val="43B1BA45"/>
    <w:rsid w:val="43D24803"/>
    <w:rsid w:val="43E544BD"/>
    <w:rsid w:val="43F03A99"/>
    <w:rsid w:val="43F2C3C5"/>
    <w:rsid w:val="43F9A68B"/>
    <w:rsid w:val="43FB4070"/>
    <w:rsid w:val="4402211D"/>
    <w:rsid w:val="4405274D"/>
    <w:rsid w:val="440F485D"/>
    <w:rsid w:val="44510BB7"/>
    <w:rsid w:val="4461187B"/>
    <w:rsid w:val="44650B6E"/>
    <w:rsid w:val="446C1372"/>
    <w:rsid w:val="44711DC2"/>
    <w:rsid w:val="449256BA"/>
    <w:rsid w:val="4492C82F"/>
    <w:rsid w:val="44A45495"/>
    <w:rsid w:val="44D968E0"/>
    <w:rsid w:val="44DAB176"/>
    <w:rsid w:val="45005152"/>
    <w:rsid w:val="451DFCA6"/>
    <w:rsid w:val="4534A4E2"/>
    <w:rsid w:val="45441825"/>
    <w:rsid w:val="45593E9B"/>
    <w:rsid w:val="45794E0B"/>
    <w:rsid w:val="457A9A88"/>
    <w:rsid w:val="457CBEF0"/>
    <w:rsid w:val="458E9426"/>
    <w:rsid w:val="459E33B7"/>
    <w:rsid w:val="45C15EDC"/>
    <w:rsid w:val="45DA12BD"/>
    <w:rsid w:val="45FCE8DC"/>
    <w:rsid w:val="4604D662"/>
    <w:rsid w:val="4616156F"/>
    <w:rsid w:val="463E12F6"/>
    <w:rsid w:val="465CFE21"/>
    <w:rsid w:val="46654DAD"/>
    <w:rsid w:val="46887DA0"/>
    <w:rsid w:val="468B1E84"/>
    <w:rsid w:val="468CE8BE"/>
    <w:rsid w:val="468EB30A"/>
    <w:rsid w:val="46A5F9DF"/>
    <w:rsid w:val="46C4C712"/>
    <w:rsid w:val="46F0CEF0"/>
    <w:rsid w:val="46FE2FD0"/>
    <w:rsid w:val="4716630C"/>
    <w:rsid w:val="4716DA7F"/>
    <w:rsid w:val="474E4585"/>
    <w:rsid w:val="4754BC70"/>
    <w:rsid w:val="477360C4"/>
    <w:rsid w:val="4782A8CA"/>
    <w:rsid w:val="4797C0FB"/>
    <w:rsid w:val="47A0A6C3"/>
    <w:rsid w:val="47A9B5CE"/>
    <w:rsid w:val="47AC60C2"/>
    <w:rsid w:val="47BECF9E"/>
    <w:rsid w:val="480EA5AF"/>
    <w:rsid w:val="481639F4"/>
    <w:rsid w:val="482464F0"/>
    <w:rsid w:val="482F88AD"/>
    <w:rsid w:val="4841CA40"/>
    <w:rsid w:val="485E3772"/>
    <w:rsid w:val="48724F90"/>
    <w:rsid w:val="48A69303"/>
    <w:rsid w:val="48B2336D"/>
    <w:rsid w:val="490FB042"/>
    <w:rsid w:val="49445675"/>
    <w:rsid w:val="494DB631"/>
    <w:rsid w:val="4951AFF7"/>
    <w:rsid w:val="4954B6A5"/>
    <w:rsid w:val="495A5199"/>
    <w:rsid w:val="4976833F"/>
    <w:rsid w:val="4982BAE5"/>
    <w:rsid w:val="499C8C3E"/>
    <w:rsid w:val="49CEB2F7"/>
    <w:rsid w:val="49D8145D"/>
    <w:rsid w:val="49DD69A2"/>
    <w:rsid w:val="49DD9AA1"/>
    <w:rsid w:val="49EB9320"/>
    <w:rsid w:val="49FC67D4"/>
    <w:rsid w:val="4A0567C4"/>
    <w:rsid w:val="4A286FB2"/>
    <w:rsid w:val="4A4E03CE"/>
    <w:rsid w:val="4A53F81B"/>
    <w:rsid w:val="4A716904"/>
    <w:rsid w:val="4A78EDAA"/>
    <w:rsid w:val="4AD84785"/>
    <w:rsid w:val="4AE40184"/>
    <w:rsid w:val="4AE98692"/>
    <w:rsid w:val="4AEA2AF1"/>
    <w:rsid w:val="4AF3425E"/>
    <w:rsid w:val="4AF55ADF"/>
    <w:rsid w:val="4B1E8B46"/>
    <w:rsid w:val="4B23C18B"/>
    <w:rsid w:val="4B390E2A"/>
    <w:rsid w:val="4B5F127F"/>
    <w:rsid w:val="4B796B02"/>
    <w:rsid w:val="4B7D70D0"/>
    <w:rsid w:val="4B8FD2B0"/>
    <w:rsid w:val="4B913C36"/>
    <w:rsid w:val="4B9166A7"/>
    <w:rsid w:val="4B99CFA5"/>
    <w:rsid w:val="4BA3C31E"/>
    <w:rsid w:val="4BC03727"/>
    <w:rsid w:val="4BC2B294"/>
    <w:rsid w:val="4BC44013"/>
    <w:rsid w:val="4BCC3041"/>
    <w:rsid w:val="4BDD127E"/>
    <w:rsid w:val="4BE9F7CF"/>
    <w:rsid w:val="4BEFC87C"/>
    <w:rsid w:val="4C0E3892"/>
    <w:rsid w:val="4C25E170"/>
    <w:rsid w:val="4C26706B"/>
    <w:rsid w:val="4C32172C"/>
    <w:rsid w:val="4C3C90C4"/>
    <w:rsid w:val="4C495441"/>
    <w:rsid w:val="4C669186"/>
    <w:rsid w:val="4C7417E6"/>
    <w:rsid w:val="4C77324C"/>
    <w:rsid w:val="4C7FD1E5"/>
    <w:rsid w:val="4C910981"/>
    <w:rsid w:val="4CB4EBB9"/>
    <w:rsid w:val="4CB8F295"/>
    <w:rsid w:val="4CD76580"/>
    <w:rsid w:val="4CF7C0AB"/>
    <w:rsid w:val="4D0210BE"/>
    <w:rsid w:val="4D0E0A38"/>
    <w:rsid w:val="4D153B63"/>
    <w:rsid w:val="4D1EED1E"/>
    <w:rsid w:val="4D5C0788"/>
    <w:rsid w:val="4D9363EC"/>
    <w:rsid w:val="4D9BF3E7"/>
    <w:rsid w:val="4DA57ADB"/>
    <w:rsid w:val="4DAA08F3"/>
    <w:rsid w:val="4DF2C6DB"/>
    <w:rsid w:val="4DF3431F"/>
    <w:rsid w:val="4E057975"/>
    <w:rsid w:val="4E0FE847"/>
    <w:rsid w:val="4E1BA246"/>
    <w:rsid w:val="4E4EB2D6"/>
    <w:rsid w:val="4E5A0743"/>
    <w:rsid w:val="4E933A9E"/>
    <w:rsid w:val="4EAEC507"/>
    <w:rsid w:val="4EB10BC4"/>
    <w:rsid w:val="4EB8F44B"/>
    <w:rsid w:val="4EBE3FF4"/>
    <w:rsid w:val="4EDE2ADD"/>
    <w:rsid w:val="4F071E9F"/>
    <w:rsid w:val="4F2727BB"/>
    <w:rsid w:val="4F32729A"/>
    <w:rsid w:val="4F5CE7FF"/>
    <w:rsid w:val="4F69B7EE"/>
    <w:rsid w:val="4F80F503"/>
    <w:rsid w:val="4F861FF2"/>
    <w:rsid w:val="4F90BD06"/>
    <w:rsid w:val="4FA2A941"/>
    <w:rsid w:val="4FABB8A8"/>
    <w:rsid w:val="4FB772A7"/>
    <w:rsid w:val="4FBD5A2B"/>
    <w:rsid w:val="4FDA1D7A"/>
    <w:rsid w:val="4FDB7DF9"/>
    <w:rsid w:val="4FDEF9EE"/>
    <w:rsid w:val="500F0642"/>
    <w:rsid w:val="503A1869"/>
    <w:rsid w:val="50504784"/>
    <w:rsid w:val="5054C4AC"/>
    <w:rsid w:val="5083AB4D"/>
    <w:rsid w:val="508C2592"/>
    <w:rsid w:val="50D146CD"/>
    <w:rsid w:val="50D563CC"/>
    <w:rsid w:val="50E328FA"/>
    <w:rsid w:val="510B6780"/>
    <w:rsid w:val="511DF19A"/>
    <w:rsid w:val="5149703B"/>
    <w:rsid w:val="514A41AC"/>
    <w:rsid w:val="517302D1"/>
    <w:rsid w:val="51B83447"/>
    <w:rsid w:val="51D3C766"/>
    <w:rsid w:val="51DABF51"/>
    <w:rsid w:val="51E1389C"/>
    <w:rsid w:val="51FCEF22"/>
    <w:rsid w:val="5223A9AB"/>
    <w:rsid w:val="52338197"/>
    <w:rsid w:val="5244E33E"/>
    <w:rsid w:val="526D172E"/>
    <w:rsid w:val="528177FA"/>
    <w:rsid w:val="5283C3A8"/>
    <w:rsid w:val="529634A3"/>
    <w:rsid w:val="52985A08"/>
    <w:rsid w:val="52996DE9"/>
    <w:rsid w:val="52B9583F"/>
    <w:rsid w:val="52B9C1FB"/>
    <w:rsid w:val="52BADC46"/>
    <w:rsid w:val="52DF91F1"/>
    <w:rsid w:val="52E03CBF"/>
    <w:rsid w:val="52E3596A"/>
    <w:rsid w:val="52E47500"/>
    <w:rsid w:val="52EC3981"/>
    <w:rsid w:val="52EF1369"/>
    <w:rsid w:val="530225BB"/>
    <w:rsid w:val="5302A868"/>
    <w:rsid w:val="531ABB30"/>
    <w:rsid w:val="5355AA68"/>
    <w:rsid w:val="535A4584"/>
    <w:rsid w:val="536D03D7"/>
    <w:rsid w:val="538C1BC6"/>
    <w:rsid w:val="538C656E"/>
    <w:rsid w:val="539FF7BE"/>
    <w:rsid w:val="53E78222"/>
    <w:rsid w:val="53EF0C3C"/>
    <w:rsid w:val="54403E13"/>
    <w:rsid w:val="54553DC9"/>
    <w:rsid w:val="546DBE28"/>
    <w:rsid w:val="546FA784"/>
    <w:rsid w:val="547F29CB"/>
    <w:rsid w:val="54AAA393"/>
    <w:rsid w:val="54AEECF3"/>
    <w:rsid w:val="54B26B11"/>
    <w:rsid w:val="54CB9FC0"/>
    <w:rsid w:val="54E95D69"/>
    <w:rsid w:val="55088E3D"/>
    <w:rsid w:val="55440B83"/>
    <w:rsid w:val="5548E2B7"/>
    <w:rsid w:val="556126B8"/>
    <w:rsid w:val="5563312F"/>
    <w:rsid w:val="5564CB3D"/>
    <w:rsid w:val="556B2259"/>
    <w:rsid w:val="557127BE"/>
    <w:rsid w:val="55712993"/>
    <w:rsid w:val="55931469"/>
    <w:rsid w:val="5594630D"/>
    <w:rsid w:val="559CCBD9"/>
    <w:rsid w:val="559CEA85"/>
    <w:rsid w:val="55A8897F"/>
    <w:rsid w:val="55B6DBE9"/>
    <w:rsid w:val="55D496E4"/>
    <w:rsid w:val="55D8F972"/>
    <w:rsid w:val="55E83A58"/>
    <w:rsid w:val="55FE8BE3"/>
    <w:rsid w:val="55FF4572"/>
    <w:rsid w:val="5602BF42"/>
    <w:rsid w:val="56148CAC"/>
    <w:rsid w:val="563883BB"/>
    <w:rsid w:val="564E504E"/>
    <w:rsid w:val="565204B0"/>
    <w:rsid w:val="56823105"/>
    <w:rsid w:val="5686F164"/>
    <w:rsid w:val="56A5ED93"/>
    <w:rsid w:val="56B1B227"/>
    <w:rsid w:val="56B4C79B"/>
    <w:rsid w:val="56B8BFE8"/>
    <w:rsid w:val="56C40630"/>
    <w:rsid w:val="56DE24F5"/>
    <w:rsid w:val="572CCCFF"/>
    <w:rsid w:val="5733E3C6"/>
    <w:rsid w:val="576FA241"/>
    <w:rsid w:val="57706745"/>
    <w:rsid w:val="5779C2A0"/>
    <w:rsid w:val="57843B1F"/>
    <w:rsid w:val="578CF3E7"/>
    <w:rsid w:val="57982923"/>
    <w:rsid w:val="57A55EEA"/>
    <w:rsid w:val="57C133A3"/>
    <w:rsid w:val="57EBB44F"/>
    <w:rsid w:val="57EDD511"/>
    <w:rsid w:val="57FBDC94"/>
    <w:rsid w:val="584F3E9B"/>
    <w:rsid w:val="585FD691"/>
    <w:rsid w:val="589098B0"/>
    <w:rsid w:val="58B4205B"/>
    <w:rsid w:val="58C537A3"/>
    <w:rsid w:val="58E073C8"/>
    <w:rsid w:val="58F13BCE"/>
    <w:rsid w:val="590B72A2"/>
    <w:rsid w:val="590C37A6"/>
    <w:rsid w:val="5921BDE8"/>
    <w:rsid w:val="5929C231"/>
    <w:rsid w:val="5931B230"/>
    <w:rsid w:val="59412F4B"/>
    <w:rsid w:val="5946B2D2"/>
    <w:rsid w:val="5951A2AC"/>
    <w:rsid w:val="595D0404"/>
    <w:rsid w:val="5976C487"/>
    <w:rsid w:val="597954C5"/>
    <w:rsid w:val="5989A572"/>
    <w:rsid w:val="599F9F7D"/>
    <w:rsid w:val="59C03B46"/>
    <w:rsid w:val="59E94982"/>
    <w:rsid w:val="59F8886F"/>
    <w:rsid w:val="5A111915"/>
    <w:rsid w:val="5A254C34"/>
    <w:rsid w:val="5A2AC36E"/>
    <w:rsid w:val="5A468102"/>
    <w:rsid w:val="5A648DE3"/>
    <w:rsid w:val="5A670DAD"/>
    <w:rsid w:val="5A91D939"/>
    <w:rsid w:val="5A9C2D05"/>
    <w:rsid w:val="5AA80807"/>
    <w:rsid w:val="5AC5E75F"/>
    <w:rsid w:val="5ACC3B8A"/>
    <w:rsid w:val="5AEB8956"/>
    <w:rsid w:val="5B0212D4"/>
    <w:rsid w:val="5B158357"/>
    <w:rsid w:val="5B2575D3"/>
    <w:rsid w:val="5B35D54E"/>
    <w:rsid w:val="5B5CBBD1"/>
    <w:rsid w:val="5B5EDB96"/>
    <w:rsid w:val="5B8519E3"/>
    <w:rsid w:val="5B9F656C"/>
    <w:rsid w:val="5BCE0C17"/>
    <w:rsid w:val="5BF8533A"/>
    <w:rsid w:val="5C084AF3"/>
    <w:rsid w:val="5C5D3493"/>
    <w:rsid w:val="5C776EBE"/>
    <w:rsid w:val="5C8A3BB0"/>
    <w:rsid w:val="5CACC164"/>
    <w:rsid w:val="5CB93E7F"/>
    <w:rsid w:val="5CBD0718"/>
    <w:rsid w:val="5CD2C8D2"/>
    <w:rsid w:val="5CD8BD4E"/>
    <w:rsid w:val="5CFA2FBC"/>
    <w:rsid w:val="5D0C3C39"/>
    <w:rsid w:val="5D53F49C"/>
    <w:rsid w:val="5D67F178"/>
    <w:rsid w:val="5D687C55"/>
    <w:rsid w:val="5D761553"/>
    <w:rsid w:val="5D7E21C4"/>
    <w:rsid w:val="5D8CA9FE"/>
    <w:rsid w:val="5DA31A32"/>
    <w:rsid w:val="5DB00691"/>
    <w:rsid w:val="5DDF16BB"/>
    <w:rsid w:val="5DE5BA5E"/>
    <w:rsid w:val="5DF6FCE6"/>
    <w:rsid w:val="5E128A07"/>
    <w:rsid w:val="5E133F1F"/>
    <w:rsid w:val="5E260C11"/>
    <w:rsid w:val="5E590AD0"/>
    <w:rsid w:val="5E914731"/>
    <w:rsid w:val="5EB77CBB"/>
    <w:rsid w:val="5EC03FFA"/>
    <w:rsid w:val="5F88544C"/>
    <w:rsid w:val="5F9B9A1C"/>
    <w:rsid w:val="5FAD4936"/>
    <w:rsid w:val="5FAD78AB"/>
    <w:rsid w:val="5FC04A13"/>
    <w:rsid w:val="5FC1DC72"/>
    <w:rsid w:val="5FC2B994"/>
    <w:rsid w:val="5FD378E7"/>
    <w:rsid w:val="5FD9BC74"/>
    <w:rsid w:val="5FE524B3"/>
    <w:rsid w:val="5FF0DF41"/>
    <w:rsid w:val="5FFB140A"/>
    <w:rsid w:val="5FFDBC64"/>
    <w:rsid w:val="601D4805"/>
    <w:rsid w:val="60424B38"/>
    <w:rsid w:val="605F1ED3"/>
    <w:rsid w:val="609F6164"/>
    <w:rsid w:val="60AE485F"/>
    <w:rsid w:val="60D57CCA"/>
    <w:rsid w:val="611E5B37"/>
    <w:rsid w:val="61386BB7"/>
    <w:rsid w:val="614FB2D2"/>
    <w:rsid w:val="61773BDC"/>
    <w:rsid w:val="6179231E"/>
    <w:rsid w:val="618C3712"/>
    <w:rsid w:val="618E1322"/>
    <w:rsid w:val="618F7782"/>
    <w:rsid w:val="61B27CF1"/>
    <w:rsid w:val="61C0F544"/>
    <w:rsid w:val="61C2052D"/>
    <w:rsid w:val="61EC6553"/>
    <w:rsid w:val="620892F3"/>
    <w:rsid w:val="620F6F0C"/>
    <w:rsid w:val="621B8C24"/>
    <w:rsid w:val="6235B0FC"/>
    <w:rsid w:val="6241FBD8"/>
    <w:rsid w:val="625192E7"/>
    <w:rsid w:val="62636B3C"/>
    <w:rsid w:val="62674B42"/>
    <w:rsid w:val="62714D2B"/>
    <w:rsid w:val="62767FB0"/>
    <w:rsid w:val="629E0508"/>
    <w:rsid w:val="62CE4579"/>
    <w:rsid w:val="6302CAFA"/>
    <w:rsid w:val="63155470"/>
    <w:rsid w:val="633D1262"/>
    <w:rsid w:val="63485412"/>
    <w:rsid w:val="6359C2C3"/>
    <w:rsid w:val="635DD58E"/>
    <w:rsid w:val="6363E8DF"/>
    <w:rsid w:val="6364B854"/>
    <w:rsid w:val="636E3876"/>
    <w:rsid w:val="63B6F65E"/>
    <w:rsid w:val="63BB0AC8"/>
    <w:rsid w:val="63C625E6"/>
    <w:rsid w:val="63D43AEB"/>
    <w:rsid w:val="63E38341"/>
    <w:rsid w:val="63ED6348"/>
    <w:rsid w:val="640D1D8C"/>
    <w:rsid w:val="6413172C"/>
    <w:rsid w:val="642A3875"/>
    <w:rsid w:val="647FD56A"/>
    <w:rsid w:val="648D4CE4"/>
    <w:rsid w:val="649DC800"/>
    <w:rsid w:val="64AD50F5"/>
    <w:rsid w:val="64D76A42"/>
    <w:rsid w:val="64D89F33"/>
    <w:rsid w:val="64EA1DB3"/>
    <w:rsid w:val="64F3B42C"/>
    <w:rsid w:val="64F9A5EF"/>
    <w:rsid w:val="64FAAEE0"/>
    <w:rsid w:val="651EAB29"/>
    <w:rsid w:val="6522959B"/>
    <w:rsid w:val="652CB54D"/>
    <w:rsid w:val="65459D4F"/>
    <w:rsid w:val="655F0681"/>
    <w:rsid w:val="657033A3"/>
    <w:rsid w:val="65772289"/>
    <w:rsid w:val="6595DF46"/>
    <w:rsid w:val="65D1F3D6"/>
    <w:rsid w:val="65D5A8C1"/>
    <w:rsid w:val="65EE0C1A"/>
    <w:rsid w:val="65F2A834"/>
    <w:rsid w:val="65F7E922"/>
    <w:rsid w:val="6626E077"/>
    <w:rsid w:val="662A4C57"/>
    <w:rsid w:val="664AACFF"/>
    <w:rsid w:val="66671E83"/>
    <w:rsid w:val="6669D7C9"/>
    <w:rsid w:val="667AA9E8"/>
    <w:rsid w:val="66860317"/>
    <w:rsid w:val="668D0E15"/>
    <w:rsid w:val="66AF8BBE"/>
    <w:rsid w:val="66C7CC8A"/>
    <w:rsid w:val="66FBE2BC"/>
    <w:rsid w:val="66FE673E"/>
    <w:rsid w:val="671F1FEE"/>
    <w:rsid w:val="671F6F07"/>
    <w:rsid w:val="67360B07"/>
    <w:rsid w:val="67373254"/>
    <w:rsid w:val="67431A4B"/>
    <w:rsid w:val="67472E7A"/>
    <w:rsid w:val="674C0E6F"/>
    <w:rsid w:val="67560AA5"/>
    <w:rsid w:val="676A6E71"/>
    <w:rsid w:val="676D495C"/>
    <w:rsid w:val="676DC437"/>
    <w:rsid w:val="67717922"/>
    <w:rsid w:val="678DB391"/>
    <w:rsid w:val="680F318D"/>
    <w:rsid w:val="681DEA2C"/>
    <w:rsid w:val="681F539F"/>
    <w:rsid w:val="6820EE2B"/>
    <w:rsid w:val="683036C8"/>
    <w:rsid w:val="686C5D05"/>
    <w:rsid w:val="688115F7"/>
    <w:rsid w:val="68871A4B"/>
    <w:rsid w:val="68B9A92E"/>
    <w:rsid w:val="68DD1614"/>
    <w:rsid w:val="68E2FEDB"/>
    <w:rsid w:val="68E6884F"/>
    <w:rsid w:val="69049B6C"/>
    <w:rsid w:val="690D4983"/>
    <w:rsid w:val="692983F2"/>
    <w:rsid w:val="6932E3A6"/>
    <w:rsid w:val="694B13AC"/>
    <w:rsid w:val="694E9E19"/>
    <w:rsid w:val="6993817B"/>
    <w:rsid w:val="69A7D552"/>
    <w:rsid w:val="69B0D142"/>
    <w:rsid w:val="69C041AD"/>
    <w:rsid w:val="69DD79FA"/>
    <w:rsid w:val="6A05DB8E"/>
    <w:rsid w:val="6A169FB0"/>
    <w:rsid w:val="6A22EAAC"/>
    <w:rsid w:val="6A24F211"/>
    <w:rsid w:val="6A28578A"/>
    <w:rsid w:val="6A6EB1B8"/>
    <w:rsid w:val="6A7ECF3C"/>
    <w:rsid w:val="6A8D7E77"/>
    <w:rsid w:val="6AC55453"/>
    <w:rsid w:val="6AF889D9"/>
    <w:rsid w:val="6AFB10FC"/>
    <w:rsid w:val="6B024A80"/>
    <w:rsid w:val="6B035CBA"/>
    <w:rsid w:val="6B171249"/>
    <w:rsid w:val="6B5C64D6"/>
    <w:rsid w:val="6B65E108"/>
    <w:rsid w:val="6B8ABBB6"/>
    <w:rsid w:val="6B8DE494"/>
    <w:rsid w:val="6BAA1524"/>
    <w:rsid w:val="6BBAD109"/>
    <w:rsid w:val="6BBEBB0D"/>
    <w:rsid w:val="6BD6358B"/>
    <w:rsid w:val="6BD7B9F1"/>
    <w:rsid w:val="6BE2F2ED"/>
    <w:rsid w:val="6BE5D7D3"/>
    <w:rsid w:val="6BEB117A"/>
    <w:rsid w:val="6BF32D88"/>
    <w:rsid w:val="6C294ED8"/>
    <w:rsid w:val="6C44EA45"/>
    <w:rsid w:val="6C77942C"/>
    <w:rsid w:val="6C8FECCB"/>
    <w:rsid w:val="6C945A3A"/>
    <w:rsid w:val="6CA45576"/>
    <w:rsid w:val="6CB572FB"/>
    <w:rsid w:val="6CC71951"/>
    <w:rsid w:val="6CCB223D"/>
    <w:rsid w:val="6CD26269"/>
    <w:rsid w:val="6CF3F295"/>
    <w:rsid w:val="6CF8A3DF"/>
    <w:rsid w:val="6D01EAF9"/>
    <w:rsid w:val="6D0B1C8C"/>
    <w:rsid w:val="6D141EED"/>
    <w:rsid w:val="6D230F23"/>
    <w:rsid w:val="6D24BFB3"/>
    <w:rsid w:val="6D29CA64"/>
    <w:rsid w:val="6D376F89"/>
    <w:rsid w:val="6D4EE432"/>
    <w:rsid w:val="6D7EC34E"/>
    <w:rsid w:val="6D86B40F"/>
    <w:rsid w:val="6DA1BD53"/>
    <w:rsid w:val="6DA54E12"/>
    <w:rsid w:val="6DB1067A"/>
    <w:rsid w:val="6DC0B5F1"/>
    <w:rsid w:val="6DE0BAA6"/>
    <w:rsid w:val="6DE7FBD4"/>
    <w:rsid w:val="6DF56B34"/>
    <w:rsid w:val="6DFBC786"/>
    <w:rsid w:val="6DFF5D8D"/>
    <w:rsid w:val="6E38E791"/>
    <w:rsid w:val="6E49814E"/>
    <w:rsid w:val="6E6A8590"/>
    <w:rsid w:val="6E78DF51"/>
    <w:rsid w:val="6ECA7F38"/>
    <w:rsid w:val="6ECE4BCA"/>
    <w:rsid w:val="6ED7F9C1"/>
    <w:rsid w:val="6EF65BCF"/>
    <w:rsid w:val="6F16CA71"/>
    <w:rsid w:val="6F228470"/>
    <w:rsid w:val="6F358732"/>
    <w:rsid w:val="6F3AF757"/>
    <w:rsid w:val="6F4A0BB7"/>
    <w:rsid w:val="6F549E02"/>
    <w:rsid w:val="6F60EF9A"/>
    <w:rsid w:val="6F6D3583"/>
    <w:rsid w:val="6F7C8B07"/>
    <w:rsid w:val="6FAA2832"/>
    <w:rsid w:val="6FB378EE"/>
    <w:rsid w:val="6FB9A580"/>
    <w:rsid w:val="6FD0531F"/>
    <w:rsid w:val="6FEF3E2E"/>
    <w:rsid w:val="6FFEBA13"/>
    <w:rsid w:val="7001B14C"/>
    <w:rsid w:val="703044A1"/>
    <w:rsid w:val="70625801"/>
    <w:rsid w:val="70652D4A"/>
    <w:rsid w:val="706A342E"/>
    <w:rsid w:val="7087AAE1"/>
    <w:rsid w:val="70A9A6AE"/>
    <w:rsid w:val="70AFE81B"/>
    <w:rsid w:val="70B1A290"/>
    <w:rsid w:val="70BC2D02"/>
    <w:rsid w:val="70D371C9"/>
    <w:rsid w:val="70D77438"/>
    <w:rsid w:val="70E203B3"/>
    <w:rsid w:val="70E6F7A1"/>
    <w:rsid w:val="70EE10C0"/>
    <w:rsid w:val="70F8E04E"/>
    <w:rsid w:val="712C33CD"/>
    <w:rsid w:val="712EB198"/>
    <w:rsid w:val="71324616"/>
    <w:rsid w:val="7132B309"/>
    <w:rsid w:val="71355ADB"/>
    <w:rsid w:val="71415CCE"/>
    <w:rsid w:val="714F0EDF"/>
    <w:rsid w:val="71645BA1"/>
    <w:rsid w:val="7164C6C1"/>
    <w:rsid w:val="7173B2E0"/>
    <w:rsid w:val="71907FB7"/>
    <w:rsid w:val="71D2AB5F"/>
    <w:rsid w:val="71D9181C"/>
    <w:rsid w:val="71E06712"/>
    <w:rsid w:val="71F9E215"/>
    <w:rsid w:val="71FED7CF"/>
    <w:rsid w:val="725A2532"/>
    <w:rsid w:val="7278A62E"/>
    <w:rsid w:val="72957B81"/>
    <w:rsid w:val="72AA2DDB"/>
    <w:rsid w:val="72B9BED0"/>
    <w:rsid w:val="72BB0676"/>
    <w:rsid w:val="72EFE49B"/>
    <w:rsid w:val="72F3766C"/>
    <w:rsid w:val="730C31FE"/>
    <w:rsid w:val="7326DEF0"/>
    <w:rsid w:val="732C5018"/>
    <w:rsid w:val="736316B8"/>
    <w:rsid w:val="7370F2ED"/>
    <w:rsid w:val="738DA9D5"/>
    <w:rsid w:val="73B035CF"/>
    <w:rsid w:val="73D01718"/>
    <w:rsid w:val="73D7CF76"/>
    <w:rsid w:val="73E14770"/>
    <w:rsid w:val="73F5F593"/>
    <w:rsid w:val="74065431"/>
    <w:rsid w:val="740E12F8"/>
    <w:rsid w:val="7414768F"/>
    <w:rsid w:val="74164B81"/>
    <w:rsid w:val="741E158E"/>
    <w:rsid w:val="741F1681"/>
    <w:rsid w:val="7439A92D"/>
    <w:rsid w:val="7463D48F"/>
    <w:rsid w:val="747768F6"/>
    <w:rsid w:val="7489746B"/>
    <w:rsid w:val="748DC653"/>
    <w:rsid w:val="748F46CD"/>
    <w:rsid w:val="74944A8E"/>
    <w:rsid w:val="74950F89"/>
    <w:rsid w:val="74983708"/>
    <w:rsid w:val="74B5B133"/>
    <w:rsid w:val="74CE3207"/>
    <w:rsid w:val="74E0962E"/>
    <w:rsid w:val="750CC34E"/>
    <w:rsid w:val="7517B73F"/>
    <w:rsid w:val="756B45B9"/>
    <w:rsid w:val="756BE779"/>
    <w:rsid w:val="757D17D1"/>
    <w:rsid w:val="7589D533"/>
    <w:rsid w:val="75A8A642"/>
    <w:rsid w:val="75A8B2E6"/>
    <w:rsid w:val="760DB868"/>
    <w:rsid w:val="7616F967"/>
    <w:rsid w:val="7634EB26"/>
    <w:rsid w:val="7635E2E6"/>
    <w:rsid w:val="76471EC3"/>
    <w:rsid w:val="764D5082"/>
    <w:rsid w:val="76531C3E"/>
    <w:rsid w:val="7663F0DA"/>
    <w:rsid w:val="76670F48"/>
    <w:rsid w:val="76D28276"/>
    <w:rsid w:val="7718E832"/>
    <w:rsid w:val="773583DB"/>
    <w:rsid w:val="776431D7"/>
    <w:rsid w:val="7776AC74"/>
    <w:rsid w:val="777EFB9B"/>
    <w:rsid w:val="77B5A543"/>
    <w:rsid w:val="77DC4657"/>
    <w:rsid w:val="77E2BE8D"/>
    <w:rsid w:val="77E7E5C3"/>
    <w:rsid w:val="77FFEA51"/>
    <w:rsid w:val="787BCCB6"/>
    <w:rsid w:val="788D80D7"/>
    <w:rsid w:val="78A3883B"/>
    <w:rsid w:val="78ABBF32"/>
    <w:rsid w:val="78B4B893"/>
    <w:rsid w:val="78C19FAA"/>
    <w:rsid w:val="78FAEF6C"/>
    <w:rsid w:val="792FC866"/>
    <w:rsid w:val="79332F74"/>
    <w:rsid w:val="7944B77C"/>
    <w:rsid w:val="795A1A76"/>
    <w:rsid w:val="7966DB3D"/>
    <w:rsid w:val="7988B813"/>
    <w:rsid w:val="7997BD14"/>
    <w:rsid w:val="799B919C"/>
    <w:rsid w:val="79CCF9FB"/>
    <w:rsid w:val="79CF4B4F"/>
    <w:rsid w:val="79E03471"/>
    <w:rsid w:val="7A017AC3"/>
    <w:rsid w:val="7A05A059"/>
    <w:rsid w:val="7A159116"/>
    <w:rsid w:val="7A466EFC"/>
    <w:rsid w:val="7A729C97"/>
    <w:rsid w:val="7A82E33D"/>
    <w:rsid w:val="7AB1DBF2"/>
    <w:rsid w:val="7ACC353D"/>
    <w:rsid w:val="7AF251FD"/>
    <w:rsid w:val="7AFB3192"/>
    <w:rsid w:val="7B149B14"/>
    <w:rsid w:val="7B1EDD88"/>
    <w:rsid w:val="7B3761FD"/>
    <w:rsid w:val="7B56A23A"/>
    <w:rsid w:val="7B86F8C3"/>
    <w:rsid w:val="7B89C2AB"/>
    <w:rsid w:val="7BA0007E"/>
    <w:rsid w:val="7BB0A130"/>
    <w:rsid w:val="7BBB3A45"/>
    <w:rsid w:val="7C0C68FD"/>
    <w:rsid w:val="7C10C6A8"/>
    <w:rsid w:val="7C3515A1"/>
    <w:rsid w:val="7C5895EA"/>
    <w:rsid w:val="7C5F8437"/>
    <w:rsid w:val="7C82C9A2"/>
    <w:rsid w:val="7C8405F9"/>
    <w:rsid w:val="7C9701F3"/>
    <w:rsid w:val="7C9E7BFF"/>
    <w:rsid w:val="7CA5246A"/>
    <w:rsid w:val="7CF43FBB"/>
    <w:rsid w:val="7D0AC1FA"/>
    <w:rsid w:val="7D208F2F"/>
    <w:rsid w:val="7D2ED76D"/>
    <w:rsid w:val="7D5A4ECB"/>
    <w:rsid w:val="7D5C4B73"/>
    <w:rsid w:val="7D6F73F1"/>
    <w:rsid w:val="7D8CA4B4"/>
    <w:rsid w:val="7D9434F7"/>
    <w:rsid w:val="7DA660CF"/>
    <w:rsid w:val="7DC48528"/>
    <w:rsid w:val="7DCAD0B1"/>
    <w:rsid w:val="7DFC63D0"/>
    <w:rsid w:val="7E1FD65A"/>
    <w:rsid w:val="7E3A3765"/>
    <w:rsid w:val="7E5D93F8"/>
    <w:rsid w:val="7E6F02BF"/>
    <w:rsid w:val="7E70A0BE"/>
    <w:rsid w:val="7E7B53EB"/>
    <w:rsid w:val="7E9A000F"/>
    <w:rsid w:val="7EA3BAE6"/>
    <w:rsid w:val="7EA4BE32"/>
    <w:rsid w:val="7EB3347D"/>
    <w:rsid w:val="7EBD899C"/>
    <w:rsid w:val="7EF2DB07"/>
    <w:rsid w:val="7F15B301"/>
    <w:rsid w:val="7F4095C0"/>
    <w:rsid w:val="7F6DCD61"/>
    <w:rsid w:val="7F930B3D"/>
    <w:rsid w:val="7F94CA33"/>
    <w:rsid w:val="7F98295B"/>
    <w:rsid w:val="7FBBA6BB"/>
    <w:rsid w:val="7FCEA2B5"/>
    <w:rsid w:val="7FDB92AB"/>
    <w:rsid w:val="7FEBFAFC"/>
    <w:rsid w:val="7FEC8D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AF8BBE"/>
  <w15:chartTrackingRefBased/>
  <w15:docId w15:val="{16C6DE38-A336-4440-B40D-37CDD98BDE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ListParagraph">
    <w:name w:val="List Paragraph"/>
    <w:basedOn w:val="Normal"/>
    <w:uiPriority w:val="34"/>
    <w:qFormat/>
    <w:pPr>
      <w:ind w:left="720"/>
      <w:contextualSpacing/>
    </w:pPr>
  </w:style>
  <w:style w:type="character" w:styleId="CommentReference">
    <w:name w:val="annotation reference"/>
    <w:basedOn w:val="DefaultParagraphFont"/>
    <w:uiPriority w:val="99"/>
    <w:semiHidden/>
    <w:unhideWhenUsed/>
    <w:rsid w:val="0026168D"/>
    <w:rPr>
      <w:sz w:val="16"/>
      <w:szCs w:val="16"/>
    </w:rPr>
  </w:style>
  <w:style w:type="paragraph" w:styleId="CommentText">
    <w:name w:val="annotation text"/>
    <w:basedOn w:val="Normal"/>
    <w:link w:val="CommentTextChar"/>
    <w:uiPriority w:val="99"/>
    <w:semiHidden/>
    <w:unhideWhenUsed/>
    <w:rsid w:val="0026168D"/>
    <w:pPr>
      <w:spacing w:line="240" w:lineRule="auto"/>
    </w:pPr>
    <w:rPr>
      <w:sz w:val="20"/>
      <w:szCs w:val="20"/>
    </w:rPr>
  </w:style>
  <w:style w:type="character" w:styleId="CommentTextChar" w:customStyle="1">
    <w:name w:val="Comment Text Char"/>
    <w:basedOn w:val="DefaultParagraphFont"/>
    <w:link w:val="CommentText"/>
    <w:uiPriority w:val="99"/>
    <w:semiHidden/>
    <w:rsid w:val="0026168D"/>
    <w:rPr>
      <w:sz w:val="20"/>
      <w:szCs w:val="20"/>
    </w:rPr>
  </w:style>
  <w:style w:type="paragraph" w:styleId="CommentSubject">
    <w:name w:val="annotation subject"/>
    <w:basedOn w:val="CommentText"/>
    <w:next w:val="CommentText"/>
    <w:link w:val="CommentSubjectChar"/>
    <w:uiPriority w:val="99"/>
    <w:semiHidden/>
    <w:unhideWhenUsed/>
    <w:rsid w:val="0026168D"/>
    <w:rPr>
      <w:b/>
      <w:bCs/>
    </w:rPr>
  </w:style>
  <w:style w:type="character" w:styleId="CommentSubjectChar" w:customStyle="1">
    <w:name w:val="Comment Subject Char"/>
    <w:basedOn w:val="CommentTextChar"/>
    <w:link w:val="CommentSubject"/>
    <w:uiPriority w:val="99"/>
    <w:semiHidden/>
    <w:rsid w:val="0026168D"/>
    <w:rPr>
      <w:b/>
      <w:bCs/>
      <w:sz w:val="20"/>
      <w:szCs w:val="20"/>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w:type="paragraph" w:styleId="AssignBody" w:customStyle="true">
    <w:uiPriority w:val="1"/>
    <w:name w:val="AssignBody"/>
    <w:basedOn w:val="Normal"/>
    <w:link w:val="AssignBodyChar"/>
    <w:qFormat/>
    <w:rsid w:val="3C4D1407"/>
    <w:rPr>
      <w:rFonts w:ascii="Arial" w:hAnsi="Arial" w:eastAsia="Calibri" w:cs="" w:eastAsiaTheme="minorAscii" w:cstheme="minorBidi"/>
      <w:i w:val="0"/>
      <w:iCs w:val="0"/>
    </w:rPr>
    <w:pPr>
      <w:spacing w:after="0"/>
      <w:ind w:left="0" w:right="0"/>
    </w:pPr>
  </w:style>
  <w:style w:type="character" w:styleId="AssignBodyChar" w:customStyle="true">
    <w:uiPriority w:val="1"/>
    <w:name w:val="AssignBody Char"/>
    <w:basedOn w:val="DefaultParagraphFont"/>
    <w:link w:val="AssignBody"/>
    <w:rsid w:val="3C4D1407"/>
    <w:rPr>
      <w:rFonts w:ascii="Arial" w:hAnsi="Arial" w:eastAsia="Calibri" w:cs="" w:eastAsiaTheme="minorAscii" w:cstheme="minorBidi"/>
      <w:i w:val="0"/>
      <w:iCs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microsoft.com/office/2016/09/relationships/commentsIds" Target="commentsIds.xml" Id="rId7" /><Relationship Type="http://schemas.microsoft.com/office/2020/10/relationships/intelligence" Target="intelligence2.xml" Id="rId12" /><Relationship Type="http://schemas.openxmlformats.org/officeDocument/2006/relationships/styles" Target="styles.xml" Id="rId2" /><Relationship Type="http://schemas.openxmlformats.org/officeDocument/2006/relationships/numbering" Target="numbering.xml" Id="rId1" /><Relationship Type="http://schemas.microsoft.com/office/2011/relationships/commentsExtended" Target="commentsExtended.xml" Id="rId6" /><Relationship Type="http://schemas.openxmlformats.org/officeDocument/2006/relationships/theme" Target="theme/theme1.xml" Id="rId11" /><Relationship Type="http://schemas.microsoft.com/office/2011/relationships/people" Target="people.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image" Target="/media/image.png" Id="R94fa254dc5404cce" /><Relationship Type="http://schemas.openxmlformats.org/officeDocument/2006/relationships/header" Target="header.xml" Id="Rf34321c469684e04" /><Relationship Type="http://schemas.openxmlformats.org/officeDocument/2006/relationships/footer" Target="footer.xml" Id="R804dabc571d1462d" /><Relationship Type="http://schemas.openxmlformats.org/officeDocument/2006/relationships/image" Target="/media/image2.png" Id="R47b93cc99ff14638" /><Relationship Type="http://schemas.openxmlformats.org/officeDocument/2006/relationships/hyperlink" Target="https://www.gov.wales/sites/default/files/publications/2018-03/successful-futures.pdf" TargetMode="External" Id="R30c88dadaa5548a0" /><Relationship Type="http://schemas.openxmlformats.org/officeDocument/2006/relationships/hyperlink" Target="https://doi.org/10.4018/978-1-4666-2943-1.ch001" TargetMode="External" Id="R2d86e6dc9ea04283" /><Relationship Type="http://schemas.openxmlformats.org/officeDocument/2006/relationships/hyperlink" Target="https://doi.org/10.1017/S1366728916000304" TargetMode="External" Id="Rf6a8c2e3b37644d1" /><Relationship Type="http://schemas.openxmlformats.org/officeDocument/2006/relationships/hyperlink" Target="https://doi.org/10.1080/19415257.2020.1720778" TargetMode="External" Id="R3f0adfa32e1a48ef" /><Relationship Type="http://schemas.openxmlformats.org/officeDocument/2006/relationships/hyperlink" Target="http://mikeschmoker.com/data-analysis.html" TargetMode="External" Id="R805396e63d544d10" /><Relationship Type="http://schemas.openxmlformats.org/officeDocument/2006/relationships/hyperlink" Target="https://www.legislation.gov.uk/wsi/2014/2677/schedule/made" TargetMode="External" Id="R5c7bf871f5be43b8" /><Relationship Type="http://schemas.openxmlformats.org/officeDocument/2006/relationships/hyperlink" Target="https://uowtsd-my.sharepoint.com/:w:/r/personal/2104988_student_uwtsd_ac_uk/_layouts/15/Doc.aspx?sourcedoc=%7B27AF68AF-3583-4F86-8F16-2EDCC63FB736%7D&amp;file=SDP%202022-Treuchaf%20Primary%20school%20Reformatted.docx&amp;action=default&amp;mobileredirect=true&amp;cid=fa4ffe27-3053-4a60-a861-7ec4ecb04781" TargetMode="External" Id="R5c9b7d5bd71f4c1e" /><Relationship Type="http://schemas.openxmlformats.org/officeDocument/2006/relationships/hyperlink" Target="https://hwb.gov.wales/curriculum-for-wales/cross-curricular-skills-frameworks/" TargetMode="External" Id="R02d79581ef9e47e4" /><Relationship Type="http://schemas.openxmlformats.org/officeDocument/2006/relationships/hyperlink" Target="https://hwb.gov.wales/storage/337437b8-cfe3-4305-ae32-f47ad82f3e76/digital-competence-framework-guidance-2018.pdf" TargetMode="External" Id="Rbde152163e514ce5" /><Relationship Type="http://schemas.openxmlformats.org/officeDocument/2006/relationships/hyperlink" Target="https://www.gov.wales/sites/default/files/publications/2018-03/school-development-plans.pdf" TargetMode="External" Id="Rabe85b1f690a488e" /><Relationship Type="http://schemas.openxmlformats.org/officeDocument/2006/relationships/hyperlink" Target="https://hwb.gov.wales/evaluation-improvement-and-accountability/school-improvement-guidance-framework-for-evaluation-improvement-and-accountability/" TargetMode="External" Id="R07a89448019a4c1e" /><Relationship Type="http://schemas.openxmlformats.org/officeDocument/2006/relationships/hyperlink" Target="https://hwb.gov.wales/evaluation-improvement-and-accountability/the-national-resource-evaluation-and-improvement/the-national-resource-overview/" TargetMode="External" Id="R93762c003ecb44bc" /><Relationship Type="http://schemas.openxmlformats.org/officeDocument/2006/relationships/hyperlink" Target="https://www.gov.wales/written-statement-welsh-second-language-within-our-new-curriculum" TargetMode="External" Id="Rba01fac388124a9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Lowri James (2104988)</dc:creator>
  <keywords/>
  <dc:description/>
  <lastModifiedBy>Lowri James</lastModifiedBy>
  <revision>5</revision>
  <dcterms:created xsi:type="dcterms:W3CDTF">2023-04-13T13:00:00.0000000Z</dcterms:created>
  <dcterms:modified xsi:type="dcterms:W3CDTF">2023-04-15T10:41:24.2500472Z</dcterms:modified>
</coreProperties>
</file>