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pPr>
      <w:r>
        <w:rPr>
          <w:noProof/>
        </w:rPr>
        <w:drawing>
          <wp:inline distL="0" distT="0" distB="0" distR="0">
            <wp:extent cx="2108200" cy="1047750"/>
            <wp:effectExtent l="0" t="0" r="6350" b="0"/>
            <wp:docPr id="1026"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2" cstate="print"/>
                    <a:srcRect l="0" t="0" r="0" b="0"/>
                    <a:stretch/>
                  </pic:blipFill>
                  <pic:spPr>
                    <a:xfrm rot="0">
                      <a:off x="0" y="0"/>
                      <a:ext cx="2108200" cy="1047750"/>
                    </a:xfrm>
                    <a:prstGeom prst="rect"/>
                    <a:ln cmpd="sng" cap="flat" w="9525">
                      <a:solidFill>
                        <a:srgbClr val="000000"/>
                      </a:solidFill>
                      <a:prstDash val="solid"/>
                      <a:round/>
                      <a:headEnd/>
                      <a:tailEnd/>
                    </a:ln>
                  </pic:spPr>
                </pic:pic>
              </a:graphicData>
            </a:graphic>
          </wp:inline>
        </w:drawing>
      </w:r>
    </w:p>
    <w:bookmarkStart w:id="0" w:name="_licmddwu22w5" w:colFirst="0" w:colLast="0"/>
    <w:bookmarkEnd w:id="0"/>
    <w:p>
      <w:pPr>
        <w:pStyle w:val="style62"/>
        <w:rPr/>
      </w:pPr>
    </w:p>
    <w:bookmarkStart w:id="1" w:name="_20t7hdo21gv4" w:colFirst="0" w:colLast="0"/>
    <w:bookmarkEnd w:id="1"/>
    <w:p>
      <w:pPr>
        <w:pStyle w:val="style62"/>
        <w:rPr/>
      </w:pPr>
      <w:r>
        <w:t>Student Name:</w:t>
      </w:r>
      <w:r>
        <w:t xml:space="preserve"> MD Saifur Rahman</w:t>
      </w:r>
    </w:p>
    <w:bookmarkStart w:id="2" w:name="_7d2bosn4y63e" w:colFirst="0" w:colLast="0"/>
    <w:bookmarkEnd w:id="2"/>
    <w:p>
      <w:pPr>
        <w:pStyle w:val="style62"/>
        <w:rPr>
          <w:b/>
          <w:bCs/>
        </w:rPr>
      </w:pPr>
      <w:r>
        <w:t xml:space="preserve">Student ID: </w:t>
      </w:r>
      <w:r>
        <w:t>2431872</w:t>
      </w:r>
    </w:p>
    <w:bookmarkStart w:id="3" w:name="_rc1n197h8pyy" w:colFirst="0" w:colLast="0"/>
    <w:bookmarkEnd w:id="3"/>
    <w:p>
      <w:pPr>
        <w:pStyle w:val="style62"/>
        <w:spacing w:before="360" w:after="80"/>
        <w:rPr/>
      </w:pPr>
      <w:r>
        <w:t>Module &amp; Code: International Business Concepts (LCMB7034)</w:t>
      </w:r>
    </w:p>
    <w:p>
      <w:pPr>
        <w:pStyle w:val="style0"/>
        <w:jc w:val="center"/>
        <w:rPr>
          <w:sz w:val="36"/>
          <w:szCs w:val="36"/>
        </w:rPr>
      </w:pPr>
      <w:r>
        <w:rPr>
          <w:sz w:val="36"/>
          <w:szCs w:val="36"/>
        </w:rPr>
        <w:t>Lecturer: Akshay Narayanan</w:t>
      </w:r>
    </w:p>
    <w:p>
      <w:pPr>
        <w:pStyle w:val="style0"/>
        <w:jc w:val="center"/>
        <w:rPr>
          <w:sz w:val="36"/>
          <w:szCs w:val="36"/>
        </w:rPr>
      </w:pPr>
      <w:r>
        <w:rPr>
          <w:sz w:val="36"/>
          <w:szCs w:val="36"/>
        </w:rPr>
        <w:t>Word Count:</w:t>
      </w:r>
      <w:r>
        <w:rPr>
          <w:sz w:val="36"/>
          <w:szCs w:val="36"/>
        </w:rPr>
        <w:t xml:space="preserve"> 5488</w:t>
      </w:r>
    </w:p>
    <w:bookmarkStart w:id="4" w:name="_91r9q01bz7wl" w:colFirst="0" w:colLast="0"/>
    <w:bookmarkStart w:id="5" w:name="_cr4t0zia7zrh" w:colFirst="0" w:colLast="0"/>
    <w:bookmarkEnd w:id="4"/>
    <w:bookmarkEnd w:id="5"/>
    <w:p>
      <w:pPr>
        <w:pStyle w:val="style62"/>
        <w:rPr/>
      </w:pPr>
      <w:r>
        <w:t>Submission Deadline: 15/12/2025</w:t>
      </w:r>
    </w:p>
    <w:bookmarkStart w:id="6" w:name="_7ei7heo0jqrv" w:colFirst="0" w:colLast="0"/>
    <w:bookmarkEnd w:id="6"/>
    <w:p>
      <w:pPr>
        <w:pStyle w:val="style62"/>
        <w:spacing w:before="240" w:after="240"/>
        <w:jc w:val="both"/>
        <w:rPr/>
      </w:pPr>
      <w:r>
        <w:br w:type="page"/>
      </w:r>
    </w:p>
    <w:bookmarkStart w:id="7" w:name="_v2sdrfutzpml" w:colFirst="0" w:colLast="0"/>
    <w:bookmarkStart w:id="8" w:name="_Toc216682849"/>
    <w:bookmarkStart w:id="9" w:name="_Toc216682948"/>
    <w:bookmarkStart w:id="10" w:name="_Toc216683122"/>
    <w:bookmarkStart w:id="11" w:name="_Toc216683309"/>
    <w:bookmarkEnd w:id="7"/>
    <w:p>
      <w:pPr>
        <w:pStyle w:val="style1"/>
        <w:rPr/>
      </w:pPr>
      <w:r>
        <w:t>1. Executive Summary</w:t>
      </w:r>
      <w:bookmarkEnd w:id="8"/>
      <w:bookmarkEnd w:id="9"/>
      <w:bookmarkEnd w:id="10"/>
      <w:bookmarkEnd w:id="11"/>
    </w:p>
    <w:p>
      <w:pPr>
        <w:pStyle w:val="style0"/>
        <w:spacing w:before="240" w:after="240"/>
        <w:rPr/>
      </w:pPr>
      <w:r>
        <w:t>Seamark Bangladesh is a prominent global seafood processor and exporter that has an established international presence in Bangladesh, the United Kingdom, and the European market, in general. The main strengths of it are high-quality shrimp and seafood processing, cold-chain, and international certifications. Malaysia is an attractive growth market because of the surging seafood demand, excellent halal regulatory environment, and the large size of its hospitality industry as well as the high Bangladeshi diaspora. The analysis concludes that the international operations of Seamark offer benefits of value-chain efficiencies, diversified markets and good brand recognition but are threatened by regulatory imperatives, fluctuations in supply chains, competition and logistical weaknesses. The best entry mode that should be used in Malaysia is a joint venture with a well-established Malaysian distributor or processor where it will be possible to share knowledge, align compliance and get in the market quickly. It is recommended that three major SOP changes, including product and halal localisation, improved cold-chain and supply-chain operations, and improved HR and governance, should be implemented to make a business successful and competitive in the long term.</w:t>
      </w:r>
    </w:p>
    <w:p>
      <w:pPr>
        <w:pStyle w:val="style0"/>
        <w:spacing w:before="240" w:after="240"/>
        <w:rPr/>
      </w:pPr>
      <w:r>
        <w:br w:type="page"/>
      </w:r>
    </w:p>
    <w:bookmarkStart w:id="12" w:name="_la2c78cdsobi" w:colFirst="0" w:colLast="0"/>
    <w:bookmarkStart w:id="13" w:name="_Toc216682850"/>
    <w:bookmarkStart w:id="14" w:name="_Toc216682949"/>
    <w:bookmarkStart w:id="15" w:name="_Toc216683123"/>
    <w:bookmarkStart w:id="16" w:name="_Toc216683310"/>
    <w:bookmarkEnd w:id="12"/>
    <w:p>
      <w:pPr>
        <w:pStyle w:val="style1"/>
        <w:rPr/>
      </w:pPr>
      <w:r>
        <w:t>Table of Contents</w:t>
      </w:r>
      <w:bookmarkEnd w:id="13"/>
      <w:bookmarkEnd w:id="14"/>
      <w:bookmarkEnd w:id="15"/>
      <w:bookmarkEnd w:id="16"/>
    </w:p>
    <w:p>
      <w:pPr>
        <w:pStyle w:val="style19"/>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TOC \h \u \z \t "Heading 1,1,Heading 2,2,Heading 3,3,Heading 4,4,Heading 5,5,Heading 6,6,"</w:instrText>
      </w:r>
      <w:r>
        <w:rPr/>
        <w:fldChar w:fldCharType="separate"/>
      </w:r>
      <w:r>
        <w:rPr/>
        <w:fldChar w:fldCharType="begin"/>
      </w:r>
      <w:r>
        <w:instrText xml:space="preserve"> HYPERLINK \l "_Toc216683311" </w:instrText>
      </w:r>
      <w:r>
        <w:rPr/>
        <w:fldChar w:fldCharType="separate"/>
      </w:r>
      <w:r>
        <w:rPr>
          <w:rStyle w:val="style85"/>
          <w:noProof/>
        </w:rPr>
        <w:t>2. Introduction</w:t>
      </w:r>
      <w:r>
        <w:rPr>
          <w:noProof/>
          <w:webHidden/>
        </w:rPr>
        <w:tab/>
      </w:r>
      <w:r>
        <w:rPr>
          <w:noProof/>
          <w:webHidden/>
        </w:rPr>
        <w:fldChar w:fldCharType="begin"/>
      </w:r>
      <w:r>
        <w:rPr>
          <w:noProof/>
          <w:webHidden/>
        </w:rPr>
        <w:instrText xml:space="preserve"> PAGEREF _Toc216683311 \h </w:instrText>
      </w:r>
      <w:r>
        <w:rPr>
          <w:noProof/>
          <w:webHidden/>
        </w:rPr>
        <w:fldChar w:fldCharType="separate"/>
      </w:r>
      <w:r>
        <w:rPr>
          <w:noProof/>
          <w:webHidden/>
        </w:rPr>
        <w:t>4</w:t>
      </w:r>
      <w:r>
        <w:rPr>
          <w:noProof/>
          <w:webHidden/>
        </w:rPr>
        <w:fldChar w:fldCharType="end"/>
      </w:r>
      <w:r>
        <w:rPr/>
        <w:fldChar w:fldCharType="end"/>
      </w:r>
    </w:p>
    <w:p>
      <w:pPr>
        <w:pStyle w:val="style19"/>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"_Toc216683312" </w:instrText>
      </w:r>
      <w:r>
        <w:rPr/>
        <w:fldChar w:fldCharType="separate"/>
      </w:r>
      <w:r>
        <w:rPr>
          <w:rStyle w:val="style85"/>
          <w:noProof/>
        </w:rPr>
        <w:t>3. Benefits &amp; Challenges of International Operations</w:t>
      </w:r>
      <w:r>
        <w:rPr>
          <w:noProof/>
          <w:webHidden/>
        </w:rPr>
        <w:tab/>
      </w:r>
      <w:r>
        <w:rPr>
          <w:noProof/>
          <w:webHidden/>
        </w:rPr>
        <w:fldChar w:fldCharType="begin"/>
      </w:r>
      <w:r>
        <w:rPr>
          <w:noProof/>
          <w:webHidden/>
        </w:rPr>
        <w:instrText xml:space="preserve"> PAGEREF _Toc216683312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"_Toc216683313" </w:instrText>
      </w:r>
      <w:r>
        <w:rPr/>
        <w:fldChar w:fldCharType="separate"/>
      </w:r>
      <w:r>
        <w:rPr>
          <w:rStyle w:val="style85"/>
          <w:noProof/>
        </w:rPr>
        <w:t>3.1 Why Seamark qualifies as an MNC/TNC</w:t>
      </w:r>
      <w:r>
        <w:rPr>
          <w:noProof/>
          <w:webHidden/>
        </w:rPr>
        <w:tab/>
      </w:r>
      <w:r>
        <w:rPr>
          <w:noProof/>
          <w:webHidden/>
        </w:rPr>
        <w:fldChar w:fldCharType="begin"/>
      </w:r>
      <w:r>
        <w:rPr>
          <w:noProof/>
          <w:webHidden/>
        </w:rPr>
        <w:instrText xml:space="preserve"> PAGEREF _Toc216683313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"_Toc216683314" </w:instrText>
      </w:r>
      <w:r>
        <w:rPr/>
        <w:fldChar w:fldCharType="separate"/>
      </w:r>
      <w:r>
        <w:rPr>
          <w:rStyle w:val="style85"/>
          <w:noProof/>
        </w:rPr>
        <w:t>3.2 Summary of Seamark’s Global Value Chain (GVC)</w:t>
      </w:r>
      <w:r>
        <w:rPr>
          <w:noProof/>
          <w:webHidden/>
        </w:rPr>
        <w:tab/>
      </w:r>
      <w:r>
        <w:rPr>
          <w:noProof/>
          <w:webHidden/>
        </w:rPr>
        <w:fldChar w:fldCharType="begin"/>
      </w:r>
      <w:r>
        <w:rPr>
          <w:noProof/>
          <w:webHidden/>
        </w:rPr>
        <w:instrText xml:space="preserve"> PAGEREF _Toc216683314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"_Toc216683315" </w:instrText>
      </w:r>
      <w:r>
        <w:rPr/>
        <w:fldChar w:fldCharType="separate"/>
      </w:r>
      <w:r>
        <w:rPr>
          <w:rStyle w:val="style85"/>
          <w:noProof/>
        </w:rPr>
        <w:t>3.3 Entry modes used by Seamark internationally</w:t>
      </w:r>
      <w:r>
        <w:rPr>
          <w:noProof/>
          <w:webHidden/>
        </w:rPr>
        <w:tab/>
      </w:r>
      <w:r>
        <w:rPr>
          <w:noProof/>
          <w:webHidden/>
        </w:rPr>
        <w:fldChar w:fldCharType="begin"/>
      </w:r>
      <w:r>
        <w:rPr>
          <w:noProof/>
          <w:webHidden/>
        </w:rPr>
        <w:instrText xml:space="preserve"> PAGEREF _Toc216683315 \h </w:instrText>
      </w:r>
      <w:r>
        <w:rPr>
          <w:noProof/>
          <w:webHidden/>
        </w:rPr>
        <w:fldChar w:fldCharType="separate"/>
      </w:r>
      <w:r>
        <w:rPr>
          <w:noProof/>
          <w:webHidden/>
        </w:rPr>
        <w:t>7</w:t>
      </w:r>
      <w:r>
        <w:rPr>
          <w:noProof/>
          <w:webHidden/>
        </w:rPr>
        <w:fldChar w:fldCharType="end"/>
      </w:r>
      <w:r>
        <w:rPr/>
        <w:fldChar w:fldCharType="end"/>
      </w:r>
    </w:p>
    <w:p>
      <w:pPr>
        <w:pStyle w:val="style20"/>
        <w:tabs>
          <w:tab w:val="left" w:leader="none" w:pos="960"/>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"_Toc216683316" </w:instrText>
      </w:r>
      <w:r>
        <w:rPr/>
        <w:fldChar w:fldCharType="separate"/>
      </w:r>
      <w:r>
        <w:rPr>
          <w:rStyle w:val="style85"/>
          <w:noProof/>
        </w:rPr>
        <w:t>3.4</w:t>
      </w:r>
      <w:r>
        <w:rPr>
          <w:rFonts w:ascii="Cambria" w:cs="宋体" w:eastAsia="宋体" w:hAnsi="Cambria"/>
          <w:noProof/>
          <w:kern w:val="2"/>
          <w:lang w:val="en-US"/>
          <w14:ligatures xmlns:w14="http://schemas.microsoft.com/office/word/2010/wordml" w14:val="standardContextual"/>
        </w:rPr>
        <w:t xml:space="preserve"> </w:t>
      </w:r>
      <w:r>
        <w:rPr>
          <w:rStyle w:val="style85"/>
          <w:noProof/>
        </w:rPr>
        <w:t>Benefits of international operations</w:t>
      </w:r>
      <w:r>
        <w:rPr>
          <w:noProof/>
          <w:webHidden/>
        </w:rPr>
        <w:tab/>
      </w:r>
      <w:r>
        <w:rPr>
          <w:noProof/>
          <w:webHidden/>
        </w:rPr>
        <w:fldChar w:fldCharType="begin"/>
      </w:r>
      <w:r>
        <w:rPr>
          <w:noProof/>
          <w:webHidden/>
        </w:rPr>
        <w:instrText xml:space="preserve"> PAGEREF _Toc216683316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"_Toc216683317" </w:instrText>
      </w:r>
      <w:r>
        <w:rPr/>
        <w:fldChar w:fldCharType="separate"/>
      </w:r>
      <w:r>
        <w:rPr>
          <w:rStyle w:val="style85"/>
          <w:noProof/>
        </w:rPr>
        <w:t>3.5 Challenges faced by Seamark</w:t>
      </w:r>
      <w:r>
        <w:rPr>
          <w:noProof/>
          <w:webHidden/>
        </w:rPr>
        <w:tab/>
      </w:r>
      <w:r>
        <w:rPr>
          <w:noProof/>
          <w:webHidden/>
        </w:rPr>
        <w:fldChar w:fldCharType="begin"/>
      </w:r>
      <w:r>
        <w:rPr>
          <w:noProof/>
          <w:webHidden/>
        </w:rPr>
        <w:instrText xml:space="preserve"> PAGEREF _Toc216683317 \h </w:instrText>
      </w:r>
      <w:r>
        <w:rPr>
          <w:noProof/>
          <w:webHidden/>
        </w:rPr>
        <w:fldChar w:fldCharType="separate"/>
      </w:r>
      <w:r>
        <w:rPr>
          <w:noProof/>
          <w:webHidden/>
        </w:rPr>
        <w:t>9</w:t>
      </w:r>
      <w:r>
        <w:rPr>
          <w:noProof/>
          <w:webHidden/>
        </w:rPr>
        <w:fldChar w:fldCharType="end"/>
      </w:r>
      <w:r>
        <w:rPr/>
        <w:fldChar w:fldCharType="end"/>
      </w:r>
    </w:p>
    <w:p>
      <w:pPr>
        <w:pStyle w:val="style19"/>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"_Toc216683318" </w:instrText>
      </w:r>
      <w:r>
        <w:rPr/>
        <w:fldChar w:fldCharType="separate"/>
      </w:r>
      <w:r>
        <w:rPr>
          <w:rStyle w:val="style85"/>
          <w:noProof/>
        </w:rPr>
        <w:t>4. Impact of Ownership, Location and Internalisation (OLI) Factors on Market Entry Mode</w:t>
      </w:r>
      <w:r>
        <w:rPr>
          <w:noProof/>
          <w:webHidden/>
        </w:rPr>
        <w:tab/>
      </w:r>
      <w:r>
        <w:rPr>
          <w:noProof/>
          <w:webHidden/>
        </w:rPr>
        <w:fldChar w:fldCharType="begin"/>
      </w:r>
      <w:r>
        <w:rPr>
          <w:noProof/>
          <w:webHidden/>
        </w:rPr>
        <w:instrText xml:space="preserve"> PAGEREF _Toc216683318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"_Toc216683319" </w:instrText>
      </w:r>
      <w:r>
        <w:rPr/>
        <w:fldChar w:fldCharType="separate"/>
      </w:r>
      <w:r>
        <w:rPr>
          <w:rStyle w:val="style85"/>
          <w:noProof/>
        </w:rPr>
        <w:t>4.1 Ownership (O) Factors</w:t>
      </w:r>
      <w:r>
        <w:rPr>
          <w:noProof/>
          <w:webHidden/>
        </w:rPr>
        <w:tab/>
      </w:r>
      <w:r>
        <w:rPr>
          <w:noProof/>
          <w:webHidden/>
        </w:rPr>
        <w:fldChar w:fldCharType="begin"/>
      </w:r>
      <w:r>
        <w:rPr>
          <w:noProof/>
          <w:webHidden/>
        </w:rPr>
        <w:instrText xml:space="preserve"> PAGEREF _Toc216683319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"_Toc216683320" </w:instrText>
      </w:r>
      <w:r>
        <w:rPr/>
        <w:fldChar w:fldCharType="separate"/>
      </w:r>
      <w:r>
        <w:rPr>
          <w:rStyle w:val="style85"/>
          <w:noProof/>
        </w:rPr>
        <w:t>4.2 Location (L) Factors of Malaysia</w:t>
      </w:r>
      <w:r>
        <w:rPr>
          <w:noProof/>
          <w:webHidden/>
        </w:rPr>
        <w:tab/>
      </w:r>
      <w:r>
        <w:rPr>
          <w:noProof/>
          <w:webHidden/>
        </w:rPr>
        <w:fldChar w:fldCharType="begin"/>
      </w:r>
      <w:r>
        <w:rPr>
          <w:noProof/>
          <w:webHidden/>
        </w:rPr>
        <w:instrText xml:space="preserve"> PAGEREF _Toc216683320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"_Toc216683321" </w:instrText>
      </w:r>
      <w:r>
        <w:rPr/>
        <w:fldChar w:fldCharType="separate"/>
      </w:r>
      <w:r>
        <w:rPr>
          <w:rStyle w:val="style85"/>
          <w:noProof/>
        </w:rPr>
        <w:t>4.3 Internalisation (I) Factors</w:t>
      </w:r>
      <w:r>
        <w:rPr>
          <w:noProof/>
          <w:webHidden/>
        </w:rPr>
        <w:tab/>
      </w:r>
      <w:r>
        <w:rPr>
          <w:noProof/>
          <w:webHidden/>
        </w:rPr>
        <w:fldChar w:fldCharType="begin"/>
      </w:r>
      <w:r>
        <w:rPr>
          <w:noProof/>
          <w:webHidden/>
        </w:rPr>
        <w:instrText xml:space="preserve"> PAGEREF _Toc216683321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"_Toc216683322" </w:instrText>
      </w:r>
      <w:r>
        <w:rPr/>
        <w:fldChar w:fldCharType="separate"/>
      </w:r>
      <w:r>
        <w:rPr>
          <w:rStyle w:val="style85"/>
          <w:noProof/>
        </w:rPr>
        <w:t>4.4 OLI-based recommended entry mode</w:t>
      </w:r>
      <w:r>
        <w:rPr>
          <w:noProof/>
          <w:webHidden/>
        </w:rPr>
        <w:tab/>
      </w:r>
      <w:r>
        <w:rPr>
          <w:noProof/>
          <w:webHidden/>
        </w:rPr>
        <w:fldChar w:fldCharType="begin"/>
      </w:r>
      <w:r>
        <w:rPr>
          <w:noProof/>
          <w:webHidden/>
        </w:rPr>
        <w:instrText xml:space="preserve"> PAGEREF _Toc216683322 \h </w:instrText>
      </w:r>
      <w:r>
        <w:rPr>
          <w:noProof/>
          <w:webHidden/>
        </w:rPr>
        <w:fldChar w:fldCharType="separate"/>
      </w:r>
      <w:r>
        <w:rPr>
          <w:noProof/>
          <w:webHidden/>
        </w:rPr>
        <w:t>13</w:t>
      </w:r>
      <w:r>
        <w:rPr>
          <w:noProof/>
          <w:webHidden/>
        </w:rPr>
        <w:fldChar w:fldCharType="end"/>
      </w:r>
      <w:r>
        <w:rPr/>
        <w:fldChar w:fldCharType="end"/>
      </w:r>
    </w:p>
    <w:p>
      <w:pPr>
        <w:pStyle w:val="style19"/>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"_Toc216683323" </w:instrText>
      </w:r>
      <w:r>
        <w:rPr/>
        <w:fldChar w:fldCharType="separate"/>
      </w:r>
      <w:r>
        <w:rPr>
          <w:rStyle w:val="style85"/>
          <w:noProof/>
        </w:rPr>
        <w:t>5. Cultural Differences &amp; Their Impact</w:t>
      </w:r>
      <w:r>
        <w:rPr>
          <w:noProof/>
          <w:webHidden/>
        </w:rPr>
        <w:tab/>
      </w:r>
      <w:r>
        <w:rPr>
          <w:noProof/>
          <w:webHidden/>
        </w:rPr>
        <w:fldChar w:fldCharType="begin"/>
      </w:r>
      <w:r>
        <w:rPr>
          <w:noProof/>
          <w:webHidden/>
        </w:rPr>
        <w:instrText xml:space="preserve"> PAGEREF _Toc216683323 \h </w:instrText>
      </w:r>
      <w:r>
        <w:rPr>
          <w:noProof/>
          <w:webHidden/>
        </w:rPr>
        <w:fldChar w:fldCharType="separate"/>
      </w:r>
      <w:r>
        <w:rPr>
          <w:noProof/>
          <w:webHidden/>
        </w:rPr>
        <w:t>14</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"_Toc216683324" </w:instrText>
      </w:r>
      <w:r>
        <w:rPr/>
        <w:fldChar w:fldCharType="separate"/>
      </w:r>
      <w:r>
        <w:rPr>
          <w:rStyle w:val="style85"/>
          <w:noProof/>
        </w:rPr>
        <w:t>5.1 Cultural Diagnostic Using Hofstede</w:t>
      </w:r>
      <w:r>
        <w:rPr>
          <w:noProof/>
          <w:webHidden/>
        </w:rPr>
        <w:tab/>
      </w:r>
      <w:r>
        <w:rPr>
          <w:noProof/>
          <w:webHidden/>
        </w:rPr>
        <w:fldChar w:fldCharType="begin"/>
      </w:r>
      <w:r>
        <w:rPr>
          <w:noProof/>
          <w:webHidden/>
        </w:rPr>
        <w:instrText xml:space="preserve"> PAGEREF _Toc216683324 \h </w:instrText>
      </w:r>
      <w:r>
        <w:rPr>
          <w:noProof/>
          <w:webHidden/>
        </w:rPr>
        <w:fldChar w:fldCharType="separate"/>
      </w:r>
      <w:r>
        <w:rPr>
          <w:noProof/>
          <w:webHidden/>
        </w:rPr>
        <w:t>14</w:t>
      </w:r>
      <w:r>
        <w:rPr>
          <w:noProof/>
          <w:webHidden/>
        </w:rPr>
        <w:fldChar w:fldCharType="end"/>
      </w:r>
      <w:r>
        <w:rPr/>
        <w:fldChar w:fldCharType="end"/>
      </w:r>
    </w:p>
    <w:p>
      <w:pPr>
        <w:pStyle w:val="style21"/>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"_Toc216683325" </w:instrText>
      </w:r>
      <w:r>
        <w:rPr/>
        <w:fldChar w:fldCharType="separate"/>
      </w:r>
      <w:r>
        <w:rPr>
          <w:rStyle w:val="style85"/>
          <w:noProof/>
        </w:rPr>
        <w:t>5.1.1 Implications for Seamark’s Market Entry</w:t>
      </w:r>
      <w:r>
        <w:rPr>
          <w:noProof/>
          <w:webHidden/>
        </w:rPr>
        <w:tab/>
      </w:r>
      <w:r>
        <w:rPr>
          <w:noProof/>
          <w:webHidden/>
        </w:rPr>
        <w:fldChar w:fldCharType="begin"/>
      </w:r>
      <w:r>
        <w:rPr>
          <w:noProof/>
          <w:webHidden/>
        </w:rPr>
        <w:instrText xml:space="preserve"> PAGEREF _Toc216683325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"_Toc216683326" </w:instrText>
      </w:r>
      <w:r>
        <w:rPr/>
        <w:fldChar w:fldCharType="separate"/>
      </w:r>
      <w:r>
        <w:rPr>
          <w:rStyle w:val="style85"/>
          <w:noProof/>
        </w:rPr>
        <w:t>5.2 Cultural impact on market entry and negotiations</w:t>
      </w:r>
      <w:r>
        <w:rPr>
          <w:noProof/>
          <w:webHidden/>
        </w:rPr>
        <w:tab/>
      </w:r>
      <w:r>
        <w:rPr>
          <w:noProof/>
          <w:webHidden/>
        </w:rPr>
        <w:fldChar w:fldCharType="begin"/>
      </w:r>
      <w:r>
        <w:rPr>
          <w:noProof/>
          <w:webHidden/>
        </w:rPr>
        <w:instrText xml:space="preserve"> PAGEREF _Toc216683326 \h </w:instrText>
      </w:r>
      <w:r>
        <w:rPr>
          <w:noProof/>
          <w:webHidden/>
        </w:rPr>
        <w:fldChar w:fldCharType="separate"/>
      </w:r>
      <w:r>
        <w:rPr>
          <w:noProof/>
          <w:webHidden/>
        </w:rPr>
        <w:t>16</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"_Toc216683327" </w:instrText>
      </w:r>
      <w:r>
        <w:rPr/>
        <w:fldChar w:fldCharType="separate"/>
      </w:r>
      <w:r>
        <w:rPr>
          <w:rStyle w:val="style85"/>
          <w:noProof/>
        </w:rPr>
        <w:t>5.3 Cultural impact on operations &amp; marketing</w:t>
      </w:r>
      <w:r>
        <w:rPr>
          <w:noProof/>
          <w:webHidden/>
        </w:rPr>
        <w:tab/>
      </w:r>
      <w:r>
        <w:rPr>
          <w:noProof/>
          <w:webHidden/>
        </w:rPr>
        <w:fldChar w:fldCharType="begin"/>
      </w:r>
      <w:r>
        <w:rPr>
          <w:noProof/>
          <w:webHidden/>
        </w:rPr>
        <w:instrText xml:space="preserve"> PAGEREF _Toc216683327 \h </w:instrText>
      </w:r>
      <w:r>
        <w:rPr>
          <w:noProof/>
          <w:webHidden/>
        </w:rPr>
        <w:fldChar w:fldCharType="separate"/>
      </w:r>
      <w:r>
        <w:rPr>
          <w:noProof/>
          <w:webHidden/>
        </w:rPr>
        <w:t>17</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"_Toc216683328" </w:instrText>
      </w:r>
      <w:r>
        <w:rPr/>
        <w:fldChar w:fldCharType="separate"/>
      </w:r>
      <w:r>
        <w:rPr>
          <w:rStyle w:val="style85"/>
          <w:noProof/>
        </w:rPr>
        <w:t>5.4 Cultural risk mitigation strategies</w:t>
      </w:r>
      <w:r>
        <w:rPr>
          <w:noProof/>
          <w:webHidden/>
        </w:rPr>
        <w:tab/>
      </w:r>
      <w:r>
        <w:rPr>
          <w:noProof/>
          <w:webHidden/>
        </w:rPr>
        <w:fldChar w:fldCharType="begin"/>
      </w:r>
      <w:r>
        <w:rPr>
          <w:noProof/>
          <w:webHidden/>
        </w:rPr>
        <w:instrText xml:space="preserve"> PAGEREF _Toc216683328 \h </w:instrText>
      </w:r>
      <w:r>
        <w:rPr>
          <w:noProof/>
          <w:webHidden/>
        </w:rPr>
        <w:fldChar w:fldCharType="separate"/>
      </w:r>
      <w:r>
        <w:rPr>
          <w:noProof/>
          <w:webHidden/>
        </w:rPr>
        <w:t>17</w:t>
      </w:r>
      <w:r>
        <w:rPr>
          <w:noProof/>
          <w:webHidden/>
        </w:rPr>
        <w:fldChar w:fldCharType="end"/>
      </w:r>
      <w:r>
        <w:rPr/>
        <w:fldChar w:fldCharType="end"/>
      </w:r>
    </w:p>
    <w:p>
      <w:pPr>
        <w:pStyle w:val="style19"/>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"_Toc216683329" </w:instrText>
      </w:r>
      <w:r>
        <w:rPr/>
        <w:fldChar w:fldCharType="separate"/>
      </w:r>
      <w:r>
        <w:rPr>
          <w:rStyle w:val="style85"/>
          <w:noProof/>
        </w:rPr>
        <w:t>6. SOP Adjustments for Successful Entry</w:t>
      </w:r>
      <w:r>
        <w:rPr>
          <w:noProof/>
          <w:webHidden/>
        </w:rPr>
        <w:tab/>
      </w:r>
      <w:r>
        <w:rPr>
          <w:noProof/>
          <w:webHidden/>
        </w:rPr>
        <w:fldChar w:fldCharType="begin"/>
      </w:r>
      <w:r>
        <w:rPr>
          <w:noProof/>
          <w:webHidden/>
        </w:rPr>
        <w:instrText xml:space="preserve"> PAGEREF _Toc216683329 \h </w:instrText>
      </w:r>
      <w:r>
        <w:rPr>
          <w:noProof/>
          <w:webHidden/>
        </w:rPr>
        <w:fldChar w:fldCharType="separate"/>
      </w:r>
      <w:r>
        <w:rPr>
          <w:noProof/>
          <w:webHidden/>
        </w:rPr>
        <w:t>18</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"_Toc216683330" </w:instrText>
      </w:r>
      <w:r>
        <w:rPr/>
        <w:fldChar w:fldCharType="separate"/>
      </w:r>
      <w:r>
        <w:rPr>
          <w:rStyle w:val="style85"/>
          <w:noProof/>
        </w:rPr>
        <w:t>Recommendation 1: Product, Branding &amp; Halal SOP Localisation</w:t>
      </w:r>
      <w:r>
        <w:rPr>
          <w:noProof/>
          <w:webHidden/>
        </w:rPr>
        <w:tab/>
      </w:r>
      <w:r>
        <w:rPr>
          <w:noProof/>
          <w:webHidden/>
        </w:rPr>
        <w:fldChar w:fldCharType="begin"/>
      </w:r>
      <w:r>
        <w:rPr>
          <w:noProof/>
          <w:webHidden/>
        </w:rPr>
        <w:instrText xml:space="preserve"> PAGEREF _Toc216683330 \h </w:instrText>
      </w:r>
      <w:r>
        <w:rPr>
          <w:noProof/>
          <w:webHidden/>
        </w:rPr>
        <w:fldChar w:fldCharType="separate"/>
      </w:r>
      <w:r>
        <w:rPr>
          <w:noProof/>
          <w:webHidden/>
        </w:rPr>
        <w:t>18</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"_Toc216683331" </w:instrText>
      </w:r>
      <w:r>
        <w:rPr/>
        <w:fldChar w:fldCharType="separate"/>
      </w:r>
      <w:r>
        <w:rPr>
          <w:rStyle w:val="style85"/>
          <w:noProof/>
        </w:rPr>
        <w:t>Recommendation 2: Supply Chain &amp; Cold-Chain SOP</w:t>
      </w:r>
      <w:r>
        <w:rPr>
          <w:noProof/>
          <w:webHidden/>
        </w:rPr>
        <w:tab/>
      </w:r>
      <w:r>
        <w:rPr>
          <w:noProof/>
          <w:webHidden/>
        </w:rPr>
        <w:fldChar w:fldCharType="begin"/>
      </w:r>
      <w:r>
        <w:rPr>
          <w:noProof/>
          <w:webHidden/>
        </w:rPr>
        <w:instrText xml:space="preserve"> PAGEREF _Toc216683331 \h </w:instrText>
      </w:r>
      <w:r>
        <w:rPr>
          <w:noProof/>
          <w:webHidden/>
        </w:rPr>
        <w:fldChar w:fldCharType="separate"/>
      </w:r>
      <w:r>
        <w:rPr>
          <w:noProof/>
          <w:webHidden/>
        </w:rPr>
        <w:t>20</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"_Toc216683332" </w:instrText>
      </w:r>
      <w:r>
        <w:rPr/>
        <w:fldChar w:fldCharType="separate"/>
      </w:r>
      <w:r>
        <w:rPr>
          <w:rStyle w:val="style85"/>
          <w:noProof/>
        </w:rPr>
        <w:t>Recommendation 3: HR, Governance &amp; Compliance SOP</w:t>
      </w:r>
      <w:r>
        <w:rPr>
          <w:noProof/>
          <w:webHidden/>
        </w:rPr>
        <w:tab/>
      </w:r>
      <w:r>
        <w:rPr>
          <w:noProof/>
          <w:webHidden/>
        </w:rPr>
        <w:fldChar w:fldCharType="begin"/>
      </w:r>
      <w:r>
        <w:rPr>
          <w:noProof/>
          <w:webHidden/>
        </w:rPr>
        <w:instrText xml:space="preserve"> PAGEREF _Toc216683332 \h </w:instrText>
      </w:r>
      <w:r>
        <w:rPr>
          <w:noProof/>
          <w:webHidden/>
        </w:rPr>
        <w:fldChar w:fldCharType="separate"/>
      </w:r>
      <w:r>
        <w:rPr>
          <w:noProof/>
          <w:webHidden/>
        </w:rPr>
        <w:t>21</w:t>
      </w:r>
      <w:r>
        <w:rPr>
          <w:noProof/>
          <w:webHidden/>
        </w:rPr>
        <w:fldChar w:fldCharType="end"/>
      </w:r>
      <w:r>
        <w:rPr/>
        <w:fldChar w:fldCharType="end"/>
      </w:r>
    </w:p>
    <w:p>
      <w:pPr>
        <w:pStyle w:val="style19"/>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"_Toc216683333" </w:instrText>
      </w:r>
      <w:r>
        <w:rPr/>
        <w:fldChar w:fldCharType="separate"/>
      </w:r>
      <w:r>
        <w:rPr>
          <w:rStyle w:val="style85"/>
          <w:noProof/>
        </w:rPr>
        <w:t>7. Conclusion</w:t>
      </w:r>
      <w:r>
        <w:rPr>
          <w:noProof/>
          <w:webHidden/>
        </w:rPr>
        <w:tab/>
      </w:r>
      <w:r>
        <w:rPr>
          <w:noProof/>
          <w:webHidden/>
        </w:rPr>
        <w:fldChar w:fldCharType="begin"/>
      </w:r>
      <w:r>
        <w:rPr>
          <w:noProof/>
          <w:webHidden/>
        </w:rPr>
        <w:instrText xml:space="preserve"> PAGEREF _Toc216683333 \h </w:instrText>
      </w:r>
      <w:r>
        <w:rPr>
          <w:noProof/>
          <w:webHidden/>
        </w:rPr>
        <w:fldChar w:fldCharType="separate"/>
      </w:r>
      <w:r>
        <w:rPr>
          <w:noProof/>
          <w:webHidden/>
        </w:rPr>
        <w:t>23</w:t>
      </w:r>
      <w:r>
        <w:rPr>
          <w:noProof/>
          <w:webHidden/>
        </w:rPr>
        <w:fldChar w:fldCharType="end"/>
      </w:r>
      <w:r>
        <w:rPr/>
        <w:fldChar w:fldCharType="end"/>
      </w:r>
    </w:p>
    <w:p>
      <w:pPr>
        <w:pStyle w:val="style19"/>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"_Toc216683334"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_Toc216683334 \h </w:instrText>
      </w:r>
      <w:r>
        <w:rPr>
          <w:noProof/>
          <w:webHidden/>
        </w:rPr>
        <w:fldChar w:fldCharType="separate"/>
      </w:r>
      <w:r>
        <w:rPr>
          <w:noProof/>
          <w:webHidden/>
        </w:rPr>
        <w:t>24</w:t>
      </w:r>
      <w:r>
        <w:rPr>
          <w:noProof/>
          <w:webHidden/>
        </w:rPr>
        <w:fldChar w:fldCharType="end"/>
      </w:r>
      <w:r>
        <w:rPr/>
        <w:fldChar w:fldCharType="end"/>
      </w:r>
    </w:p>
    <w:p>
      <w:pPr>
        <w:pStyle w:val="style19"/>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"_Toc216683335" </w:instrText>
      </w:r>
      <w:r>
        <w:rPr/>
        <w:fldChar w:fldCharType="separate"/>
      </w:r>
      <w:r>
        <w:rPr>
          <w:rStyle w:val="style85"/>
          <w:noProof/>
        </w:rPr>
        <w:t>Appendices</w:t>
      </w:r>
      <w:r>
        <w:rPr>
          <w:noProof/>
          <w:webHidden/>
        </w:rPr>
        <w:tab/>
      </w:r>
      <w:r>
        <w:rPr>
          <w:noProof/>
          <w:webHidden/>
        </w:rPr>
        <w:fldChar w:fldCharType="begin"/>
      </w:r>
      <w:r>
        <w:rPr>
          <w:noProof/>
          <w:webHidden/>
        </w:rPr>
        <w:instrText xml:space="preserve"> PAGEREF _Toc216683335 \h </w:instrText>
      </w:r>
      <w:r>
        <w:rPr>
          <w:noProof/>
          <w:webHidden/>
        </w:rPr>
        <w:fldChar w:fldCharType="separate"/>
      </w:r>
      <w:r>
        <w:rPr>
          <w:noProof/>
          <w:webHidden/>
        </w:rPr>
        <w:t>27</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"_Toc216683336" </w:instrText>
      </w:r>
      <w:r>
        <w:rPr/>
        <w:fldChar w:fldCharType="separate"/>
      </w:r>
      <w:r>
        <w:rPr>
          <w:rStyle w:val="style85"/>
          <w:noProof/>
        </w:rPr>
        <w:t>Appendix A: Seamark Bangladesh – Company Profile</w:t>
      </w:r>
      <w:r>
        <w:rPr>
          <w:noProof/>
          <w:webHidden/>
        </w:rPr>
        <w:tab/>
      </w:r>
      <w:r>
        <w:rPr>
          <w:noProof/>
          <w:webHidden/>
        </w:rPr>
        <w:fldChar w:fldCharType="begin"/>
      </w:r>
      <w:r>
        <w:rPr>
          <w:noProof/>
          <w:webHidden/>
        </w:rPr>
        <w:instrText xml:space="preserve"> PAGEREF _Toc216683336 \h </w:instrText>
      </w:r>
      <w:r>
        <w:rPr>
          <w:noProof/>
          <w:webHidden/>
        </w:rPr>
        <w:fldChar w:fldCharType="separate"/>
      </w:r>
      <w:r>
        <w:rPr>
          <w:noProof/>
          <w:webHidden/>
        </w:rPr>
        <w:t>27</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"_Toc216683337" </w:instrText>
      </w:r>
      <w:r>
        <w:rPr/>
        <w:fldChar w:fldCharType="separate"/>
      </w:r>
      <w:r>
        <w:rPr>
          <w:rStyle w:val="style85"/>
          <w:noProof/>
        </w:rPr>
        <w:t>Appendix B: Seamark Bangladesh – Global Value Chain (GVC) Analysis</w:t>
      </w:r>
      <w:r>
        <w:rPr>
          <w:noProof/>
          <w:webHidden/>
        </w:rPr>
        <w:tab/>
      </w:r>
      <w:r>
        <w:rPr>
          <w:noProof/>
          <w:webHidden/>
        </w:rPr>
        <w:fldChar w:fldCharType="begin"/>
      </w:r>
      <w:r>
        <w:rPr>
          <w:noProof/>
          <w:webHidden/>
        </w:rPr>
        <w:instrText xml:space="preserve"> PAGEREF _Toc216683337 \h </w:instrText>
      </w:r>
      <w:r>
        <w:rPr>
          <w:noProof/>
          <w:webHidden/>
        </w:rPr>
        <w:fldChar w:fldCharType="separate"/>
      </w:r>
      <w:r>
        <w:rPr>
          <w:noProof/>
          <w:webHidden/>
        </w:rPr>
        <w:t>27</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"_Toc216683338" </w:instrText>
      </w:r>
      <w:r>
        <w:rPr/>
        <w:fldChar w:fldCharType="separate"/>
      </w:r>
      <w:r>
        <w:rPr>
          <w:rStyle w:val="style85"/>
          <w:noProof/>
        </w:rPr>
        <w:t>Appendix C: Cultural Comparison – Bangladesh and Malaysia (Hofstede-Based Overview)</w:t>
      </w:r>
      <w:r>
        <w:rPr>
          <w:noProof/>
          <w:webHidden/>
        </w:rPr>
        <w:tab/>
      </w:r>
      <w:r>
        <w:rPr>
          <w:noProof/>
          <w:webHidden/>
        </w:rPr>
        <w:fldChar w:fldCharType="begin"/>
      </w:r>
      <w:r>
        <w:rPr>
          <w:noProof/>
          <w:webHidden/>
        </w:rPr>
        <w:instrText xml:space="preserve"> PAGEREF _Toc216683338 \h </w:instrText>
      </w:r>
      <w:r>
        <w:rPr>
          <w:noProof/>
          <w:webHidden/>
        </w:rPr>
        <w:fldChar w:fldCharType="separate"/>
      </w:r>
      <w:r>
        <w:rPr>
          <w:noProof/>
          <w:webHidden/>
        </w:rPr>
        <w:t>28</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"_Toc216683339" </w:instrText>
      </w:r>
      <w:r>
        <w:rPr/>
        <w:fldChar w:fldCharType="separate"/>
      </w:r>
      <w:r>
        <w:rPr>
          <w:rStyle w:val="style85"/>
          <w:noProof/>
        </w:rPr>
        <w:t>Appendix D: Malaysia – Market and Regulatory Environment Overview</w:t>
      </w:r>
      <w:r>
        <w:rPr>
          <w:noProof/>
          <w:webHidden/>
        </w:rPr>
        <w:tab/>
      </w:r>
      <w:r>
        <w:rPr>
          <w:noProof/>
          <w:webHidden/>
        </w:rPr>
        <w:fldChar w:fldCharType="begin"/>
      </w:r>
      <w:r>
        <w:rPr>
          <w:noProof/>
          <w:webHidden/>
        </w:rPr>
        <w:instrText xml:space="preserve"> PAGEREF _Toc216683339 \h </w:instrText>
      </w:r>
      <w:r>
        <w:rPr>
          <w:noProof/>
          <w:webHidden/>
        </w:rPr>
        <w:fldChar w:fldCharType="separate"/>
      </w:r>
      <w:r>
        <w:rPr>
          <w:noProof/>
          <w:webHidden/>
        </w:rPr>
        <w:t>29</w:t>
      </w:r>
      <w:r>
        <w:rPr>
          <w:noProof/>
          <w:webHidden/>
        </w:rPr>
        <w:fldChar w:fldCharType="end"/>
      </w:r>
      <w:r>
        <w:rPr/>
        <w:fldChar w:fldCharType="end"/>
      </w:r>
    </w:p>
    <w:p>
      <w:pPr>
        <w:pStyle w:val="style20"/>
        <w:tabs>
          <w:tab w:val="right" w:leader="none" w:pos="9350"/>
        </w:tabs>
        <w:spacing w:after="0"/>
        <w:rPr>
          <w:rFonts w:ascii="Cambria" w:cs="宋体" w:eastAsia="宋体" w:hAnsi="Cambria"/>
          <w:noProof/>
          <w:kern w:val="2"/>
          <w:lang w:val="en-US"/>
          <w14:ligatures xmlns:w14="http://schemas.microsoft.com/office/word/2010/wordml" w14:val="standardContextual"/>
        </w:rPr>
      </w:pPr>
      <w:r>
        <w:rPr/>
        <w:fldChar w:fldCharType="begin"/>
      </w:r>
      <w:r>
        <w:instrText xml:space="preserve"> HYPERLINK \l "_Toc216683340" </w:instrText>
      </w:r>
      <w:r>
        <w:rPr/>
        <w:fldChar w:fldCharType="separate"/>
      </w:r>
      <w:r>
        <w:rPr>
          <w:rStyle w:val="style85"/>
          <w:noProof/>
        </w:rPr>
        <w:t>Appendix E: Key Risks and Mitigation Measures</w:t>
      </w:r>
      <w:r>
        <w:rPr>
          <w:noProof/>
          <w:webHidden/>
        </w:rPr>
        <w:tab/>
      </w:r>
      <w:r>
        <w:rPr>
          <w:noProof/>
          <w:webHidden/>
        </w:rPr>
        <w:fldChar w:fldCharType="begin"/>
      </w:r>
      <w:r>
        <w:rPr>
          <w:noProof/>
          <w:webHidden/>
        </w:rPr>
        <w:instrText xml:space="preserve"> PAGEREF _Toc216683340 \h </w:instrText>
      </w:r>
      <w:r>
        <w:rPr>
          <w:noProof/>
          <w:webHidden/>
        </w:rPr>
        <w:fldChar w:fldCharType="separate"/>
      </w:r>
      <w:r>
        <w:rPr>
          <w:noProof/>
          <w:webHidden/>
        </w:rPr>
        <w:t>30</w:t>
      </w:r>
      <w:r>
        <w:rPr>
          <w:noProof/>
          <w:webHidden/>
        </w:rPr>
        <w:fldChar w:fldCharType="end"/>
      </w:r>
      <w:r>
        <w:rPr/>
        <w:fldChar w:fldCharType="end"/>
      </w:r>
    </w:p>
    <w:p>
      <w:pPr>
        <w:pStyle w:val="style0"/>
        <w:widowControl w:val="false"/>
        <w:tabs>
          <w:tab w:val="right" w:leader="none" w:pos="12000"/>
        </w:tabs>
        <w:spacing w:before="60" w:lineRule="auto" w:line="240"/>
        <w:ind w:left="360"/>
        <w:jc w:val="left"/>
        <w:rPr>
          <w:rFonts w:cs="Arial" w:eastAsia="Arial"/>
          <w:color w:val="000000"/>
          <w:sz w:val="22"/>
          <w:szCs w:val="22"/>
        </w:rPr>
      </w:pPr>
      <w:r>
        <w:rPr/>
        <w:fldChar w:fldCharType="end"/>
      </w:r>
    </w:p>
    <w:p>
      <w:pPr>
        <w:pStyle w:val="style0"/>
        <w:rPr/>
      </w:pPr>
    </w:p>
    <w:p>
      <w:pPr>
        <w:pStyle w:val="style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bookmarkStart w:id="17" w:name="_Toc216683311"/>
    <w:p>
      <w:pPr>
        <w:pStyle w:val="style1"/>
        <w:rPr/>
      </w:pPr>
      <w:r>
        <w:t>2. Introduction</w:t>
      </w:r>
      <w:bookmarkEnd w:id="17"/>
    </w:p>
    <w:p>
      <w:pPr>
        <w:pStyle w:val="style0"/>
        <w:spacing w:before="240" w:after="240"/>
        <w:rPr/>
      </w:pPr>
      <w:r>
        <w:t xml:space="preserve">One of the most successful multinational seafood exporters in the country is Seamark Bangladesh that exports and delivers shrimp, fish, and value-added products to rather strict markets, including the United Kingdom and the European Union (Seamark (BD) Ltd, 2025). Its operations worldwide are enhanced by its state-of-the-art processing plants, international certifications and well-developed distribution channels. Malaysia is an emerging market with a high potential of growth since it has a fast-growing consumption of sea foods, effective halal regulatory body, good trade environment, and strategic location in the ASEAN region (Sakib, 2022; </w:t>
      </w:r>
      <w:r>
        <w:t>Gwaltu</w:t>
      </w:r>
      <w:r>
        <w:t xml:space="preserve">, 2025). This report aims at reviewing the potential of Seamark to expand into Malaysia based on its current international operations through the OLI framework, culture and operational needs. The scope will involve determination of the benefits and challenges, determination of ownership-location-internalisation advantages, cultural differences, and the suggestions of the standard operating procedure (SOP) amendments necessary to achieve a successful market entry. It is </w:t>
      </w:r>
      <w:r>
        <w:t>analysed</w:t>
      </w:r>
      <w:r>
        <w:t xml:space="preserve"> on the basis of secondary data, international business theories, and models that are based on the academic and practical frameworks of the module.</w:t>
      </w: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bookmarkStart w:id="18" w:name="_Toc216683312"/>
    <w:p>
      <w:pPr>
        <w:pStyle w:val="style1"/>
        <w:rPr/>
      </w:pPr>
      <w:r>
        <w:t>3. Benefits &amp; Challenges of International Operations</w:t>
      </w:r>
      <w:bookmarkEnd w:id="18"/>
    </w:p>
    <w:bookmarkStart w:id="19" w:name="_Toc216683313"/>
    <w:p>
      <w:pPr>
        <w:pStyle w:val="style2"/>
        <w:rPr/>
      </w:pPr>
      <w:r>
        <w:t>3.1 Why Seamark qualifies as an MNC/TNC</w:t>
      </w:r>
      <w:bookmarkEnd w:id="19"/>
    </w:p>
    <w:p>
      <w:pPr>
        <w:pStyle w:val="style0"/>
        <w:spacing w:before="240" w:after="240"/>
        <w:rPr/>
      </w:pPr>
      <w:r>
        <w:t xml:space="preserve">The transnational nature of Seamark Bangladesh as a corporation is because it has an operational presence beyond its host country into the United Kingdom and the European Union markets at large. Its business model is anchored on the export of processed sea foods produced in Bangladesh to foreign consumers, which generates an export-based global supply chain, which needs coordinators of various regulatory frameworks, logistics systems, and consumer markets. The subsidiary of Seamark, the UK-based Seamark plc, is in charge of distribution, sales, and customer relations of Europe, which demonstrates the integration of ownership and operations on a cross-border level (Cossu et al., 2025). The structure is representative of the major features of TNCs, which include control over operations in over one country, strategic control but market-level decentralisation, and the provision of customers across the globe, which are globally dispersed (Kurniawan, Suparno &amp; </w:t>
      </w:r>
      <w:r>
        <w:t>Vanany</w:t>
      </w:r>
      <w:r>
        <w:t>, 2025</w:t>
      </w:r>
      <w:r>
        <w:t>) .</w:t>
      </w:r>
      <w:r>
        <w:t xml:space="preserve"> The fact that the company has been able to coordinate the production process in Bangladesh with distribution and branding processes in Europe indicates its capability to act as a transnational organisation having global strategic interests and multi-market involvement.</w:t>
      </w:r>
    </w:p>
    <w:bookmarkStart w:id="20" w:name="_Toc216683314"/>
    <w:p>
      <w:pPr>
        <w:pStyle w:val="style2"/>
        <w:rPr/>
      </w:pPr>
      <w:r>
        <w:t>3.2 Summary of Seamark’s Global Value Chain (GVC)</w:t>
      </w:r>
      <w:bookmarkEnd w:id="20"/>
    </w:p>
    <w:p>
      <w:pPr>
        <w:pStyle w:val="style0"/>
        <w:spacing w:before="240" w:after="240"/>
        <w:rPr/>
      </w:pPr>
      <w:r>
        <w:t>The global value chain of Seamark starts with the sourcing process whereby shrimp and fish are purchased in the aquaculture farms and the coastal fishing communities located in the Cox's Bazar, Chattogram and Khulna in Bangladesh. The areas comprise the heart of the supply base of Bangladesh seafood industry because of the well-established aquaculture, skilled labour force and marine resources (Charlebois et al., 2024). Seamark has very good relations with the farmers, suppliers and the local procurement agents which allows the company to apply quality standards, traceability and help in the practice of sustainable harvesting. This integration upstream is very essential, because quality of raw materials is a direct determinant of the export preparedness, particularly on the rigid markets like UK and EU.</w:t>
      </w:r>
    </w:p>
    <w:p>
      <w:pPr>
        <w:pStyle w:val="style0"/>
        <w:spacing w:before="240" w:after="240"/>
        <w:rPr/>
      </w:pPr>
      <w:r>
        <w:t>Processing and manufacturing part of the operations contributes a lot of value to the operations of Seamark. Seafood that is sent to the HACCP compliant facilities of the company is clean, graded, cut, frozen, packaged and in some instances prepared with added value like marinated or ready to cook. These food processing plants are managed by global food safety guidelines such as BRC and ISO certification that involve strict hygiene regulations, regular audit of the plant, and process records. The value addition in this case is the processing of raw seafood into exportable, uniform and quality products to meet the requirements of the international market.</w:t>
      </w:r>
    </w:p>
    <w:p>
      <w:pPr>
        <w:pStyle w:val="style0"/>
        <w:spacing w:before="240" w:after="240"/>
        <w:rPr/>
      </w:pPr>
      <w:r>
        <w:t>Cold-chain logistics have been the core of the value chain at Seamark since seafood is the most susceptible food and needs continuous maintenance of temperature. The firm uses blast freezers, insulated containers and temperature-controlled transportation tools to ensure that the products are well preserved between the factory and the port and also on the voyage to the foreign markets (Campo &amp; Reyes, 2024). Export records such as sanitary certificates, traceability records and customs records are carefully prepared to meet the conformity requirements in the host markets. This type of complicated cold-chain processes safeguards the quality of products, minimize possible spoilage, and increase the confidence of the customers.</w:t>
      </w:r>
    </w:p>
    <w:p>
      <w:pPr>
        <w:pStyle w:val="style0"/>
        <w:spacing w:before="240" w:after="240"/>
        <w:rPr/>
      </w:pPr>
      <w:r>
        <w:t xml:space="preserve">One of the downstream activities of the Seamark global value chain is its distribution hub in the UK. This is the point where the company manages warehousing, distribution to supermarkets and restaurants, order fulfilment and coordination with the European clients. Customer service and market intelligence is also done by the UK subsidiary where Seamark is able to localise its products to meet the tastes and demand trends of the region. This downstream </w:t>
      </w:r>
      <w:r>
        <w:t>operational presence</w:t>
      </w:r>
      <w:r>
        <w:t xml:space="preserve"> establishes a great connection between production in Bangladesh and the market demand in Europe.</w:t>
      </w:r>
    </w:p>
    <w:p>
      <w:pPr>
        <w:pStyle w:val="style0"/>
        <w:spacing w:before="240" w:after="240"/>
        <w:rPr/>
      </w:pPr>
      <w:r>
        <w:t xml:space="preserve">Sales and marketing activities strengthen the presence of Seamark in the world. The company markets itself as a provider of high-quality, safe, and halal-certified seafood that will attract both the mainstream market and communities of Asian diasporas. Quality, sustainability and compliance are some of the aspects of branding that focus on international markets. The systems of sustainability and compliance operate across the </w:t>
      </w:r>
      <w:r>
        <w:t>value chain and follow ethical sourcing, environmental standards, and traceability expectations. All these combined value-chain attributes can be seen as the capacity of Seamark to compete successfully on the global arena.</w:t>
      </w:r>
    </w:p>
    <w:bookmarkStart w:id="21" w:name="_Toc216683315"/>
    <w:p>
      <w:pPr>
        <w:pStyle w:val="style2"/>
        <w:keepNext w:val="false"/>
        <w:keepLines w:val="false"/>
        <w:spacing w:before="360" w:after="80"/>
        <w:rPr/>
      </w:pPr>
      <w:r>
        <w:t>3.3 Entry modes used by Seamark internationally</w:t>
      </w:r>
      <w:bookmarkEnd w:id="21"/>
    </w:p>
    <w:p>
      <w:pPr>
        <w:pStyle w:val="style0"/>
        <w:spacing w:before="240" w:after="240"/>
        <w:rPr/>
      </w:pPr>
      <w:r>
        <w:t>Exporting has been the key entry mode in internationalisation of Seamark and the leading mode of entry. Exporting enables the company to utilize the competitive advantage in Bangladesh at processing seafood whilst tapping into those high-value international markets at a relatively low fixed investment in the foreign market. This model will minimize risk and help Seamark concentrate its capital on the efficiency of production, certification and reliability of supply-chain (Alam, Haque &amp; Santi, 2024). Through direct export of products to large retailers, wholesalers, and food-service customers, Seamark can maintain the quality and product specifications, which is a requirement in highly regulated markets like the UK and the EU.</w:t>
      </w:r>
    </w:p>
    <w:p>
      <w:pPr>
        <w:pStyle w:val="style0"/>
        <w:spacing w:before="240" w:after="240"/>
        <w:rPr/>
      </w:pPr>
      <w:r>
        <w:t>It is also operating with its subsidiary in the UK, Seamark plc, which is a distribution and sales hub. This mode of operation is similar to a foreign direct investment (FDI) mode since Seamark has ownership and control over business operations beyond Bangladesh. The subsidiary helps the company to deal directly with the customers, warehousing, product configuration, and reaction to the European market preferences (</w:t>
      </w:r>
      <w:r>
        <w:t>Kurniawati</w:t>
      </w:r>
      <w:r>
        <w:t xml:space="preserve"> &amp; </w:t>
      </w:r>
      <w:r>
        <w:t>Cakravastia</w:t>
      </w:r>
      <w:r>
        <w:t>, 2023). Despite the fact that Seamark has not been an overt seeker of joint ventures in the past, the internationalization of the firm in the global markets has proved to have more and more diverse openness to joint ventures that favour product diversification, market penetration, and co-branding prospects.</w:t>
      </w:r>
    </w:p>
    <w:p>
      <w:pPr>
        <w:pStyle w:val="style0"/>
        <w:spacing w:before="240" w:after="240"/>
        <w:rPr/>
      </w:pPr>
      <w:r>
        <w:t xml:space="preserve">In the case of expansion to Malaysia, theoretically a number of entry modes exist. Export-led distribution is the least complex method that enables Seamark to make an entry in the market with small investment and utilize the existing cold-chain systems. Nevertheless, Malaysian stringent halal policies, competitive seafood sector and the significance of relational business relationships imply that the value of exportation alone can be a constraint to the scaling capability of Seamark (Sakib, 2022). A joint venture with a </w:t>
      </w:r>
      <w:r>
        <w:t xml:space="preserve">Malaysian distributor/processor is a balanced alternative, which offers local market knowledge, regulatory leanings, and entry to pre-existing retail networks. Another potential theoretical entry mode is acquisition, which is more inappropriate as it is quite expensive, complicated, and incompatible with the history of expansion that Seamark had. On the whole, the internationalisation pattern of Seamark indicates that exporting and selective partnership are the most consistent models that the company can adopt in relation to its resources and strategic path (Lubis &amp; </w:t>
      </w:r>
      <w:r>
        <w:t>Muniapan</w:t>
      </w:r>
      <w:r>
        <w:t>, 2024).</w:t>
      </w:r>
    </w:p>
    <w:bookmarkStart w:id="22" w:name="_Toc216683316"/>
    <w:p>
      <w:pPr>
        <w:pStyle w:val="style2"/>
        <w:numPr>
          <w:ilvl w:val="1"/>
          <w:numId w:val="1"/>
        </w:numPr>
        <w:rPr/>
      </w:pPr>
      <w:r>
        <w:t>Benefits of international operations</w:t>
      </w:r>
      <w:bookmarkEnd w:id="22"/>
    </w:p>
    <w:p>
      <w:pPr>
        <w:pStyle w:val="style179"/>
        <w:numPr>
          <w:ilvl w:val="0"/>
          <w:numId w:val="4"/>
        </w:numPr>
        <w:spacing w:before="240"/>
        <w:rPr/>
      </w:pPr>
      <w:r>
        <w:t xml:space="preserve">The fact that Seamark is a participant in international markets is </w:t>
      </w:r>
      <w:r>
        <w:t>extremel</w:t>
      </w:r>
      <w:r>
        <w:t xml:space="preserve"> </w:t>
      </w:r>
      <w:r>
        <w:t>advantageous, as access to developed markets such as the UK and EU enables higher margins due to strong</w:t>
      </w:r>
      <w:r>
        <w:t xml:space="preserve"> </w:t>
      </w:r>
      <w:r>
        <w:t>demand and premium pricing for high-quality</w:t>
      </w:r>
      <w:r>
        <w:t xml:space="preserve"> </w:t>
      </w:r>
      <w:r>
        <w:t>seafood.</w:t>
      </w:r>
      <w:r>
        <w:t xml:space="preserve"> </w:t>
      </w:r>
      <w:r>
        <w:t>These incremental revenues allow the company to reinvest in sophisticated</w:t>
      </w:r>
      <w:r>
        <w:t xml:space="preserve"> </w:t>
      </w:r>
      <w:r>
        <w:t>processing</w:t>
      </w:r>
      <w:r>
        <w:t xml:space="preserve"> </w:t>
      </w:r>
      <w:r>
        <w:t>technologies, certification renewals, and quality enhancements,</w:t>
      </w:r>
      <w:r>
        <w:t xml:space="preserve"> </w:t>
      </w:r>
      <w:r>
        <w:t>supporting</w:t>
      </w:r>
      <w:r>
        <w:t xml:space="preserve"> </w:t>
      </w:r>
      <w:r>
        <w:t>long-term</w:t>
      </w:r>
      <w:r>
        <w:t xml:space="preserve"> </w:t>
      </w:r>
      <w:r>
        <w:t>operational</w:t>
      </w:r>
      <w:r>
        <w:t xml:space="preserve"> </w:t>
      </w:r>
      <w:r>
        <w:t>resilience.</w:t>
      </w:r>
    </w:p>
    <w:p>
      <w:pPr>
        <w:pStyle w:val="style179"/>
        <w:numPr>
          <w:ilvl w:val="0"/>
          <w:numId w:val="4"/>
        </w:numPr>
        <w:spacing w:before="240"/>
        <w:rPr/>
      </w:pPr>
      <w:r>
        <w:t>International operations mitigate business risk through geographic diversification, ensuring that Seamark is less affected by local shocks such as supply volatility, regulatory impositions, or economic recession in Bangladesh (</w:t>
      </w:r>
      <w:r>
        <w:t>Abdulraof</w:t>
      </w:r>
      <w:r>
        <w:t>, 2024).</w:t>
      </w:r>
      <w:r>
        <w:t xml:space="preserve"> </w:t>
      </w:r>
    </w:p>
    <w:p>
      <w:pPr>
        <w:pStyle w:val="style179"/>
        <w:numPr>
          <w:ilvl w:val="0"/>
          <w:numId w:val="4"/>
        </w:numPr>
        <w:spacing w:before="240"/>
        <w:rPr/>
      </w:pPr>
      <w:r>
        <w:t>Working abroad strengthens Seamark’s brand reputation and trust, as its presence in large retail stores, food service customers, and the hospitality industry reinforces its image as a reliable supplier of quality and halal-certified seafood.</w:t>
      </w:r>
    </w:p>
    <w:p>
      <w:pPr>
        <w:pStyle w:val="style179"/>
        <w:numPr>
          <w:ilvl w:val="0"/>
          <w:numId w:val="4"/>
        </w:numPr>
        <w:spacing w:before="240"/>
        <w:rPr/>
      </w:pPr>
      <w:r>
        <w:t>Global exposure enables Seamark to adopt global best practices, improve packaging design, embrace sustainability standards, and respond to changing consumer trends, thereby enhancing long-term competitiveness.</w:t>
      </w:r>
    </w:p>
    <w:p>
      <w:pPr>
        <w:pStyle w:val="style0"/>
        <w:spacing w:after="240"/>
        <w:rPr/>
      </w:pPr>
    </w:p>
    <w:p>
      <w:pPr>
        <w:pStyle w:val="style0"/>
        <w:spacing w:after="240"/>
        <w:rPr/>
      </w:pPr>
    </w:p>
    <w:p>
      <w:pPr>
        <w:pStyle w:val="style0"/>
        <w:spacing w:after="240"/>
        <w:rPr/>
      </w:pPr>
    </w:p>
    <w:p>
      <w:pPr>
        <w:pStyle w:val="style0"/>
        <w:spacing w:after="240"/>
        <w:rPr/>
      </w:pPr>
    </w:p>
    <w:bookmarkStart w:id="23" w:name="_Toc216683317"/>
    <w:p>
      <w:pPr>
        <w:pStyle w:val="style2"/>
        <w:rPr/>
      </w:pPr>
      <w:r>
        <w:t xml:space="preserve">3.5 </w:t>
      </w:r>
      <w:r>
        <w:t>Challenges faced by Seamark</w:t>
      </w:r>
      <w:bookmarkEnd w:id="23"/>
    </w:p>
    <w:p>
      <w:pPr>
        <w:pStyle w:val="style0"/>
        <w:spacing w:before="240"/>
        <w:rPr/>
      </w:pPr>
      <w:r>
        <w:t xml:space="preserve">1. </w:t>
      </w:r>
      <w:r>
        <w:t>Although Seamark has competitive advantages, it faces several challenges in international markets, particularly strict food safety standards in the UK and EU that require continuous investment in documentation, facility upgrades, and certification renewals, where any inspection failure may lead to costly shipment rejections or delays.</w:t>
      </w:r>
    </w:p>
    <w:p>
      <w:pPr>
        <w:pStyle w:val="style0"/>
        <w:spacing w:before="240"/>
        <w:rPr/>
      </w:pPr>
      <w:r>
        <w:t xml:space="preserve">2. </w:t>
      </w:r>
      <w:r>
        <w:t>Operations are further complicated by supply fluctuations in Bangladesh, as production volumes are affected by climate variability, shrimp disease outbreaks, and seasonal disturbances, which can undermine the ability to meet overseas demand consistently (</w:t>
      </w:r>
      <w:r>
        <w:t>Harsanto</w:t>
      </w:r>
      <w:r>
        <w:t>, 2024a).</w:t>
      </w:r>
    </w:p>
    <w:p>
      <w:pPr>
        <w:pStyle w:val="style0"/>
        <w:spacing w:before="240"/>
        <w:rPr/>
      </w:pPr>
      <w:r>
        <w:t xml:space="preserve">3. </w:t>
      </w:r>
      <w:r>
        <w:t>Financial volatility presents another challenge, as exchange rate fluctuations affect revenue stability while rising global freight, fuel, and packaging costs increase overall operational expenses (</w:t>
      </w:r>
      <w:r>
        <w:t>Mabkhot</w:t>
      </w:r>
      <w:r>
        <w:t>, 2023).</w:t>
      </w:r>
    </w:p>
    <w:p>
      <w:pPr>
        <w:pStyle w:val="style0"/>
        <w:spacing w:before="240"/>
        <w:rPr/>
      </w:pPr>
      <w:r>
        <w:t xml:space="preserve">4. </w:t>
      </w:r>
      <w:r>
        <w:t>Seamark also faces intense competition from countries such as Vietnam, India, and Indonesia, which possess advanced aquaculture industries, government support, technological advantages, and well-developed cold-chain infrastructures.</w:t>
      </w:r>
    </w:p>
    <w:p>
      <w:pPr>
        <w:pStyle w:val="style0"/>
        <w:spacing w:before="240"/>
        <w:rPr>
          <w:rFonts w:cs="Arial" w:eastAsia="Arial"/>
          <w:sz w:val="22"/>
          <w:szCs w:val="22"/>
        </w:rPr>
      </w:pPr>
      <w:r>
        <w:t xml:space="preserve">5. </w:t>
      </w:r>
      <w:r>
        <w:t>Entry into Asian markets like Malaysia introduces additional challenges related to cultural and business practices, halal regulatory compliance, negotiation styles, and logistical risks such as port congestion, container shortages, and increasing cold-chain costs.</w:t>
      </w:r>
      <w:r>
        <w:br/>
      </w: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bookmarkStart w:id="24" w:name="_Toc216683318"/>
    <w:p>
      <w:pPr>
        <w:pStyle w:val="style1"/>
        <w:rPr/>
      </w:pPr>
      <w:r>
        <w:t>4</w:t>
      </w:r>
      <w:r>
        <w:t>. Impact of Ownership, Location and Internalisation (OLI) Factors on Market Entry Mode</w:t>
      </w:r>
      <w:bookmarkEnd w:id="24"/>
    </w:p>
    <w:bookmarkStart w:id="25" w:name="_Toc216683319"/>
    <w:p>
      <w:pPr>
        <w:pStyle w:val="style2"/>
        <w:rPr/>
      </w:pPr>
      <w:r>
        <w:t>4</w:t>
      </w:r>
      <w:r>
        <w:t xml:space="preserve">.1 Ownership (O) </w:t>
      </w:r>
      <w:r>
        <w:t>Factors</w:t>
      </w:r>
      <w:bookmarkEnd w:id="25"/>
    </w:p>
    <w:p>
      <w:pPr>
        <w:pStyle w:val="style0"/>
        <w:spacing w:before="240" w:after="240"/>
        <w:rPr/>
      </w:pPr>
      <w:r>
        <w:t>Seamark Bangladesh has a high ownership strength that can make it competitive in its expansion to Malaysia. It has a long-established reputation within the European seafood market, which is one of the most important strengths since it has managed to comply with the strict regulatory framework and has been able to sustain the overall business relationships with commercially reputable retailers and hospitality customers over the course of its operation. Such reputation internationally means reliability and quality which increases the credibility of Seamark in new markets. Competitors can hardly imitate such brand equity and it is an intangible asset that strengthens the advantages of Seamark that are unique to the company.</w:t>
      </w:r>
    </w:p>
    <w:p>
      <w:pPr>
        <w:pStyle w:val="style0"/>
        <w:spacing w:before="240" w:after="240"/>
        <w:rPr/>
      </w:pPr>
      <w:r>
        <w:t>The other key ownership strength is the internationally recognised food safety and quality certifications that the company has such as BRC, ISO, and Halal accreditations. These certifications also show that Seamark cares about the global standards and would have an advantage in the competitive markets where consumers and regulators are very keen on the imported seafood (</w:t>
      </w:r>
      <w:r>
        <w:t>Mabkhot</w:t>
      </w:r>
      <w:r>
        <w:t>, 2023). Malaysia, where the compliance towards halal assurance and food safety are at the centre of consumer trust, has a high value on such certifications. Based on this, the portfolio of its current certifications enhances the capacity of Seamark to enter the market and offers instant credibility.</w:t>
      </w:r>
    </w:p>
    <w:p>
      <w:pPr>
        <w:pStyle w:val="style0"/>
        <w:spacing w:before="240" w:after="240"/>
        <w:rPr/>
      </w:pPr>
      <w:r>
        <w:t>The sophisticated processing experience that Seamark has is also a key ownership strength. With years of service to its challenging global markets, the company has perfected its processing techniques, cold-chain management, and quality control systems in order to achieve the integrity of its products. This operational excellence involves proprietary formulae of value-added seafood products, which gives it differentiation and enables Seamark to deliver unique products based on the regional taste.</w:t>
      </w:r>
    </w:p>
    <w:bookmarkStart w:id="26" w:name="_Toc216683320"/>
    <w:p>
      <w:pPr>
        <w:pStyle w:val="style2"/>
        <w:rPr/>
      </w:pPr>
      <w:r>
        <w:t xml:space="preserve">4.2 Location (L) </w:t>
      </w:r>
      <w:r>
        <w:t>Factors</w:t>
      </w:r>
      <w:r>
        <w:t xml:space="preserve"> of Malaysia</w:t>
      </w:r>
      <w:bookmarkEnd w:id="26"/>
    </w:p>
    <w:p>
      <w:pPr>
        <w:pStyle w:val="style0"/>
        <w:spacing w:before="240" w:after="240"/>
        <w:rPr/>
      </w:pPr>
      <w:r>
        <w:t>Malaysia also presents an excellent combination of location-specific factors that could make the country a good choice of Seamark to expand internationally. Increasing incomes, urbanisation and consumption of fish and shellfish has seen the country experience consistent growth in consumption of its seafood products as a staple source of proteins (Masood &amp; Lee, 2025). Malaysian consumers are also increasingly demanding high-end, imported, and halal-certified seafood products, which Seamark can vigorously compete in. This is an expanding market that can offer short term sales and long-term expansion.</w:t>
      </w:r>
    </w:p>
    <w:p>
      <w:pPr>
        <w:pStyle w:val="style0"/>
        <w:spacing w:before="240" w:after="240"/>
        <w:rPr/>
      </w:pPr>
      <w:r>
        <w:t>Malaysia has a major location strength of having a robust halal regulatory regime that has many similarities with the halal production processes in Bangladesh. The halal certification body in Malaysia, JAKIM, is respected internationally and dominates in controlling the imports of food. The current halal certification of Seamark puts it in a good position to commence with, as efforts to comply with JAKIM standards would be much easier and the market entry would also be forced (Nguyen et al., 2023). The fact that the two countries are culturally and religiously compatible would also facilitate the acceptance of Seamark more, particularly in the retail and hospitality industries where it is so important to have a halal assurance.</w:t>
      </w:r>
    </w:p>
    <w:p>
      <w:pPr>
        <w:pStyle w:val="style0"/>
        <w:spacing w:before="240" w:after="240"/>
        <w:rPr/>
      </w:pPr>
      <w:r>
        <w:t>The large Bangladeshi diaspora established in Malaysia is also a location strength that is unique. This community is already aware of the Bangladeshi seafood products and it can be the first segment of adopting the brand and acting as an ambassador. Their presence facilitates easy market penetration and probability of sustained product demand especially within the ethnic grocery stores and food outlets.</w:t>
      </w:r>
    </w:p>
    <w:p>
      <w:pPr>
        <w:pStyle w:val="style0"/>
        <w:spacing w:before="240" w:after="240"/>
        <w:rPr/>
      </w:pPr>
      <w:r>
        <w:t>The well-developed logistic network in Malaysia, consisting of modern ports, cold-storage systems, and well-developed inland distribution systems, makes the country favourable to control the import of seafood which is subject to temperature changes. Incentives such as MIDA also provide investment stimulus in the country especially in food processing, halal industries and export-based partnerships.</w:t>
      </w:r>
    </w:p>
    <w:bookmarkStart w:id="27" w:name="_Toc216683321"/>
    <w:p>
      <w:pPr>
        <w:pStyle w:val="style2"/>
        <w:rPr/>
      </w:pPr>
      <w:r>
        <w:t xml:space="preserve">4.3 Internalisation (I) </w:t>
      </w:r>
      <w:r>
        <w:t>Factors</w:t>
      </w:r>
      <w:bookmarkEnd w:id="27"/>
      <w:r>
        <w:t xml:space="preserve"> </w:t>
      </w:r>
    </w:p>
    <w:p>
      <w:pPr>
        <w:pStyle w:val="style0"/>
        <w:spacing w:before="240" w:after="240"/>
        <w:rPr/>
      </w:pPr>
      <w:r>
        <w:t>Internalisation has great benefits to Seamark in the control of its expansion to Malaysia. Seafood is very perishable and cannot withstand handling conditions, and a high level of control in operations is of paramount importance. Seamark can decrease these risks related to spoilage, contamination, or changes in temperature by internalising the processes of procurement control, cold-chain, and quality assurance at the final stage (</w:t>
      </w:r>
      <w:r>
        <w:t>Harsanto</w:t>
      </w:r>
      <w:r>
        <w:t>, 2024b). The internal control assists the firm in maintaining uniformity throughout the supply-chain processes, which reinforces its image of quality and timeliness.</w:t>
      </w:r>
    </w:p>
    <w:p>
      <w:pPr>
        <w:pStyle w:val="style0"/>
        <w:spacing w:before="240" w:after="240"/>
        <w:rPr/>
      </w:pPr>
      <w:r>
        <w:t>The other major issue in the seafood industry is traceability. The existing internal documentation, audit trail and certification management practices of the Seamark enable the company to be in compliance with the international food safety practices. Internalisation of these functions enables the firm to do without the intermediaries who might not even be as committed, knowledgeable, or transparent to mitigate the level of regulatory and reputational risks.</w:t>
      </w:r>
    </w:p>
    <w:p>
      <w:pPr>
        <w:pStyle w:val="style0"/>
        <w:spacing w:before="240" w:after="240"/>
        <w:rPr/>
      </w:pPr>
      <w:r>
        <w:t>Internalisation is also advantageous to Seamark in its proprietary processing methods and value-added product formulations. It is important to safeguard these intellectual properties as a way of ensuring that competitive markets retain differentiation (Perdana, 2025). The internalisation of operational decision making also helps in maintaining the halal and food safety requirements through a keen eye especially in the scrutinised market in Malaysia. Generally, internalisation enhances control, minimises uncertainties, and maintains competitive advantages of Seamark.</w:t>
      </w: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bookmarkStart w:id="28" w:name="_Toc216683322"/>
    <w:p>
      <w:pPr>
        <w:pStyle w:val="style2"/>
        <w:rPr/>
      </w:pPr>
      <w:r>
        <w:t>4.4 OLI-based recommended entry mode</w:t>
      </w:r>
      <w:bookmarkEnd w:id="28"/>
    </w:p>
    <w:p>
      <w:pPr>
        <w:pStyle w:val="style0"/>
        <w:spacing w:before="240" w:after="240"/>
        <w:rPr/>
      </w:pPr>
      <w:r>
        <w:t>According to the combined OLI analysis, the best-suited entry mode that Seamark can use to expand into Malaysia is a joint venture with a local distributor or processor of seafood. The favourable market entry conditions in Malaysia are due to high location strengths, including the presence of growing demand in sea food, superior logistics, alignment of the country with halal regulations, and the high number of diaspora population (</w:t>
      </w:r>
      <w:r>
        <w:t>Rizki</w:t>
      </w:r>
      <w:r>
        <w:t xml:space="preserve"> et al., 2024). Yet, it may be complicated to overcome Malaysian halal rules, distribution channels, and cultural pressures in case a foreign company enters independently. The joint venture helps in overcoming these challenges because Seamark can tap the local expertise, regulatory skills, and market channel.</w:t>
      </w: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p>
      <w:pPr>
        <w:pStyle w:val="style0"/>
        <w:spacing w:before="240" w:after="240"/>
        <w:rPr/>
      </w:pPr>
    </w:p>
    <w:bookmarkStart w:id="29" w:name="_Toc216683323"/>
    <w:p>
      <w:pPr>
        <w:pStyle w:val="style1"/>
        <w:rPr/>
      </w:pPr>
      <w:r>
        <w:t>5. Cultural Differences &amp; Their Impact</w:t>
      </w:r>
      <w:bookmarkEnd w:id="29"/>
      <w:r>
        <w:t xml:space="preserve"> </w:t>
      </w:r>
    </w:p>
    <w:bookmarkStart w:id="30" w:name="_Toc216683324"/>
    <w:p>
      <w:pPr>
        <w:pStyle w:val="style2"/>
        <w:rPr/>
      </w:pPr>
      <w:r>
        <w:t>5.1 Cultural Diagnostic Using Hofstede</w:t>
      </w:r>
      <w:bookmarkEnd w:id="30"/>
    </w:p>
    <w:p>
      <w:pPr>
        <w:pStyle w:val="style0"/>
        <w:spacing w:before="240" w:after="240"/>
        <w:rPr/>
      </w:pPr>
      <w:r>
        <w:t xml:space="preserve">This section applies </w:t>
      </w:r>
      <w:r>
        <w:rPr>
          <w:b/>
          <w:bCs/>
        </w:rPr>
        <w:t>Hofstede’s cultural dimensions model</w:t>
      </w:r>
      <w:r>
        <w:t xml:space="preserve"> to analyse cultural similarities and differences between Bangladesh and Malaysia and to assess their implications for Seamark’s proposed market entry. Hofstede’s framework is widely used in international business to evaluate how national culture influences organisational structure, managerial behaviour, and cross-border operations.</w:t>
      </w:r>
    </w:p>
    <w:p>
      <w:pPr>
        <w:pStyle w:val="style0"/>
        <w:spacing w:before="240" w:after="240"/>
        <w:rPr>
          <w:b/>
          <w:bCs/>
        </w:rPr>
      </w:pPr>
      <w:r>
        <w:rPr>
          <w:b/>
          <w:bCs/>
        </w:rPr>
        <w:t>Power Distance</w:t>
      </w:r>
    </w:p>
    <w:p>
      <w:pPr>
        <w:pStyle w:val="style0"/>
        <w:spacing w:before="240" w:after="240"/>
        <w:rPr/>
      </w:pPr>
      <w:r>
        <w:t>It can be analysed that both Bangladesh and Malaysia have high power distance, which implies that the hierarchical organisational structure and top-down decision making are widely accepted. Formal leadership positions, seniority and authority are very esteemed in such cultures. It implies that the current management at Seamark can be adopted to Malaysia with the lowest resistance of the structure, which will lower managerial adjustment cost and organisational friction in venturing in the market (Sahari et al., 2024).</w:t>
      </w:r>
    </w:p>
    <w:p>
      <w:pPr>
        <w:pStyle w:val="style0"/>
        <w:spacing w:before="240" w:after="240"/>
        <w:rPr>
          <w:b/>
          <w:bCs/>
        </w:rPr>
      </w:pPr>
      <w:r>
        <w:rPr>
          <w:b/>
          <w:bCs/>
        </w:rPr>
        <w:t>Individualism and Collectivism.</w:t>
      </w:r>
    </w:p>
    <w:p>
      <w:pPr>
        <w:pStyle w:val="style0"/>
        <w:spacing w:before="240" w:after="240"/>
        <w:rPr/>
      </w:pPr>
      <w:r>
        <w:t xml:space="preserve">Both Malaysia and Bangladesh are </w:t>
      </w:r>
      <w:r>
        <w:t>collectivist-oriented</w:t>
      </w:r>
      <w:r>
        <w:t xml:space="preserve"> countries, in which group harmony, loyalty and </w:t>
      </w:r>
      <w:r>
        <w:t>long-term</w:t>
      </w:r>
      <w:r>
        <w:t xml:space="preserve"> relationships are taken to be more important than individual success. The cultural alignment is specifically applicable in the case of Seamark since its international business is based on long-term associations with its suppliers, distributors, certification organizations, and regulatory organizations. Collectivist business environment helps in trusting alliances, collaboration and long-term business relationships, which are essential at market entry and initial business operations.</w:t>
      </w:r>
    </w:p>
    <w:p>
      <w:pPr>
        <w:pStyle w:val="style0"/>
        <w:spacing w:before="240" w:after="240"/>
        <w:rPr>
          <w:b/>
          <w:bCs/>
        </w:rPr>
      </w:pPr>
      <w:r>
        <w:rPr>
          <w:b/>
          <w:bCs/>
        </w:rPr>
        <w:t>Uncertainty Avoidance</w:t>
      </w:r>
    </w:p>
    <w:p>
      <w:pPr>
        <w:pStyle w:val="style0"/>
        <w:spacing w:before="240" w:after="240"/>
        <w:rPr/>
      </w:pPr>
      <w:r>
        <w:t xml:space="preserve">In terms of uncertainty avoidance, the two countries are on moderate scores, which means they prefer formal rules and procedures although the flexibility in business </w:t>
      </w:r>
      <w:r>
        <w:t>practices exists. This cultural aspect is in tandem with the well-organized regulatory conditions of food safety and halal compliance of either market. It helps to facilitate the acceptance of standardised operating procedures that are not too rigid and allow Seamark to be compliant and responsive to local operational needs (Hopkins et al., 2024).</w:t>
      </w:r>
    </w:p>
    <w:p>
      <w:pPr>
        <w:pStyle w:val="style0"/>
        <w:spacing w:before="240" w:after="240"/>
        <w:rPr>
          <w:b/>
          <w:bCs/>
        </w:rPr>
      </w:pPr>
      <w:r>
        <w:rPr>
          <w:b/>
          <w:bCs/>
        </w:rPr>
        <w:t>Cultural and Religious Alignment.</w:t>
      </w:r>
    </w:p>
    <w:p>
      <w:pPr>
        <w:pStyle w:val="style0"/>
        <w:spacing w:before="240" w:after="240"/>
        <w:rPr/>
      </w:pPr>
      <w:r>
        <w:t xml:space="preserve">Moreover, the similarity in the values of Islam in both cultures supports consistency in morality, business practices, and practices of </w:t>
      </w:r>
      <w:r>
        <w:t>halaal</w:t>
      </w:r>
      <w:r>
        <w:t>. This cultural and religious convergence also minimizes cultural difference and increases acceptance between Malaysian regulators, business partners, and consumers especially in the halal-sensitive seafood industry.</w:t>
      </w:r>
    </w:p>
    <w:bookmarkStart w:id="31" w:name="_Toc216683325"/>
    <w:p>
      <w:pPr>
        <w:pStyle w:val="style3"/>
        <w:keepNext w:val="false"/>
        <w:keepLines w:val="false"/>
        <w:spacing w:before="280" w:after="80"/>
        <w:rPr/>
      </w:pPr>
      <w:r>
        <w:t xml:space="preserve">5.1.1 </w:t>
      </w:r>
      <w:r>
        <w:t>Implications for Seamark’s Market Entry</w:t>
      </w:r>
      <w:bookmarkEnd w:id="31"/>
    </w:p>
    <w:p>
      <w:pPr>
        <w:pStyle w:val="style0"/>
        <w:spacing w:before="240" w:after="240"/>
        <w:rPr/>
      </w:pPr>
      <w:r>
        <w:t>In general, the Hofstede-based discussion demonstrates that the cultural compatibility between Bangladesh and Malaysia is rather high. Hierarchy, collectivism, regulatory orientation, and ethical values cause cultural risk to be less and facilitate easier managerial coordination, integration of operations, and involvement of stakeholders. Culturally, Malaysia is a favourable and relatively low risk market into which Seamark can expand internationally.</w:t>
      </w:r>
    </w:p>
    <w:bookmarkStart w:id="32" w:name="_Toc216683326"/>
    <w:p>
      <w:pPr>
        <w:pStyle w:val="style2"/>
        <w:rPr/>
      </w:pPr>
      <w:r>
        <w:t>5.2 Cultural impact on market entry and negotiations</w:t>
      </w:r>
      <w:bookmarkEnd w:id="32"/>
    </w:p>
    <w:p>
      <w:pPr>
        <w:pStyle w:val="style0"/>
        <w:spacing w:before="240" w:after="240"/>
        <w:rPr/>
      </w:pPr>
      <w:r>
        <w:t xml:space="preserve">The culture is greatly influential in determining the way Seamark must enter the Malaysian market and negotiate. The Malaysian business culture is highly hierarchical and the decision-making power is generally vested in the top management (Jolly &amp; </w:t>
      </w:r>
      <w:r>
        <w:t>Nyandat</w:t>
      </w:r>
      <w:r>
        <w:t>, 2023). This cultural attribute correlates with the Bangladesh corporate culture, yet the foreign companies still have to be sensitive to the Malaysian values of formality, respect and structured communication. Business conversation is normally not direct, and one may start talking politely before progressing to commercial issues (Su et al., 2022). Seamark should hence have a negotiating style that appreciates patience, formality as well as interpersonal rapport over aggressive bargaining or quick deals.</w:t>
      </w:r>
    </w:p>
    <w:p>
      <w:pPr>
        <w:pStyle w:val="style0"/>
        <w:spacing w:before="240" w:after="240"/>
        <w:rPr/>
      </w:pPr>
      <w:r>
        <w:t xml:space="preserve">It is also important to note that in Malaysia, relationship-building in the long-term is a key element of effective negotiations. Before formalising partnerships, Malaysian partners would evaluate the reliability, cultural compatibility and willingness of Seamark to make mutual benefits (Kurniawan, Suparno &amp; </w:t>
      </w:r>
      <w:r>
        <w:t>Vanany</w:t>
      </w:r>
      <w:r>
        <w:t>, 2025). It implies that negotiations can be rather slow, and it takes several meetings, social interactions, and a lot of communication to come up with the final agreements. Seamark needs to be ready to make investment in building trust, showing halal conformance, and creating personal relationships with potential partners.</w:t>
      </w:r>
    </w:p>
    <w:p>
      <w:pPr>
        <w:pStyle w:val="style0"/>
        <w:spacing w:before="240" w:after="240"/>
        <w:rPr/>
      </w:pPr>
      <w:r>
        <w:t>Despite some common grounds of cultures in Bangladesh and Malaysia, the business etiquette still has many differences. Malay people are very polite, conflict avoiding and consensus building. Deviance towards these norms may result in misunderstanding or even perceived disrespect. In addition, depending on the partnerships with other companies in Malaysia, it may be difficult to enter the existing distribution channels. In the absence of good local connections, foreign firms might not have an easy time penetrating into retail chains, food service providers or government procurement processes. A domestic partner will be able to speed up market penetration and minimize cultural resistance since he or she knows regulatory regulations, retailer demands and consumer behaviour. The cultural interactions highlight the importance of the relational approach and the need to use the local networks to negotiate successfully.</w:t>
      </w:r>
    </w:p>
    <w:bookmarkStart w:id="33" w:name="_Toc216683327"/>
    <w:p>
      <w:pPr>
        <w:pStyle w:val="style2"/>
        <w:rPr/>
      </w:pPr>
      <w:r>
        <w:t>5.3 Cultural impact on operations &amp; marketing</w:t>
      </w:r>
      <w:bookmarkEnd w:id="33"/>
    </w:p>
    <w:p>
      <w:pPr>
        <w:pStyle w:val="style0"/>
        <w:spacing w:before="240" w:after="240"/>
        <w:rPr/>
      </w:pPr>
      <w:r>
        <w:t>The aspect of culture is not confined to negotiations but it also has profound effects on the operational and marketing decisions of Seamark in Malaysia. Halal certification does not just represent a regulatory obligation but a powerful cultural pressure that is based on the fact that the majority of the population is Muslim in Malaysia. Consumers have high confidence in JAKIM certification and any perceived weak response in the area of halal would be devastating to the brand image. Seamark should make sure that the operations, documentation and supplier networks are in totality with Malaysian halal standards, although they may have international halal certifications.</w:t>
      </w:r>
    </w:p>
    <w:p>
      <w:pPr>
        <w:pStyle w:val="style0"/>
        <w:spacing w:before="240" w:after="240"/>
        <w:rPr/>
      </w:pPr>
      <w:r>
        <w:t xml:space="preserve">The decisions made about packaging and branding should also be based on the local norms and preferences. Malaysian consumers highly react to packaging, which effectively conveys the message of halal assurance, origin, freshness, and sustainability. </w:t>
      </w:r>
      <w:r>
        <w:t>Labeling</w:t>
      </w:r>
      <w:r>
        <w:t xml:space="preserve"> requirements, linguistic preferences, and aesthetics of visual designs are slightly different than those in Bangladesh, or Europe. Seamark might also have to tailor the packaging and types of products to the local consumption trends, such as smaller household packs or ready-to-cook products, depending on the Malaysian local cuisines.</w:t>
      </w:r>
    </w:p>
    <w:p>
      <w:pPr>
        <w:pStyle w:val="style0"/>
        <w:spacing w:before="240" w:after="240"/>
        <w:rPr/>
      </w:pPr>
      <w:r>
        <w:t>Different regions also vary in preference of seafood. Although the Malaysian consumers might be used to the Bangladeshi shrimp varieties, some species or types of products might need to be localised. The marketing strategies should thus take into account the Malaysian tastes, food habits and cultural symbolism attached to food. In the HR operations, work force management will be influenced by the cultural expectations of leadership and communication.</w:t>
      </w:r>
    </w:p>
    <w:bookmarkStart w:id="34" w:name="_Toc216683328"/>
    <w:p>
      <w:pPr>
        <w:pStyle w:val="style2"/>
        <w:rPr/>
      </w:pPr>
      <w:r>
        <w:t>5.4 Cultural risk mitigation strategies</w:t>
      </w:r>
      <w:bookmarkEnd w:id="34"/>
    </w:p>
    <w:p>
      <w:pPr>
        <w:pStyle w:val="style0"/>
        <w:spacing w:before="240" w:after="240"/>
        <w:rPr/>
      </w:pPr>
      <w:r>
        <w:t xml:space="preserve">Seamark needs to utilize culturally informed risk mitigation strategies to incorporate into its market successfully. The initial one is the meticulous choice of a Malaysian partner whose organisational culture, experience of halal compliance, and market coverage respond to the objectives of Seamark. The match partner will make it easier to reach regulatory authorities, retail outlets, and logistics networks besides lowering the level of cultural misinterpretations and bargaining obstacles (Kurniawan, Suparno &amp; </w:t>
      </w:r>
      <w:r>
        <w:t>Vanany</w:t>
      </w:r>
      <w:r>
        <w:t>, 2025). Due diligence must identify the reputation of the partner, credibility of their halal certification, financial stability and adherence to ethical and operational standards of Seamark.</w:t>
      </w:r>
    </w:p>
    <w:p>
      <w:pPr>
        <w:pStyle w:val="style0"/>
        <w:spacing w:before="240" w:after="240"/>
        <w:rPr/>
      </w:pPr>
      <w:r>
        <w:t xml:space="preserve">Another strategy that is necessary is cross-cultural training of the Bangladeshi managers. The training must be based on Malaysian communication patterns, negotiation conventions, religion and management expectations. This training will allow the managers to communicate better with the Malaysian stakeholders and local employees, which will make it easier to integrate the teams. The use of Malaysian quality assurance and compliance managers will also enhance cultural and regulatory alignment because these </w:t>
      </w:r>
      <w:r>
        <w:t>professionals have knowledge regarding the local halal operations, paperwork, and the procedure of inspections. This makes them credible and continuity of compliance.</w:t>
      </w:r>
    </w:p>
    <w:bookmarkStart w:id="35" w:name="_Toc216683329"/>
    <w:p>
      <w:pPr>
        <w:pStyle w:val="style1"/>
        <w:rPr/>
      </w:pPr>
      <w:r>
        <w:t>6. SOP Adjustments for Successful Entry</w:t>
      </w:r>
      <w:bookmarkEnd w:id="35"/>
    </w:p>
    <w:p>
      <w:pPr>
        <w:pStyle w:val="style0"/>
        <w:spacing w:before="240" w:after="240"/>
        <w:rPr/>
      </w:pPr>
      <w:r>
        <w:t>The comparison of the ownership advantages of Seamark, the location advantage of Malaysia, and the cultural factors that determine the business practices should be performed to conclude that the successful market entry is impossible without a specially organized Standard Operating Procedure (SOP) changes. These SOPs will have to align its operational, regulatory, marketing, and human resource practices with the market requirements in Malaysia. The existing systems designed for EU and UK markets have a solid base, and seamark needs to be localised to address the Malaysian regulations of halal, and consumer expectations, and logistical forces. The subsequent recommendations provide three key SOP changes that must be made in order to achieve expansion success to Malaysia.</w:t>
      </w:r>
    </w:p>
    <w:bookmarkStart w:id="36" w:name="_Toc216683330"/>
    <w:p>
      <w:pPr>
        <w:pStyle w:val="style2"/>
        <w:rPr/>
      </w:pPr>
      <w:r>
        <w:t>Recommendation 1: Product, Branding &amp; Halal SOP Localisation</w:t>
      </w:r>
      <w:bookmarkEnd w:id="36"/>
    </w:p>
    <w:p>
      <w:pPr>
        <w:pStyle w:val="style0"/>
        <w:spacing w:before="240" w:after="240"/>
        <w:rPr/>
      </w:pPr>
      <w:r>
        <w:t>Considering the fact that Malaysia has a high compliance to the halal, and the central culture in consumer decision-making, Seamark needs to restructure its product and branding SOPs so that it becomes wholly compliant with Malaysia halal certification body, JAKIM. The regulatory framework that JAKIM offers although Seamark already operates with the help of halal certifications in Bangladesh includes supplementary documents, specifications of supply chains, and on-site inspection standards that have to be incorporated into the operations (</w:t>
      </w:r>
      <w:r>
        <w:t>Abdulraof</w:t>
      </w:r>
      <w:r>
        <w:t>, 2024). The holistic halal SOP must thus consist of elaborate measures of ingredient inspection, processing, cleaning, and segregating measures, so that all the practices are to the satisfaction of the Malaysian. Cooperation with JAKIM will guarantee that compliance is achieved, as well as consumer trust and enhanced credibility of Seamark in Malaysia through the retail and hospitality industry.</w:t>
      </w:r>
    </w:p>
    <w:p>
      <w:pPr>
        <w:pStyle w:val="style0"/>
        <w:spacing w:before="240" w:after="240"/>
        <w:rPr/>
      </w:pPr>
      <w:r>
        <w:t xml:space="preserve">SOPs on packing and labelling are also to be adjusted to meet the requirements in Malaysia in the regulatory aspects and consumer tastes. In line with the national food </w:t>
      </w:r>
      <w:r>
        <w:t xml:space="preserve">safety regulations, Malaysian government authorities require plain halal logos, nutritional labels, labels of origin, and </w:t>
      </w:r>
      <w:r>
        <w:t>labeling</w:t>
      </w:r>
      <w:r>
        <w:t xml:space="preserve"> of storage instructions. Seamark will be compelled to add a packaging SOP that will incorporate labelling specific to Malaysian labels into design processes, supplier briefs, and quality control (Alam, Haque &amp; Santi, 2024). Further, packaging must be modified to incorporate Bahasa Malaysia as well as English to increase the accessibility to the local consumers. This will enhance brand presence and make the products of Seamark match the domestic market standards.</w:t>
      </w:r>
    </w:p>
    <w:p>
      <w:pPr>
        <w:pStyle w:val="style0"/>
        <w:spacing w:before="240" w:after="240"/>
        <w:rPr/>
      </w:pPr>
      <w:r>
        <w:t>The other critical element of localisation is the product portfolio modifications. Although the Bangladeshi strains of shrimps are international, Malaysian customers might look to particular size, cut, or value-added forms of seafood products like those that are marinated, ready-to-cook, or breaded (Campo &amp; Reyes, 2024). Seamark ought to devise a product adaptation SOP which incorporates market testing, sensory analysis and feedback channelling with the Malaysian consumers so that the offerings represent the local preferences. Smaller household packs can also be favoured within the urban supermarket environments whereas the bigger bulk packaging could suit restaurants and hotels.</w:t>
      </w:r>
    </w:p>
    <w:p>
      <w:pPr>
        <w:pStyle w:val="style0"/>
        <w:spacing w:before="240" w:after="240"/>
        <w:rPr/>
      </w:pPr>
      <w:r>
        <w:t>Enhancing traceability SOPs is also vital because the Malaysian regulators and consumers value the origin, safety, and integrity of products and supply-chain highly. The product SOP must have a strong digital traceability system that monitors every batch of the product on its way to farm for export to the Malaysian distribution points (Charlebois et al., 2024). This improves transparency, assists in being halal and assists in distinguishing Seamark in the competitive market. All these changes form a product and branding strategy that is geared towards Malaysia and boost the chances of successful market penetration.</w:t>
      </w:r>
    </w:p>
    <w:bookmarkStart w:id="37" w:name="_Toc216683331"/>
    <w:p>
      <w:pPr>
        <w:pStyle w:val="style2"/>
        <w:rPr/>
      </w:pPr>
      <w:r>
        <w:t>Recommendation 2: Supply Chain &amp; Cold-Chain SOP</w:t>
      </w:r>
      <w:bookmarkEnd w:id="37"/>
    </w:p>
    <w:p>
      <w:pPr>
        <w:pStyle w:val="style0"/>
        <w:spacing w:before="240" w:after="240"/>
        <w:rPr/>
      </w:pPr>
      <w:r>
        <w:t xml:space="preserve">The high-level logistical base in Malaysia gives the company good prospects of frozen seafood imports, and Seamark needs to integrate improved SOPs to maintain the same quality of product across the long global supply chain. The initial one is forming partnerships with the local cold-chain operators, who will offer efficient port-handling, </w:t>
      </w:r>
      <w:r>
        <w:t>warehousing and inland distribution services (Cossu et al., 2025). An SOP on supplier selection needs to be created, which will assess the Malaysian cold-chain collaborators on the basis of temperature-control competencies, halal compliance, audit openness, service-level functionality, and contingency planning. This will make sure that only operators who can uphold high quality and food safety standards of the company collaborate with Seamark.</w:t>
      </w:r>
    </w:p>
    <w:p>
      <w:pPr>
        <w:pStyle w:val="style0"/>
        <w:spacing w:before="240" w:after="240"/>
        <w:rPr/>
      </w:pPr>
      <w:r>
        <w:t>An international SOP, which is specifically designed to monitor temperatures, is necessary to ensure integrity of products. This SOP must establish procedures of recording, verifying as well as recording temperature readings at key control points such as processing plants, container loading, shipping transportation, port operations and local distribution. The process will have to include real time digitally tracking software, temperature recorder, and automatic notifications which come on once the temperature exceeds or falls below the necessitated levels. The adoption of this SOP will reduce spoilage, maintain customer satisfaction, and loss of finances incurred as a result of rejected shipments.</w:t>
      </w:r>
    </w:p>
    <w:p>
      <w:pPr>
        <w:pStyle w:val="style0"/>
        <w:spacing w:before="240" w:after="240"/>
        <w:rPr/>
      </w:pPr>
      <w:r>
        <w:t>The supply-chain SOPs must also have dual sourcing arrangements to improve resilience. Seamark is very reliant on the availability of shrimp and seafood in Bangladesh which is subject to change by weather conditions, outbreak of diseases, and fluctuations in the market. There should be a dual-sourcing SOP that includes procedures of locating and evaluating secondary supply, risk profile, compliance with halal and food-safety practices, and strategic inventory buffers. This enhances flexibility of the supply-chain and boosts the capacity of Seamark to repay the demand in Malaysia.</w:t>
      </w:r>
    </w:p>
    <w:p>
      <w:pPr>
        <w:pStyle w:val="style0"/>
        <w:spacing w:before="240" w:after="240"/>
        <w:rPr/>
      </w:pPr>
      <w:r>
        <w:t xml:space="preserve">The other important requirement is the implementation of Malaysian regulatory compliance SOPs. The Malaysian government would demand specific import paperwork, sanitary certificates, and halal certification documents and customs formations, which have to be standardised under the Seamark export processes. The SOP must also have checklists on documentation, submission timelines and internal auditors to verify compliance prior to shipments out of Bangladesh. Implementation of Malaysian regulatory requirements in the documentation procedures of Seamark minimizes the wastage of time </w:t>
      </w:r>
      <w:r>
        <w:t>at the customs and enhances the relationship between Seamark and the Malaysian regulatory bodies.</w:t>
      </w:r>
    </w:p>
    <w:p>
      <w:pPr>
        <w:pStyle w:val="style0"/>
        <w:spacing w:before="240" w:after="240"/>
        <w:rPr/>
      </w:pPr>
      <w:r>
        <w:t>In order to determine the performance of supply-chain SOPs, On-Time-In-Full (OTIF) delivery rates, percentage of spoilage, and percentage of temperature-log compliance are key performance indicators that Seamark needs to monitor. These measures will aid in the identification of inefficiencies, the process of taking corrective measures, and the future improvement. Product reliability, compliance and customer satisfaction in Malaysia can be achieved by enhancing supply-chain and cold-chain SOPs through which Seamark will manage to achieve customer satisfaction.</w:t>
      </w:r>
    </w:p>
    <w:bookmarkStart w:id="38" w:name="_Toc216683332"/>
    <w:p>
      <w:pPr>
        <w:pStyle w:val="style2"/>
        <w:rPr/>
      </w:pPr>
      <w:r>
        <w:t>Recommendation 3: HR, Governance &amp; Compliance SOP</w:t>
      </w:r>
      <w:bookmarkEnd w:id="38"/>
    </w:p>
    <w:p>
      <w:pPr>
        <w:pStyle w:val="style0"/>
        <w:spacing w:before="240" w:after="240"/>
        <w:rPr/>
      </w:pPr>
      <w:r>
        <w:t>To enable the effective expansion of Seamark into the Malaysian market, SOP changes are needed, which would incorporate issues in the area of human resource practice, governance, and legal compliance. One of the important factors to take into consideration is the establishment of the correct proportion between local and expatriate leadership (</w:t>
      </w:r>
      <w:r>
        <w:t>Gwaltu</w:t>
      </w:r>
      <w:r>
        <w:t>, 2025). Bangladeshi managers will guarantee the alignment with the organisational culture of Seamark and provide an in-depth knowledge of operations, but Malaysian managers will be critical in facing and addressing the local regulation, expectations, and customer relationships. An HR SOP must specify rules of expatriate placement, positions of Malaysian managers, succession planning, and performance-management models that represent local cultural norms.</w:t>
      </w:r>
    </w:p>
    <w:p>
      <w:pPr>
        <w:pStyle w:val="style0"/>
        <w:spacing w:before="240" w:after="240"/>
        <w:rPr/>
      </w:pPr>
      <w:r>
        <w:t>Anti-corruption compliance SOPs should also be updated to conform to the Malaysian laws and especially the Malaysian Anti-Corruption Commission Act. This SOP must also contain the well-defined rules regarding conflict of interest, gift policy, documentation procedures, and avenues to notify about the ethical issues. Mandatory-based compliance training ought to be integrated to make the entire employees, both Bangladeshi and Malaysian, to be aware of legal expectations and organisational standards.</w:t>
      </w:r>
    </w:p>
    <w:p>
      <w:pPr>
        <w:pStyle w:val="style0"/>
        <w:spacing w:before="240" w:after="240"/>
        <w:rPr/>
      </w:pPr>
      <w:r>
        <w:t xml:space="preserve">Another valuable element of HR SOPs is the cross-cultural conflict resolution. Diverse communication styles, hierarchical expectations, and workplace norms may create </w:t>
      </w:r>
      <w:r>
        <w:t xml:space="preserve">misunderstandings in case they are not managed (Hopkins et al., 2024). A conflict resolution SOP must offer systematized mediation, duty elucidation and communication guidelines to promote a cordial conversation. </w:t>
      </w:r>
      <w:r>
        <w:t>Halfalah</w:t>
      </w:r>
      <w:r>
        <w:t xml:space="preserve"> training, food safety training, governance training and reporting lines must be incorporated to provide consistency within the operation of teams.</w:t>
      </w:r>
    </w:p>
    <w:p>
      <w:pPr>
        <w:pStyle w:val="style0"/>
        <w:spacing w:before="240" w:after="240"/>
        <w:rPr/>
      </w:pPr>
      <w:r>
        <w:t>Lastly, Seamark needs to adopt a localisation-based hiring SOP that places more emphasis on the Malaysian nationals to occupy key positions in the area of quality assurance, sales, regulatory affairs, and compliance. Local experts introduce the necessary knowledge of Malaysian laws, customer demands, and networks in the industry. These HR, governance and compliance SOPs will enable Seamark to develop a unified and culturally integrated and efficient organisational framework that will enable the organisation to succeed in the long run in Malaysia.</w:t>
      </w:r>
    </w:p>
    <w:bookmarkStart w:id="39" w:name="_3d6q9p1iuuke" w:colFirst="0" w:colLast="0"/>
    <w:bookmarkEnd w:id="39"/>
    <w:p>
      <w:pPr>
        <w:pStyle w:val="style1"/>
        <w:rPr/>
      </w:pPr>
      <w:r>
        <w:br w:type="page"/>
      </w:r>
    </w:p>
    <w:bookmarkStart w:id="40" w:name="_Toc216683333"/>
    <w:p>
      <w:pPr>
        <w:pStyle w:val="style1"/>
        <w:rPr/>
      </w:pPr>
      <w:r>
        <w:t>7. Conclusion</w:t>
      </w:r>
      <w:bookmarkEnd w:id="40"/>
      <w:r>
        <w:t xml:space="preserve"> </w:t>
      </w:r>
    </w:p>
    <w:p>
      <w:pPr>
        <w:pStyle w:val="style0"/>
        <w:spacing w:before="240" w:after="240"/>
        <w:rPr/>
      </w:pPr>
      <w:r>
        <w:t>As the analysis shows, Seamark Bangladesh has considerable ownership advantages that will place the company well on the path of international expansion. It has a strong reputation in the UK and EU markets, has full food safety certification, advanced food processing facilities, and established export relationships with many years of export experience, which forms a strong competitive basis. These strengths put Seamark in a good position to take the new markets which require reliability, quality control, and compliance with halal in order to be successful. The commitment to international standards is the strength that makes the company credible and offers a good foundation of its strategic development in Southeast Asia.</w:t>
      </w:r>
    </w:p>
    <w:p>
      <w:pPr>
        <w:pStyle w:val="style0"/>
        <w:spacing w:before="240" w:after="240"/>
        <w:rPr/>
      </w:pPr>
      <w:r>
        <w:t>Malaysia gives very favourable location incentives to Seamark. The increasing seafood consumption in the country, sound halal regulatory framework, advanced logistics network and large population of Bangladeshi diaspora all add up to provide a favourable market to imported seafood. The welcoming investment environment and high hospitality industry in Malaysia also makes it an excellent location to expand to. These are quite consistent with the strengths and strategic focus of Seamark.</w:t>
      </w:r>
    </w:p>
    <w:p>
      <w:pPr>
        <w:pStyle w:val="style0"/>
        <w:spacing w:before="240" w:after="240"/>
        <w:rPr/>
      </w:pPr>
      <w:r>
        <w:t>The most appropriate mode of entry is a joint venture, which provides a balance between the demand to control the quality of products and benefits such as local market knowledge. By a JV, Seamark will be able to avoid regulatory complications, establish reliable relationships and reach existing distribution channels without compromising its own operational requirements.</w:t>
      </w:r>
    </w:p>
    <w:p>
      <w:pPr>
        <w:pStyle w:val="style0"/>
        <w:spacing w:before="240" w:after="240"/>
        <w:rPr/>
      </w:pPr>
      <w:r>
        <w:t>It will be the adoption of localised SOPs and cultural alignment especially on compliance to halal, management of cold chain, and human resource practices which will be important in ensuring long term success. Together with adopting changes in the culture of the Malaysians, incorporating their expectations in operations and governance will help Seamark to minimize risks and increase market acceptance.</w:t>
      </w:r>
    </w:p>
    <w:p>
      <w:pPr>
        <w:pStyle w:val="style0"/>
        <w:spacing w:before="240" w:after="240"/>
        <w:rPr/>
      </w:pPr>
      <w:r>
        <w:br w:type="page"/>
      </w:r>
    </w:p>
    <w:bookmarkStart w:id="41" w:name="_Toc216683334"/>
    <w:p>
      <w:pPr>
        <w:pStyle w:val="style1"/>
        <w:rPr/>
      </w:pPr>
      <w:r>
        <w:t>References</w:t>
      </w:r>
      <w:bookmarkEnd w:id="41"/>
    </w:p>
    <w:p>
      <w:pPr>
        <w:pStyle w:val="style0"/>
        <w:spacing w:before="240" w:after="240"/>
        <w:rPr/>
      </w:pPr>
      <w:r>
        <w:t>Abdulraof</w:t>
      </w:r>
      <w:r>
        <w:t xml:space="preserve">, A.G. (2024) </w:t>
      </w:r>
      <w:r>
        <w:rPr>
          <w:i/>
          <w:iCs/>
        </w:rPr>
        <w:t>The Impacts of Halal Certification Policies in the Philippines: A Literature Review</w:t>
      </w:r>
      <w:r>
        <w:t xml:space="preserve">, </w:t>
      </w:r>
      <w:r>
        <w:rPr>
          <w:i/>
          <w:iCs/>
        </w:rPr>
        <w:t>Cognizance Journal of Multidisciplinary Studies</w:t>
      </w:r>
      <w:r>
        <w:t>, 4(12). DOI: 10.47760/</w:t>
      </w:r>
      <w:r>
        <w:t>cognizance.2024.v</w:t>
      </w:r>
      <w:r>
        <w:t>04i12.059. Accessed: 13 December 2025.</w:t>
      </w:r>
    </w:p>
    <w:p>
      <w:pPr>
        <w:pStyle w:val="style0"/>
        <w:spacing w:before="240" w:after="240"/>
        <w:rPr/>
      </w:pPr>
      <w:r>
        <w:t xml:space="preserve">Alam, M.Z., Haque, M.M. &amp; Santi, M. (2024) </w:t>
      </w:r>
      <w:r>
        <w:rPr>
          <w:i/>
          <w:iCs/>
        </w:rPr>
        <w:t>Barriers to the Export of Farmed Pangasius and Tilapia from Bangladesh to the International Market</w:t>
      </w:r>
      <w:r>
        <w:t xml:space="preserve">, </w:t>
      </w:r>
      <w:r>
        <w:rPr>
          <w:i/>
          <w:iCs/>
        </w:rPr>
        <w:t>Aquaculture Journal</w:t>
      </w:r>
      <w:r>
        <w:t>, 4(4). DOI: 10.3390/aquacj4040022. Accessed: 13 December 2025.</w:t>
      </w:r>
    </w:p>
    <w:p>
      <w:pPr>
        <w:pStyle w:val="style0"/>
        <w:spacing w:before="240" w:after="240"/>
        <w:rPr/>
      </w:pPr>
      <w:r>
        <w:t xml:space="preserve">Campo, N.C. &amp; Reyes, C.J.P. (2024) </w:t>
      </w:r>
      <w:r>
        <w:rPr>
          <w:i/>
          <w:iCs/>
        </w:rPr>
        <w:t xml:space="preserve">International Marketing Mix for Export in the Seafood Sector of the </w:t>
      </w:r>
      <w:r>
        <w:rPr>
          <w:i/>
          <w:iCs/>
        </w:rPr>
        <w:t>Riohacha</w:t>
      </w:r>
      <w:r>
        <w:rPr>
          <w:i/>
          <w:iCs/>
        </w:rPr>
        <w:t xml:space="preserve"> DETC</w:t>
      </w:r>
      <w:r>
        <w:t xml:space="preserve">, </w:t>
      </w:r>
      <w:r>
        <w:rPr>
          <w:i/>
          <w:iCs/>
        </w:rPr>
        <w:t>Management (Montevideo)</w:t>
      </w:r>
      <w:r>
        <w:t>. DOI: 10.62486/agma202439. Accessed: 13 December 2025.</w:t>
      </w:r>
    </w:p>
    <w:p>
      <w:pPr>
        <w:pStyle w:val="style0"/>
        <w:spacing w:before="240" w:after="240"/>
        <w:rPr/>
      </w:pPr>
      <w:r>
        <w:t xml:space="preserve">Charlebois, S., Latif, N., Ilahi, I. et al. (2024) </w:t>
      </w:r>
      <w:r>
        <w:rPr>
          <w:i/>
          <w:iCs/>
        </w:rPr>
        <w:t>Digital Traceability in Agri-Food Supply Chains: A Comparative Analysis of OECD Member Countries</w:t>
      </w:r>
      <w:r>
        <w:t xml:space="preserve">, </w:t>
      </w:r>
      <w:r>
        <w:rPr>
          <w:i/>
          <w:iCs/>
        </w:rPr>
        <w:t>Foods</w:t>
      </w:r>
      <w:r>
        <w:t>, 13(7), 1075. DOI: 10.3390/foods13071075. Accessed: 13 December 2025.</w:t>
      </w:r>
    </w:p>
    <w:p>
      <w:pPr>
        <w:pStyle w:val="style0"/>
        <w:spacing w:before="240" w:after="240"/>
        <w:rPr/>
      </w:pPr>
      <w:r>
        <w:t xml:space="preserve">Cossu, S., Corona, A., Mangano, S. et al. (2025) </w:t>
      </w:r>
      <w:r>
        <w:rPr>
          <w:i/>
          <w:iCs/>
        </w:rPr>
        <w:t>Food Supply Chain: A Framework for the Governance of Digital Traceability</w:t>
      </w:r>
      <w:r>
        <w:t xml:space="preserve">, </w:t>
      </w:r>
      <w:r>
        <w:rPr>
          <w:i/>
          <w:iCs/>
        </w:rPr>
        <w:t>Foods</w:t>
      </w:r>
      <w:r>
        <w:t>, 14(12), 2032. DOI: 10.3390/foods14122032. Accessed: 13 December 2025.</w:t>
      </w:r>
    </w:p>
    <w:p>
      <w:pPr>
        <w:pStyle w:val="style0"/>
        <w:spacing w:before="240" w:after="240"/>
        <w:rPr/>
      </w:pPr>
      <w:r>
        <w:t>Gwaltu</w:t>
      </w:r>
      <w:r>
        <w:t xml:space="preserve">, P. (2025) </w:t>
      </w:r>
      <w:r>
        <w:rPr>
          <w:i/>
          <w:iCs/>
        </w:rPr>
        <w:t>The Influence of Supply Chain Integration on Export Performance in Tanzania</w:t>
      </w:r>
      <w:r>
        <w:t xml:space="preserve">, </w:t>
      </w:r>
      <w:r>
        <w:rPr>
          <w:i/>
          <w:iCs/>
        </w:rPr>
        <w:t>International Journal of Engineering, Business and Management</w:t>
      </w:r>
      <w:r>
        <w:t>, 9(1). DOI: 10.22161/ijebm.9.1.5. Accessed: 13 December 2025.</w:t>
      </w:r>
    </w:p>
    <w:p>
      <w:pPr>
        <w:pStyle w:val="style0"/>
        <w:spacing w:before="240" w:after="240"/>
        <w:rPr/>
      </w:pPr>
      <w:r>
        <w:t>Harsanto</w:t>
      </w:r>
      <w:r>
        <w:t xml:space="preserve">, B. (2024) </w:t>
      </w:r>
      <w:r>
        <w:rPr>
          <w:i/>
          <w:iCs/>
        </w:rPr>
        <w:t>Digital Technology 4.0 on Halal Supply Chain</w:t>
      </w:r>
      <w:r>
        <w:t xml:space="preserve">, </w:t>
      </w:r>
      <w:r>
        <w:rPr>
          <w:i/>
          <w:iCs/>
        </w:rPr>
        <w:t>Logistics</w:t>
      </w:r>
      <w:r>
        <w:t>, 8(1), 21. DOI: 10.3390/2305-6290/8/1/21. Accessed: 13 December 2025.</w:t>
      </w:r>
    </w:p>
    <w:p>
      <w:pPr>
        <w:pStyle w:val="style0"/>
        <w:spacing w:before="240" w:after="240"/>
        <w:rPr/>
      </w:pPr>
      <w:r>
        <w:t>Harsanto</w:t>
      </w:r>
      <w:r>
        <w:t xml:space="preserve">, B. (2024) </w:t>
      </w:r>
      <w:r>
        <w:rPr>
          <w:i/>
          <w:iCs/>
        </w:rPr>
        <w:t>Sustainable Halal Value Chain Performance for MSMEs</w:t>
      </w:r>
      <w:r>
        <w:t xml:space="preserve">, </w:t>
      </w:r>
      <w:r>
        <w:rPr>
          <w:i/>
          <w:iCs/>
        </w:rPr>
        <w:t>Cogent Business &amp; Management</w:t>
      </w:r>
      <w:r>
        <w:t>, 11(1), 2397071. DOI: 10.1080/23311975.2024.2397071. Accessed: 13 December 2025.</w:t>
      </w:r>
    </w:p>
    <w:p>
      <w:pPr>
        <w:pStyle w:val="style0"/>
        <w:spacing w:before="240" w:after="240"/>
        <w:rPr/>
      </w:pPr>
      <w:r>
        <w:t xml:space="preserve">Hopkins, C.R., Roberts, S., </w:t>
      </w:r>
      <w:r>
        <w:t>Caveen</w:t>
      </w:r>
      <w:r>
        <w:t xml:space="preserve">, A.J., Graham, C. &amp; Burns, N.M. (2024) </w:t>
      </w:r>
      <w:r>
        <w:rPr>
          <w:i/>
          <w:iCs/>
        </w:rPr>
        <w:t xml:space="preserve">Improved Traceability in Seafood Supply Chains Is Achievable by Minimising Vulnerable Nodes in </w:t>
      </w:r>
      <w:r>
        <w:rPr>
          <w:i/>
          <w:iCs/>
        </w:rPr>
        <w:t>Processing and Distribution Networks</w:t>
      </w:r>
      <w:r>
        <w:t xml:space="preserve">, </w:t>
      </w:r>
      <w:r>
        <w:rPr>
          <w:i/>
          <w:iCs/>
        </w:rPr>
        <w:t>Marine Policy</w:t>
      </w:r>
      <w:r>
        <w:t>. DOI: 10.1016/j.marpol.2023.105910. Accessed: 13 December 2025.</w:t>
      </w:r>
    </w:p>
    <w:p>
      <w:pPr>
        <w:pStyle w:val="style0"/>
        <w:spacing w:before="240" w:after="240"/>
        <w:rPr/>
      </w:pPr>
      <w:r>
        <w:t xml:space="preserve">Jolly, C. &amp; </w:t>
      </w:r>
      <w:r>
        <w:t>Nyandat</w:t>
      </w:r>
      <w:r>
        <w:t xml:space="preserve">, B. (2023) </w:t>
      </w:r>
      <w:r>
        <w:rPr>
          <w:i/>
          <w:iCs/>
        </w:rPr>
        <w:t>Dynamics of Aquaculture Governance</w:t>
      </w:r>
      <w:r>
        <w:t xml:space="preserve">, </w:t>
      </w:r>
      <w:r>
        <w:rPr>
          <w:i/>
          <w:iCs/>
        </w:rPr>
        <w:t>Journal of the World Aquaculture Society</w:t>
      </w:r>
      <w:r>
        <w:t>. DOI: 10.1111/jwas.12967. Accessed: 13 December 2025.</w:t>
      </w:r>
    </w:p>
    <w:p>
      <w:pPr>
        <w:pStyle w:val="style0"/>
        <w:spacing w:before="240" w:after="240"/>
        <w:rPr/>
      </w:pPr>
      <w:r>
        <w:t xml:space="preserve">Kurniawan, M., Suparno, S. &amp; </w:t>
      </w:r>
      <w:r>
        <w:t>Vanany</w:t>
      </w:r>
      <w:r>
        <w:t xml:space="preserve">, I. (2025) </w:t>
      </w:r>
      <w:r>
        <w:rPr>
          <w:i/>
          <w:iCs/>
        </w:rPr>
        <w:t>Conceptual Framework for Halal Supply Chain Traceability and Food Safety Based on Blockchain Technology and Internet of Things to Support Sustainable Development</w:t>
      </w:r>
      <w:r>
        <w:t xml:space="preserve">, </w:t>
      </w:r>
      <w:r>
        <w:rPr>
          <w:i/>
          <w:iCs/>
        </w:rPr>
        <w:t>Engineering Proceedings</w:t>
      </w:r>
      <w:r>
        <w:t>, 84(1), 27. DOI: 10.3390/engproc2025084027. Accessed: 13 December 2025.</w:t>
      </w:r>
    </w:p>
    <w:p>
      <w:pPr>
        <w:pStyle w:val="style0"/>
        <w:spacing w:before="240" w:after="240"/>
        <w:rPr/>
      </w:pPr>
      <w:r>
        <w:t>Kurniawati</w:t>
      </w:r>
      <w:r>
        <w:t xml:space="preserve">, D.A. &amp; </w:t>
      </w:r>
      <w:r>
        <w:t>Cakravastia</w:t>
      </w:r>
      <w:r>
        <w:t xml:space="preserve">, A. (2023) </w:t>
      </w:r>
      <w:r>
        <w:rPr>
          <w:i/>
          <w:iCs/>
        </w:rPr>
        <w:t>A Review of Halal Supply Chain Research: Sustainability and Operations Research Perspective</w:t>
      </w:r>
      <w:r>
        <w:t xml:space="preserve">, </w:t>
      </w:r>
      <w:r>
        <w:rPr>
          <w:i/>
          <w:iCs/>
        </w:rPr>
        <w:t>Cleaner Logistics and Supply Chain</w:t>
      </w:r>
      <w:r>
        <w:t>, 6(1), 100096. DOI: 10.1016/j.clscn.2023.100096. Accessed: 13 December 2025.</w:t>
      </w:r>
    </w:p>
    <w:p>
      <w:pPr>
        <w:pStyle w:val="style0"/>
        <w:spacing w:before="240" w:after="240"/>
        <w:rPr/>
      </w:pPr>
      <w:r>
        <w:t xml:space="preserve">Lubis, M. &amp; </w:t>
      </w:r>
      <w:r>
        <w:t>Muniapan</w:t>
      </w:r>
      <w:r>
        <w:t xml:space="preserve">, B. (2024) </w:t>
      </w:r>
      <w:r>
        <w:rPr>
          <w:i/>
          <w:iCs/>
        </w:rPr>
        <w:t>International Market Development Strategies for Enhancing Global Expansion in the Export Industry</w:t>
      </w:r>
      <w:r>
        <w:t xml:space="preserve">, </w:t>
      </w:r>
      <w:r>
        <w:rPr>
          <w:i/>
          <w:iCs/>
        </w:rPr>
        <w:t>Involvement International Journal of Business</w:t>
      </w:r>
      <w:r>
        <w:t>. DOI: 10.62569/</w:t>
      </w:r>
      <w:r>
        <w:t>iijb.v</w:t>
      </w:r>
      <w:r>
        <w:t>1i1.3. Accessed: 13 December 2025.</w:t>
      </w:r>
    </w:p>
    <w:p>
      <w:pPr>
        <w:pStyle w:val="style0"/>
        <w:spacing w:before="240" w:after="240"/>
        <w:rPr/>
      </w:pPr>
      <w:r>
        <w:t>Mabkhot</w:t>
      </w:r>
      <w:r>
        <w:t xml:space="preserve">, H.A. (2023) </w:t>
      </w:r>
      <w:r>
        <w:rPr>
          <w:i/>
          <w:iCs/>
        </w:rPr>
        <w:t>Factors Affecting the Sustainability of Halal Product Performance: Malaysian Evidence</w:t>
      </w:r>
      <w:r>
        <w:t xml:space="preserve">, </w:t>
      </w:r>
      <w:r>
        <w:rPr>
          <w:i/>
          <w:iCs/>
        </w:rPr>
        <w:t>Sustainability</w:t>
      </w:r>
      <w:r>
        <w:t>, 15(3), 1850. DOI: 10.3390/su15031850. Accessed: 13 December 2025.</w:t>
      </w:r>
    </w:p>
    <w:p>
      <w:pPr>
        <w:pStyle w:val="style0"/>
        <w:spacing w:before="240" w:after="240"/>
        <w:rPr/>
      </w:pPr>
      <w:r>
        <w:t xml:space="preserve">Masood, F. &amp; Lee, M. (2025) </w:t>
      </w:r>
      <w:r>
        <w:rPr>
          <w:i/>
          <w:iCs/>
        </w:rPr>
        <w:t>Halal Reimagined: IR4.0 Tech Drives Sustainability and Inclusivity in Islamic Monetary Economics</w:t>
      </w:r>
      <w:r>
        <w:t xml:space="preserve">, </w:t>
      </w:r>
      <w:r>
        <w:rPr>
          <w:i/>
          <w:iCs/>
        </w:rPr>
        <w:t>Malaysian Journal of Syariah and Law</w:t>
      </w:r>
      <w:r>
        <w:t>, 13(1). DOI: 10.33102/mjsl.vol13no1.736. Accessed: 13 December 2025.</w:t>
      </w:r>
    </w:p>
    <w:p>
      <w:pPr>
        <w:pStyle w:val="style0"/>
        <w:spacing w:before="240" w:after="240"/>
        <w:rPr/>
      </w:pPr>
      <w:r>
        <w:t xml:space="preserve">Nguyen, T., Nguyen, X., Duong, H.D., Mai, T.X.L., Bui, T.T., Tran, N.D. &amp; Nguyen, D.M. (2023) </w:t>
      </w:r>
      <w:r>
        <w:rPr>
          <w:i/>
          <w:iCs/>
        </w:rPr>
        <w:t>Factors Affecting Cooperation in the International Supply Chain of Seafood Enterprises: The Case of Vietnamese</w:t>
      </w:r>
      <w:r>
        <w:t xml:space="preserve">, </w:t>
      </w:r>
      <w:r>
        <w:rPr>
          <w:i/>
          <w:iCs/>
        </w:rPr>
        <w:t>International Journal of Professional Business Review</w:t>
      </w:r>
      <w:r>
        <w:t>, 8(5). DOI: 10.26668/</w:t>
      </w:r>
      <w:r>
        <w:t>businessreview</w:t>
      </w:r>
      <w:r>
        <w:t>/2023.v8i5.699. Accessed: 13 December 2025.</w:t>
      </w:r>
    </w:p>
    <w:p>
      <w:pPr>
        <w:pStyle w:val="style0"/>
        <w:spacing w:before="240" w:after="240"/>
        <w:rPr/>
      </w:pPr>
      <w:r>
        <w:t xml:space="preserve">Perdana, S. (2025) </w:t>
      </w:r>
      <w:r>
        <w:rPr>
          <w:i/>
          <w:iCs/>
        </w:rPr>
        <w:t>From Ocean to Table: Examining the Potential of Blockchain for Responsible Sourcing and Sustainable Seafood Supply Chains</w:t>
      </w:r>
      <w:r>
        <w:t xml:space="preserve">, </w:t>
      </w:r>
      <w:r>
        <w:rPr>
          <w:i/>
          <w:iCs/>
        </w:rPr>
        <w:t xml:space="preserve">Production Planning &amp; </w:t>
      </w:r>
      <w:r>
        <w:rPr>
          <w:i/>
          <w:iCs/>
        </w:rPr>
        <w:t>Control</w:t>
      </w:r>
      <w:r>
        <w:t>, 36, 950–969. DOI: 10.1080/09537287.2024.2321291. Accessed: 13 December 2025.</w:t>
      </w:r>
    </w:p>
    <w:p>
      <w:pPr>
        <w:pStyle w:val="style0"/>
        <w:spacing w:before="240" w:after="240"/>
        <w:rPr/>
      </w:pPr>
      <w:r>
        <w:t>Rizki</w:t>
      </w:r>
      <w:r>
        <w:t xml:space="preserve">, D., </w:t>
      </w:r>
      <w:r>
        <w:t>Jadidah</w:t>
      </w:r>
      <w:r>
        <w:t xml:space="preserve">, W.N., Al Afif, R.A., </w:t>
      </w:r>
      <w:r>
        <w:t>Akhtiar</w:t>
      </w:r>
      <w:r>
        <w:t xml:space="preserve">, M.N. &amp; </w:t>
      </w:r>
      <w:r>
        <w:t>Athief</w:t>
      </w:r>
      <w:r>
        <w:t xml:space="preserve">, F.H.N. (2024) </w:t>
      </w:r>
      <w:r>
        <w:rPr>
          <w:i/>
          <w:iCs/>
        </w:rPr>
        <w:t>Development of Indonesian Halal Logistic: A SWOT Approach</w:t>
      </w:r>
      <w:r>
        <w:t xml:space="preserve">, </w:t>
      </w:r>
      <w:r>
        <w:rPr>
          <w:i/>
          <w:iCs/>
        </w:rPr>
        <w:t>Journal of Digital Marketing and Halal Industry</w:t>
      </w:r>
      <w:r>
        <w:t>, 6(1). DOI: 10.21580/jdmhi.2024.6.1.22678. Accessed: 13 December 2025.</w:t>
      </w:r>
    </w:p>
    <w:p>
      <w:pPr>
        <w:pStyle w:val="style0"/>
        <w:spacing w:before="240" w:after="240"/>
        <w:rPr/>
      </w:pPr>
      <w:r>
        <w:t xml:space="preserve">Sahari, N.H., Aziz, N.A., Latiff, J.A., Harun, N.H., Mazlan, F.A. &amp; Musa, M.S. (2024) </w:t>
      </w:r>
      <w:r>
        <w:rPr>
          <w:i/>
          <w:iCs/>
        </w:rPr>
        <w:t>Role of Department of Islamic Development Malaysia (JAKIM) in Controlling the Importation of Halal Meat in Malaysia</w:t>
      </w:r>
      <w:r>
        <w:t xml:space="preserve">, </w:t>
      </w:r>
      <w:r>
        <w:rPr>
          <w:i/>
          <w:iCs/>
        </w:rPr>
        <w:t>International Journal of Religion</w:t>
      </w:r>
      <w:r>
        <w:t>. DOI: 10.61707/yp5fpd33. Accessed: 13 December 2025.</w:t>
      </w:r>
    </w:p>
    <w:p>
      <w:pPr>
        <w:pStyle w:val="style0"/>
        <w:spacing w:before="240" w:after="240"/>
        <w:rPr/>
      </w:pPr>
      <w:r>
        <w:t xml:space="preserve">Sakib, S. (2022) </w:t>
      </w:r>
      <w:r>
        <w:rPr>
          <w:i/>
          <w:iCs/>
        </w:rPr>
        <w:t>Frozen seafood from Bangladesh to the world</w:t>
      </w:r>
      <w:r>
        <w:t>, Prothom Alo. Available at:</w:t>
      </w:r>
      <w:r>
        <w:rPr/>
        <w:fldChar w:fldCharType="begin"/>
      </w:r>
      <w:r>
        <w:instrText xml:space="preserve"> HYPERLINK "https://en.prothomalo.com/business/frozen-seafood-from-bangladesh-to-the-world?utm_source=chatgpt.com" </w:instrText>
      </w:r>
      <w:r>
        <w:rPr/>
        <w:fldChar w:fldCharType="separate"/>
      </w:r>
      <w:r>
        <w:t xml:space="preserve"> </w:t>
      </w:r>
      <w:r>
        <w:rPr/>
        <w:fldChar w:fldCharType="end"/>
      </w:r>
      <w:r>
        <w:rPr/>
        <w:fldChar w:fldCharType="begin"/>
      </w:r>
      <w:r>
        <w:instrText xml:space="preserve"> HYPERLINK "https://en.prothomalo.com/business/frozen-seafood-from-bangladesh-to-the-world?utm_source=chatgpt.com" </w:instrText>
      </w:r>
      <w:r>
        <w:rPr/>
        <w:fldChar w:fldCharType="separate"/>
      </w:r>
      <w:r>
        <w:rPr>
          <w:color w:val="1155cc"/>
          <w:u w:val="single"/>
        </w:rPr>
        <w:t>https://en.prothomalo.com/business/frozen-seafood-from-bangladesh-to-the-world</w:t>
      </w:r>
      <w:r>
        <w:rPr/>
        <w:fldChar w:fldCharType="end"/>
      </w:r>
      <w:r>
        <w:t xml:space="preserve"> (Accessed: 14 December 2025).</w:t>
      </w:r>
    </w:p>
    <w:p>
      <w:pPr>
        <w:pStyle w:val="style0"/>
        <w:spacing w:before="240" w:after="240"/>
        <w:rPr/>
      </w:pPr>
      <w:r>
        <w:t xml:space="preserve">Seamark (BD) Ltd (2025) </w:t>
      </w:r>
      <w:r>
        <w:rPr>
          <w:i/>
          <w:iCs/>
        </w:rPr>
        <w:t>Company information</w:t>
      </w:r>
      <w:r>
        <w:t>. Export Promotion Bureau. Available at:</w:t>
      </w:r>
      <w:r>
        <w:rPr/>
        <w:fldChar w:fldCharType="begin"/>
      </w:r>
      <w:r>
        <w:instrText xml:space="preserve"> HYPERLINK "https://edb.epb.gov.bd/exporter/4455/irawan-trading?utm_source=chatgpt.com" </w:instrText>
      </w:r>
      <w:r>
        <w:rPr/>
        <w:fldChar w:fldCharType="separate"/>
      </w:r>
      <w:r>
        <w:t xml:space="preserve"> </w:t>
      </w:r>
      <w:r>
        <w:rPr/>
        <w:fldChar w:fldCharType="end"/>
      </w:r>
      <w:r>
        <w:rPr/>
        <w:fldChar w:fldCharType="begin"/>
      </w:r>
      <w:r>
        <w:instrText xml:space="preserve"> HYPERLINK "https://edb.epb.gov.bd/exporter/4455/irawan-trading?utm_source=chatgpt.com" </w:instrText>
      </w:r>
      <w:r>
        <w:rPr/>
        <w:fldChar w:fldCharType="separate"/>
      </w:r>
      <w:r>
        <w:rPr>
          <w:color w:val="1155cc"/>
          <w:u w:val="single"/>
        </w:rPr>
        <w:t>https://edb.epb.gov.bd/exporter/4455/irawan-trading</w:t>
      </w:r>
      <w:r>
        <w:rPr/>
        <w:fldChar w:fldCharType="end"/>
      </w:r>
      <w:r>
        <w:t xml:space="preserve"> (Accessed: 14 December 2025).</w:t>
      </w:r>
    </w:p>
    <w:p>
      <w:pPr>
        <w:pStyle w:val="style0"/>
        <w:spacing w:before="240" w:after="240"/>
        <w:rPr/>
      </w:pPr>
      <w:r>
        <w:t xml:space="preserve">Seamark (BD) Ltd (2025) </w:t>
      </w:r>
      <w:r>
        <w:rPr>
          <w:i/>
          <w:iCs/>
        </w:rPr>
        <w:t>About us</w:t>
      </w:r>
      <w:r>
        <w:t>. Available at:</w:t>
      </w:r>
      <w:r>
        <w:rPr/>
        <w:fldChar w:fldCharType="begin"/>
      </w:r>
      <w:r>
        <w:instrText xml:space="preserve"> HYPERLINK "https://www.seamarkbd.net/?utm_source=chatgpt.com" </w:instrText>
      </w:r>
      <w:r>
        <w:rPr/>
        <w:fldChar w:fldCharType="separate"/>
      </w:r>
      <w:r>
        <w:t xml:space="preserve"> </w:t>
      </w:r>
      <w:r>
        <w:rPr/>
        <w:fldChar w:fldCharType="end"/>
      </w:r>
      <w:r>
        <w:rPr/>
        <w:fldChar w:fldCharType="begin"/>
      </w:r>
      <w:r>
        <w:instrText xml:space="preserve"> HYPERLINK "https://www.seamarkbd.net/?utm_source=chatgpt.com" </w:instrText>
      </w:r>
      <w:r>
        <w:rPr/>
        <w:fldChar w:fldCharType="separate"/>
      </w:r>
      <w:r>
        <w:rPr>
          <w:color w:val="1155cc"/>
          <w:u w:val="single"/>
        </w:rPr>
        <w:t>https://www.seamarkbd.net/</w:t>
      </w:r>
      <w:r>
        <w:rPr/>
        <w:fldChar w:fldCharType="end"/>
      </w:r>
      <w:r>
        <w:t xml:space="preserve"> (Accessed: 14 December 2025).</w:t>
      </w:r>
    </w:p>
    <w:p>
      <w:pPr>
        <w:pStyle w:val="style0"/>
        <w:spacing w:before="240" w:after="240"/>
        <w:rPr/>
      </w:pPr>
      <w:r>
        <w:t xml:space="preserve">Su, M., Fang, M., Pang, Q. &amp; Park, K. (2022) </w:t>
      </w:r>
      <w:r>
        <w:rPr>
          <w:i/>
          <w:iCs/>
        </w:rPr>
        <w:t>Exploring the Role of Sustainable Logistics Service Providers in Multinational Supply Chain Cooperation: An Integrated Theory-Based Perspective</w:t>
      </w:r>
      <w:r>
        <w:t xml:space="preserve">, </w:t>
      </w:r>
      <w:r>
        <w:rPr>
          <w:i/>
          <w:iCs/>
        </w:rPr>
        <w:t>Frontiers in Environmental Science</w:t>
      </w:r>
      <w:r>
        <w:t>, 10. DOI: 10.3389/fenvs.2022.976211. Accessed: 13 December 2025.</w:t>
      </w:r>
    </w:p>
    <w:p>
      <w:pPr>
        <w:pStyle w:val="style0"/>
        <w:rPr/>
      </w:pPr>
    </w:p>
    <w:p>
      <w:pPr>
        <w:pStyle w:val="style0"/>
        <w:spacing w:before="240" w:after="240"/>
        <w:rPr/>
      </w:pPr>
      <w:r>
        <w:br w:type="page"/>
      </w:r>
    </w:p>
    <w:bookmarkStart w:id="42" w:name="_Toc216683335"/>
    <w:p>
      <w:pPr>
        <w:pStyle w:val="style1"/>
        <w:rPr/>
      </w:pPr>
      <w:r>
        <w:t>Appendices</w:t>
      </w:r>
      <w:bookmarkEnd w:id="42"/>
    </w:p>
    <w:bookmarkStart w:id="43" w:name="_Toc216683336"/>
    <w:p>
      <w:pPr>
        <w:pStyle w:val="style2"/>
        <w:keepNext w:val="false"/>
        <w:keepLines w:val="false"/>
        <w:spacing w:before="360" w:after="80"/>
        <w:rPr/>
      </w:pPr>
      <w:r>
        <w:t>Appendix A: Seamark Bangladesh – Company Profile</w:t>
      </w:r>
      <w:bookmarkEnd w:id="43"/>
    </w:p>
    <w:p>
      <w:pPr>
        <w:pStyle w:val="style0"/>
        <w:spacing w:before="240" w:after="240"/>
        <w:jc w:val="left"/>
        <w:rPr/>
      </w:pPr>
      <w:r>
        <w:rPr>
          <w:b/>
          <w:bCs/>
        </w:rPr>
        <w:t>Company Name:</w:t>
      </w:r>
      <w:r>
        <w:t xml:space="preserve"> Seamark Bangladesh Ltd.</w:t>
      </w:r>
      <w:r>
        <w:br/>
      </w:r>
      <w:r>
        <w:rPr>
          <w:b/>
          <w:bCs/>
        </w:rPr>
        <w:t>Industry:</w:t>
      </w:r>
      <w:r>
        <w:t xml:space="preserve"> Seafood Processing and Export</w:t>
      </w:r>
      <w:r>
        <w:br/>
      </w:r>
      <w:r>
        <w:rPr>
          <w:b/>
          <w:bCs/>
        </w:rPr>
        <w:t>Core Products:</w:t>
      </w:r>
      <w:r>
        <w:t xml:space="preserve"> Frozen shrimp, frozen fish, value-added seafood products (ready-to</w:t>
      </w:r>
      <w:r>
        <w:t xml:space="preserve"> </w:t>
      </w:r>
      <w:r>
        <w:t>cook, marinated, processed seafood)</w:t>
      </w:r>
      <w:r>
        <w:br/>
      </w:r>
      <w:r>
        <w:rPr>
          <w:b/>
          <w:bCs/>
        </w:rPr>
        <w:t>Headquarters:</w:t>
      </w:r>
      <w:r>
        <w:t xml:space="preserve"> Bangladesh</w:t>
      </w:r>
      <w:r>
        <w:br/>
      </w:r>
      <w:r>
        <w:rPr>
          <w:b/>
          <w:bCs/>
        </w:rPr>
        <w:t>International Presence:</w:t>
      </w:r>
      <w:r>
        <w:t xml:space="preserve"> United Kingdom (Seamark plc), European Union markets</w:t>
      </w:r>
    </w:p>
    <w:p>
      <w:pPr>
        <w:pStyle w:val="style0"/>
        <w:spacing w:before="240" w:after="240"/>
        <w:rPr/>
      </w:pPr>
      <w:r>
        <w:t>Seamark Bangladesh is a leading export-oriented seafood processing company operating within the global agri-food value chain. The firm specialises in the processing and export of shrimp and fish products, supplying highly regulated international markets, particularly the UK and European Union. Seamark’s operations are supported by advanced processing facilities, strict quality control systems, and internationally recognised certifications. The company integrates upstream sourcing in Bangladesh with downstream distribution and customer management in overseas markets, enabling it to compete effectively on quality, compliance, and reliability.</w:t>
      </w:r>
    </w:p>
    <w:bookmarkStart w:id="44" w:name="_Toc216683337"/>
    <w:p>
      <w:pPr>
        <w:pStyle w:val="style2"/>
        <w:keepNext w:val="false"/>
        <w:keepLines w:val="false"/>
        <w:spacing w:before="360" w:after="80"/>
        <w:rPr/>
      </w:pPr>
      <w:r>
        <w:t>Appendix B: Seamark Bangladesh – Global Value Chain (GVC) Analysis</w:t>
      </w:r>
      <w:bookmarkEnd w:id="44"/>
    </w:p>
    <w:tbl>
      <w:tblPr>
        <w:tblStyle w:val="style4098"/>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55"/>
        <w:gridCol w:w="2904"/>
        <w:gridCol w:w="1984"/>
        <w:gridCol w:w="2717"/>
      </w:tblGrid>
      <w:tr>
        <w:trPr>
          <w:trHeight w:val="785" w:hRule="atLeast"/>
        </w:trPr>
        <w:tc>
          <w:tcPr>
            <w:tcW w:w="1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rPr>
                <w:b/>
                <w:bCs/>
              </w:rPr>
              <w:t>Value Chain Stage</w:t>
            </w:r>
          </w:p>
        </w:tc>
        <w:tc>
          <w:tcPr>
            <w:tcW w:w="2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rPr>
                <w:b/>
                <w:bCs/>
              </w:rPr>
              <w:t>Key Activities</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rPr>
                <w:b/>
                <w:bCs/>
              </w:rPr>
              <w:t>Geographical Location</w:t>
            </w:r>
          </w:p>
        </w:tc>
        <w:tc>
          <w:tcPr>
            <w:tcW w:w="27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rPr>
                <w:b/>
                <w:bCs/>
              </w:rPr>
              <w:t>Value Created</w:t>
            </w:r>
          </w:p>
        </w:tc>
      </w:tr>
      <w:tr>
        <w:tblPrEx/>
        <w:trPr>
          <w:trHeight w:val="1625" w:hRule="atLeast"/>
        </w:trPr>
        <w:tc>
          <w:tcPr>
            <w:tcW w:w="1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Inbound Logistics</w:t>
            </w:r>
          </w:p>
        </w:tc>
        <w:tc>
          <w:tcPr>
            <w:tcW w:w="2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Sourcing shrimp and fish from aquaculture farms and coastal fishing communities; supplier coordination; quality screening</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Cox’s Bazar, Chattogram, Khulna (Bangladesh)</w:t>
            </w:r>
          </w:p>
        </w:tc>
        <w:tc>
          <w:tcPr>
            <w:tcW w:w="27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Ensures access to raw materials, maintains quality standards, supports traceability and sustainability</w:t>
            </w:r>
          </w:p>
        </w:tc>
      </w:tr>
      <w:tr>
        <w:tblPrEx/>
        <w:trPr>
          <w:trHeight w:val="1340" w:hRule="atLeast"/>
        </w:trPr>
        <w:tc>
          <w:tcPr>
            <w:tcW w:w="1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Processing &amp; Manufacturing</w:t>
            </w:r>
          </w:p>
        </w:tc>
        <w:tc>
          <w:tcPr>
            <w:tcW w:w="2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Cleaning, grading, cutting, freezing, packaging, value-added processing (ready-to-cook, marinated products)</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HACCP-compliant factories in Bangladesh</w:t>
            </w:r>
          </w:p>
        </w:tc>
        <w:tc>
          <w:tcPr>
            <w:tcW w:w="27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Transforms raw seafood into export-ready, standardised, high-quality products</w:t>
            </w:r>
          </w:p>
        </w:tc>
      </w:tr>
      <w:tr>
        <w:tblPrEx/>
        <w:trPr>
          <w:trHeight w:val="1625" w:hRule="atLeast"/>
        </w:trPr>
        <w:tc>
          <w:tcPr>
            <w:tcW w:w="1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Cold-Chain Logistics</w:t>
            </w:r>
          </w:p>
        </w:tc>
        <w:tc>
          <w:tcPr>
            <w:tcW w:w="2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Blast freezing, temperature-controlled storage, refrigerated transport, export documentation preparation</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Bangladesh ports and international shipping routes</w:t>
            </w:r>
          </w:p>
        </w:tc>
        <w:tc>
          <w:tcPr>
            <w:tcW w:w="27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Preserves product freshness, minimises spoilage, ensures compliance with food safety regulations</w:t>
            </w:r>
          </w:p>
        </w:tc>
      </w:tr>
      <w:tr>
        <w:tblPrEx/>
        <w:trPr>
          <w:trHeight w:val="1340" w:hRule="atLeast"/>
        </w:trPr>
        <w:tc>
          <w:tcPr>
            <w:tcW w:w="1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Distribution &amp; Warehousing</w:t>
            </w:r>
          </w:p>
        </w:tc>
        <w:tc>
          <w:tcPr>
            <w:tcW w:w="2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Import handling, cold storage, order fulfilment, coordination with retailers and food-service clients</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United Kingdom (Seamark plc)</w:t>
            </w:r>
          </w:p>
        </w:tc>
        <w:tc>
          <w:tcPr>
            <w:tcW w:w="27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Enables efficient access to EU markets and faster response to customer demand</w:t>
            </w:r>
          </w:p>
        </w:tc>
      </w:tr>
      <w:tr>
        <w:tblPrEx/>
        <w:trPr>
          <w:trHeight w:val="1340" w:hRule="atLeast"/>
        </w:trPr>
        <w:tc>
          <w:tcPr>
            <w:tcW w:w="1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Marketing &amp; Sales</w:t>
            </w:r>
          </w:p>
        </w:tc>
        <w:tc>
          <w:tcPr>
            <w:tcW w:w="2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Branding, contract negotiation, sales to retail, wholesale, and hospitality sectors</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UK and European markets</w:t>
            </w:r>
          </w:p>
        </w:tc>
        <w:tc>
          <w:tcPr>
            <w:tcW w:w="27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Builds brand reputation, secures long-term contracts, supports revenue growth</w:t>
            </w:r>
          </w:p>
        </w:tc>
      </w:tr>
      <w:tr>
        <w:tblPrEx/>
        <w:trPr>
          <w:trHeight w:val="1340" w:hRule="atLeast"/>
        </w:trPr>
        <w:tc>
          <w:tcPr>
            <w:tcW w:w="1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Sustainability &amp; Compliance</w:t>
            </w:r>
          </w:p>
        </w:tc>
        <w:tc>
          <w:tcPr>
            <w:tcW w:w="2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Certification management (BRC, ISO, Halal), traceability systems, audits, ethical sourcing</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Across all operational stages</w:t>
            </w:r>
          </w:p>
        </w:tc>
        <w:tc>
          <w:tcPr>
            <w:tcW w:w="27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Enhances trust, regulatory compliance, and long-term competitiveness</w:t>
            </w:r>
          </w:p>
        </w:tc>
      </w:tr>
      <w:bookmarkStart w:id="45" w:name="_Toc216683338"/>
    </w:tbl>
    <w:p>
      <w:pPr>
        <w:pStyle w:val="style2"/>
        <w:keepNext w:val="false"/>
        <w:keepLines w:val="false"/>
        <w:spacing w:before="360" w:after="80"/>
        <w:rPr/>
      </w:pPr>
      <w:r>
        <w:t>Appendix C: Cultural Comparison – Bangladesh and Malaysia (Hofstede-Based Overview)</w:t>
      </w:r>
      <w:bookmarkEnd w:id="45"/>
    </w:p>
    <w:tbl>
      <w:tblPr>
        <w:tblStyle w:val="style4099"/>
        <w:tblW w:w="935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43"/>
        <w:gridCol w:w="1755"/>
        <w:gridCol w:w="1712"/>
        <w:gridCol w:w="3649"/>
      </w:tblGrid>
      <w:tr>
        <w:trPr>
          <w:trHeight w:val="515" w:hRule="atLeast"/>
        </w:trPr>
        <w:tc>
          <w:tcPr>
            <w:tcW w:w="22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rPr>
                <w:b/>
                <w:bCs/>
              </w:rPr>
              <w:t>Cultural Dimension</w:t>
            </w:r>
          </w:p>
        </w:tc>
        <w:tc>
          <w:tcPr>
            <w:tcW w:w="1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rPr>
                <w:b/>
                <w:bCs/>
              </w:rPr>
              <w:t>Bangladesh</w:t>
            </w:r>
          </w:p>
        </w:tc>
        <w:tc>
          <w:tcPr>
            <w:tcW w:w="17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rPr>
                <w:b/>
                <w:bCs/>
              </w:rPr>
              <w:t>Malaysia</w:t>
            </w:r>
          </w:p>
        </w:tc>
        <w:tc>
          <w:tcPr>
            <w:tcW w:w="36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rPr>
                <w:b/>
                <w:bCs/>
              </w:rPr>
              <w:t>Implications for Seamark</w:t>
            </w:r>
          </w:p>
        </w:tc>
      </w:tr>
      <w:tr>
        <w:tblPrEx/>
        <w:trPr>
          <w:trHeight w:val="785" w:hRule="atLeast"/>
        </w:trPr>
        <w:tc>
          <w:tcPr>
            <w:tcW w:w="22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Power Distance</w:t>
            </w:r>
          </w:p>
        </w:tc>
        <w:tc>
          <w:tcPr>
            <w:tcW w:w="1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High</w:t>
            </w:r>
          </w:p>
        </w:tc>
        <w:tc>
          <w:tcPr>
            <w:tcW w:w="17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High</w:t>
            </w:r>
          </w:p>
        </w:tc>
        <w:tc>
          <w:tcPr>
            <w:tcW w:w="36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Acceptance of hierarchy and top-down decision-making</w:t>
            </w:r>
          </w:p>
        </w:tc>
      </w:tr>
      <w:tr>
        <w:tblPrEx/>
        <w:trPr>
          <w:trHeight w:val="785" w:hRule="atLeast"/>
        </w:trPr>
        <w:tc>
          <w:tcPr>
            <w:tcW w:w="22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Individualism / Collectivism</w:t>
            </w:r>
          </w:p>
        </w:tc>
        <w:tc>
          <w:tcPr>
            <w:tcW w:w="1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Collectivist</w:t>
            </w:r>
          </w:p>
        </w:tc>
        <w:tc>
          <w:tcPr>
            <w:tcW w:w="17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Collectivist</w:t>
            </w:r>
          </w:p>
        </w:tc>
        <w:tc>
          <w:tcPr>
            <w:tcW w:w="36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Emphasis on relationships, trust, and long-term partnerships</w:t>
            </w:r>
          </w:p>
        </w:tc>
      </w:tr>
      <w:tr>
        <w:tblPrEx/>
        <w:trPr>
          <w:trHeight w:val="785" w:hRule="atLeast"/>
        </w:trPr>
        <w:tc>
          <w:tcPr>
            <w:tcW w:w="22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Uncertainty Avoidance</w:t>
            </w:r>
          </w:p>
        </w:tc>
        <w:tc>
          <w:tcPr>
            <w:tcW w:w="1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Moderate</w:t>
            </w:r>
          </w:p>
        </w:tc>
        <w:tc>
          <w:tcPr>
            <w:tcW w:w="17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Moderate</w:t>
            </w:r>
          </w:p>
        </w:tc>
        <w:tc>
          <w:tcPr>
            <w:tcW w:w="36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Preference for formal procedures without excessive rigidity</w:t>
            </w:r>
          </w:p>
        </w:tc>
      </w:tr>
      <w:tr>
        <w:tblPrEx/>
        <w:trPr>
          <w:trHeight w:val="785" w:hRule="atLeast"/>
        </w:trPr>
        <w:tc>
          <w:tcPr>
            <w:tcW w:w="22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Religious Influence</w:t>
            </w:r>
          </w:p>
        </w:tc>
        <w:tc>
          <w:tcPr>
            <w:tcW w:w="1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Strong Islamic values</w:t>
            </w:r>
          </w:p>
        </w:tc>
        <w:tc>
          <w:tcPr>
            <w:tcW w:w="17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Strong Islamic values</w:t>
            </w:r>
          </w:p>
        </w:tc>
        <w:tc>
          <w:tcPr>
            <w:tcW w:w="36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Facilitates halal compliance and cultural alignment</w:t>
            </w:r>
          </w:p>
        </w:tc>
      </w:tr>
      <w:tr>
        <w:tblPrEx/>
        <w:trPr>
          <w:trHeight w:val="785" w:hRule="atLeast"/>
        </w:trPr>
        <w:tc>
          <w:tcPr>
            <w:tcW w:w="22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Communication Style</w:t>
            </w:r>
          </w:p>
        </w:tc>
        <w:tc>
          <w:tcPr>
            <w:tcW w:w="1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Indirect</w:t>
            </w:r>
          </w:p>
        </w:tc>
        <w:tc>
          <w:tcPr>
            <w:tcW w:w="17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Polite and indirect</w:t>
            </w:r>
          </w:p>
        </w:tc>
        <w:tc>
          <w:tcPr>
            <w:tcW w:w="36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Importance of respectful, non-confrontational communication</w:t>
            </w:r>
          </w:p>
        </w:tc>
      </w:tr>
      <w:bookmarkStart w:id="46" w:name="_Toc216683339"/>
    </w:tbl>
    <w:p>
      <w:pPr>
        <w:pStyle w:val="style2"/>
        <w:keepNext w:val="false"/>
        <w:keepLines w:val="false"/>
        <w:spacing w:before="360" w:after="80"/>
        <w:rPr/>
      </w:pPr>
      <w:r>
        <w:t>Appendix D: Malaysia – Market and Regulatory Environment Overview</w:t>
      </w:r>
      <w:bookmarkEnd w:id="46"/>
    </w:p>
    <w:p>
      <w:pPr>
        <w:pStyle w:val="style0"/>
        <w:spacing w:before="240" w:after="240"/>
        <w:rPr/>
      </w:pPr>
      <w:r>
        <w:t>Malaysia is a rapidly developing emerging economy with a strong domestic demand for seafood products driven by urbanisation, rising incomes, and a thriving tourism and hospitality sector. Seafood is a staple protein source, and consumer demand for halal-certified and imported products has increased steadily. The halal regulatory framework in Malaysia is governed by the Department of Islamic Development Malaysia (JAKIM), which enforces strict standards on food imports, processing, and labelling.</w:t>
      </w:r>
    </w:p>
    <w:p>
      <w:pPr>
        <w:pStyle w:val="style0"/>
        <w:spacing w:before="240" w:after="240"/>
        <w:rPr/>
      </w:pPr>
      <w:r>
        <w:t>Malaysia also benefits from advanced logistics infrastructure, including modern ports, cold-storage facilities, and efficient inland transport networks. The Malaysian government actively promotes foreign investment in food processing and halal industries through incentives provided by the Malaysia Investment Development Authority (MIDA). These conditions make Malaysia a strategically attractive market for Seamark’s expansion.</w:t>
      </w:r>
    </w:p>
    <w:bookmarkStart w:id="47" w:name="_Toc216683340"/>
    <w:p>
      <w:pPr>
        <w:pStyle w:val="style2"/>
        <w:keepNext w:val="false"/>
        <w:keepLines w:val="false"/>
        <w:spacing w:before="360" w:after="80"/>
        <w:rPr/>
      </w:pPr>
      <w:r>
        <w:t>Appendix E: Key Risks and Mitigation Measures</w:t>
      </w:r>
      <w:bookmarkEnd w:id="47"/>
    </w:p>
    <w:tbl>
      <w:tblPr>
        <w:tblStyle w:val="style410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12"/>
        <w:gridCol w:w="3465"/>
        <w:gridCol w:w="4283"/>
      </w:tblGrid>
      <w:tr>
        <w:trPr>
          <w:trHeight w:val="785" w:hRule="atLeast"/>
        </w:trPr>
        <w:tc>
          <w:tcPr>
            <w:tcW w:w="16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rPr>
                <w:b/>
                <w:bCs/>
              </w:rPr>
              <w:t>Risk Category</w:t>
            </w:r>
          </w:p>
        </w:tc>
        <w:tc>
          <w:tcPr>
            <w:tcW w:w="34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rPr>
                <w:b/>
                <w:bCs/>
              </w:rPr>
              <w:t>Description</w:t>
            </w:r>
          </w:p>
        </w:tc>
        <w:tc>
          <w:tcPr>
            <w:tcW w:w="42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rPr>
                <w:b/>
                <w:bCs/>
              </w:rPr>
              <w:t>Mitigation Strategy</w:t>
            </w:r>
          </w:p>
        </w:tc>
      </w:tr>
      <w:tr>
        <w:tblPrEx/>
        <w:trPr>
          <w:trHeight w:val="785" w:hRule="atLeast"/>
        </w:trPr>
        <w:tc>
          <w:tcPr>
            <w:tcW w:w="16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Regulatory Risk</w:t>
            </w:r>
          </w:p>
        </w:tc>
        <w:tc>
          <w:tcPr>
            <w:tcW w:w="34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Strict halal and food safety compliance requirements</w:t>
            </w:r>
          </w:p>
        </w:tc>
        <w:tc>
          <w:tcPr>
            <w:tcW w:w="42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Alignment with JAKIM standards, internal audits, certification monitoring</w:t>
            </w:r>
          </w:p>
        </w:tc>
      </w:tr>
      <w:tr>
        <w:tblPrEx/>
        <w:trPr>
          <w:trHeight w:val="785" w:hRule="atLeast"/>
        </w:trPr>
        <w:tc>
          <w:tcPr>
            <w:tcW w:w="16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Supply Risk</w:t>
            </w:r>
          </w:p>
        </w:tc>
        <w:tc>
          <w:tcPr>
            <w:tcW w:w="34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Climate variability and aquaculture disease in Bangladesh</w:t>
            </w:r>
          </w:p>
        </w:tc>
        <w:tc>
          <w:tcPr>
            <w:tcW w:w="42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Dual sourcing strategies, supplier diversification</w:t>
            </w:r>
          </w:p>
        </w:tc>
      </w:tr>
      <w:tr>
        <w:tblPrEx/>
        <w:trPr>
          <w:trHeight w:val="785" w:hRule="atLeast"/>
        </w:trPr>
        <w:tc>
          <w:tcPr>
            <w:tcW w:w="16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Cultural Risk</w:t>
            </w:r>
          </w:p>
        </w:tc>
        <w:tc>
          <w:tcPr>
            <w:tcW w:w="34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Differences in negotiation style and business practices</w:t>
            </w:r>
          </w:p>
        </w:tc>
        <w:tc>
          <w:tcPr>
            <w:tcW w:w="42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Local joint venture partner, cross-cultural training</w:t>
            </w:r>
          </w:p>
        </w:tc>
      </w:tr>
      <w:tr>
        <w:tblPrEx/>
        <w:trPr>
          <w:trHeight w:val="785" w:hRule="atLeast"/>
        </w:trPr>
        <w:tc>
          <w:tcPr>
            <w:tcW w:w="16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Logistics Risk</w:t>
            </w:r>
          </w:p>
        </w:tc>
        <w:tc>
          <w:tcPr>
            <w:tcW w:w="34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Cold-chain disruption and port congestion</w:t>
            </w:r>
          </w:p>
        </w:tc>
        <w:tc>
          <w:tcPr>
            <w:tcW w:w="42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Local cold-chain partnerships, temperature monitoring SOPs</w:t>
            </w:r>
          </w:p>
        </w:tc>
      </w:tr>
      <w:tr>
        <w:tblPrEx/>
        <w:trPr>
          <w:trHeight w:val="785" w:hRule="atLeast"/>
        </w:trPr>
        <w:tc>
          <w:tcPr>
            <w:tcW w:w="16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Competitive Risk</w:t>
            </w:r>
          </w:p>
        </w:tc>
        <w:tc>
          <w:tcPr>
            <w:tcW w:w="34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Strong competition from Vietnam, India, and Indonesia</w:t>
            </w:r>
          </w:p>
        </w:tc>
        <w:tc>
          <w:tcPr>
            <w:tcW w:w="42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0"/>
              <w:rPr/>
            </w:pPr>
            <w:r>
              <w:t>Product differentiation, quality focus, brand positioning</w:t>
            </w:r>
          </w:p>
        </w:tc>
      </w:tr>
    </w:tbl>
    <w:p>
      <w:pPr>
        <w:pStyle w:val="style0"/>
        <w:spacing w:before="240" w:after="240"/>
        <w:rPr/>
      </w:pPr>
    </w:p>
    <w:p>
      <w:pPr>
        <w:pStyle w:val="style0"/>
        <w:rPr/>
      </w:pPr>
    </w:p>
    <w:sectPr>
      <w:headerReference w:type="default" r:id="rId3"/>
      <w:footerReference w:type="default" r:id="rId4"/>
      <w:pgSz w:w="12240" w:h="15840" w:orient="portrait"/>
      <w:pgMar w:top="1440" w:right="1440" w:bottom="1440" w:left="1440" w:header="720" w:footer="720"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Calibri">
    <w:altName w:val="Calibri"/>
    <w:panose1 w:val="020f0502020002030204"/>
    <w:charset w:val="00"/>
    <w:family w:val="swiss"/>
    <w:pitch w:val="variable"/>
    <w:sig w:usb0="E4002EFF" w:usb1="C000247B" w:usb2="00000009"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right"/>
      <w:rPr/>
    </w:pPr>
    <w:r>
      <w:rPr/>
      <w:fldChar w:fldCharType="begin"/>
    </w:r>
    <w:r>
      <w:instrText>PAGE</w:instrText>
    </w:r>
    <w:r>
      <w:rPr/>
      <w:fldChar w:fldCharType="separate"/>
    </w:r>
    <w:r>
      <w:rPr>
        <w:noProof/>
      </w:rPr>
      <w:t>1</w:t>
    </w:r>
    <w:r>
      <w:rPr/>
      <w:fldChar w:fldCharType="end"/>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B1D235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0000001"/>
    <w:multiLevelType w:val="multilevel"/>
    <w:tmpl w:val="8B1E6158"/>
    <w:lvl w:ilvl="0">
      <w:start w:val="3"/>
      <w:numFmt w:val="decimal"/>
      <w:lvlText w:val="%1"/>
      <w:lvlJc w:val="left"/>
      <w:pPr>
        <w:ind w:left="400" w:hanging="400"/>
      </w:pPr>
      <w:rPr>
        <w:rFonts w:hint="default"/>
      </w:rPr>
    </w:lvl>
    <w:lvl w:ilvl="1">
      <w:start w:val="4"/>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0000002"/>
    <w:multiLevelType w:val="multilevel"/>
    <w:tmpl w:val="4446B6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00000003"/>
    <w:multiLevelType w:val="hybridMultilevel"/>
    <w:tmpl w:val="44A83B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 w:numId="3">
    <w:abstractNumId w:val="2"/>
  </w:num>
  <w:num w:numId="4">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embedTrueTypeFont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sz w:val="24"/>
        <w:szCs w:val="24"/>
        <w:lang w:val="en-GB" w:bidi="ar-SA" w:eastAsia="en-US"/>
      </w:rPr>
    </w:rPrDefault>
    <w:pPrDefault>
      <w:pPr>
        <w:spacing w:lineRule="auto" w:line="360"/>
        <w:jc w:val="both"/>
      </w:pPr>
    </w:pPrDefault>
  </w:docDefaults>
  <w:style w:type="paragraph" w:default="1" w:styleId="style0">
    <w:name w:val="Normal"/>
    <w:next w:val="style0"/>
    <w:qFormat/>
    <w:pPr/>
    <w:rPr>
      <w:rFonts w:ascii="Arial" w:hAnsi="Arial"/>
    </w:rPr>
  </w:style>
  <w:style w:type="paragraph" w:styleId="style1">
    <w:name w:val="heading 1"/>
    <w:basedOn w:val="style0"/>
    <w:next w:val="style0"/>
    <w:qFormat/>
    <w:uiPriority w:val="9"/>
    <w:pPr>
      <w:keepNext/>
      <w:keepLines/>
      <w:spacing w:before="240" w:after="240"/>
      <w:outlineLvl w:val="0"/>
    </w:pPr>
    <w:rPr>
      <w:b/>
      <w:bCs/>
      <w:color w:val="3731c2"/>
      <w:sz w:val="32"/>
      <w:szCs w:val="32"/>
    </w:rPr>
  </w:style>
  <w:style w:type="paragraph" w:styleId="style2">
    <w:name w:val="heading 2"/>
    <w:basedOn w:val="style0"/>
    <w:next w:val="style0"/>
    <w:qFormat/>
    <w:uiPriority w:val="9"/>
    <w:pPr>
      <w:keepNext/>
      <w:keepLines/>
      <w:spacing w:before="240" w:after="240"/>
      <w:outlineLvl w:val="1"/>
    </w:pPr>
    <w:rPr>
      <w:color w:val="3731c2"/>
      <w:sz w:val="28"/>
      <w:szCs w:val="28"/>
    </w:rPr>
  </w:style>
  <w:style w:type="paragraph" w:styleId="style3">
    <w:name w:val="heading 3"/>
    <w:basedOn w:val="style0"/>
    <w:next w:val="style0"/>
    <w:qFormat/>
    <w:uiPriority w:val="9"/>
    <w:pPr>
      <w:keepNext/>
      <w:keepLines/>
      <w:spacing w:before="240" w:after="40"/>
      <w:outlineLvl w:val="2"/>
    </w:pPr>
    <w:rPr>
      <w:b/>
      <w:bCs/>
      <w:sz w:val="26"/>
      <w:szCs w:val="26"/>
    </w:rPr>
  </w:style>
  <w:style w:type="paragraph" w:styleId="style4">
    <w:name w:val="heading 4"/>
    <w:basedOn w:val="style0"/>
    <w:next w:val="style0"/>
    <w:qFormat/>
    <w:uiPriority w:val="9"/>
    <w:pPr>
      <w:keepNext/>
      <w:keepLines/>
      <w:spacing w:before="280" w:after="80"/>
      <w:outlineLvl w:val="3"/>
    </w:pPr>
    <w:rPr>
      <w:color w:val="666666"/>
    </w:rPr>
  </w:style>
  <w:style w:type="paragraph" w:styleId="style5">
    <w:name w:val="heading 5"/>
    <w:basedOn w:val="style0"/>
    <w:next w:val="style0"/>
    <w:qFormat/>
    <w:uiPriority w:val="9"/>
    <w:pPr>
      <w:keepNext/>
      <w:keepLines/>
      <w:spacing w:before="240" w:after="80"/>
      <w:outlineLvl w:val="4"/>
    </w:pPr>
    <w:rPr>
      <w:color w:val="666666"/>
      <w:sz w:val="22"/>
      <w:szCs w:val="22"/>
    </w:rPr>
  </w:style>
  <w:style w:type="paragraph" w:styleId="style6">
    <w:name w:val="heading 6"/>
    <w:basedOn w:val="style0"/>
    <w:next w:val="style0"/>
    <w:qFormat/>
    <w:uiPriority w:val="9"/>
    <w:pPr>
      <w:keepNext/>
      <w:keepLines/>
      <w:spacing w:before="240" w:after="80"/>
      <w:outlineLvl w:val="5"/>
    </w:pPr>
    <w:rPr>
      <w:i/>
      <w:iCs/>
      <w:color w:val="666666"/>
      <w:sz w:val="22"/>
      <w:szCs w:val="2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qFormat/>
    <w:uiPriority w:val="10"/>
    <w:pPr>
      <w:keepNext/>
      <w:keepLines/>
      <w:spacing w:after="60"/>
      <w:jc w:val="center"/>
    </w:pPr>
    <w:rPr>
      <w:sz w:val="36"/>
      <w:szCs w:val="36"/>
    </w:rPr>
  </w:style>
  <w:style w:type="paragraph" w:styleId="style74">
    <w:name w:val="Subtitle"/>
    <w:basedOn w:val="style0"/>
    <w:next w:val="style0"/>
    <w:qFormat/>
    <w:uiPriority w:val="11"/>
    <w:pPr>
      <w:keepNext/>
      <w:keepLines/>
      <w:spacing w:after="320"/>
    </w:pPr>
    <w:rPr>
      <w:rFonts w:cs="Arial" w:eastAsia="Arial"/>
      <w:color w:val="666666"/>
      <w:sz w:val="30"/>
      <w:szCs w:val="30"/>
    </w:rPr>
  </w:style>
  <w:style w:type="table" w:customStyle="1" w:styleId="style4098">
    <w:basedOn w:val="style4097"/>
    <w:next w:val="style4098"/>
    <w:pPr/>
    <w:rPr/>
    <w:tblPr>
      <w:tblStyleRowBandSize w:val="1"/>
      <w:tblStyleColBandSize w:val="1"/>
    </w:tblPr>
    <w:tcPr>
      <w:tcBorders/>
    </w:tcPr>
  </w:style>
  <w:style w:type="table" w:customStyle="1" w:styleId="style4099">
    <w:basedOn w:val="style4097"/>
    <w:next w:val="style4099"/>
    <w:pPr/>
    <w:rPr/>
    <w:tblPr>
      <w:tblStyleRowBandSize w:val="1"/>
      <w:tblStyleColBandSize w:val="1"/>
    </w:tblPr>
    <w:tcPr>
      <w:tcBorders/>
    </w:tcPr>
  </w:style>
  <w:style w:type="table" w:customStyle="1" w:styleId="style4100">
    <w:basedOn w:val="style4097"/>
    <w:next w:val="style4100"/>
    <w:pPr/>
    <w:rPr/>
    <w:tblPr>
      <w:tblStyleRowBandSize w:val="1"/>
      <w:tblStyleColBandSize w:val="1"/>
    </w:tblPr>
    <w:tcPr>
      <w:tcBorders/>
    </w:tcPr>
  </w:style>
  <w:style w:type="paragraph" w:styleId="style179">
    <w:name w:val="List Paragraph"/>
    <w:basedOn w:val="style0"/>
    <w:next w:val="style179"/>
    <w:qFormat/>
    <w:uiPriority w:val="34"/>
    <w:pPr>
      <w:ind w:left="720"/>
      <w:contextualSpacing/>
    </w:pPr>
    <w:rPr/>
  </w:style>
  <w:style w:type="paragraph" w:styleId="style19">
    <w:name w:val="toc 1"/>
    <w:basedOn w:val="style0"/>
    <w:next w:val="style0"/>
    <w:uiPriority w:val="39"/>
    <w:pPr>
      <w:tabs>
        <w:tab w:val="right" w:leader="none" w:pos="9350"/>
      </w:tabs>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character" w:styleId="style85">
    <w:name w:val="Hyperlink"/>
    <w:basedOn w:val="style65"/>
    <w:next w:val="style85"/>
    <w:uiPriority w:val="99"/>
    <w:rPr>
      <w:color w:val="0000ff"/>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2.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598</TotalTime>
  <Words>7172</Words>
  <Pages>31</Pages>
  <Characters>44332</Characters>
  <Application>WPS Office</Application>
  <DocSecurity>0</DocSecurity>
  <Paragraphs>319</Paragraphs>
  <ScaleCrop>false</ScaleCrop>
  <LinksUpToDate>false</LinksUpToDate>
  <CharactersWithSpaces>51283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2025-12-14T17:33:00Z</dcterms:created>
  <dc:creator>WPS Office</dc:creator>
  <lastModifiedBy>CPH2631</lastModifiedBy>
  <dcterms:modified xsi:type="dcterms:W3CDTF">2025-12-15T09:10:59Z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b1ac9b07176a4cd89fcb40048668ea24</vt:lpwstr>
  </property>
</Properties>
</file>