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4983283"/>
        <w:docPartObj>
          <w:docPartGallery w:val="Cover Pages"/>
          <w:docPartUnique/>
        </w:docPartObj>
      </w:sdtPr>
      <w:sdtEndPr>
        <w:rPr>
          <w:rFonts w:ascii="Arial Black" w:hAnsi="Arial Black" w:cs="Arial"/>
          <w:b/>
          <w:bCs/>
        </w:rPr>
      </w:sdtEndPr>
      <w:sdtContent>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0538D0" w14:paraId="25864D6E" w14:textId="77777777">
            <w:tc>
              <w:tcPr>
                <w:tcW w:w="7672" w:type="dxa"/>
                <w:tcMar>
                  <w:top w:w="216" w:type="dxa"/>
                  <w:left w:w="115" w:type="dxa"/>
                  <w:bottom w:w="216" w:type="dxa"/>
                  <w:right w:w="115" w:type="dxa"/>
                </w:tcMar>
              </w:tcPr>
              <w:p w14:paraId="33576EF0" w14:textId="3292CC7D" w:rsidR="000538D0" w:rsidRDefault="000538D0"/>
              <w:p w14:paraId="3C47B20C" w14:textId="0016B467" w:rsidR="000538D0" w:rsidRDefault="000538D0">
                <w:pPr>
                  <w:pStyle w:val="NoSpacing"/>
                  <w:rPr>
                    <w:color w:val="0F4761" w:themeColor="accent1" w:themeShade="BF"/>
                    <w:sz w:val="24"/>
                  </w:rPr>
                </w:pPr>
              </w:p>
            </w:tc>
          </w:tr>
          <w:tr w:rsidR="000538D0" w14:paraId="5A5EDDF6" w14:textId="77777777">
            <w:tc>
              <w:tcPr>
                <w:tcW w:w="7672" w:type="dxa"/>
              </w:tcPr>
              <w:sdt>
                <w:sdtPr>
                  <w:rPr>
                    <w:rFonts w:ascii="Times New Roman" w:eastAsiaTheme="majorEastAsia" w:hAnsi="Times New Roman" w:cs="Times New Roman"/>
                    <w:b/>
                    <w:bCs/>
                    <w:color w:val="000000" w:themeColor="text1"/>
                    <w:sz w:val="72"/>
                    <w:szCs w:val="72"/>
                  </w:rPr>
                  <w:alias w:val="Title"/>
                  <w:id w:val="13406919"/>
                  <w:placeholder>
                    <w:docPart w:val="B8ABE2E36D8844098A752D2C6E62BC8B"/>
                  </w:placeholder>
                  <w:dataBinding w:prefixMappings="xmlns:ns0='http://schemas.openxmlformats.org/package/2006/metadata/core-properties' xmlns:ns1='http://purl.org/dc/elements/1.1/'" w:xpath="/ns0:coreProperties[1]/ns1:title[1]" w:storeItemID="{6C3C8BC8-F283-45AE-878A-BAB7291924A1}"/>
                  <w:text/>
                </w:sdtPr>
                <w:sdtContent>
                  <w:p w14:paraId="2C552AFC" w14:textId="44221782" w:rsidR="000538D0" w:rsidRPr="000538D0" w:rsidRDefault="000538D0">
                    <w:pPr>
                      <w:pStyle w:val="NoSpacing"/>
                      <w:spacing w:line="216" w:lineRule="auto"/>
                      <w:rPr>
                        <w:rFonts w:ascii="Times New Roman" w:eastAsiaTheme="majorEastAsia" w:hAnsi="Times New Roman" w:cs="Times New Roman"/>
                        <w:b/>
                        <w:bCs/>
                        <w:color w:val="156082" w:themeColor="accent1"/>
                        <w:sz w:val="72"/>
                        <w:szCs w:val="72"/>
                      </w:rPr>
                    </w:pPr>
                    <w:r w:rsidRPr="000538D0">
                      <w:rPr>
                        <w:rFonts w:ascii="Times New Roman" w:eastAsiaTheme="majorEastAsia" w:hAnsi="Times New Roman" w:cs="Times New Roman"/>
                        <w:b/>
                        <w:bCs/>
                        <w:color w:val="000000" w:themeColor="text1"/>
                        <w:sz w:val="72"/>
                        <w:szCs w:val="72"/>
                      </w:rPr>
                      <w:t>Opportunities and Threats to Social Enterprise</w:t>
                    </w:r>
                    <w:r w:rsidRPr="000538D0">
                      <w:rPr>
                        <w:rFonts w:ascii="Times New Roman" w:eastAsiaTheme="majorEastAsia" w:hAnsi="Times New Roman" w:cs="Times New Roman"/>
                        <w:b/>
                        <w:bCs/>
                        <w:color w:val="000000" w:themeColor="text1"/>
                        <w:sz w:val="72"/>
                        <w:szCs w:val="72"/>
                      </w:rPr>
                      <w:t xml:space="preserve"> </w:t>
                    </w:r>
                  </w:p>
                </w:sdtContent>
              </w:sdt>
            </w:tc>
          </w:tr>
          <w:tr w:rsidR="000538D0" w14:paraId="3FE12CAF" w14:textId="77777777">
            <w:tc>
              <w:tcPr>
                <w:tcW w:w="7672" w:type="dxa"/>
                <w:tcMar>
                  <w:top w:w="216" w:type="dxa"/>
                  <w:left w:w="115" w:type="dxa"/>
                  <w:bottom w:w="216" w:type="dxa"/>
                  <w:right w:w="115" w:type="dxa"/>
                </w:tcMar>
              </w:tcPr>
              <w:p w14:paraId="04760D19" w14:textId="2C1019FF" w:rsidR="000538D0" w:rsidRDefault="000538D0">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0538D0" w14:paraId="647C060D" w14:textId="77777777">
            <w:tc>
              <w:tcPr>
                <w:tcW w:w="7221" w:type="dxa"/>
                <w:tcMar>
                  <w:top w:w="216" w:type="dxa"/>
                  <w:left w:w="115" w:type="dxa"/>
                  <w:bottom w:w="216" w:type="dxa"/>
                  <w:right w:w="115" w:type="dxa"/>
                </w:tcMar>
              </w:tcPr>
              <w:sdt>
                <w:sdtPr>
                  <w:rPr>
                    <w:rFonts w:ascii="Times New Roman" w:hAnsi="Times New Roman" w:cs="Times New Roman"/>
                    <w:b/>
                    <w:bCs/>
                    <w:color w:val="000000" w:themeColor="text1"/>
                    <w:sz w:val="36"/>
                    <w:szCs w:val="36"/>
                  </w:rPr>
                  <w:alias w:val="Author"/>
                  <w:id w:val="13406928"/>
                  <w:placeholder>
                    <w:docPart w:val="A061F0B9E8514F74AC0FB59DEA82ED77"/>
                  </w:placeholder>
                  <w:dataBinding w:prefixMappings="xmlns:ns0='http://schemas.openxmlformats.org/package/2006/metadata/core-properties' xmlns:ns1='http://purl.org/dc/elements/1.1/'" w:xpath="/ns0:coreProperties[1]/ns1:creator[1]" w:storeItemID="{6C3C8BC8-F283-45AE-878A-BAB7291924A1}"/>
                  <w:text/>
                </w:sdtPr>
                <w:sdtContent>
                  <w:p w14:paraId="3C7BFCAF" w14:textId="774FE77A" w:rsidR="000538D0" w:rsidRPr="000538D0" w:rsidRDefault="000538D0">
                    <w:pPr>
                      <w:pStyle w:val="NoSpacing"/>
                      <w:rPr>
                        <w:rFonts w:ascii="Times New Roman" w:hAnsi="Times New Roman" w:cs="Times New Roman"/>
                        <w:b/>
                        <w:bCs/>
                        <w:color w:val="000000" w:themeColor="text1"/>
                        <w:sz w:val="36"/>
                        <w:szCs w:val="36"/>
                      </w:rPr>
                    </w:pPr>
                    <w:r w:rsidRPr="000538D0">
                      <w:rPr>
                        <w:rFonts w:ascii="Times New Roman" w:hAnsi="Times New Roman" w:cs="Times New Roman"/>
                        <w:b/>
                        <w:bCs/>
                        <w:color w:val="000000" w:themeColor="text1"/>
                        <w:sz w:val="36"/>
                        <w:szCs w:val="36"/>
                      </w:rPr>
                      <w:t>STUDENT NAME: FLOTRIN MATEUS DUMINTRU</w:t>
                    </w:r>
                  </w:p>
                </w:sdtContent>
              </w:sdt>
              <w:sdt>
                <w:sdtPr>
                  <w:rPr>
                    <w:rFonts w:ascii="Times New Roman" w:hAnsi="Times New Roman" w:cs="Times New Roman"/>
                    <w:b/>
                    <w:bCs/>
                    <w:color w:val="000000" w:themeColor="text1"/>
                    <w:sz w:val="36"/>
                    <w:szCs w:val="36"/>
                  </w:rPr>
                  <w:alias w:val="Date"/>
                  <w:tag w:val="Date"/>
                  <w:id w:val="13406932"/>
                  <w:placeholder>
                    <w:docPart w:val="7BB6DF04FE6744988D20350412C3F0D6"/>
                  </w:placeholder>
                  <w:dataBinding w:prefixMappings="xmlns:ns0='http://schemas.microsoft.com/office/2006/coverPageProps'" w:xpath="/ns0:CoverPageProperties[1]/ns0:PublishDate[1]" w:storeItemID="{55AF091B-3C7A-41E3-B477-F2FDAA23CFDA}"/>
                  <w:date w:fullDate="2025-10-31T00:00:00Z">
                    <w:dateFormat w:val="M-d-yyyy"/>
                    <w:lid w:val="en-US"/>
                    <w:storeMappedDataAs w:val="dateTime"/>
                    <w:calendar w:val="gregorian"/>
                  </w:date>
                </w:sdtPr>
                <w:sdtContent>
                  <w:p w14:paraId="7B998782" w14:textId="5529EBEE" w:rsidR="000538D0" w:rsidRPr="000538D0" w:rsidRDefault="000538D0">
                    <w:pPr>
                      <w:pStyle w:val="NoSpacing"/>
                      <w:rPr>
                        <w:rFonts w:ascii="Times New Roman" w:hAnsi="Times New Roman" w:cs="Times New Roman"/>
                        <w:b/>
                        <w:bCs/>
                        <w:color w:val="000000" w:themeColor="text1"/>
                        <w:sz w:val="36"/>
                        <w:szCs w:val="36"/>
                      </w:rPr>
                    </w:pPr>
                    <w:r w:rsidRPr="000538D0">
                      <w:rPr>
                        <w:rFonts w:ascii="Times New Roman" w:hAnsi="Times New Roman" w:cs="Times New Roman"/>
                        <w:b/>
                        <w:bCs/>
                        <w:color w:val="000000" w:themeColor="text1"/>
                        <w:sz w:val="36"/>
                        <w:szCs w:val="36"/>
                      </w:rPr>
                      <w:t>10-31-2025</w:t>
                    </w:r>
                  </w:p>
                </w:sdtContent>
              </w:sdt>
              <w:p w14:paraId="4BF0806F" w14:textId="77777777" w:rsidR="000538D0" w:rsidRDefault="000538D0">
                <w:pPr>
                  <w:pStyle w:val="NoSpacing"/>
                  <w:rPr>
                    <w:color w:val="156082" w:themeColor="accent1"/>
                  </w:rPr>
                </w:pPr>
              </w:p>
            </w:tc>
          </w:tr>
        </w:tbl>
        <w:p w14:paraId="4B0C564C" w14:textId="44BBB90B" w:rsidR="000538D0" w:rsidRPr="000538D0" w:rsidRDefault="000538D0">
          <w:pPr>
            <w:rPr>
              <w:rFonts w:ascii="Arial Black" w:hAnsi="Arial Black" w:cs="Arial"/>
              <w:b/>
              <w:bCs/>
            </w:rPr>
          </w:pPr>
          <w:r w:rsidRPr="000538D0">
            <w:rPr>
              <w:b/>
              <w:bCs/>
              <w:noProof/>
            </w:rPr>
            <w:drawing>
              <wp:anchor distT="0" distB="0" distL="114300" distR="114300" simplePos="0" relativeHeight="251658240" behindDoc="1" locked="0" layoutInCell="1" allowOverlap="1" wp14:anchorId="0857897D" wp14:editId="2026AEBB">
                <wp:simplePos x="0" y="0"/>
                <wp:positionH relativeFrom="column">
                  <wp:posOffset>-555432</wp:posOffset>
                </wp:positionH>
                <wp:positionV relativeFrom="page">
                  <wp:posOffset>433584</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1802085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sidRPr="000538D0">
            <w:rPr>
              <w:rFonts w:ascii="Arial Black" w:hAnsi="Arial Black" w:cs="Arial"/>
              <w:b/>
              <w:bCs/>
            </w:rPr>
            <w:br w:type="page"/>
          </w:r>
        </w:p>
      </w:sdtContent>
    </w:sdt>
    <w:p w14:paraId="5DFFE0A9" w14:textId="584786D4" w:rsidR="006F1784" w:rsidRPr="008E0649" w:rsidRDefault="006F1784" w:rsidP="006F1784">
      <w:pPr>
        <w:spacing w:line="480" w:lineRule="auto"/>
        <w:rPr>
          <w:rFonts w:ascii="Arial Black" w:hAnsi="Arial Black" w:cs="Arial"/>
        </w:rPr>
      </w:pPr>
      <w:r w:rsidRPr="008E0649">
        <w:rPr>
          <w:rFonts w:ascii="Arial Black" w:hAnsi="Arial Black" w:cs="Arial"/>
        </w:rPr>
        <w:lastRenderedPageBreak/>
        <w:t xml:space="preserve">Introduction  </w:t>
      </w:r>
    </w:p>
    <w:p w14:paraId="541F81F7" w14:textId="1D0D2744" w:rsidR="006F1784" w:rsidRDefault="006F1784" w:rsidP="006F1784">
      <w:pPr>
        <w:spacing w:line="480" w:lineRule="auto"/>
        <w:rPr>
          <w:rFonts w:ascii="Arial" w:hAnsi="Arial" w:cs="Arial"/>
        </w:rPr>
      </w:pPr>
      <w:r w:rsidRPr="006F1784">
        <w:rPr>
          <w:rFonts w:ascii="Arial" w:hAnsi="Arial" w:cs="Arial"/>
        </w:rPr>
        <w:t>Social enterprises are hybrid organi</w:t>
      </w:r>
      <w:r>
        <w:rPr>
          <w:rFonts w:ascii="Arial" w:hAnsi="Arial" w:cs="Arial"/>
        </w:rPr>
        <w:t>s</w:t>
      </w:r>
      <w:r w:rsidRPr="006F1784">
        <w:rPr>
          <w:rFonts w:ascii="Arial" w:hAnsi="Arial" w:cs="Arial"/>
        </w:rPr>
        <w:t>ations, combining commercial models with explicit social or environmental missions, which seek financial sustainability while generating value for society (Karre, 2018). Their hybridity provides new combinations of resources and relationships with stakeholders, which can stimulate social innovation within markets that are underprovided by state or purely private supply (Huybrechts, 2012). Commercial-style strategic planning which derives from a triple bottom line (TBL) perspective allows these organi</w:t>
      </w:r>
      <w:r>
        <w:rPr>
          <w:rFonts w:ascii="Arial" w:hAnsi="Arial" w:cs="Arial"/>
        </w:rPr>
        <w:t>s</w:t>
      </w:r>
      <w:r w:rsidRPr="006F1784">
        <w:rPr>
          <w:rFonts w:ascii="Arial" w:hAnsi="Arial" w:cs="Arial"/>
        </w:rPr>
        <w:t>ations to be conscious of their balancing act between people, planet and profit and to convert mission intent into tangible measurable policies and practices (Satar, 2022). Social enterprises also face tensions arising from the complexity of social and economic logics that impact governance, resource allocation, and growth path (Karre, 2018). The organi</w:t>
      </w:r>
      <w:r>
        <w:rPr>
          <w:rFonts w:ascii="Arial" w:hAnsi="Arial" w:cs="Arial"/>
        </w:rPr>
        <w:t>s</w:t>
      </w:r>
      <w:r w:rsidRPr="006F1784">
        <w:rPr>
          <w:rFonts w:ascii="Arial" w:hAnsi="Arial" w:cs="Arial"/>
        </w:rPr>
        <w:t>ation is defined by external environmental opportunity and by its internally developed, mission-relevant capabilities that are a source of legitimacy and efficiency in governance in the face of resource inadequacy (Cheah et al., 2019). To tie together the internal and external factors this analysis has used a SWOT table. The subsequent discussion then synthesi</w:t>
      </w:r>
      <w:r>
        <w:rPr>
          <w:rFonts w:ascii="Arial" w:hAnsi="Arial" w:cs="Arial"/>
        </w:rPr>
        <w:t>s</w:t>
      </w:r>
      <w:r w:rsidRPr="006F1784">
        <w:rPr>
          <w:rFonts w:ascii="Arial" w:hAnsi="Arial" w:cs="Arial"/>
        </w:rPr>
        <w:t>es strengths, weaknesses, opportunities, and threats with industry examples (Deshpande, 2019).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CellMar>
          <w:top w:w="15" w:type="dxa"/>
          <w:left w:w="15" w:type="dxa"/>
          <w:bottom w:w="15" w:type="dxa"/>
          <w:right w:w="15" w:type="dxa"/>
        </w:tblCellMar>
        <w:tblLook w:val="04A0" w:firstRow="1" w:lastRow="0" w:firstColumn="1" w:lastColumn="0" w:noHBand="0" w:noVBand="1"/>
      </w:tblPr>
      <w:tblGrid>
        <w:gridCol w:w="4405"/>
        <w:gridCol w:w="4611"/>
      </w:tblGrid>
      <w:tr w:rsidR="000538D0" w:rsidRPr="008E0649" w14:paraId="2A324CCE" w14:textId="77777777" w:rsidTr="008E0649">
        <w:trPr>
          <w:tblHeader/>
          <w:tblCellSpacing w:w="15" w:type="dxa"/>
        </w:trPr>
        <w:tc>
          <w:tcPr>
            <w:tcW w:w="0" w:type="auto"/>
            <w:shd w:val="clear" w:color="auto" w:fill="FFC000"/>
            <w:vAlign w:val="center"/>
            <w:hideMark/>
          </w:tcPr>
          <w:p w14:paraId="235CAC0F" w14:textId="77777777" w:rsidR="008E0649" w:rsidRPr="008E0649" w:rsidRDefault="008E0649" w:rsidP="008E0649">
            <w:pPr>
              <w:spacing w:after="0" w:line="240" w:lineRule="auto"/>
              <w:jc w:val="center"/>
              <w:rPr>
                <w:rFonts w:ascii="Times New Roman" w:eastAsia="Times New Roman" w:hAnsi="Times New Roman" w:cs="Times New Roman"/>
                <w:b/>
                <w:bCs/>
                <w:kern w:val="0"/>
                <w:sz w:val="32"/>
                <w:szCs w:val="32"/>
                <w:lang w:eastAsia="en-GB"/>
                <w14:ligatures w14:val="none"/>
              </w:rPr>
            </w:pPr>
            <w:r w:rsidRPr="008E0649">
              <w:rPr>
                <w:rFonts w:ascii="Times New Roman" w:eastAsia="Times New Roman" w:hAnsi="Times New Roman" w:cs="Times New Roman"/>
                <w:b/>
                <w:bCs/>
                <w:kern w:val="0"/>
                <w:sz w:val="32"/>
                <w:szCs w:val="32"/>
                <w:lang w:eastAsia="en-GB"/>
                <w14:ligatures w14:val="none"/>
              </w:rPr>
              <w:t>Strengths</w:t>
            </w:r>
          </w:p>
        </w:tc>
        <w:tc>
          <w:tcPr>
            <w:tcW w:w="0" w:type="auto"/>
            <w:shd w:val="clear" w:color="auto" w:fill="FFC000"/>
            <w:vAlign w:val="center"/>
            <w:hideMark/>
          </w:tcPr>
          <w:p w14:paraId="35416E54" w14:textId="77777777" w:rsidR="008E0649" w:rsidRPr="008E0649" w:rsidRDefault="008E0649" w:rsidP="008E0649">
            <w:pPr>
              <w:spacing w:after="0" w:line="240" w:lineRule="auto"/>
              <w:jc w:val="center"/>
              <w:rPr>
                <w:rFonts w:ascii="Times New Roman" w:eastAsia="Times New Roman" w:hAnsi="Times New Roman" w:cs="Times New Roman"/>
                <w:b/>
                <w:bCs/>
                <w:kern w:val="0"/>
                <w:sz w:val="32"/>
                <w:szCs w:val="32"/>
                <w:lang w:eastAsia="en-GB"/>
                <w14:ligatures w14:val="none"/>
              </w:rPr>
            </w:pPr>
            <w:r w:rsidRPr="008E0649">
              <w:rPr>
                <w:rFonts w:ascii="Times New Roman" w:eastAsia="Times New Roman" w:hAnsi="Times New Roman" w:cs="Times New Roman"/>
                <w:b/>
                <w:bCs/>
                <w:kern w:val="0"/>
                <w:sz w:val="32"/>
                <w:szCs w:val="32"/>
                <w:lang w:eastAsia="en-GB"/>
                <w14:ligatures w14:val="none"/>
              </w:rPr>
              <w:t>Weaknesses</w:t>
            </w:r>
          </w:p>
        </w:tc>
      </w:tr>
      <w:tr w:rsidR="000538D0" w:rsidRPr="008E0649" w14:paraId="457A7E3C" w14:textId="77777777" w:rsidTr="008E0649">
        <w:trPr>
          <w:tblCellSpacing w:w="15" w:type="dxa"/>
        </w:trPr>
        <w:tc>
          <w:tcPr>
            <w:tcW w:w="0" w:type="auto"/>
            <w:shd w:val="clear" w:color="auto" w:fill="FFC000"/>
            <w:vAlign w:val="center"/>
            <w:hideMark/>
          </w:tcPr>
          <w:p w14:paraId="47362D70" w14:textId="59AA1992" w:rsidR="000538D0" w:rsidRPr="000538D0" w:rsidRDefault="008E0649" w:rsidP="000538D0">
            <w:pPr>
              <w:pStyle w:val="ListParagraph"/>
              <w:numPr>
                <w:ilvl w:val="0"/>
                <w:numId w:val="3"/>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Hybrid model (profit + purpose)</w:t>
            </w:r>
          </w:p>
          <w:p w14:paraId="273ACC42" w14:textId="77777777" w:rsidR="000538D0" w:rsidRPr="000538D0" w:rsidRDefault="008E0649" w:rsidP="000538D0">
            <w:pPr>
              <w:pStyle w:val="ListParagraph"/>
              <w:numPr>
                <w:ilvl w:val="0"/>
                <w:numId w:val="3"/>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High trust/legitimacy with stakeholders </w:t>
            </w:r>
          </w:p>
          <w:p w14:paraId="440852C4" w14:textId="370494FE" w:rsidR="000538D0" w:rsidRPr="000538D0" w:rsidRDefault="008E0649" w:rsidP="000538D0">
            <w:pPr>
              <w:pStyle w:val="ListParagraph"/>
              <w:numPr>
                <w:ilvl w:val="0"/>
                <w:numId w:val="3"/>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Triple Bottom Line embedded in strategy </w:t>
            </w:r>
          </w:p>
          <w:p w14:paraId="66B94ED4" w14:textId="7D37F448" w:rsidR="008E0649" w:rsidRPr="000538D0" w:rsidRDefault="008E0649" w:rsidP="000538D0">
            <w:pPr>
              <w:pStyle w:val="ListParagraph"/>
              <w:numPr>
                <w:ilvl w:val="0"/>
                <w:numId w:val="3"/>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Mission-driven brand differentiation</w:t>
            </w:r>
          </w:p>
        </w:tc>
        <w:tc>
          <w:tcPr>
            <w:tcW w:w="0" w:type="auto"/>
            <w:shd w:val="clear" w:color="auto" w:fill="FFC000"/>
            <w:vAlign w:val="center"/>
            <w:hideMark/>
          </w:tcPr>
          <w:p w14:paraId="0C0B75FE" w14:textId="17979C0C" w:rsidR="000538D0" w:rsidRPr="000538D0" w:rsidRDefault="008E0649" w:rsidP="000538D0">
            <w:pPr>
              <w:pStyle w:val="ListParagraph"/>
              <w:numPr>
                <w:ilvl w:val="0"/>
                <w:numId w:val="2"/>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Risk of mission drift under revenue pressure </w:t>
            </w:r>
          </w:p>
          <w:p w14:paraId="3DCF0A30" w14:textId="707CAF7D" w:rsidR="000538D0" w:rsidRPr="000538D0" w:rsidRDefault="008E0649" w:rsidP="000538D0">
            <w:pPr>
              <w:pStyle w:val="ListParagraph"/>
              <w:numPr>
                <w:ilvl w:val="0"/>
                <w:numId w:val="2"/>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Limited capital + thin managerial capacity </w:t>
            </w:r>
          </w:p>
          <w:p w14:paraId="3F631776" w14:textId="5B99439D" w:rsidR="000538D0" w:rsidRPr="000538D0" w:rsidRDefault="008E0649" w:rsidP="000538D0">
            <w:pPr>
              <w:pStyle w:val="ListParagraph"/>
              <w:numPr>
                <w:ilvl w:val="0"/>
                <w:numId w:val="2"/>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Difficult, costly impact measurement </w:t>
            </w:r>
          </w:p>
          <w:p w14:paraId="6E120C9B" w14:textId="0484A2BB" w:rsidR="008E0649" w:rsidRPr="000538D0" w:rsidRDefault="008E0649" w:rsidP="000538D0">
            <w:pPr>
              <w:pStyle w:val="ListParagraph"/>
              <w:numPr>
                <w:ilvl w:val="0"/>
                <w:numId w:val="2"/>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Process immaturity at scale</w:t>
            </w:r>
          </w:p>
        </w:tc>
      </w:tr>
    </w:tbl>
    <w:p w14:paraId="6468498E" w14:textId="77777777" w:rsidR="008E0649" w:rsidRDefault="008E0649" w:rsidP="006F1784">
      <w:pPr>
        <w:spacing w:line="480" w:lineRule="auto"/>
        <w:rPr>
          <w:rFonts w:ascii="Arial" w:hAnsi="Arial" w:cs="Arial"/>
        </w:rPr>
      </w:pPr>
    </w:p>
    <w:p w14:paraId="53EFE118" w14:textId="77777777" w:rsidR="008E0649" w:rsidRDefault="008E0649" w:rsidP="006F1784">
      <w:pPr>
        <w:spacing w:line="480" w:lineRule="auto"/>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CellMar>
          <w:top w:w="15" w:type="dxa"/>
          <w:left w:w="15" w:type="dxa"/>
          <w:bottom w:w="15" w:type="dxa"/>
          <w:right w:w="15" w:type="dxa"/>
        </w:tblCellMar>
        <w:tblLook w:val="04A0" w:firstRow="1" w:lastRow="0" w:firstColumn="1" w:lastColumn="0" w:noHBand="0" w:noVBand="1"/>
      </w:tblPr>
      <w:tblGrid>
        <w:gridCol w:w="4691"/>
        <w:gridCol w:w="4325"/>
      </w:tblGrid>
      <w:tr w:rsidR="000538D0" w:rsidRPr="000538D0" w14:paraId="7E1B290F" w14:textId="77777777" w:rsidTr="000538D0">
        <w:trPr>
          <w:tblHeader/>
          <w:tblCellSpacing w:w="15" w:type="dxa"/>
        </w:trPr>
        <w:tc>
          <w:tcPr>
            <w:tcW w:w="0" w:type="auto"/>
            <w:shd w:val="clear" w:color="auto" w:fill="FFC000"/>
            <w:vAlign w:val="center"/>
            <w:hideMark/>
          </w:tcPr>
          <w:p w14:paraId="385795B6" w14:textId="77777777" w:rsidR="000538D0" w:rsidRPr="000538D0" w:rsidRDefault="000538D0" w:rsidP="000538D0">
            <w:pPr>
              <w:spacing w:after="0" w:line="240" w:lineRule="auto"/>
              <w:jc w:val="center"/>
              <w:rPr>
                <w:rFonts w:ascii="Times New Roman" w:eastAsia="Times New Roman" w:hAnsi="Times New Roman" w:cs="Times New Roman"/>
                <w:b/>
                <w:bCs/>
                <w:kern w:val="0"/>
                <w:sz w:val="32"/>
                <w:szCs w:val="32"/>
                <w:lang w:eastAsia="en-GB"/>
                <w14:ligatures w14:val="none"/>
              </w:rPr>
            </w:pPr>
            <w:r w:rsidRPr="000538D0">
              <w:rPr>
                <w:rFonts w:ascii="Times New Roman" w:eastAsia="Times New Roman" w:hAnsi="Times New Roman" w:cs="Times New Roman"/>
                <w:b/>
                <w:bCs/>
                <w:kern w:val="0"/>
                <w:sz w:val="32"/>
                <w:szCs w:val="32"/>
                <w:lang w:eastAsia="en-GB"/>
                <w14:ligatures w14:val="none"/>
              </w:rPr>
              <w:lastRenderedPageBreak/>
              <w:t>Opportunities</w:t>
            </w:r>
          </w:p>
        </w:tc>
        <w:tc>
          <w:tcPr>
            <w:tcW w:w="0" w:type="auto"/>
            <w:shd w:val="clear" w:color="auto" w:fill="FFC000"/>
            <w:vAlign w:val="center"/>
            <w:hideMark/>
          </w:tcPr>
          <w:p w14:paraId="131740BC" w14:textId="77777777" w:rsidR="000538D0" w:rsidRPr="000538D0" w:rsidRDefault="000538D0" w:rsidP="000538D0">
            <w:pPr>
              <w:spacing w:after="0" w:line="240" w:lineRule="auto"/>
              <w:jc w:val="center"/>
              <w:rPr>
                <w:rFonts w:ascii="Times New Roman" w:eastAsia="Times New Roman" w:hAnsi="Times New Roman" w:cs="Times New Roman"/>
                <w:b/>
                <w:bCs/>
                <w:kern w:val="0"/>
                <w:sz w:val="32"/>
                <w:szCs w:val="32"/>
                <w:lang w:eastAsia="en-GB"/>
                <w14:ligatures w14:val="none"/>
              </w:rPr>
            </w:pPr>
            <w:r w:rsidRPr="000538D0">
              <w:rPr>
                <w:rFonts w:ascii="Times New Roman" w:eastAsia="Times New Roman" w:hAnsi="Times New Roman" w:cs="Times New Roman"/>
                <w:b/>
                <w:bCs/>
                <w:kern w:val="0"/>
                <w:sz w:val="32"/>
                <w:szCs w:val="32"/>
                <w:lang w:eastAsia="en-GB"/>
                <w14:ligatures w14:val="none"/>
              </w:rPr>
              <w:t>Threats</w:t>
            </w:r>
          </w:p>
        </w:tc>
      </w:tr>
      <w:tr w:rsidR="000538D0" w:rsidRPr="000538D0" w14:paraId="0EB6236E" w14:textId="77777777" w:rsidTr="000538D0">
        <w:trPr>
          <w:tblCellSpacing w:w="15" w:type="dxa"/>
        </w:trPr>
        <w:tc>
          <w:tcPr>
            <w:tcW w:w="0" w:type="auto"/>
            <w:shd w:val="clear" w:color="auto" w:fill="FFC000"/>
            <w:vAlign w:val="center"/>
            <w:hideMark/>
          </w:tcPr>
          <w:p w14:paraId="2A01CF86" w14:textId="6BD77251" w:rsidR="000538D0" w:rsidRPr="000538D0" w:rsidRDefault="000538D0" w:rsidP="000538D0">
            <w:pPr>
              <w:pStyle w:val="ListParagraph"/>
              <w:numPr>
                <w:ilvl w:val="0"/>
                <w:numId w:val="4"/>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Rising demand for ethical/sustainable products</w:t>
            </w:r>
          </w:p>
          <w:p w14:paraId="1ABB27BA" w14:textId="0B3D107E" w:rsidR="000538D0" w:rsidRPr="000538D0" w:rsidRDefault="000538D0" w:rsidP="000538D0">
            <w:pPr>
              <w:pStyle w:val="ListParagraph"/>
              <w:numPr>
                <w:ilvl w:val="0"/>
                <w:numId w:val="4"/>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Digital tools for reach, data, funding (crowdfunding)</w:t>
            </w:r>
          </w:p>
          <w:p w14:paraId="3FCDCA5E" w14:textId="110C42DE" w:rsidR="000538D0" w:rsidRPr="000538D0" w:rsidRDefault="000538D0" w:rsidP="000538D0">
            <w:pPr>
              <w:pStyle w:val="ListParagraph"/>
              <w:numPr>
                <w:ilvl w:val="0"/>
                <w:numId w:val="4"/>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Impact investing &amp; social-value procurement </w:t>
            </w:r>
          </w:p>
          <w:p w14:paraId="73033090" w14:textId="7EC59B10" w:rsidR="000538D0" w:rsidRPr="000538D0" w:rsidRDefault="000538D0" w:rsidP="000538D0">
            <w:pPr>
              <w:pStyle w:val="ListParagraph"/>
              <w:numPr>
                <w:ilvl w:val="0"/>
                <w:numId w:val="4"/>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SDG alignment for partnerships</w:t>
            </w:r>
          </w:p>
        </w:tc>
        <w:tc>
          <w:tcPr>
            <w:tcW w:w="0" w:type="auto"/>
            <w:shd w:val="clear" w:color="auto" w:fill="FFC000"/>
            <w:vAlign w:val="center"/>
            <w:hideMark/>
          </w:tcPr>
          <w:p w14:paraId="319DF7E6" w14:textId="4BCF1BA5" w:rsidR="000538D0" w:rsidRPr="000538D0" w:rsidRDefault="000538D0" w:rsidP="000538D0">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Incumbents “CSR-wash” and outcompete on scale </w:t>
            </w:r>
          </w:p>
          <w:p w14:paraId="75405F28" w14:textId="1F9B4865" w:rsidR="000538D0" w:rsidRPr="000538D0" w:rsidRDefault="000538D0" w:rsidP="000538D0">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Cyber, data, and platform dependency risks </w:t>
            </w:r>
          </w:p>
          <w:p w14:paraId="36771D64" w14:textId="478B154E" w:rsidR="000538D0" w:rsidRPr="000538D0" w:rsidRDefault="000538D0" w:rsidP="000538D0">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 xml:space="preserve">Policy volatility and macro shocks </w:t>
            </w:r>
          </w:p>
          <w:p w14:paraId="5C6AF7ED" w14:textId="1C0EBBF4" w:rsidR="000538D0" w:rsidRPr="000538D0" w:rsidRDefault="000538D0" w:rsidP="000538D0">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0538D0">
              <w:rPr>
                <w:rFonts w:ascii="Times New Roman" w:eastAsia="Times New Roman" w:hAnsi="Times New Roman" w:cs="Times New Roman"/>
                <w:kern w:val="0"/>
                <w:lang w:eastAsia="en-GB"/>
                <w14:ligatures w14:val="none"/>
              </w:rPr>
              <w:t>Resource fragility during scaling</w:t>
            </w:r>
          </w:p>
        </w:tc>
      </w:tr>
    </w:tbl>
    <w:p w14:paraId="41CF835C" w14:textId="77777777" w:rsidR="008E0649" w:rsidRDefault="008E0649" w:rsidP="006F1784">
      <w:pPr>
        <w:spacing w:line="480" w:lineRule="auto"/>
        <w:rPr>
          <w:rFonts w:ascii="Arial" w:hAnsi="Arial" w:cs="Arial"/>
        </w:rPr>
      </w:pPr>
    </w:p>
    <w:p w14:paraId="726BB4AC" w14:textId="769A6689" w:rsidR="006F1784" w:rsidRPr="008E0649" w:rsidRDefault="006F1784" w:rsidP="006F1784">
      <w:pPr>
        <w:spacing w:line="480" w:lineRule="auto"/>
        <w:rPr>
          <w:rFonts w:ascii="Arial Black" w:hAnsi="Arial Black" w:cs="Arial"/>
        </w:rPr>
      </w:pPr>
      <w:r w:rsidRPr="008E0649">
        <w:rPr>
          <w:rFonts w:ascii="Arial Black" w:hAnsi="Arial Black" w:cs="Arial"/>
        </w:rPr>
        <w:t xml:space="preserve">Strengths: Hybrid Advantage and Mission-Driven Capabilities  </w:t>
      </w:r>
    </w:p>
    <w:p w14:paraId="67C6FF91" w14:textId="77777777" w:rsidR="00996767" w:rsidRDefault="006F1784" w:rsidP="006F1784">
      <w:pPr>
        <w:spacing w:line="480" w:lineRule="auto"/>
        <w:rPr>
          <w:rFonts w:ascii="Arial" w:hAnsi="Arial" w:cs="Arial"/>
        </w:rPr>
      </w:pPr>
      <w:r w:rsidRPr="006F1784">
        <w:rPr>
          <w:rFonts w:ascii="Arial" w:hAnsi="Arial" w:cs="Arial"/>
        </w:rPr>
        <w:t>The hybrid business model provides social enterprises with the opportunity to recast value chains around mission in a way that translates the custodian role of stakeholders into trust in participation and co-production, and increasingly reliable preferential demand which are hard to duplicate (Huybrechts, 2012). Mission loyalty can become a reputational asset that lowers customer acquisition costs and mobili</w:t>
      </w:r>
      <w:r>
        <w:rPr>
          <w:rFonts w:ascii="Arial" w:hAnsi="Arial" w:cs="Arial"/>
        </w:rPr>
        <w:t>s</w:t>
      </w:r>
      <w:r w:rsidRPr="006F1784">
        <w:rPr>
          <w:rFonts w:ascii="Arial" w:hAnsi="Arial" w:cs="Arial"/>
        </w:rPr>
        <w:t>es partners to be stakeholders, especially when social pain points are prevalent and observable in local contexts (Cheah et al., 2019).TBL planning consolidates this advantage by incorporating environmental stewardship and social equity goals into strategic choices, operating metrics, and procurement policies, thereby transforming impact from being a by-product to rather being a design constraint (Satar, 2022). As collaboration with suppliers, community groups, and public agencies can simply benefit innovation cycles through developing collective insight, de-risking pilots and transferring solutions across sites it strengthens the feedback loop between commercial learning and social outcomes (Mendes et al., 2023). Resource Advantage Theory highlights how mission-related assets</w:t>
      </w:r>
      <w:r w:rsidR="00996767">
        <w:rPr>
          <w:rFonts w:ascii="Arial" w:hAnsi="Arial" w:cs="Arial"/>
        </w:rPr>
        <w:t xml:space="preserve">, </w:t>
      </w:r>
      <w:r w:rsidRPr="006F1784">
        <w:rPr>
          <w:rFonts w:ascii="Arial" w:hAnsi="Arial" w:cs="Arial"/>
        </w:rPr>
        <w:t>purpose</w:t>
      </w:r>
      <w:r w:rsidR="00996767">
        <w:rPr>
          <w:rFonts w:ascii="Arial" w:hAnsi="Arial" w:cs="Arial"/>
        </w:rPr>
        <w:t xml:space="preserve">, </w:t>
      </w:r>
      <w:r w:rsidRPr="006F1784">
        <w:rPr>
          <w:rFonts w:ascii="Arial" w:hAnsi="Arial" w:cs="Arial"/>
        </w:rPr>
        <w:t>driven culture, beneficiary insight, and trust-rich networks</w:t>
      </w:r>
      <w:r w:rsidR="00996767">
        <w:rPr>
          <w:rFonts w:ascii="Arial" w:hAnsi="Arial" w:cs="Arial"/>
        </w:rPr>
        <w:t xml:space="preserve"> </w:t>
      </w:r>
      <w:r w:rsidRPr="006F1784">
        <w:rPr>
          <w:rFonts w:ascii="Arial" w:hAnsi="Arial" w:cs="Arial"/>
        </w:rPr>
        <w:t>make for competing, inimitable resources particularly when paired with disciplined market position (Doherty, 2011). Internally oriented resources</w:t>
      </w:r>
      <w:r w:rsidR="00996767">
        <w:rPr>
          <w:rFonts w:ascii="Arial" w:hAnsi="Arial" w:cs="Arial"/>
        </w:rPr>
        <w:t xml:space="preserve">, </w:t>
      </w:r>
      <w:r w:rsidRPr="006F1784">
        <w:rPr>
          <w:rFonts w:ascii="Arial" w:hAnsi="Arial" w:cs="Arial"/>
        </w:rPr>
        <w:t xml:space="preserve">leadership commitment and values fit, </w:t>
      </w:r>
      <w:r w:rsidRPr="006F1784">
        <w:rPr>
          <w:rFonts w:ascii="Arial" w:hAnsi="Arial" w:cs="Arial"/>
        </w:rPr>
        <w:lastRenderedPageBreak/>
        <w:t>learning routines</w:t>
      </w:r>
      <w:r w:rsidR="00996767">
        <w:rPr>
          <w:rFonts w:ascii="Arial" w:hAnsi="Arial" w:cs="Arial"/>
        </w:rPr>
        <w:t xml:space="preserve">, </w:t>
      </w:r>
      <w:r w:rsidRPr="006F1784">
        <w:rPr>
          <w:rFonts w:ascii="Arial" w:hAnsi="Arial" w:cs="Arial"/>
        </w:rPr>
        <w:t>help create an additional form of explanation as to why some social enterprises continue to operate and achieve better than others with similar constraints. This adds to the power of what a mission-aligned operating system can do (Cheah et al., 2019).</w:t>
      </w:r>
    </w:p>
    <w:p w14:paraId="2B2CAC6D" w14:textId="77777777" w:rsidR="00996767" w:rsidRPr="008E0649" w:rsidRDefault="006F1784" w:rsidP="006F1784">
      <w:pPr>
        <w:spacing w:line="480" w:lineRule="auto"/>
        <w:rPr>
          <w:rFonts w:ascii="Arial Black" w:hAnsi="Arial Black" w:cs="Arial"/>
        </w:rPr>
      </w:pPr>
      <w:r w:rsidRPr="008E0649">
        <w:rPr>
          <w:rFonts w:ascii="Arial Black" w:hAnsi="Arial Black" w:cs="Arial"/>
        </w:rPr>
        <w:t xml:space="preserve">Weaknesses: Mission Drift, Measurement Friction, and Capacity Gaps </w:t>
      </w:r>
    </w:p>
    <w:p w14:paraId="40BCD115" w14:textId="77777777" w:rsidR="00996767" w:rsidRDefault="006F1784" w:rsidP="006F1784">
      <w:pPr>
        <w:spacing w:line="480" w:lineRule="auto"/>
        <w:rPr>
          <w:rFonts w:ascii="Arial" w:hAnsi="Arial" w:cs="Arial"/>
        </w:rPr>
      </w:pPr>
      <w:r w:rsidRPr="006F1784">
        <w:rPr>
          <w:rFonts w:ascii="Arial" w:hAnsi="Arial" w:cs="Arial"/>
        </w:rPr>
        <w:t>Hybridity creates governance challenges as boards and managers deal with a mandate for efficiency and equity and inclusion goals that likely won't easily moneti</w:t>
      </w:r>
      <w:r w:rsidR="00996767">
        <w:rPr>
          <w:rFonts w:ascii="Arial" w:hAnsi="Arial" w:cs="Arial"/>
        </w:rPr>
        <w:t>s</w:t>
      </w:r>
      <w:r w:rsidRPr="006F1784">
        <w:rPr>
          <w:rFonts w:ascii="Arial" w:hAnsi="Arial" w:cs="Arial"/>
        </w:rPr>
        <w:t xml:space="preserve">e, introducing the tension that revenue-generating activities over time may 'crowd out' the highest need beneficiaries (Karre, 2018). Impact evidence matters which also comes at a cost, and the attribution concerns of counterfactuals, spillovers, and </w:t>
      </w:r>
      <w:r w:rsidR="00996767" w:rsidRPr="006F1784">
        <w:rPr>
          <w:rFonts w:ascii="Arial" w:hAnsi="Arial" w:cs="Arial"/>
        </w:rPr>
        <w:t>long-time</w:t>
      </w:r>
      <w:r w:rsidRPr="006F1784">
        <w:rPr>
          <w:rFonts w:ascii="Arial" w:hAnsi="Arial" w:cs="Arial"/>
        </w:rPr>
        <w:t xml:space="preserve"> </w:t>
      </w:r>
      <w:proofErr w:type="spellStart"/>
      <w:r w:rsidRPr="006F1784">
        <w:rPr>
          <w:rFonts w:ascii="Arial" w:hAnsi="Arial" w:cs="Arial"/>
        </w:rPr>
        <w:t>hori</w:t>
      </w:r>
      <w:r w:rsidR="00996767">
        <w:rPr>
          <w:rFonts w:ascii="Arial" w:hAnsi="Arial" w:cs="Arial"/>
        </w:rPr>
        <w:t>s</w:t>
      </w:r>
      <w:r w:rsidRPr="006F1784">
        <w:rPr>
          <w:rFonts w:ascii="Arial" w:hAnsi="Arial" w:cs="Arial"/>
        </w:rPr>
        <w:t>ons</w:t>
      </w:r>
      <w:proofErr w:type="spellEnd"/>
      <w:r w:rsidRPr="006F1784">
        <w:rPr>
          <w:rFonts w:ascii="Arial" w:hAnsi="Arial" w:cs="Arial"/>
        </w:rPr>
        <w:t xml:space="preserve"> creates ease of metrics less reliable and less comparable to elicit investor interest, mostly when an easy dashboard is considered outcomes (Deshpande, 2019). Small social enterprises suffer an even worse case of coordination shortfall: multitasking founders, scarce middle management, and funders with projecti</w:t>
      </w:r>
      <w:r w:rsidR="00996767">
        <w:rPr>
          <w:rFonts w:ascii="Arial" w:hAnsi="Arial" w:cs="Arial"/>
        </w:rPr>
        <w:t>s</w:t>
      </w:r>
      <w:r w:rsidRPr="006F1784">
        <w:rPr>
          <w:rFonts w:ascii="Arial" w:hAnsi="Arial" w:cs="Arial"/>
        </w:rPr>
        <w:t>ed funding which fragments attention and lessens process maturity of finance, HR, digital, and compliance (Abedin et al., 2023).</w:t>
      </w:r>
      <w:r w:rsidR="00996767">
        <w:rPr>
          <w:rFonts w:ascii="Arial" w:hAnsi="Arial" w:cs="Arial"/>
        </w:rPr>
        <w:t xml:space="preserve"> </w:t>
      </w:r>
      <w:r w:rsidRPr="006F1784">
        <w:rPr>
          <w:rFonts w:ascii="Arial" w:hAnsi="Arial" w:cs="Arial"/>
        </w:rPr>
        <w:t>Discrepancies in internal capabilities are reflected in unreliable customer experience, inadequate data practices, and insufficient partnering capability, which can derail scaling at the very moment demand is manifesting, revealing the downside of passion-filled growth without a systems-design (Cheah et al., 2019). These gaps are compounded by fluctuations in earned income coinciding with grant cycles, creating cash-flow stress that can lead organi</w:t>
      </w:r>
      <w:r w:rsidR="00996767">
        <w:rPr>
          <w:rFonts w:ascii="Arial" w:hAnsi="Arial" w:cs="Arial"/>
        </w:rPr>
        <w:t>s</w:t>
      </w:r>
      <w:r w:rsidRPr="006F1784">
        <w:rPr>
          <w:rFonts w:ascii="Arial" w:hAnsi="Arial" w:cs="Arial"/>
        </w:rPr>
        <w:t xml:space="preserve">ations to opt for the solvency of operations in the short-term instead of aligning long-term activities with mission (Karre, 2018). </w:t>
      </w:r>
    </w:p>
    <w:p w14:paraId="02ECFA25" w14:textId="77777777" w:rsidR="00996767" w:rsidRPr="008E0649" w:rsidRDefault="006F1784" w:rsidP="006F1784">
      <w:pPr>
        <w:spacing w:line="480" w:lineRule="auto"/>
        <w:rPr>
          <w:rFonts w:ascii="Arial Black" w:hAnsi="Arial Black" w:cs="Arial"/>
        </w:rPr>
      </w:pPr>
      <w:r w:rsidRPr="008E0649">
        <w:rPr>
          <w:rFonts w:ascii="Arial Black" w:hAnsi="Arial Black" w:cs="Arial"/>
        </w:rPr>
        <w:lastRenderedPageBreak/>
        <w:t xml:space="preserve">Opportunities: Sustainability Demand, Digital Leverage, and Cooperative Financing </w:t>
      </w:r>
    </w:p>
    <w:p w14:paraId="2651C286" w14:textId="77777777" w:rsidR="00F811E2" w:rsidRDefault="006F1784" w:rsidP="006F1784">
      <w:pPr>
        <w:spacing w:line="480" w:lineRule="auto"/>
        <w:rPr>
          <w:rFonts w:ascii="Arial" w:hAnsi="Arial" w:cs="Arial"/>
        </w:rPr>
      </w:pPr>
      <w:r w:rsidRPr="006F1784">
        <w:rPr>
          <w:rFonts w:ascii="Arial" w:hAnsi="Arial" w:cs="Arial"/>
        </w:rPr>
        <w:t>The market pull for ethical products and services continues to strengthen, as organi</w:t>
      </w:r>
      <w:r w:rsidR="00996767">
        <w:rPr>
          <w:rFonts w:ascii="Arial" w:hAnsi="Arial" w:cs="Arial"/>
        </w:rPr>
        <w:t>s</w:t>
      </w:r>
      <w:r w:rsidRPr="006F1784">
        <w:rPr>
          <w:rFonts w:ascii="Arial" w:hAnsi="Arial" w:cs="Arial"/>
        </w:rPr>
        <w:t>ations and consumers contemplate the social value of purchasing, and as supply chains contemplate decarboni</w:t>
      </w:r>
      <w:r w:rsidR="00996767">
        <w:rPr>
          <w:rFonts w:ascii="Arial" w:hAnsi="Arial" w:cs="Arial"/>
        </w:rPr>
        <w:t>s</w:t>
      </w:r>
      <w:r w:rsidRPr="006F1784">
        <w:rPr>
          <w:rFonts w:ascii="Arial" w:hAnsi="Arial" w:cs="Arial"/>
        </w:rPr>
        <w:t xml:space="preserve">ation, the possibility for openings for enterprises that build CSR, cooperation, and innovation directly into the value proposition (Mendes et al., 2023). A TBL-aligned strategy is a credible template for articulating outcomes and aligning incentives through partnerships, for proposals for contracts and alliances that value externalities delivered or benefits created, from fair </w:t>
      </w:r>
      <w:r w:rsidR="00F811E2" w:rsidRPr="006F1784">
        <w:rPr>
          <w:rFonts w:ascii="Arial" w:hAnsi="Arial" w:cs="Arial"/>
        </w:rPr>
        <w:t>labour</w:t>
      </w:r>
      <w:r w:rsidRPr="006F1784">
        <w:rPr>
          <w:rFonts w:ascii="Arial" w:hAnsi="Arial" w:cs="Arial"/>
        </w:rPr>
        <w:t xml:space="preserve"> to circularity (Satar, 2022). Digital transformation amplifies these opportunities through reduced costs associated with distribution, remote delivery models, and real-time data that include adaptive learning and personali</w:t>
      </w:r>
      <w:r w:rsidR="00F811E2">
        <w:rPr>
          <w:rFonts w:ascii="Arial" w:hAnsi="Arial" w:cs="Arial"/>
        </w:rPr>
        <w:t>s</w:t>
      </w:r>
      <w:r w:rsidRPr="006F1784">
        <w:rPr>
          <w:rFonts w:ascii="Arial" w:hAnsi="Arial" w:cs="Arial"/>
        </w:rPr>
        <w:t>ed support for beneficiaries, customers, and funders (Gigauri et al., 2023). Online communities, crowdfunding, and impact platforms diversify capital sources and build advocacy and feedback loops to reinforce product-market-mission fit (Abedin et al, 2023</w:t>
      </w:r>
      <w:r w:rsidR="00F811E2" w:rsidRPr="006F1784">
        <w:rPr>
          <w:rFonts w:ascii="Arial" w:hAnsi="Arial" w:cs="Arial"/>
        </w:rPr>
        <w:t>) and</w:t>
      </w:r>
      <w:r w:rsidRPr="006F1784">
        <w:rPr>
          <w:rFonts w:ascii="Arial" w:hAnsi="Arial" w:cs="Arial"/>
        </w:rPr>
        <w:t xml:space="preserve"> provide payers with patient-finance alternatives to traditional grants that meet organi</w:t>
      </w:r>
      <w:r w:rsidR="00F811E2">
        <w:rPr>
          <w:rFonts w:ascii="Arial" w:hAnsi="Arial" w:cs="Arial"/>
        </w:rPr>
        <w:t>s</w:t>
      </w:r>
      <w:r w:rsidRPr="006F1784">
        <w:rPr>
          <w:rFonts w:ascii="Arial" w:hAnsi="Arial" w:cs="Arial"/>
        </w:rPr>
        <w:t>ational mission compatibility (Abedin et al, 2023). Multi-sector partnerships</w:t>
      </w:r>
      <w:r w:rsidR="00F811E2">
        <w:rPr>
          <w:rFonts w:ascii="Arial" w:hAnsi="Arial" w:cs="Arial"/>
        </w:rPr>
        <w:t xml:space="preserve">, </w:t>
      </w:r>
      <w:r w:rsidRPr="006F1784">
        <w:rPr>
          <w:rFonts w:ascii="Arial" w:hAnsi="Arial" w:cs="Arial"/>
        </w:rPr>
        <w:t>corporates helping social enterprise programs as pilots aiming for shared value, municipalities procuring social outcomes, and universities offering research, protocols, and partnerships, provides pipelines for experimentation and diffusion, while social enterprises offer entrepreneurial testbeds for inclusive innovations that corporate partners commerciali</w:t>
      </w:r>
      <w:r w:rsidR="00F811E2">
        <w:rPr>
          <w:rFonts w:ascii="Arial" w:hAnsi="Arial" w:cs="Arial"/>
        </w:rPr>
        <w:t>s</w:t>
      </w:r>
      <w:r w:rsidRPr="006F1784">
        <w:rPr>
          <w:rFonts w:ascii="Arial" w:hAnsi="Arial" w:cs="Arial"/>
        </w:rPr>
        <w:t>e (Mendes et al., 2023).</w:t>
      </w:r>
    </w:p>
    <w:p w14:paraId="3B96CAD8" w14:textId="77777777" w:rsidR="00F811E2" w:rsidRPr="008E0649" w:rsidRDefault="006F1784" w:rsidP="006F1784">
      <w:pPr>
        <w:spacing w:line="480" w:lineRule="auto"/>
        <w:rPr>
          <w:rFonts w:ascii="Arial Black" w:hAnsi="Arial Black" w:cs="Arial"/>
        </w:rPr>
      </w:pPr>
      <w:r w:rsidRPr="008E0649">
        <w:rPr>
          <w:rFonts w:ascii="Arial Black" w:hAnsi="Arial Black" w:cs="Arial"/>
        </w:rPr>
        <w:t>Threats: Competitive Imitation, Digital Risks, and Volatility in Policy</w:t>
      </w:r>
    </w:p>
    <w:p w14:paraId="77042A20" w14:textId="77777777" w:rsidR="00F811E2" w:rsidRDefault="006F1784" w:rsidP="006F1784">
      <w:pPr>
        <w:spacing w:line="480" w:lineRule="auto"/>
        <w:rPr>
          <w:rFonts w:ascii="Arial" w:hAnsi="Arial" w:cs="Arial"/>
        </w:rPr>
      </w:pPr>
      <w:r w:rsidRPr="006F1784">
        <w:rPr>
          <w:rFonts w:ascii="Arial" w:hAnsi="Arial" w:cs="Arial"/>
        </w:rPr>
        <w:lastRenderedPageBreak/>
        <w:t>Differentiation is undermined when mainstream firms leverage economies of scale, distribution power, CSR, or selective product lines to co-opt (and distort) impact narratives to win on the price/convenience front</w:t>
      </w:r>
      <w:r w:rsidR="00F811E2">
        <w:rPr>
          <w:rFonts w:ascii="Arial" w:hAnsi="Arial" w:cs="Arial"/>
        </w:rPr>
        <w:t xml:space="preserve"> </w:t>
      </w:r>
      <w:r w:rsidRPr="006F1784">
        <w:rPr>
          <w:rFonts w:ascii="Arial" w:hAnsi="Arial" w:cs="Arial"/>
        </w:rPr>
        <w:t>and confuse consumers, especially around what counts for substantive impact (Doherty, 2011). The same digital instruments used for scale enable socialist enterprises to be more vulnerable to risks including data privacy, cyberattacks, algorithmic bias, and dependence on platforms that can undermine reputation and threatens vulnerable stakeholders rapidly, especially where they have relatively low budgets for compliance and security (Gigauri et al., 2023). Organi</w:t>
      </w:r>
      <w:r w:rsidR="00F811E2">
        <w:rPr>
          <w:rFonts w:ascii="Arial" w:hAnsi="Arial" w:cs="Arial"/>
        </w:rPr>
        <w:t>s</w:t>
      </w:r>
      <w:r w:rsidRPr="006F1784">
        <w:rPr>
          <w:rFonts w:ascii="Arial" w:hAnsi="Arial" w:cs="Arial"/>
        </w:rPr>
        <w:t>ations rely on earned income, grant flows, and investment pipelines to earn trust, any external shock, e.g., inflation or procurement rules that shifts demand criteria, can abruptly transition organi</w:t>
      </w:r>
      <w:r w:rsidR="00F811E2">
        <w:rPr>
          <w:rFonts w:ascii="Arial" w:hAnsi="Arial" w:cs="Arial"/>
        </w:rPr>
        <w:t>s</w:t>
      </w:r>
      <w:r w:rsidRPr="006F1784">
        <w:rPr>
          <w:rFonts w:ascii="Arial" w:hAnsi="Arial" w:cs="Arial"/>
        </w:rPr>
        <w:t>ations to financial instability putting the organi</w:t>
      </w:r>
      <w:r w:rsidR="00F811E2">
        <w:rPr>
          <w:rFonts w:ascii="Arial" w:hAnsi="Arial" w:cs="Arial"/>
        </w:rPr>
        <w:t>s</w:t>
      </w:r>
      <w:r w:rsidRPr="006F1784">
        <w:rPr>
          <w:rFonts w:ascii="Arial" w:hAnsi="Arial" w:cs="Arial"/>
        </w:rPr>
        <w:t>ation and the ability to mitigate risks or protect vulnerable stakeholders, i.e., work in precarious spaces (Karre, 2018). Resource fragility increases the probability of these threats becoming problematic as small (size) teams work without the ability to create redundancy, horizon scan or negotiate equitable terms with larger organi</w:t>
      </w:r>
      <w:r w:rsidR="00F811E2">
        <w:rPr>
          <w:rFonts w:ascii="Arial" w:hAnsi="Arial" w:cs="Arial"/>
        </w:rPr>
        <w:t>s</w:t>
      </w:r>
      <w:r w:rsidRPr="006F1784">
        <w:rPr>
          <w:rFonts w:ascii="Arial" w:hAnsi="Arial" w:cs="Arial"/>
        </w:rPr>
        <w:t xml:space="preserve">ations, increasing the likelihood of </w:t>
      </w:r>
      <w:r w:rsidR="00F811E2" w:rsidRPr="006F1784">
        <w:rPr>
          <w:rFonts w:ascii="Arial" w:hAnsi="Arial" w:cs="Arial"/>
        </w:rPr>
        <w:t>unfavourable</w:t>
      </w:r>
      <w:r w:rsidRPr="006F1784">
        <w:rPr>
          <w:rFonts w:ascii="Arial" w:hAnsi="Arial" w:cs="Arial"/>
        </w:rPr>
        <w:t xml:space="preserve"> contracts and scope drift under pressure to close a deal (Abedin et al., 2023). Communications risks compound the scenario when overstated claims of impact or poorly stated distinctions commence distrust, thereby decreasing adoption in the very markets where trustworthiness is one of the primary currencies, e.g., early adopters or new markets (Deshpande, 2019).</w:t>
      </w:r>
    </w:p>
    <w:p w14:paraId="438FA348" w14:textId="77777777" w:rsidR="00F811E2" w:rsidRPr="008E0649" w:rsidRDefault="006F1784" w:rsidP="006F1784">
      <w:pPr>
        <w:spacing w:line="480" w:lineRule="auto"/>
        <w:rPr>
          <w:rFonts w:ascii="Arial Black" w:hAnsi="Arial Black" w:cs="Arial"/>
        </w:rPr>
      </w:pPr>
      <w:r w:rsidRPr="008E0649">
        <w:rPr>
          <w:rFonts w:ascii="Arial Black" w:hAnsi="Arial Black" w:cs="Arial"/>
        </w:rPr>
        <w:t>Strategic Implications and Recommendations</w:t>
      </w:r>
    </w:p>
    <w:p w14:paraId="21F984EF" w14:textId="77777777" w:rsidR="00105393" w:rsidRDefault="006F1784" w:rsidP="006F1784">
      <w:pPr>
        <w:spacing w:line="480" w:lineRule="auto"/>
        <w:rPr>
          <w:rFonts w:ascii="Arial" w:hAnsi="Arial" w:cs="Arial"/>
        </w:rPr>
      </w:pPr>
      <w:r w:rsidRPr="006F1784">
        <w:rPr>
          <w:rFonts w:ascii="Arial" w:hAnsi="Arial" w:cs="Arial"/>
        </w:rPr>
        <w:t xml:space="preserve">For resilience to be nurtured and sustained, governance practices must include practices that explicitly consider the trade-offs between social outcomes and </w:t>
      </w:r>
      <w:r w:rsidRPr="006F1784">
        <w:rPr>
          <w:rFonts w:ascii="Arial" w:hAnsi="Arial" w:cs="Arial"/>
        </w:rPr>
        <w:lastRenderedPageBreak/>
        <w:t>financial health, including mission-locked policies, representation of beneficiaries in decision-making, and rules of practice that diminish the possibility for incremental drift as pressure naturally mounts toward commerciali</w:t>
      </w:r>
      <w:r w:rsidR="00F811E2">
        <w:rPr>
          <w:rFonts w:ascii="Arial" w:hAnsi="Arial" w:cs="Arial"/>
        </w:rPr>
        <w:t>s</w:t>
      </w:r>
      <w:r w:rsidRPr="006F1784">
        <w:rPr>
          <w:rFonts w:ascii="Arial" w:hAnsi="Arial" w:cs="Arial"/>
        </w:rPr>
        <w:t>ation (Karre, 2018). The management system must be operationali</w:t>
      </w:r>
      <w:r w:rsidR="00F811E2">
        <w:rPr>
          <w:rFonts w:ascii="Arial" w:hAnsi="Arial" w:cs="Arial"/>
        </w:rPr>
        <w:t>s</w:t>
      </w:r>
      <w:r w:rsidRPr="006F1784">
        <w:rPr>
          <w:rFonts w:ascii="Arial" w:hAnsi="Arial" w:cs="Arial"/>
        </w:rPr>
        <w:t>ed by Triple Bottom Line (TBL)</w:t>
      </w:r>
      <w:r w:rsidR="00F811E2">
        <w:rPr>
          <w:rFonts w:ascii="Arial" w:hAnsi="Arial" w:cs="Arial"/>
        </w:rPr>
        <w:t xml:space="preserve">, </w:t>
      </w:r>
      <w:r w:rsidRPr="006F1784">
        <w:rPr>
          <w:rFonts w:ascii="Arial" w:hAnsi="Arial" w:cs="Arial"/>
        </w:rPr>
        <w:t>not simply a report</w:t>
      </w:r>
      <w:r w:rsidR="00F811E2">
        <w:rPr>
          <w:rFonts w:ascii="Arial" w:hAnsi="Arial" w:cs="Arial"/>
        </w:rPr>
        <w:t xml:space="preserve"> </w:t>
      </w:r>
      <w:r w:rsidRPr="006F1784">
        <w:rPr>
          <w:rFonts w:ascii="Arial" w:hAnsi="Arial" w:cs="Arial"/>
        </w:rPr>
        <w:t>for budgeting, sourcing, product development, and incentive structures based around TBL impact measures compliance, making sustainability a parameter for disciplined innovation rather than a marketing adjunct (Satar, 2022). Social enterprises can further invest in competitiveness by codifying resource advantages into values-based process capabilities for community co-design, inclusive hiring, and transparent supply chains that can scale and retain authenticity for movable differentiation against CSR-driven incumbents (Doherty, 2011). Performance improvement under the difficulties of constraint will benefit from investments in human resource internal capacity investments for management development, data literacy, and process standardi</w:t>
      </w:r>
      <w:r w:rsidR="00F811E2">
        <w:rPr>
          <w:rFonts w:ascii="Arial" w:hAnsi="Arial" w:cs="Arial"/>
        </w:rPr>
        <w:t>s</w:t>
      </w:r>
      <w:r w:rsidRPr="006F1784">
        <w:rPr>
          <w:rFonts w:ascii="Arial" w:hAnsi="Arial" w:cs="Arial"/>
        </w:rPr>
        <w:t>ation that will raise overall productivity while maintaining relational asset value accounts that build legitimacy (Cheah et al., 2019). On opportunity capture, internal digital readiness capacity begins with reasonable network security, sharing open data practices, as reasonable, and AI extractive practices bound by ethical principles that protect the dignity and rights of beneficiaries while avoiding platform abandonment to leverage growth without limiting rights and agency (Gigauri et al., 2023). Growth financing strategies should reflect a mixture of market income, catalytic grants, and impact investments structured along learning milestones and social venture loss guarantees, leveraged against cooperative networks and reimbursements that reward measured social value, smoothing strain and unlocking partnership possibilities along the innovation frontier (Abedin et al., 2023; Mendes et al., 2023).</w:t>
      </w:r>
    </w:p>
    <w:p w14:paraId="5B015C92" w14:textId="6CB9763A" w:rsidR="006F1784" w:rsidRPr="008E0649" w:rsidRDefault="006F1784" w:rsidP="006F1784">
      <w:pPr>
        <w:spacing w:line="480" w:lineRule="auto"/>
        <w:rPr>
          <w:rFonts w:ascii="Arial Black" w:hAnsi="Arial Black" w:cs="Arial"/>
        </w:rPr>
      </w:pPr>
      <w:r w:rsidRPr="008E0649">
        <w:rPr>
          <w:rFonts w:ascii="Arial Black" w:hAnsi="Arial Black" w:cs="Arial"/>
        </w:rPr>
        <w:lastRenderedPageBreak/>
        <w:t>Conclusion</w:t>
      </w:r>
    </w:p>
    <w:p w14:paraId="6441E2D0" w14:textId="0F2F13BB" w:rsidR="006F1784" w:rsidRDefault="006F1784" w:rsidP="006F1784">
      <w:pPr>
        <w:spacing w:line="480" w:lineRule="auto"/>
        <w:rPr>
          <w:rFonts w:ascii="Arial" w:hAnsi="Arial" w:cs="Arial"/>
        </w:rPr>
      </w:pPr>
      <w:r w:rsidRPr="006F1784">
        <w:rPr>
          <w:rFonts w:ascii="Arial" w:hAnsi="Arial" w:cs="Arial"/>
        </w:rPr>
        <w:t>The SWOT analysis draws into direct focus a fundamental paradox where hybridity is the genesis of social innovation, and it is also the genesis of managerial complexity that can stall mission performance under threat or pressure, and thereby deliberate design of strategy, governance and capabilities is essential for maximi</w:t>
      </w:r>
      <w:r w:rsidR="00105393">
        <w:rPr>
          <w:rFonts w:ascii="Arial" w:hAnsi="Arial" w:cs="Arial"/>
        </w:rPr>
        <w:t>s</w:t>
      </w:r>
      <w:r w:rsidRPr="006F1784">
        <w:rPr>
          <w:rFonts w:ascii="Arial" w:hAnsi="Arial" w:cs="Arial"/>
        </w:rPr>
        <w:t>ed strengths and limited vulnerabilities (Karre, 2018). Demand for sustainability, scaled by digital, collaborative financing partners, represent a broad opportunity frontier for social ventures that introduce TBL into the metrics of the everyday management landscape and collaborate across sectors to optimi</w:t>
      </w:r>
      <w:r w:rsidR="00105393">
        <w:rPr>
          <w:rFonts w:ascii="Arial" w:hAnsi="Arial" w:cs="Arial"/>
        </w:rPr>
        <w:t>s</w:t>
      </w:r>
      <w:r w:rsidRPr="006F1784">
        <w:rPr>
          <w:rFonts w:ascii="Arial" w:hAnsi="Arial" w:cs="Arial"/>
        </w:rPr>
        <w:t>e outcome opportunity and build legitimacy considerations (Satar, 2022; Mendes et al., 2023). Competitive imitation, cyber-risk, and policy volatility remain materials threats to smaller social enterprises who will suffer under thin buffers, and all internal resources should be determined as funds in partnership to be stronger together to be resilient (Gigauri et al., 2023; Abedin et al., 2023). The path is neither pure philanthropy nor pure commercial, but hybrid. That is, mission-anchored capabilities, rigorous impact logic and ecosystem collaboration must connect purpose to a value that is scalable, resilient value to the economy and society (Deshpande, 2019; Doherty, 2011; Huybrechts, 2012).</w:t>
      </w:r>
    </w:p>
    <w:p w14:paraId="53909F04" w14:textId="77777777" w:rsidR="008E0649" w:rsidRDefault="008E0649" w:rsidP="006F1784">
      <w:pPr>
        <w:spacing w:line="480" w:lineRule="auto"/>
        <w:rPr>
          <w:rFonts w:ascii="Arial" w:hAnsi="Arial" w:cs="Arial"/>
        </w:rPr>
      </w:pPr>
    </w:p>
    <w:p w14:paraId="6FB7DB87" w14:textId="77777777" w:rsidR="008E0649" w:rsidRDefault="008E0649" w:rsidP="006F1784">
      <w:pPr>
        <w:spacing w:line="480" w:lineRule="auto"/>
        <w:rPr>
          <w:rFonts w:ascii="Arial" w:hAnsi="Arial" w:cs="Arial"/>
        </w:rPr>
      </w:pPr>
    </w:p>
    <w:p w14:paraId="3EB25C19" w14:textId="77777777" w:rsidR="008E0649" w:rsidRDefault="008E0649" w:rsidP="006F1784">
      <w:pPr>
        <w:spacing w:line="480" w:lineRule="auto"/>
        <w:rPr>
          <w:rFonts w:ascii="Arial" w:hAnsi="Arial" w:cs="Arial"/>
        </w:rPr>
      </w:pPr>
    </w:p>
    <w:p w14:paraId="32524558" w14:textId="77777777" w:rsidR="008E0649" w:rsidRDefault="008E0649" w:rsidP="006F1784">
      <w:pPr>
        <w:spacing w:line="480" w:lineRule="auto"/>
        <w:rPr>
          <w:rFonts w:ascii="Arial" w:hAnsi="Arial" w:cs="Arial"/>
        </w:rPr>
      </w:pPr>
    </w:p>
    <w:p w14:paraId="10D431A4" w14:textId="77777777" w:rsidR="000538D0" w:rsidRDefault="000538D0" w:rsidP="006F1784">
      <w:pPr>
        <w:spacing w:line="480" w:lineRule="auto"/>
        <w:rPr>
          <w:rFonts w:ascii="Arial" w:hAnsi="Arial" w:cs="Arial"/>
        </w:rPr>
      </w:pPr>
    </w:p>
    <w:p w14:paraId="08896B04" w14:textId="77777777" w:rsidR="008E0649" w:rsidRDefault="008E0649" w:rsidP="006F1784">
      <w:pPr>
        <w:spacing w:line="480" w:lineRule="auto"/>
        <w:rPr>
          <w:rFonts w:ascii="Arial" w:hAnsi="Arial" w:cs="Arial"/>
        </w:rPr>
      </w:pPr>
    </w:p>
    <w:p w14:paraId="60771580" w14:textId="193B0708" w:rsidR="00105393" w:rsidRPr="008E0649" w:rsidRDefault="00105393" w:rsidP="006F1784">
      <w:pPr>
        <w:spacing w:line="480" w:lineRule="auto"/>
        <w:rPr>
          <w:rFonts w:ascii="Arial Black" w:hAnsi="Arial Black" w:cs="Arial"/>
        </w:rPr>
      </w:pPr>
      <w:r w:rsidRPr="008E0649">
        <w:rPr>
          <w:rFonts w:ascii="Arial Black" w:hAnsi="Arial Black" w:cs="Arial"/>
        </w:rPr>
        <w:lastRenderedPageBreak/>
        <w:t xml:space="preserve">References </w:t>
      </w:r>
    </w:p>
    <w:p w14:paraId="2751561B" w14:textId="08A0CC9F" w:rsidR="00105393" w:rsidRDefault="00105393" w:rsidP="00105393">
      <w:pPr>
        <w:spacing w:line="480" w:lineRule="auto"/>
        <w:rPr>
          <w:rFonts w:ascii="Arial" w:hAnsi="Arial" w:cs="Arial"/>
        </w:rPr>
      </w:pPr>
      <w:r w:rsidRPr="00105393">
        <w:rPr>
          <w:rFonts w:ascii="Arial" w:hAnsi="Arial" w:cs="Arial"/>
        </w:rPr>
        <w:t xml:space="preserve">Abedin, B., Douglas, H., Watson, J., &amp; Bidar, R. (2023). Mitigating challenges of small social enterprises to improve performance. </w:t>
      </w:r>
      <w:r w:rsidRPr="00105393">
        <w:rPr>
          <w:rFonts w:ascii="Arial" w:hAnsi="Arial" w:cs="Arial"/>
          <w:i/>
          <w:iCs/>
        </w:rPr>
        <w:t>International Journal of Productivity and Performance Management, 72</w:t>
      </w:r>
      <w:r w:rsidRPr="00105393">
        <w:rPr>
          <w:rFonts w:ascii="Arial" w:hAnsi="Arial" w:cs="Arial"/>
        </w:rPr>
        <w:t xml:space="preserve">(1), 226–245. </w:t>
      </w:r>
      <w:hyperlink r:id="rId9" w:history="1"/>
    </w:p>
    <w:p w14:paraId="65ED02A6" w14:textId="77777777" w:rsidR="00105393" w:rsidRDefault="00105393" w:rsidP="00105393">
      <w:pPr>
        <w:spacing w:line="480" w:lineRule="auto"/>
        <w:rPr>
          <w:rFonts w:ascii="Arial" w:hAnsi="Arial" w:cs="Arial"/>
        </w:rPr>
      </w:pPr>
      <w:r w:rsidRPr="00105393">
        <w:rPr>
          <w:rFonts w:ascii="Arial" w:hAnsi="Arial" w:cs="Arial"/>
        </w:rPr>
        <w:t xml:space="preserve">Cheah, J., Amran, A., &amp; Yahya, S. (2019). Internal oriented resources and social enterprises’ performance: How can social enterprises help themselves before helping others? </w:t>
      </w:r>
      <w:r w:rsidRPr="00105393">
        <w:rPr>
          <w:rFonts w:ascii="Arial" w:hAnsi="Arial" w:cs="Arial"/>
          <w:i/>
          <w:iCs/>
        </w:rPr>
        <w:t>Journal of Cleaner Production,</w:t>
      </w:r>
      <w:r w:rsidRPr="00105393">
        <w:rPr>
          <w:rFonts w:ascii="Arial" w:hAnsi="Arial" w:cs="Arial"/>
        </w:rPr>
        <w:t xml:space="preserve"> 211, 607–619. </w:t>
      </w:r>
    </w:p>
    <w:p w14:paraId="44DC8B63" w14:textId="77777777" w:rsidR="00105393" w:rsidRDefault="00105393" w:rsidP="00105393">
      <w:pPr>
        <w:spacing w:line="480" w:lineRule="auto"/>
        <w:rPr>
          <w:rFonts w:ascii="Arial" w:hAnsi="Arial" w:cs="Arial"/>
        </w:rPr>
      </w:pPr>
      <w:r w:rsidRPr="00105393">
        <w:rPr>
          <w:rFonts w:ascii="Arial" w:hAnsi="Arial" w:cs="Arial"/>
        </w:rPr>
        <w:t xml:space="preserve">Deshpande, S. (2019). Social marketing’s strengths, weaknesses, opportunities, and threats (SWOT): A commentary. </w:t>
      </w:r>
      <w:r w:rsidRPr="00105393">
        <w:rPr>
          <w:rFonts w:ascii="Arial" w:hAnsi="Arial" w:cs="Arial"/>
          <w:i/>
          <w:iCs/>
        </w:rPr>
        <w:t>Social Marketing Quarterly, 25</w:t>
      </w:r>
      <w:r w:rsidRPr="00105393">
        <w:rPr>
          <w:rFonts w:ascii="Arial" w:hAnsi="Arial" w:cs="Arial"/>
        </w:rPr>
        <w:t xml:space="preserve">(4), 231–242. </w:t>
      </w:r>
    </w:p>
    <w:p w14:paraId="69C1D2D6" w14:textId="5BDC2044" w:rsidR="00105393" w:rsidRPr="00105393" w:rsidRDefault="00105393" w:rsidP="00105393">
      <w:pPr>
        <w:spacing w:line="480" w:lineRule="auto"/>
        <w:rPr>
          <w:rFonts w:ascii="Arial" w:hAnsi="Arial" w:cs="Arial"/>
        </w:rPr>
      </w:pPr>
      <w:r w:rsidRPr="00105393">
        <w:rPr>
          <w:rFonts w:ascii="Arial" w:hAnsi="Arial" w:cs="Arial"/>
        </w:rPr>
        <w:t xml:space="preserve">Doherty, B. (2011). Resource advantage theory and fair-trade social enterprises. </w:t>
      </w:r>
      <w:r w:rsidRPr="00105393">
        <w:rPr>
          <w:rFonts w:ascii="Arial" w:hAnsi="Arial" w:cs="Arial"/>
          <w:i/>
          <w:iCs/>
        </w:rPr>
        <w:t>Journal of Strategic Marketing, 19</w:t>
      </w:r>
      <w:r w:rsidRPr="00105393">
        <w:rPr>
          <w:rFonts w:ascii="Arial" w:hAnsi="Arial" w:cs="Arial"/>
        </w:rPr>
        <w:t xml:space="preserve">(4), 357–380. </w:t>
      </w:r>
    </w:p>
    <w:p w14:paraId="40C8314B" w14:textId="77777777" w:rsidR="00105393" w:rsidRDefault="00105393" w:rsidP="00105393">
      <w:pPr>
        <w:spacing w:line="480" w:lineRule="auto"/>
        <w:rPr>
          <w:rFonts w:ascii="Arial" w:hAnsi="Arial" w:cs="Arial"/>
        </w:rPr>
      </w:pPr>
      <w:r w:rsidRPr="00105393">
        <w:rPr>
          <w:rFonts w:ascii="Arial" w:hAnsi="Arial" w:cs="Arial"/>
        </w:rPr>
        <w:t xml:space="preserve">Gigauri, I., Apostu, S. A., &amp; Popescu, C. (2023). Digital transformation: Threats and opportunities for social entrepreneurship. In </w:t>
      </w:r>
      <w:r w:rsidRPr="00105393">
        <w:rPr>
          <w:rFonts w:ascii="Arial" w:hAnsi="Arial" w:cs="Arial"/>
          <w:i/>
          <w:iCs/>
        </w:rPr>
        <w:t>Two faces of digital transformation: Technological opportunities versus social threats (pp. 1–17).</w:t>
      </w:r>
      <w:r w:rsidRPr="00105393">
        <w:rPr>
          <w:rFonts w:ascii="Arial" w:hAnsi="Arial" w:cs="Arial"/>
        </w:rPr>
        <w:t xml:space="preserve"> Emerald Publishing Limited. </w:t>
      </w:r>
    </w:p>
    <w:p w14:paraId="1A2DE194" w14:textId="77777777" w:rsidR="00105393" w:rsidRDefault="00105393" w:rsidP="00105393">
      <w:pPr>
        <w:spacing w:line="480" w:lineRule="auto"/>
        <w:rPr>
          <w:rFonts w:ascii="Arial" w:hAnsi="Arial" w:cs="Arial"/>
        </w:rPr>
      </w:pPr>
      <w:r w:rsidRPr="00105393">
        <w:rPr>
          <w:rFonts w:ascii="Arial" w:hAnsi="Arial" w:cs="Arial"/>
        </w:rPr>
        <w:t xml:space="preserve">Huybrechts, B. (2012). </w:t>
      </w:r>
      <w:r w:rsidRPr="00105393">
        <w:rPr>
          <w:rFonts w:ascii="Arial" w:hAnsi="Arial" w:cs="Arial"/>
          <w:i/>
          <w:iCs/>
        </w:rPr>
        <w:t>Fair trade organi</w:t>
      </w:r>
      <w:r w:rsidRPr="00105393">
        <w:rPr>
          <w:rFonts w:ascii="Arial" w:hAnsi="Arial" w:cs="Arial"/>
          <w:i/>
          <w:iCs/>
        </w:rPr>
        <w:t>s</w:t>
      </w:r>
      <w:r w:rsidRPr="00105393">
        <w:rPr>
          <w:rFonts w:ascii="Arial" w:hAnsi="Arial" w:cs="Arial"/>
          <w:i/>
          <w:iCs/>
        </w:rPr>
        <w:t>ations and social enterprise: Social innovation through hybrid organi</w:t>
      </w:r>
      <w:r w:rsidRPr="00105393">
        <w:rPr>
          <w:rFonts w:ascii="Arial" w:hAnsi="Arial" w:cs="Arial"/>
          <w:i/>
          <w:iCs/>
        </w:rPr>
        <w:t>s</w:t>
      </w:r>
      <w:r w:rsidRPr="00105393">
        <w:rPr>
          <w:rFonts w:ascii="Arial" w:hAnsi="Arial" w:cs="Arial"/>
          <w:i/>
          <w:iCs/>
        </w:rPr>
        <w:t>ation models</w:t>
      </w:r>
      <w:r w:rsidRPr="00105393">
        <w:rPr>
          <w:rFonts w:ascii="Arial" w:hAnsi="Arial" w:cs="Arial"/>
        </w:rPr>
        <w:t>. Routledge.</w:t>
      </w:r>
    </w:p>
    <w:p w14:paraId="585ADE6D" w14:textId="77777777" w:rsidR="00105393" w:rsidRDefault="00105393" w:rsidP="00105393">
      <w:pPr>
        <w:spacing w:line="480" w:lineRule="auto"/>
        <w:rPr>
          <w:rFonts w:ascii="Arial" w:hAnsi="Arial" w:cs="Arial"/>
        </w:rPr>
      </w:pPr>
      <w:r w:rsidRPr="00105393">
        <w:rPr>
          <w:rFonts w:ascii="Arial" w:hAnsi="Arial" w:cs="Arial"/>
        </w:rPr>
        <w:t xml:space="preserve">Karre, P. (2018). Navigating between opportunities and risks: The effects of hybridity for social enterprises engaged in social innovation. </w:t>
      </w:r>
      <w:r w:rsidRPr="00105393">
        <w:rPr>
          <w:rFonts w:ascii="Arial" w:hAnsi="Arial" w:cs="Arial"/>
          <w:i/>
          <w:iCs/>
        </w:rPr>
        <w:t>Journal of Entrepreneurial and Organizational Diversity, 7</w:t>
      </w:r>
      <w:r w:rsidRPr="00105393">
        <w:rPr>
          <w:rFonts w:ascii="Arial" w:hAnsi="Arial" w:cs="Arial"/>
        </w:rPr>
        <w:t xml:space="preserve">(1), 37–60. </w:t>
      </w:r>
    </w:p>
    <w:p w14:paraId="62054DE3" w14:textId="77777777" w:rsidR="008E0649" w:rsidRDefault="00105393" w:rsidP="00105393">
      <w:pPr>
        <w:spacing w:line="480" w:lineRule="auto"/>
        <w:rPr>
          <w:rFonts w:ascii="Arial" w:hAnsi="Arial" w:cs="Arial"/>
        </w:rPr>
      </w:pPr>
      <w:r w:rsidRPr="00105393">
        <w:rPr>
          <w:rFonts w:ascii="Arial" w:hAnsi="Arial" w:cs="Arial"/>
        </w:rPr>
        <w:t xml:space="preserve">Mendes, T., Braga, V., Correia, A., &amp; Silva, C. (2023). Linking corporate social responsibility, cooperation and innovation: The triple bottom line perspective. </w:t>
      </w:r>
      <w:r w:rsidRPr="008E0649">
        <w:rPr>
          <w:rFonts w:ascii="Arial" w:hAnsi="Arial" w:cs="Arial"/>
          <w:i/>
          <w:iCs/>
        </w:rPr>
        <w:t>Innovation &amp; Management Review, 20</w:t>
      </w:r>
      <w:r w:rsidRPr="00105393">
        <w:rPr>
          <w:rFonts w:ascii="Arial" w:hAnsi="Arial" w:cs="Arial"/>
        </w:rPr>
        <w:t xml:space="preserve">(3), 244–280. </w:t>
      </w:r>
    </w:p>
    <w:p w14:paraId="50AEBCAC" w14:textId="0089E04D" w:rsidR="00105393" w:rsidRPr="006F1784" w:rsidRDefault="00105393" w:rsidP="00105393">
      <w:pPr>
        <w:spacing w:line="480" w:lineRule="auto"/>
        <w:rPr>
          <w:rFonts w:ascii="Arial" w:hAnsi="Arial" w:cs="Arial"/>
        </w:rPr>
      </w:pPr>
      <w:r w:rsidRPr="00105393">
        <w:rPr>
          <w:rFonts w:ascii="Arial" w:hAnsi="Arial" w:cs="Arial"/>
        </w:rPr>
        <w:lastRenderedPageBreak/>
        <w:t xml:space="preserve">Satar, M. S. (2022). Sustainability and triple bottom line planning in social enterprises: Developing the guidelines for social entrepreneurs. </w:t>
      </w:r>
      <w:r w:rsidRPr="008E0649">
        <w:rPr>
          <w:rFonts w:ascii="Arial" w:hAnsi="Arial" w:cs="Arial"/>
          <w:i/>
          <w:iCs/>
        </w:rPr>
        <w:t>International Journal of Sustainable Development and Planning, 17</w:t>
      </w:r>
      <w:r w:rsidRPr="00105393">
        <w:rPr>
          <w:rFonts w:ascii="Arial" w:hAnsi="Arial" w:cs="Arial"/>
        </w:rPr>
        <w:t xml:space="preserve">(3), 813–821. </w:t>
      </w:r>
    </w:p>
    <w:sectPr w:rsidR="00105393" w:rsidRPr="006F1784" w:rsidSect="000538D0">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85745" w14:textId="77777777" w:rsidR="002472DF" w:rsidRDefault="002472DF" w:rsidP="008E0649">
      <w:pPr>
        <w:spacing w:after="0" w:line="240" w:lineRule="auto"/>
      </w:pPr>
      <w:r>
        <w:separator/>
      </w:r>
    </w:p>
  </w:endnote>
  <w:endnote w:type="continuationSeparator" w:id="0">
    <w:p w14:paraId="5BFBFAB7" w14:textId="77777777" w:rsidR="002472DF" w:rsidRDefault="002472DF" w:rsidP="008E0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BA47B" w14:textId="77777777" w:rsidR="002472DF" w:rsidRDefault="002472DF" w:rsidP="008E0649">
      <w:pPr>
        <w:spacing w:after="0" w:line="240" w:lineRule="auto"/>
      </w:pPr>
      <w:r>
        <w:separator/>
      </w:r>
    </w:p>
  </w:footnote>
  <w:footnote w:type="continuationSeparator" w:id="0">
    <w:p w14:paraId="0CCB1177" w14:textId="77777777" w:rsidR="002472DF" w:rsidRDefault="002472DF" w:rsidP="008E0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8974486"/>
      <w:docPartObj>
        <w:docPartGallery w:val="Page Numbers (Top of Page)"/>
        <w:docPartUnique/>
      </w:docPartObj>
    </w:sdtPr>
    <w:sdtEndPr>
      <w:rPr>
        <w:noProof/>
      </w:rPr>
    </w:sdtEndPr>
    <w:sdtContent>
      <w:p w14:paraId="4AB8CB69" w14:textId="3EDD2DE9" w:rsidR="008E0649" w:rsidRDefault="008E064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FEAC33" w14:textId="77777777" w:rsidR="008E0649" w:rsidRDefault="008E06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1378"/>
    <w:multiLevelType w:val="hybridMultilevel"/>
    <w:tmpl w:val="DE82CEB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FC4252"/>
    <w:multiLevelType w:val="hybridMultilevel"/>
    <w:tmpl w:val="F438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C7D2E"/>
    <w:multiLevelType w:val="hybridMultilevel"/>
    <w:tmpl w:val="20607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4B05B7"/>
    <w:multiLevelType w:val="hybridMultilevel"/>
    <w:tmpl w:val="F6FA9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2477E1"/>
    <w:multiLevelType w:val="hybridMultilevel"/>
    <w:tmpl w:val="9E28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251111">
    <w:abstractNumId w:val="3"/>
  </w:num>
  <w:num w:numId="2" w16cid:durableId="1599480442">
    <w:abstractNumId w:val="2"/>
  </w:num>
  <w:num w:numId="3" w16cid:durableId="543445433">
    <w:abstractNumId w:val="0"/>
  </w:num>
  <w:num w:numId="4" w16cid:durableId="1087653435">
    <w:abstractNumId w:val="4"/>
  </w:num>
  <w:num w:numId="5" w16cid:durableId="126565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784"/>
    <w:rsid w:val="000538D0"/>
    <w:rsid w:val="00105393"/>
    <w:rsid w:val="002472DF"/>
    <w:rsid w:val="006F1784"/>
    <w:rsid w:val="008E0649"/>
    <w:rsid w:val="00996767"/>
    <w:rsid w:val="00B40BE5"/>
    <w:rsid w:val="00F81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C1189"/>
  <w15:chartTrackingRefBased/>
  <w15:docId w15:val="{5149FDC0-35BE-4D3F-BDB5-969F130B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1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1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1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1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1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1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1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1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784"/>
    <w:rPr>
      <w:rFonts w:eastAsiaTheme="majorEastAsia" w:cstheme="majorBidi"/>
      <w:color w:val="272727" w:themeColor="text1" w:themeTint="D8"/>
    </w:rPr>
  </w:style>
  <w:style w:type="paragraph" w:styleId="Title">
    <w:name w:val="Title"/>
    <w:basedOn w:val="Normal"/>
    <w:next w:val="Normal"/>
    <w:link w:val="TitleChar"/>
    <w:uiPriority w:val="10"/>
    <w:qFormat/>
    <w:rsid w:val="006F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784"/>
    <w:pPr>
      <w:spacing w:before="160"/>
      <w:jc w:val="center"/>
    </w:pPr>
    <w:rPr>
      <w:i/>
      <w:iCs/>
      <w:color w:val="404040" w:themeColor="text1" w:themeTint="BF"/>
    </w:rPr>
  </w:style>
  <w:style w:type="character" w:customStyle="1" w:styleId="QuoteChar">
    <w:name w:val="Quote Char"/>
    <w:basedOn w:val="DefaultParagraphFont"/>
    <w:link w:val="Quote"/>
    <w:uiPriority w:val="29"/>
    <w:rsid w:val="006F1784"/>
    <w:rPr>
      <w:i/>
      <w:iCs/>
      <w:color w:val="404040" w:themeColor="text1" w:themeTint="BF"/>
    </w:rPr>
  </w:style>
  <w:style w:type="paragraph" w:styleId="ListParagraph">
    <w:name w:val="List Paragraph"/>
    <w:basedOn w:val="Normal"/>
    <w:uiPriority w:val="34"/>
    <w:qFormat/>
    <w:rsid w:val="006F1784"/>
    <w:pPr>
      <w:ind w:left="720"/>
      <w:contextualSpacing/>
    </w:pPr>
  </w:style>
  <w:style w:type="character" w:styleId="IntenseEmphasis">
    <w:name w:val="Intense Emphasis"/>
    <w:basedOn w:val="DefaultParagraphFont"/>
    <w:uiPriority w:val="21"/>
    <w:qFormat/>
    <w:rsid w:val="006F1784"/>
    <w:rPr>
      <w:i/>
      <w:iCs/>
      <w:color w:val="0F4761" w:themeColor="accent1" w:themeShade="BF"/>
    </w:rPr>
  </w:style>
  <w:style w:type="paragraph" w:styleId="IntenseQuote">
    <w:name w:val="Intense Quote"/>
    <w:basedOn w:val="Normal"/>
    <w:next w:val="Normal"/>
    <w:link w:val="IntenseQuoteChar"/>
    <w:uiPriority w:val="30"/>
    <w:qFormat/>
    <w:rsid w:val="006F1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784"/>
    <w:rPr>
      <w:i/>
      <w:iCs/>
      <w:color w:val="0F4761" w:themeColor="accent1" w:themeShade="BF"/>
    </w:rPr>
  </w:style>
  <w:style w:type="character" w:styleId="IntenseReference">
    <w:name w:val="Intense Reference"/>
    <w:basedOn w:val="DefaultParagraphFont"/>
    <w:uiPriority w:val="32"/>
    <w:qFormat/>
    <w:rsid w:val="006F1784"/>
    <w:rPr>
      <w:b/>
      <w:bCs/>
      <w:smallCaps/>
      <w:color w:val="0F4761" w:themeColor="accent1" w:themeShade="BF"/>
      <w:spacing w:val="5"/>
    </w:rPr>
  </w:style>
  <w:style w:type="character" w:styleId="Hyperlink">
    <w:name w:val="Hyperlink"/>
    <w:basedOn w:val="DefaultParagraphFont"/>
    <w:uiPriority w:val="99"/>
    <w:unhideWhenUsed/>
    <w:rsid w:val="00105393"/>
    <w:rPr>
      <w:color w:val="467886" w:themeColor="hyperlink"/>
      <w:u w:val="single"/>
    </w:rPr>
  </w:style>
  <w:style w:type="character" w:styleId="UnresolvedMention">
    <w:name w:val="Unresolved Mention"/>
    <w:basedOn w:val="DefaultParagraphFont"/>
    <w:uiPriority w:val="99"/>
    <w:semiHidden/>
    <w:unhideWhenUsed/>
    <w:rsid w:val="00105393"/>
    <w:rPr>
      <w:color w:val="605E5C"/>
      <w:shd w:val="clear" w:color="auto" w:fill="E1DFDD"/>
    </w:rPr>
  </w:style>
  <w:style w:type="paragraph" w:styleId="Header">
    <w:name w:val="header"/>
    <w:basedOn w:val="Normal"/>
    <w:link w:val="HeaderChar"/>
    <w:uiPriority w:val="99"/>
    <w:unhideWhenUsed/>
    <w:rsid w:val="008E06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649"/>
  </w:style>
  <w:style w:type="paragraph" w:styleId="Footer">
    <w:name w:val="footer"/>
    <w:basedOn w:val="Normal"/>
    <w:link w:val="FooterChar"/>
    <w:uiPriority w:val="99"/>
    <w:unhideWhenUsed/>
    <w:rsid w:val="008E0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649"/>
  </w:style>
  <w:style w:type="paragraph" w:styleId="NoSpacing">
    <w:name w:val="No Spacing"/>
    <w:link w:val="NoSpacingChar"/>
    <w:uiPriority w:val="1"/>
    <w:qFormat/>
    <w:rsid w:val="000538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538D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08/IJPPM-09-2021-054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ABE2E36D8844098A752D2C6E62BC8B"/>
        <w:category>
          <w:name w:val="General"/>
          <w:gallery w:val="placeholder"/>
        </w:category>
        <w:types>
          <w:type w:val="bbPlcHdr"/>
        </w:types>
        <w:behaviors>
          <w:behavior w:val="content"/>
        </w:behaviors>
        <w:guid w:val="{EBDBCD05-7FC0-445D-8717-9DB224A4CF8C}"/>
      </w:docPartPr>
      <w:docPartBody>
        <w:p w:rsidR="00000000" w:rsidRDefault="003478C2" w:rsidP="003478C2">
          <w:pPr>
            <w:pStyle w:val="B8ABE2E36D8844098A752D2C6E62BC8B"/>
          </w:pPr>
          <w:r>
            <w:rPr>
              <w:rFonts w:asciiTheme="majorHAnsi" w:eastAsiaTheme="majorEastAsia" w:hAnsiTheme="majorHAnsi" w:cstheme="majorBidi"/>
              <w:color w:val="156082" w:themeColor="accent1"/>
              <w:sz w:val="88"/>
              <w:szCs w:val="88"/>
            </w:rPr>
            <w:t>[Document title]</w:t>
          </w:r>
        </w:p>
      </w:docPartBody>
    </w:docPart>
    <w:docPart>
      <w:docPartPr>
        <w:name w:val="A061F0B9E8514F74AC0FB59DEA82ED77"/>
        <w:category>
          <w:name w:val="General"/>
          <w:gallery w:val="placeholder"/>
        </w:category>
        <w:types>
          <w:type w:val="bbPlcHdr"/>
        </w:types>
        <w:behaviors>
          <w:behavior w:val="content"/>
        </w:behaviors>
        <w:guid w:val="{15ADB7C5-010D-4415-AC6B-EC672A8C1D19}"/>
      </w:docPartPr>
      <w:docPartBody>
        <w:p w:rsidR="00000000" w:rsidRDefault="003478C2" w:rsidP="003478C2">
          <w:pPr>
            <w:pStyle w:val="A061F0B9E8514F74AC0FB59DEA82ED77"/>
          </w:pPr>
          <w:r>
            <w:rPr>
              <w:color w:val="156082" w:themeColor="accent1"/>
              <w:sz w:val="28"/>
              <w:szCs w:val="28"/>
            </w:rPr>
            <w:t>[Author name]</w:t>
          </w:r>
        </w:p>
      </w:docPartBody>
    </w:docPart>
    <w:docPart>
      <w:docPartPr>
        <w:name w:val="7BB6DF04FE6744988D20350412C3F0D6"/>
        <w:category>
          <w:name w:val="General"/>
          <w:gallery w:val="placeholder"/>
        </w:category>
        <w:types>
          <w:type w:val="bbPlcHdr"/>
        </w:types>
        <w:behaviors>
          <w:behavior w:val="content"/>
        </w:behaviors>
        <w:guid w:val="{010C1222-0251-476B-8112-41F711BD572E}"/>
      </w:docPartPr>
      <w:docPartBody>
        <w:p w:rsidR="00000000" w:rsidRDefault="003478C2" w:rsidP="003478C2">
          <w:pPr>
            <w:pStyle w:val="7BB6DF04FE6744988D20350412C3F0D6"/>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8C2"/>
    <w:rsid w:val="000A79F7"/>
    <w:rsid w:val="003478C2"/>
    <w:rsid w:val="00B40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2A20F516164430989DFFF6005B566C">
    <w:name w:val="842A20F516164430989DFFF6005B566C"/>
    <w:rsid w:val="003478C2"/>
  </w:style>
  <w:style w:type="paragraph" w:customStyle="1" w:styleId="B8ABE2E36D8844098A752D2C6E62BC8B">
    <w:name w:val="B8ABE2E36D8844098A752D2C6E62BC8B"/>
    <w:rsid w:val="003478C2"/>
  </w:style>
  <w:style w:type="paragraph" w:customStyle="1" w:styleId="47306630BD164712B43BD18BD3F129C0">
    <w:name w:val="47306630BD164712B43BD18BD3F129C0"/>
    <w:rsid w:val="003478C2"/>
  </w:style>
  <w:style w:type="paragraph" w:customStyle="1" w:styleId="A061F0B9E8514F74AC0FB59DEA82ED77">
    <w:name w:val="A061F0B9E8514F74AC0FB59DEA82ED77"/>
    <w:rsid w:val="003478C2"/>
  </w:style>
  <w:style w:type="paragraph" w:customStyle="1" w:styleId="7BB6DF04FE6744988D20350412C3F0D6">
    <w:name w:val="7BB6DF04FE6744988D20350412C3F0D6"/>
    <w:rsid w:val="003478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2140</Words>
  <Characters>12198</Characters>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2025-10-29T17:00:00Z</dcterms:created>
  <dcterms:modified xsi:type="dcterms:W3CDTF">2025-10-29T17:58:00Z</dcterms:modified>
</cp:coreProperties>
</file>