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114300" distT="114300" distL="114300" distR="114300">
            <wp:extent cx="5462588" cy="181175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62588" cy="181175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Contract law</w:t>
      </w:r>
    </w:p>
    <w:p w:rsidR="00000000" w:rsidDel="00000000" w:rsidP="00000000" w:rsidRDefault="00000000" w:rsidRPr="00000000" w14:paraId="00000007">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sz w:val="36"/>
          <w:szCs w:val="36"/>
          <w:rtl w:val="0"/>
        </w:rPr>
        <w:t xml:space="preserve">Lecturer:</w:t>
      </w:r>
      <w:r w:rsidDel="00000000" w:rsidR="00000000" w:rsidRPr="00000000">
        <w:rPr>
          <w:rFonts w:ascii="Times New Roman" w:cs="Times New Roman" w:eastAsia="Times New Roman" w:hAnsi="Times New Roman"/>
          <w:b w:val="1"/>
          <w:sz w:val="36"/>
          <w:szCs w:val="36"/>
          <w:rtl w:val="0"/>
        </w:rPr>
        <w:t xml:space="preserve"> </w:t>
      </w:r>
      <w:r w:rsidDel="00000000" w:rsidR="00000000" w:rsidRPr="00000000">
        <w:rPr>
          <w:rFonts w:ascii="Times New Roman" w:cs="Times New Roman" w:eastAsia="Times New Roman" w:hAnsi="Times New Roman"/>
          <w:b w:val="1"/>
          <w:sz w:val="36"/>
          <w:szCs w:val="36"/>
          <w:rtl w:val="0"/>
        </w:rPr>
        <w:t xml:space="preserve">Luara knight </w:t>
      </w:r>
    </w:p>
    <w:p w:rsidR="00000000" w:rsidDel="00000000" w:rsidP="00000000" w:rsidRDefault="00000000" w:rsidRPr="00000000" w14:paraId="00000008">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color w:val="073763"/>
          <w:sz w:val="36"/>
          <w:szCs w:val="36"/>
        </w:rPr>
      </w:pPr>
      <w:r w:rsidDel="00000000" w:rsidR="00000000" w:rsidRPr="00000000">
        <w:rPr>
          <w:rFonts w:ascii="Times New Roman" w:cs="Times New Roman" w:eastAsia="Times New Roman" w:hAnsi="Times New Roman"/>
          <w:b w:val="1"/>
          <w:color w:val="073763"/>
          <w:sz w:val="36"/>
          <w:szCs w:val="36"/>
          <w:rtl w:val="0"/>
        </w:rPr>
        <w:t xml:space="preserve"> Assignment one</w:t>
      </w:r>
    </w:p>
    <w:p w:rsidR="00000000" w:rsidDel="00000000" w:rsidP="00000000" w:rsidRDefault="00000000" w:rsidRPr="00000000" w14:paraId="0000000B">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sz w:val="36"/>
          <w:szCs w:val="36"/>
          <w:rtl w:val="0"/>
        </w:rPr>
        <w:t xml:space="preserve">Name: </w:t>
      </w:r>
      <w:r w:rsidDel="00000000" w:rsidR="00000000" w:rsidRPr="00000000">
        <w:rPr>
          <w:rFonts w:ascii="Times New Roman" w:cs="Times New Roman" w:eastAsia="Times New Roman" w:hAnsi="Times New Roman"/>
          <w:b w:val="1"/>
          <w:sz w:val="36"/>
          <w:szCs w:val="36"/>
          <w:rtl w:val="0"/>
        </w:rPr>
        <w:t xml:space="preserve">Shahad Yousif Alsharif Ali </w:t>
      </w:r>
    </w:p>
    <w:p w:rsidR="00000000" w:rsidDel="00000000" w:rsidP="00000000" w:rsidRDefault="00000000" w:rsidRPr="00000000" w14:paraId="0000000F">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sz w:val="36"/>
          <w:szCs w:val="36"/>
          <w:rtl w:val="0"/>
        </w:rPr>
        <w:t xml:space="preserve">ID: </w:t>
      </w:r>
      <w:r w:rsidDel="00000000" w:rsidR="00000000" w:rsidRPr="00000000">
        <w:rPr>
          <w:rFonts w:ascii="Times New Roman" w:cs="Times New Roman" w:eastAsia="Times New Roman" w:hAnsi="Times New Roman"/>
          <w:b w:val="1"/>
          <w:sz w:val="36"/>
          <w:szCs w:val="36"/>
          <w:rtl w:val="0"/>
        </w:rPr>
        <w:t xml:space="preserve">2026696</w:t>
      </w:r>
    </w:p>
    <w:p w:rsidR="00000000" w:rsidDel="00000000" w:rsidP="00000000" w:rsidRDefault="00000000" w:rsidRPr="00000000" w14:paraId="00000010">
      <w:pPr>
        <w:jc w:val="center"/>
        <w:rPr>
          <w:sz w:val="36"/>
          <w:szCs w:val="36"/>
        </w:rPr>
      </w:pPr>
      <w:r w:rsidDel="00000000" w:rsidR="00000000" w:rsidRPr="00000000">
        <w:rPr>
          <w:rtl w:val="0"/>
        </w:rPr>
      </w:r>
    </w:p>
    <w:p w:rsidR="00000000" w:rsidDel="00000000" w:rsidP="00000000" w:rsidRDefault="00000000" w:rsidRPr="00000000" w14:paraId="00000011">
      <w:pPr>
        <w:jc w:val="center"/>
        <w:rPr>
          <w:sz w:val="36"/>
          <w:szCs w:val="36"/>
        </w:rPr>
      </w:pPr>
      <w:r w:rsidDel="00000000" w:rsidR="00000000" w:rsidRPr="00000000">
        <w:rPr>
          <w:rtl w:val="0"/>
        </w:rPr>
      </w:r>
    </w:p>
    <w:p w:rsidR="00000000" w:rsidDel="00000000" w:rsidP="00000000" w:rsidRDefault="00000000" w:rsidRPr="00000000" w14:paraId="00000012">
      <w:pPr>
        <w:jc w:val="center"/>
        <w:rPr>
          <w:sz w:val="36"/>
          <w:szCs w:val="36"/>
        </w:rPr>
      </w:pPr>
      <w:r w:rsidDel="00000000" w:rsidR="00000000" w:rsidRPr="00000000">
        <w:rPr>
          <w:rtl w:val="0"/>
        </w:rPr>
      </w:r>
    </w:p>
    <w:p w:rsidR="00000000" w:rsidDel="00000000" w:rsidP="00000000" w:rsidRDefault="00000000" w:rsidRPr="00000000" w14:paraId="00000013">
      <w:pPr>
        <w:jc w:val="center"/>
        <w:rPr>
          <w:sz w:val="36"/>
          <w:szCs w:val="36"/>
        </w:rPr>
      </w:pPr>
      <w:r w:rsidDel="00000000" w:rsidR="00000000" w:rsidRPr="00000000">
        <w:rPr>
          <w:rtl w:val="0"/>
        </w:rPr>
      </w:r>
    </w:p>
    <w:p w:rsidR="00000000" w:rsidDel="00000000" w:rsidP="00000000" w:rsidRDefault="00000000" w:rsidRPr="00000000" w14:paraId="00000014">
      <w:pPr>
        <w:jc w:val="center"/>
        <w:rPr>
          <w:sz w:val="36"/>
          <w:szCs w:val="36"/>
        </w:rPr>
      </w:pPr>
      <w:r w:rsidDel="00000000" w:rsidR="00000000" w:rsidRPr="00000000">
        <w:rPr>
          <w:rtl w:val="0"/>
        </w:rPr>
      </w:r>
    </w:p>
    <w:p w:rsidR="00000000" w:rsidDel="00000000" w:rsidP="00000000" w:rsidRDefault="00000000" w:rsidRPr="00000000" w14:paraId="00000015">
      <w:pPr>
        <w:jc w:val="center"/>
        <w:rPr>
          <w:sz w:val="36"/>
          <w:szCs w:val="36"/>
        </w:rPr>
      </w:pPr>
      <w:r w:rsidDel="00000000" w:rsidR="00000000" w:rsidRPr="00000000">
        <w:rPr>
          <w:rtl w:val="0"/>
        </w:rPr>
      </w:r>
    </w:p>
    <w:p w:rsidR="00000000" w:rsidDel="00000000" w:rsidP="00000000" w:rsidRDefault="00000000" w:rsidRPr="00000000" w14:paraId="00000016">
      <w:pPr>
        <w:jc w:val="left"/>
        <w:rPr>
          <w:sz w:val="36"/>
          <w:szCs w:val="36"/>
        </w:rPr>
      </w:pPr>
      <w:r w:rsidDel="00000000" w:rsidR="00000000" w:rsidRPr="00000000">
        <w:rPr>
          <w:rtl w:val="0"/>
        </w:rPr>
      </w:r>
    </w:p>
    <w:p w:rsidR="00000000" w:rsidDel="00000000" w:rsidP="00000000" w:rsidRDefault="00000000" w:rsidRPr="00000000" w14:paraId="00000017">
      <w:pPr>
        <w:rPr>
          <w:b w:val="1"/>
          <w:color w:val="073763"/>
          <w:sz w:val="24"/>
          <w:szCs w:val="24"/>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8">
      <w:pPr>
        <w:pStyle w:val="Title"/>
        <w:rPr>
          <w:b w:val="1"/>
          <w:color w:val="073763"/>
          <w:sz w:val="24"/>
          <w:szCs w:val="24"/>
        </w:rPr>
      </w:pPr>
      <w:bookmarkStart w:colFirst="0" w:colLast="0" w:name="_kjfjeoni5500" w:id="0"/>
      <w:bookmarkEnd w:id="0"/>
      <w:r w:rsidDel="00000000" w:rsidR="00000000" w:rsidRPr="00000000">
        <w:rPr>
          <w:rtl w:val="0"/>
        </w:rPr>
      </w:r>
    </w:p>
    <w:p w:rsidR="00000000" w:rsidDel="00000000" w:rsidP="00000000" w:rsidRDefault="00000000" w:rsidRPr="00000000" w14:paraId="00000019">
      <w:pPr>
        <w:pStyle w:val="Title"/>
        <w:rPr>
          <w:b w:val="1"/>
          <w:color w:val="073763"/>
          <w:sz w:val="24"/>
          <w:szCs w:val="24"/>
        </w:rPr>
      </w:pPr>
      <w:bookmarkStart w:colFirst="0" w:colLast="0" w:name="_qj9zi6zg3ql3" w:id="1"/>
      <w:bookmarkEnd w:id="1"/>
      <w:r w:rsidDel="00000000" w:rsidR="00000000" w:rsidRPr="00000000">
        <w:rPr>
          <w:b w:val="1"/>
          <w:color w:val="073763"/>
          <w:sz w:val="24"/>
          <w:szCs w:val="24"/>
          <w:rtl w:val="0"/>
        </w:rPr>
        <w:t xml:space="preserve">QUESTION A</w:t>
      </w:r>
    </w:p>
    <w:p w:rsidR="00000000" w:rsidDel="00000000" w:rsidP="00000000" w:rsidRDefault="00000000" w:rsidRPr="00000000" w14:paraId="0000001A">
      <w:pPr>
        <w:pStyle w:val="Title"/>
        <w:spacing w:line="360" w:lineRule="auto"/>
        <w:jc w:val="both"/>
        <w:rPr>
          <w:rFonts w:ascii="Times New Roman" w:cs="Times New Roman" w:eastAsia="Times New Roman" w:hAnsi="Times New Roman"/>
          <w:sz w:val="24"/>
          <w:szCs w:val="24"/>
        </w:rPr>
      </w:pPr>
      <w:bookmarkStart w:colFirst="0" w:colLast="0" w:name="_fzax8hcualcr" w:id="2"/>
      <w:bookmarkEnd w:id="2"/>
      <w:r w:rsidDel="00000000" w:rsidR="00000000" w:rsidRPr="00000000">
        <w:rPr>
          <w:rFonts w:ascii="Times New Roman" w:cs="Times New Roman" w:eastAsia="Times New Roman" w:hAnsi="Times New Roman"/>
          <w:sz w:val="24"/>
          <w:szCs w:val="24"/>
          <w:rtl w:val="0"/>
        </w:rPr>
        <w:t xml:space="preserve">Privity of contract is a common law doctrine prohibiting a person who is not a contracting party from carrying out a provision of that contract, even if the contract was made with the intention of giving them an advantage. </w:t>
      </w:r>
      <w:r w:rsidDel="00000000" w:rsidR="00000000" w:rsidRPr="00000000">
        <w:rPr>
          <w:rFonts w:ascii="Times New Roman" w:cs="Times New Roman" w:eastAsia="Times New Roman" w:hAnsi="Times New Roman"/>
          <w:color w:val="0b5394"/>
          <w:sz w:val="24"/>
          <w:szCs w:val="24"/>
          <w:rtl w:val="0"/>
        </w:rPr>
        <w:t xml:space="preserve">Tweddle v Atkinson [1861] </w:t>
      </w:r>
      <w:r w:rsidDel="00000000" w:rsidR="00000000" w:rsidRPr="00000000">
        <w:rPr>
          <w:rFonts w:ascii="Times New Roman" w:cs="Times New Roman" w:eastAsia="Times New Roman" w:hAnsi="Times New Roman"/>
          <w:sz w:val="24"/>
          <w:szCs w:val="24"/>
          <w:rtl w:val="0"/>
        </w:rPr>
        <w:t xml:space="preserve">is the main case that outlines the common law principle of privity of contract and the case of </w:t>
      </w:r>
      <w:r w:rsidDel="00000000" w:rsidR="00000000" w:rsidRPr="00000000">
        <w:rPr>
          <w:rFonts w:ascii="Times New Roman" w:cs="Times New Roman" w:eastAsia="Times New Roman" w:hAnsi="Times New Roman"/>
          <w:color w:val="0b5394"/>
          <w:sz w:val="24"/>
          <w:szCs w:val="24"/>
          <w:rtl w:val="0"/>
        </w:rPr>
        <w:t xml:space="preserve">Dunlop Pneumatic Tyre Co Ltd v Selfridge &amp; Co Ltd [1915]</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rPr>
          <w:rFonts w:ascii="Times New Roman" w:cs="Times New Roman" w:eastAsia="Times New Roman" w:hAnsi="Times New Roman"/>
          <w:sz w:val="24"/>
          <w:szCs w:val="24"/>
        </w:rPr>
      </w:pPr>
      <w:bookmarkStart w:colFirst="0" w:colLast="0" w:name="_6wwh984mklbw" w:id="3"/>
      <w:bookmarkEnd w:id="3"/>
      <w:r w:rsidDel="00000000" w:rsidR="00000000" w:rsidRPr="00000000">
        <w:rPr>
          <w:rFonts w:ascii="Times New Roman" w:cs="Times New Roman" w:eastAsia="Times New Roman" w:hAnsi="Times New Roman"/>
          <w:sz w:val="24"/>
          <w:szCs w:val="24"/>
          <w:rtl w:val="0"/>
        </w:rPr>
        <w:t xml:space="preserve">Moreover, There have been a few exceptions to the privity rule under the s11 married women’s Property Act 1882. The scope of third-party rights can be determined by the Contracts (Rights of Third Parties) Act 1999.</w:t>
      </w:r>
    </w:p>
    <w:p w:rsidR="00000000" w:rsidDel="00000000" w:rsidP="00000000" w:rsidRDefault="00000000" w:rsidRPr="00000000" w14:paraId="0000001C">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both"/>
        <w:rPr>
          <w:rFonts w:ascii="Times New Roman" w:cs="Times New Roman" w:eastAsia="Times New Roman" w:hAnsi="Times New Roman"/>
          <w:sz w:val="24"/>
          <w:szCs w:val="24"/>
        </w:rPr>
      </w:pPr>
      <w:bookmarkStart w:colFirst="0" w:colLast="0" w:name="_xd1c2x9hugw2" w:id="4"/>
      <w:bookmarkEnd w:id="4"/>
      <w:r w:rsidDel="00000000" w:rsidR="00000000" w:rsidRPr="00000000">
        <w:rPr>
          <w:rtl w:val="0"/>
        </w:rPr>
      </w:r>
    </w:p>
    <w:p w:rsidR="00000000" w:rsidDel="00000000" w:rsidP="00000000" w:rsidRDefault="00000000" w:rsidRPr="00000000" w14:paraId="0000001D">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both"/>
        <w:rPr>
          <w:rFonts w:ascii="Times New Roman" w:cs="Times New Roman" w:eastAsia="Times New Roman" w:hAnsi="Times New Roman"/>
          <w:sz w:val="24"/>
          <w:szCs w:val="24"/>
        </w:rPr>
      </w:pPr>
      <w:bookmarkStart w:colFirst="0" w:colLast="0" w:name="_7ohprz1lyh7z" w:id="5"/>
      <w:bookmarkEnd w:id="5"/>
      <w:r w:rsidDel="00000000" w:rsidR="00000000" w:rsidRPr="00000000">
        <w:rPr>
          <w:rtl w:val="0"/>
        </w:rPr>
      </w:r>
    </w:p>
    <w:p w:rsidR="00000000" w:rsidDel="00000000" w:rsidP="00000000" w:rsidRDefault="00000000" w:rsidRPr="00000000" w14:paraId="0000001E">
      <w:pPr>
        <w:rPr/>
      </w:pPr>
      <w:r w:rsidDel="00000000" w:rsidR="00000000" w:rsidRPr="00000000">
        <w:rPr>
          <w:rFonts w:ascii="Times New Roman" w:cs="Times New Roman" w:eastAsia="Times New Roman" w:hAnsi="Times New Roman"/>
          <w:sz w:val="24"/>
          <w:szCs w:val="24"/>
          <w:rtl w:val="0"/>
        </w:rPr>
        <w:t xml:space="preserve">Word count: 107</w:t>
      </w:r>
      <w:r w:rsidDel="00000000" w:rsidR="00000000" w:rsidRPr="00000000">
        <w:rPr>
          <w:rtl w:val="0"/>
        </w:rPr>
      </w:r>
    </w:p>
    <w:p w:rsidR="00000000" w:rsidDel="00000000" w:rsidP="00000000" w:rsidRDefault="00000000" w:rsidRPr="00000000" w14:paraId="0000001F">
      <w:pPr>
        <w:pStyle w:val="Title"/>
        <w:rPr>
          <w:b w:val="1"/>
          <w:color w:val="073763"/>
          <w:sz w:val="24"/>
          <w:szCs w:val="24"/>
        </w:rPr>
      </w:pPr>
      <w:bookmarkStart w:colFirst="0" w:colLast="0" w:name="_lvdpv8wavdtc" w:id="6"/>
      <w:bookmarkEnd w:id="6"/>
      <w:r w:rsidDel="00000000" w:rsidR="00000000" w:rsidRPr="00000000">
        <w:rPr>
          <w:rtl w:val="0"/>
        </w:rPr>
      </w:r>
    </w:p>
    <w:p w:rsidR="00000000" w:rsidDel="00000000" w:rsidP="00000000" w:rsidRDefault="00000000" w:rsidRPr="00000000" w14:paraId="00000020">
      <w:pPr>
        <w:pStyle w:val="Title"/>
        <w:rPr>
          <w:b w:val="1"/>
          <w:color w:val="073763"/>
          <w:sz w:val="24"/>
          <w:szCs w:val="24"/>
        </w:rPr>
      </w:pPr>
      <w:bookmarkStart w:colFirst="0" w:colLast="0" w:name="_xemmg16jguux" w:id="7"/>
      <w:bookmarkEnd w:id="7"/>
      <w:r w:rsidDel="00000000" w:rsidR="00000000" w:rsidRPr="00000000">
        <w:rPr>
          <w:rtl w:val="0"/>
        </w:rPr>
      </w:r>
    </w:p>
    <w:p w:rsidR="00000000" w:rsidDel="00000000" w:rsidP="00000000" w:rsidRDefault="00000000" w:rsidRPr="00000000" w14:paraId="00000021">
      <w:pPr>
        <w:pStyle w:val="Title"/>
        <w:rPr/>
      </w:pPr>
      <w:bookmarkStart w:colFirst="0" w:colLast="0" w:name="_fydi3h2dr62n" w:id="8"/>
      <w:bookmarkEnd w:id="8"/>
      <w:r w:rsidDel="00000000" w:rsidR="00000000" w:rsidRPr="00000000">
        <w:rPr>
          <w:b w:val="1"/>
          <w:color w:val="073763"/>
          <w:sz w:val="24"/>
          <w:szCs w:val="24"/>
          <w:rtl w:val="0"/>
        </w:rPr>
        <w:t xml:space="preserve">QUESTION B</w:t>
      </w:r>
      <w:r w:rsidDel="00000000" w:rsidR="00000000" w:rsidRPr="00000000">
        <w:rPr>
          <w:rtl w:val="0"/>
        </w:rPr>
      </w:r>
    </w:p>
    <w:p w:rsidR="00000000" w:rsidDel="00000000" w:rsidP="00000000" w:rsidRDefault="00000000" w:rsidRPr="00000000" w14:paraId="00000022">
      <w:pPr>
        <w:pStyle w:val="Title"/>
        <w:spacing w:line="360" w:lineRule="auto"/>
        <w:jc w:val="both"/>
        <w:rPr>
          <w:rFonts w:ascii="Times New Roman" w:cs="Times New Roman" w:eastAsia="Times New Roman" w:hAnsi="Times New Roman"/>
          <w:sz w:val="24"/>
          <w:szCs w:val="24"/>
        </w:rPr>
      </w:pPr>
      <w:bookmarkStart w:colFirst="0" w:colLast="0" w:name="_udewjadkhj2" w:id="9"/>
      <w:bookmarkEnd w:id="9"/>
      <w:r w:rsidDel="00000000" w:rsidR="00000000" w:rsidRPr="00000000">
        <w:rPr>
          <w:rFonts w:ascii="Times New Roman" w:cs="Times New Roman" w:eastAsia="Times New Roman" w:hAnsi="Times New Roman"/>
          <w:sz w:val="24"/>
          <w:szCs w:val="24"/>
          <w:rtl w:val="0"/>
        </w:rPr>
        <w:t xml:space="preserve">Consideration is an enticement supplied to engage into a contract that is adequate to make the promise enforceable in the courts. </w:t>
      </w:r>
      <w:r w:rsidDel="00000000" w:rsidR="00000000" w:rsidRPr="00000000">
        <w:rPr>
          <w:rFonts w:ascii="Times New Roman" w:cs="Times New Roman" w:eastAsia="Times New Roman" w:hAnsi="Times New Roman"/>
          <w:color w:val="073763"/>
          <w:sz w:val="24"/>
          <w:szCs w:val="24"/>
          <w:rtl w:val="0"/>
        </w:rPr>
        <w:t xml:space="preserve">Dunlop v Selfridge [1915]</w:t>
      </w:r>
      <w:r w:rsidDel="00000000" w:rsidR="00000000" w:rsidRPr="00000000">
        <w:rPr>
          <w:rFonts w:ascii="Times New Roman" w:cs="Times New Roman" w:eastAsia="Times New Roman" w:hAnsi="Times New Roman"/>
          <w:sz w:val="24"/>
          <w:szCs w:val="24"/>
          <w:rtl w:val="0"/>
        </w:rPr>
        <w:t xml:space="preserve"> clarified the concept of consideration in the context of purchase and sale. </w:t>
      </w:r>
    </w:p>
    <w:p w:rsidR="00000000" w:rsidDel="00000000" w:rsidP="00000000" w:rsidRDefault="00000000" w:rsidRPr="00000000" w14:paraId="00000023">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rPr>
          <w:rFonts w:ascii="Times New Roman" w:cs="Times New Roman" w:eastAsia="Times New Roman" w:hAnsi="Times New Roman"/>
          <w:sz w:val="24"/>
          <w:szCs w:val="24"/>
        </w:rPr>
      </w:pPr>
      <w:bookmarkStart w:colFirst="0" w:colLast="0" w:name="_ghrzqo3wx9zh" w:id="10"/>
      <w:bookmarkEnd w:id="10"/>
      <w:r w:rsidDel="00000000" w:rsidR="00000000" w:rsidRPr="00000000">
        <w:rPr>
          <w:rFonts w:ascii="Times New Roman" w:cs="Times New Roman" w:eastAsia="Times New Roman" w:hAnsi="Times New Roman"/>
          <w:sz w:val="24"/>
          <w:szCs w:val="24"/>
          <w:rtl w:val="0"/>
        </w:rPr>
        <w:t xml:space="preserve">Courts tend to say that consideration must not have been given in the past. The pivotal case is </w:t>
      </w:r>
      <w:r w:rsidDel="00000000" w:rsidR="00000000" w:rsidRPr="00000000">
        <w:rPr>
          <w:rFonts w:ascii="Times New Roman" w:cs="Times New Roman" w:eastAsia="Times New Roman" w:hAnsi="Times New Roman"/>
          <w:color w:val="073763"/>
          <w:sz w:val="24"/>
          <w:szCs w:val="24"/>
          <w:rtl w:val="0"/>
        </w:rPr>
        <w:t xml:space="preserve">Roscorla v Thomas [1842]</w:t>
      </w:r>
      <w:r w:rsidDel="00000000" w:rsidR="00000000" w:rsidRPr="00000000">
        <w:rPr>
          <w:rFonts w:ascii="Times New Roman" w:cs="Times New Roman" w:eastAsia="Times New Roman" w:hAnsi="Times New Roman"/>
          <w:sz w:val="24"/>
          <w:szCs w:val="24"/>
          <w:rtl w:val="0"/>
        </w:rPr>
        <w:t xml:space="preserve">, in which the court determined that the defendant's pledge was unenforceable since it was given after the purchase.</w:t>
      </w:r>
    </w:p>
    <w:p w:rsidR="00000000" w:rsidDel="00000000" w:rsidP="00000000" w:rsidRDefault="00000000" w:rsidRPr="00000000" w14:paraId="00000024">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rPr/>
      </w:pPr>
      <w:bookmarkStart w:colFirst="0" w:colLast="0" w:name="_p62675xy7uib" w:id="11"/>
      <w:bookmarkEnd w:id="11"/>
      <w:r w:rsidDel="00000000" w:rsidR="00000000" w:rsidRPr="00000000">
        <w:rPr>
          <w:rFonts w:ascii="Times New Roman" w:cs="Times New Roman" w:eastAsia="Times New Roman" w:hAnsi="Times New Roman"/>
          <w:sz w:val="24"/>
          <w:szCs w:val="24"/>
          <w:rtl w:val="0"/>
        </w:rPr>
        <w:t xml:space="preserve">The Court held in </w:t>
      </w:r>
      <w:r w:rsidDel="00000000" w:rsidR="00000000" w:rsidRPr="00000000">
        <w:rPr>
          <w:rFonts w:ascii="Times New Roman" w:cs="Times New Roman" w:eastAsia="Times New Roman" w:hAnsi="Times New Roman"/>
          <w:color w:val="073763"/>
          <w:sz w:val="24"/>
          <w:szCs w:val="24"/>
          <w:rtl w:val="0"/>
        </w:rPr>
        <w:t xml:space="preserve">Re McArdle [1951]</w:t>
      </w:r>
      <w:r w:rsidDel="00000000" w:rsidR="00000000" w:rsidRPr="00000000">
        <w:rPr>
          <w:rFonts w:ascii="Times New Roman" w:cs="Times New Roman" w:eastAsia="Times New Roman" w:hAnsi="Times New Roman"/>
          <w:sz w:val="24"/>
          <w:szCs w:val="24"/>
          <w:rtl w:val="0"/>
        </w:rPr>
        <w:t xml:space="preserve"> that, while the report's wording recommended that the money associated with a future job, the details of the matter stated that the promise was offered in exchange with something that had already been done; it was thus past consideration, as well as the promise was not valid and enforceable.</w:t>
      </w:r>
      <w:r w:rsidDel="00000000" w:rsidR="00000000" w:rsidRPr="00000000">
        <w:rPr>
          <w:rtl w:val="0"/>
        </w:rPr>
      </w:r>
    </w:p>
    <w:p w:rsidR="00000000" w:rsidDel="00000000" w:rsidP="00000000" w:rsidRDefault="00000000" w:rsidRPr="00000000" w14:paraId="00000025">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rPr>
          <w:rFonts w:ascii="Times New Roman" w:cs="Times New Roman" w:eastAsia="Times New Roman" w:hAnsi="Times New Roman"/>
          <w:sz w:val="24"/>
          <w:szCs w:val="24"/>
        </w:rPr>
      </w:pPr>
      <w:bookmarkStart w:colFirst="0" w:colLast="0" w:name="_b66pvv1myijd" w:id="12"/>
      <w:bookmarkEnd w:id="12"/>
      <w:r w:rsidDel="00000000" w:rsidR="00000000" w:rsidRPr="00000000">
        <w:rPr>
          <w:rFonts w:ascii="Times New Roman" w:cs="Times New Roman" w:eastAsia="Times New Roman" w:hAnsi="Times New Roman"/>
          <w:sz w:val="24"/>
          <w:szCs w:val="24"/>
          <w:rtl w:val="0"/>
        </w:rPr>
        <w:t xml:space="preserve">The rule that past consideration is not taken into account when the promisor requested the prior consideration and it was agreed that payment would be made in exchange. This exception can be traced back to the classic case of </w:t>
      </w:r>
      <w:r w:rsidDel="00000000" w:rsidR="00000000" w:rsidRPr="00000000">
        <w:rPr>
          <w:rFonts w:ascii="Times New Roman" w:cs="Times New Roman" w:eastAsia="Times New Roman" w:hAnsi="Times New Roman"/>
          <w:color w:val="073763"/>
          <w:sz w:val="24"/>
          <w:szCs w:val="24"/>
          <w:rtl w:val="0"/>
        </w:rPr>
        <w:t xml:space="preserve">Lampleigh v Brathwait [1615]</w:t>
      </w:r>
      <w:r w:rsidDel="00000000" w:rsidR="00000000" w:rsidRPr="00000000">
        <w:rPr>
          <w:rFonts w:ascii="Times New Roman" w:cs="Times New Roman" w:eastAsia="Times New Roman" w:hAnsi="Times New Roman"/>
          <w:sz w:val="24"/>
          <w:szCs w:val="24"/>
          <w:rtl w:val="0"/>
        </w:rPr>
        <w:t xml:space="preserve"> and In </w:t>
      </w:r>
      <w:r w:rsidDel="00000000" w:rsidR="00000000" w:rsidRPr="00000000">
        <w:rPr>
          <w:rFonts w:ascii="Times New Roman" w:cs="Times New Roman" w:eastAsia="Times New Roman" w:hAnsi="Times New Roman"/>
          <w:color w:val="073763"/>
          <w:sz w:val="24"/>
          <w:szCs w:val="24"/>
          <w:rtl w:val="0"/>
        </w:rPr>
        <w:t xml:space="preserve">Pao On v Lau Yiu Long [1980]</w:t>
      </w:r>
      <w:r w:rsidDel="00000000" w:rsidR="00000000" w:rsidRPr="00000000">
        <w:rPr>
          <w:rFonts w:ascii="Times New Roman" w:cs="Times New Roman" w:eastAsia="Times New Roman" w:hAnsi="Times New Roman"/>
          <w:sz w:val="24"/>
          <w:szCs w:val="24"/>
          <w:rtl w:val="0"/>
        </w:rPr>
        <w:t xml:space="preserve">, where the proposed performance exception was confirmed and reiterated. Past consideration is not good consideration since it must be delivered either during or after the establishment of the agreement.</w:t>
      </w:r>
      <w:r w:rsidDel="00000000" w:rsidR="00000000" w:rsidRPr="00000000">
        <w:rPr>
          <w:rtl w:val="0"/>
        </w:rPr>
      </w:r>
    </w:p>
    <w:p w:rsidR="00000000" w:rsidDel="00000000" w:rsidP="00000000" w:rsidRDefault="00000000" w:rsidRPr="00000000" w14:paraId="00000026">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both"/>
        <w:rPr>
          <w:rFonts w:ascii="Times New Roman" w:cs="Times New Roman" w:eastAsia="Times New Roman" w:hAnsi="Times New Roman"/>
          <w:sz w:val="24"/>
          <w:szCs w:val="24"/>
        </w:rPr>
      </w:pPr>
      <w:bookmarkStart w:colFirst="0" w:colLast="0" w:name="_xofni7s1iufc" w:id="13"/>
      <w:bookmarkEnd w:id="13"/>
      <w:r w:rsidDel="00000000" w:rsidR="00000000" w:rsidRPr="00000000">
        <w:rPr>
          <w:rtl w:val="0"/>
        </w:rPr>
      </w:r>
    </w:p>
    <w:p w:rsidR="00000000" w:rsidDel="00000000" w:rsidP="00000000" w:rsidRDefault="00000000" w:rsidRPr="00000000" w14:paraId="00000027">
      <w:pPr>
        <w:pStyle w:val="Title"/>
        <w:rPr>
          <w:b w:val="1"/>
          <w:color w:val="073763"/>
          <w:sz w:val="24"/>
          <w:szCs w:val="24"/>
        </w:rPr>
      </w:pPr>
      <w:bookmarkStart w:colFirst="0" w:colLast="0" w:name="_wkiegme42l3i" w:id="14"/>
      <w:bookmarkEnd w:id="14"/>
      <w:r w:rsidDel="00000000" w:rsidR="00000000" w:rsidRPr="00000000">
        <w:rPr>
          <w:rFonts w:ascii="Times New Roman" w:cs="Times New Roman" w:eastAsia="Times New Roman" w:hAnsi="Times New Roman"/>
          <w:sz w:val="24"/>
          <w:szCs w:val="24"/>
          <w:rtl w:val="0"/>
        </w:rPr>
        <w:t xml:space="preserve">Word count: 214</w:t>
      </w:r>
      <w:r w:rsidDel="00000000" w:rsidR="00000000" w:rsidRPr="00000000">
        <w:rPr>
          <w:rtl w:val="0"/>
        </w:rPr>
      </w:r>
    </w:p>
    <w:p w:rsidR="00000000" w:rsidDel="00000000" w:rsidP="00000000" w:rsidRDefault="00000000" w:rsidRPr="00000000" w14:paraId="00000028">
      <w:pPr>
        <w:pStyle w:val="Title"/>
        <w:rPr>
          <w:b w:val="1"/>
          <w:color w:val="073763"/>
          <w:sz w:val="24"/>
          <w:szCs w:val="24"/>
        </w:rPr>
      </w:pPr>
      <w:bookmarkStart w:colFirst="0" w:colLast="0" w:name="_jrnn9ro9dk4h" w:id="15"/>
      <w:bookmarkEnd w:id="15"/>
      <w:r w:rsidDel="00000000" w:rsidR="00000000" w:rsidRPr="00000000">
        <w:rPr>
          <w:rtl w:val="0"/>
        </w:rPr>
      </w:r>
    </w:p>
    <w:p w:rsidR="00000000" w:rsidDel="00000000" w:rsidP="00000000" w:rsidRDefault="00000000" w:rsidRPr="00000000" w14:paraId="00000029">
      <w:pPr>
        <w:pStyle w:val="Title"/>
        <w:rPr>
          <w:b w:val="1"/>
          <w:color w:val="073763"/>
          <w:sz w:val="24"/>
          <w:szCs w:val="24"/>
        </w:rPr>
      </w:pPr>
      <w:bookmarkStart w:colFirst="0" w:colLast="0" w:name="_luk4kzpan7j4" w:id="16"/>
      <w:bookmarkEnd w:id="16"/>
      <w:r w:rsidDel="00000000" w:rsidR="00000000" w:rsidRPr="00000000">
        <w:rPr>
          <w:rtl w:val="0"/>
        </w:rPr>
      </w:r>
    </w:p>
    <w:p w:rsidR="00000000" w:rsidDel="00000000" w:rsidP="00000000" w:rsidRDefault="00000000" w:rsidRPr="00000000" w14:paraId="0000002A">
      <w:pPr>
        <w:pStyle w:val="Title"/>
        <w:rPr>
          <w:b w:val="1"/>
          <w:color w:val="073763"/>
          <w:sz w:val="24"/>
          <w:szCs w:val="24"/>
        </w:rPr>
      </w:pPr>
      <w:bookmarkStart w:colFirst="0" w:colLast="0" w:name="_2b7xrpvurhuu" w:id="17"/>
      <w:bookmarkEnd w:id="17"/>
      <w:r w:rsidDel="00000000" w:rsidR="00000000" w:rsidRPr="00000000">
        <w:rPr>
          <w:rtl w:val="0"/>
        </w:rPr>
      </w:r>
    </w:p>
    <w:p w:rsidR="00000000" w:rsidDel="00000000" w:rsidP="00000000" w:rsidRDefault="00000000" w:rsidRPr="00000000" w14:paraId="0000002B">
      <w:pPr>
        <w:pStyle w:val="Title"/>
        <w:rPr>
          <w:b w:val="1"/>
          <w:color w:val="073763"/>
          <w:sz w:val="24"/>
          <w:szCs w:val="24"/>
        </w:rPr>
      </w:pPr>
      <w:bookmarkStart w:colFirst="0" w:colLast="0" w:name="_fn2f4bm990lv" w:id="18"/>
      <w:bookmarkEnd w:id="18"/>
      <w:r w:rsidDel="00000000" w:rsidR="00000000" w:rsidRPr="00000000">
        <w:rPr>
          <w:rtl w:val="0"/>
        </w:rPr>
      </w:r>
    </w:p>
    <w:p w:rsidR="00000000" w:rsidDel="00000000" w:rsidP="00000000" w:rsidRDefault="00000000" w:rsidRPr="00000000" w14:paraId="0000002C">
      <w:pPr>
        <w:pStyle w:val="Title"/>
        <w:rPr>
          <w:b w:val="1"/>
          <w:color w:val="073763"/>
          <w:sz w:val="24"/>
          <w:szCs w:val="24"/>
        </w:rPr>
      </w:pPr>
      <w:bookmarkStart w:colFirst="0" w:colLast="0" w:name="_1tqt03x460px" w:id="19"/>
      <w:bookmarkEnd w:id="19"/>
      <w:r w:rsidDel="00000000" w:rsidR="00000000" w:rsidRPr="00000000">
        <w:rPr>
          <w:rtl w:val="0"/>
        </w:rPr>
      </w:r>
    </w:p>
    <w:p w:rsidR="00000000" w:rsidDel="00000000" w:rsidP="00000000" w:rsidRDefault="00000000" w:rsidRPr="00000000" w14:paraId="0000002D">
      <w:pPr>
        <w:pStyle w:val="Title"/>
        <w:rPr>
          <w:b w:val="1"/>
          <w:color w:val="073763"/>
          <w:sz w:val="24"/>
          <w:szCs w:val="24"/>
        </w:rPr>
      </w:pPr>
      <w:bookmarkStart w:colFirst="0" w:colLast="0" w:name="_kgy03i5tu7g0" w:id="20"/>
      <w:bookmarkEnd w:id="20"/>
      <w:r w:rsidDel="00000000" w:rsidR="00000000" w:rsidRPr="00000000">
        <w:rPr>
          <w:rtl w:val="0"/>
        </w:rPr>
      </w:r>
    </w:p>
    <w:p w:rsidR="00000000" w:rsidDel="00000000" w:rsidP="00000000" w:rsidRDefault="00000000" w:rsidRPr="00000000" w14:paraId="0000002E">
      <w:pPr>
        <w:pStyle w:val="Title"/>
        <w:rPr>
          <w:b w:val="1"/>
          <w:color w:val="073763"/>
          <w:sz w:val="24"/>
          <w:szCs w:val="24"/>
        </w:rPr>
      </w:pPr>
      <w:bookmarkStart w:colFirst="0" w:colLast="0" w:name="_111fsg3287ki" w:id="21"/>
      <w:bookmarkEnd w:id="21"/>
      <w:r w:rsidDel="00000000" w:rsidR="00000000" w:rsidRPr="00000000">
        <w:rPr>
          <w:rtl w:val="0"/>
        </w:rPr>
      </w:r>
    </w:p>
    <w:p w:rsidR="00000000" w:rsidDel="00000000" w:rsidP="00000000" w:rsidRDefault="00000000" w:rsidRPr="00000000" w14:paraId="0000002F">
      <w:pPr>
        <w:pStyle w:val="Title"/>
        <w:rPr>
          <w:b w:val="1"/>
          <w:color w:val="073763"/>
          <w:sz w:val="24"/>
          <w:szCs w:val="24"/>
        </w:rPr>
      </w:pPr>
      <w:bookmarkStart w:colFirst="0" w:colLast="0" w:name="_yzffc3uckz16" w:id="22"/>
      <w:bookmarkEnd w:id="22"/>
      <w:r w:rsidDel="00000000" w:rsidR="00000000" w:rsidRPr="00000000">
        <w:rPr>
          <w:rtl w:val="0"/>
        </w:rPr>
      </w:r>
    </w:p>
    <w:p w:rsidR="00000000" w:rsidDel="00000000" w:rsidP="00000000" w:rsidRDefault="00000000" w:rsidRPr="00000000" w14:paraId="00000030">
      <w:pPr>
        <w:pStyle w:val="Title"/>
        <w:rPr>
          <w:b w:val="1"/>
          <w:color w:val="073763"/>
          <w:sz w:val="24"/>
          <w:szCs w:val="24"/>
        </w:rPr>
      </w:pPr>
      <w:bookmarkStart w:colFirst="0" w:colLast="0" w:name="_pdge8uz1tvqy" w:id="23"/>
      <w:bookmarkEnd w:id="23"/>
      <w:r w:rsidDel="00000000" w:rsidR="00000000" w:rsidRPr="00000000">
        <w:rPr>
          <w:rtl w:val="0"/>
        </w:rPr>
      </w:r>
    </w:p>
    <w:p w:rsidR="00000000" w:rsidDel="00000000" w:rsidP="00000000" w:rsidRDefault="00000000" w:rsidRPr="00000000" w14:paraId="00000031">
      <w:pPr>
        <w:pStyle w:val="Title"/>
        <w:rPr>
          <w:b w:val="1"/>
          <w:color w:val="073763"/>
          <w:sz w:val="24"/>
          <w:szCs w:val="24"/>
        </w:rPr>
      </w:pPr>
      <w:bookmarkStart w:colFirst="0" w:colLast="0" w:name="_h5b64fej6dmt" w:id="24"/>
      <w:bookmarkEnd w:id="24"/>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Style w:val="Title"/>
        <w:rPr>
          <w:b w:val="1"/>
          <w:color w:val="073763"/>
          <w:sz w:val="24"/>
          <w:szCs w:val="24"/>
        </w:rPr>
      </w:pPr>
      <w:bookmarkStart w:colFirst="0" w:colLast="0" w:name="_blwfind7rf0v" w:id="25"/>
      <w:bookmarkEnd w:id="25"/>
      <w:r w:rsidDel="00000000" w:rsidR="00000000" w:rsidRPr="00000000">
        <w:rPr>
          <w:rtl w:val="0"/>
        </w:rPr>
      </w:r>
    </w:p>
    <w:p w:rsidR="00000000" w:rsidDel="00000000" w:rsidP="00000000" w:rsidRDefault="00000000" w:rsidRPr="00000000" w14:paraId="00000034">
      <w:pPr>
        <w:pStyle w:val="Title"/>
        <w:rPr>
          <w:b w:val="1"/>
          <w:color w:val="073763"/>
          <w:sz w:val="24"/>
          <w:szCs w:val="24"/>
        </w:rPr>
      </w:pPr>
      <w:bookmarkStart w:colFirst="0" w:colLast="0" w:name="_xhwltf7vtt5s" w:id="26"/>
      <w:bookmarkEnd w:id="26"/>
      <w:r w:rsidDel="00000000" w:rsidR="00000000" w:rsidRPr="00000000">
        <w:rPr>
          <w:b w:val="1"/>
          <w:color w:val="073763"/>
          <w:sz w:val="24"/>
          <w:szCs w:val="24"/>
          <w:rtl w:val="0"/>
        </w:rPr>
        <w:t xml:space="preserve">QUESTION C</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case of </w:t>
      </w:r>
      <w:r w:rsidDel="00000000" w:rsidR="00000000" w:rsidRPr="00000000">
        <w:rPr>
          <w:rFonts w:ascii="Times New Roman" w:cs="Times New Roman" w:eastAsia="Times New Roman" w:hAnsi="Times New Roman"/>
          <w:color w:val="0b5394"/>
          <w:sz w:val="24"/>
          <w:szCs w:val="24"/>
          <w:rtl w:val="0"/>
        </w:rPr>
        <w:t xml:space="preserve">Cutter v Powell [1795]</w:t>
      </w:r>
      <w:r w:rsidDel="00000000" w:rsidR="00000000" w:rsidRPr="00000000">
        <w:rPr>
          <w:rFonts w:ascii="Times New Roman" w:cs="Times New Roman" w:eastAsia="Times New Roman" w:hAnsi="Times New Roman"/>
          <w:sz w:val="24"/>
          <w:szCs w:val="24"/>
          <w:rtl w:val="0"/>
        </w:rPr>
        <w:t xml:space="preserve">  shows, the entire performance criteria has the potential to inflict injustice. The general rule would be that performance should perfectly fit the contract's specifications, which is referred to as complete performance. Mr Cutter was a sailor who died while he was hired for a trip and given a promissory note from his company that he'd be paid ten days after the ship arrived in Liverpool. The question arose as to whether the sailor was liable to pay in instalments for his considerable performance of the contract as stipulated in the contract.</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color w:val="073763"/>
          <w:sz w:val="24"/>
          <w:szCs w:val="24"/>
        </w:rPr>
      </w:pPr>
      <w:r w:rsidDel="00000000" w:rsidR="00000000" w:rsidRPr="00000000">
        <w:rPr>
          <w:rFonts w:ascii="Times New Roman" w:cs="Times New Roman" w:eastAsia="Times New Roman" w:hAnsi="Times New Roman"/>
          <w:sz w:val="24"/>
          <w:szCs w:val="24"/>
          <w:rtl w:val="0"/>
        </w:rPr>
        <w:t xml:space="preserve">The first exception is </w:t>
      </w:r>
      <w:r w:rsidDel="00000000" w:rsidR="00000000" w:rsidRPr="00000000">
        <w:rPr>
          <w:rFonts w:ascii="Times New Roman" w:cs="Times New Roman" w:eastAsia="Times New Roman" w:hAnsi="Times New Roman"/>
          <w:color w:val="073763"/>
          <w:sz w:val="24"/>
          <w:szCs w:val="24"/>
          <w:rtl w:val="0"/>
        </w:rPr>
        <w:t xml:space="preserve">Boone v Eyre [1779]</w:t>
      </w:r>
      <w:r w:rsidDel="00000000" w:rsidR="00000000" w:rsidRPr="00000000">
        <w:rPr>
          <w:rFonts w:ascii="Times New Roman" w:cs="Times New Roman" w:eastAsia="Times New Roman" w:hAnsi="Times New Roman"/>
          <w:sz w:val="24"/>
          <w:szCs w:val="24"/>
          <w:rtl w:val="0"/>
        </w:rPr>
        <w:t xml:space="preserve">, which established the law of </w:t>
      </w:r>
      <w:r w:rsidDel="00000000" w:rsidR="00000000" w:rsidRPr="00000000">
        <w:rPr>
          <w:rFonts w:ascii="Times New Roman" w:cs="Times New Roman" w:eastAsia="Times New Roman" w:hAnsi="Times New Roman"/>
          <w:b w:val="1"/>
          <w:sz w:val="24"/>
          <w:szCs w:val="24"/>
          <w:rtl w:val="0"/>
        </w:rPr>
        <w:t xml:space="preserve">Substantial performance</w:t>
      </w:r>
      <w:r w:rsidDel="00000000" w:rsidR="00000000" w:rsidRPr="00000000">
        <w:rPr>
          <w:rFonts w:ascii="Times New Roman" w:cs="Times New Roman" w:eastAsia="Times New Roman" w:hAnsi="Times New Roman"/>
          <w:sz w:val="24"/>
          <w:szCs w:val="24"/>
          <w:rtl w:val="0"/>
        </w:rPr>
        <w:t xml:space="preserve">, which permits a party that has performed with only minor deficiencies to claim the price of the job done, less whatever money the other party will have to spend to correct the defects. By analyzing two situations, significant performance can be understood. In the cases of </w:t>
      </w:r>
      <w:r w:rsidDel="00000000" w:rsidR="00000000" w:rsidRPr="00000000">
        <w:rPr>
          <w:rFonts w:ascii="Times New Roman" w:cs="Times New Roman" w:eastAsia="Times New Roman" w:hAnsi="Times New Roman"/>
          <w:color w:val="073763"/>
          <w:sz w:val="24"/>
          <w:szCs w:val="24"/>
          <w:rtl w:val="0"/>
        </w:rPr>
        <w:t xml:space="preserve">Hoenig v Isaacs [1952]</w:t>
      </w:r>
      <w:r w:rsidDel="00000000" w:rsidR="00000000" w:rsidRPr="00000000">
        <w:rPr>
          <w:rFonts w:ascii="Times New Roman" w:cs="Times New Roman" w:eastAsia="Times New Roman" w:hAnsi="Times New Roman"/>
          <w:sz w:val="24"/>
          <w:szCs w:val="24"/>
          <w:rtl w:val="0"/>
        </w:rPr>
        <w:t xml:space="preserve"> and</w:t>
      </w:r>
      <w:r w:rsidDel="00000000" w:rsidR="00000000" w:rsidRPr="00000000">
        <w:rPr>
          <w:rFonts w:ascii="Times New Roman" w:cs="Times New Roman" w:eastAsia="Times New Roman" w:hAnsi="Times New Roman"/>
          <w:color w:val="0b5394"/>
          <w:sz w:val="24"/>
          <w:szCs w:val="24"/>
          <w:rtl w:val="0"/>
        </w:rPr>
        <w:t xml:space="preserve"> </w:t>
      </w:r>
      <w:r w:rsidDel="00000000" w:rsidR="00000000" w:rsidRPr="00000000">
        <w:rPr>
          <w:rFonts w:ascii="Times New Roman" w:cs="Times New Roman" w:eastAsia="Times New Roman" w:hAnsi="Times New Roman"/>
          <w:color w:val="073763"/>
          <w:sz w:val="24"/>
          <w:szCs w:val="24"/>
          <w:rtl w:val="0"/>
        </w:rPr>
        <w:t xml:space="preserve">Bolton v Mahadeva [1972]. </w:t>
      </w:r>
    </w:p>
    <w:p w:rsidR="00000000" w:rsidDel="00000000" w:rsidP="00000000" w:rsidRDefault="00000000" w:rsidRPr="00000000" w14:paraId="00000038">
      <w:pPr>
        <w:spacing w:line="360" w:lineRule="auto"/>
        <w:jc w:val="both"/>
        <w:rPr>
          <w:rFonts w:ascii="Times New Roman" w:cs="Times New Roman" w:eastAsia="Times New Roman" w:hAnsi="Times New Roman"/>
          <w:color w:val="073763"/>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exception is </w:t>
      </w:r>
      <w:r w:rsidDel="00000000" w:rsidR="00000000" w:rsidRPr="00000000">
        <w:rPr>
          <w:rFonts w:ascii="Times New Roman" w:cs="Times New Roman" w:eastAsia="Times New Roman" w:hAnsi="Times New Roman"/>
          <w:b w:val="1"/>
          <w:sz w:val="24"/>
          <w:szCs w:val="24"/>
          <w:rtl w:val="0"/>
        </w:rPr>
        <w:t xml:space="preserve">Severable contracts</w:t>
      </w:r>
      <w:r w:rsidDel="00000000" w:rsidR="00000000" w:rsidRPr="00000000">
        <w:rPr>
          <w:rFonts w:ascii="Times New Roman" w:cs="Times New Roman" w:eastAsia="Times New Roman" w:hAnsi="Times New Roman"/>
          <w:sz w:val="24"/>
          <w:szCs w:val="24"/>
          <w:rtl w:val="0"/>
        </w:rPr>
        <w:t xml:space="preserve"> which are also known as Divisible contracts, which is defined as contracts that need payment at various stages of performance rather than in one single payment when the job is completed. For instance, is the case of </w:t>
      </w:r>
      <w:r w:rsidDel="00000000" w:rsidR="00000000" w:rsidRPr="00000000">
        <w:rPr>
          <w:rFonts w:ascii="Times New Roman" w:cs="Times New Roman" w:eastAsia="Times New Roman" w:hAnsi="Times New Roman"/>
          <w:color w:val="073763"/>
          <w:sz w:val="24"/>
          <w:szCs w:val="24"/>
          <w:rtl w:val="0"/>
        </w:rPr>
        <w:t xml:space="preserve">Ritchie v Atkinson [1808]</w:t>
      </w:r>
      <w:r w:rsidDel="00000000" w:rsidR="00000000" w:rsidRPr="00000000">
        <w:rPr>
          <w:rFonts w:ascii="Times New Roman" w:cs="Times New Roman" w:eastAsia="Times New Roman" w:hAnsi="Times New Roman"/>
          <w:sz w:val="24"/>
          <w:szCs w:val="24"/>
          <w:rtl w:val="0"/>
        </w:rPr>
        <w:t xml:space="preserve">. In the case of </w:t>
      </w:r>
      <w:r w:rsidDel="00000000" w:rsidR="00000000" w:rsidRPr="00000000">
        <w:rPr>
          <w:rFonts w:ascii="Times New Roman" w:cs="Times New Roman" w:eastAsia="Times New Roman" w:hAnsi="Times New Roman"/>
          <w:color w:val="073763"/>
          <w:sz w:val="24"/>
          <w:szCs w:val="24"/>
          <w:rtl w:val="0"/>
        </w:rPr>
        <w:t xml:space="preserve">Lowy v. United Pacific Insurance Co. [1967]</w:t>
      </w:r>
      <w:r w:rsidDel="00000000" w:rsidR="00000000" w:rsidRPr="00000000">
        <w:rPr>
          <w:rFonts w:ascii="Times New Roman" w:cs="Times New Roman" w:eastAsia="Times New Roman" w:hAnsi="Times New Roman"/>
          <w:sz w:val="24"/>
          <w:szCs w:val="24"/>
          <w:rtl w:val="0"/>
        </w:rPr>
        <w:t xml:space="preserve">, for instance, the Judge determined that the contract is divisible so the contractor's failure to execute the road improvement job did not bar his claim.</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third and final exception is the </w:t>
      </w:r>
      <w:r w:rsidDel="00000000" w:rsidR="00000000" w:rsidRPr="00000000">
        <w:rPr>
          <w:rFonts w:ascii="Times New Roman" w:cs="Times New Roman" w:eastAsia="Times New Roman" w:hAnsi="Times New Roman"/>
          <w:b w:val="1"/>
          <w:sz w:val="24"/>
          <w:szCs w:val="24"/>
          <w:rtl w:val="0"/>
        </w:rPr>
        <w:t xml:space="preserve">Breach of time-related provisions</w:t>
      </w:r>
      <w:r w:rsidDel="00000000" w:rsidR="00000000" w:rsidRPr="00000000">
        <w:rPr>
          <w:rFonts w:ascii="Times New Roman" w:cs="Times New Roman" w:eastAsia="Times New Roman" w:hAnsi="Times New Roman"/>
          <w:sz w:val="24"/>
          <w:szCs w:val="24"/>
          <w:rtl w:val="0"/>
        </w:rPr>
        <w:t xml:space="preserve"> is one of the most common ways for a contract to be designated as one in which time is of the essence. In the cases of </w:t>
      </w:r>
      <w:r w:rsidDel="00000000" w:rsidR="00000000" w:rsidRPr="00000000">
        <w:rPr>
          <w:rFonts w:ascii="Times New Roman" w:cs="Times New Roman" w:eastAsia="Times New Roman" w:hAnsi="Times New Roman"/>
          <w:color w:val="073763"/>
          <w:sz w:val="24"/>
          <w:szCs w:val="24"/>
          <w:rtl w:val="0"/>
        </w:rPr>
        <w:t xml:space="preserve">Charles Rickards Ltd v Oppenheimer [1950]</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color w:val="073763"/>
          <w:sz w:val="24"/>
          <w:szCs w:val="24"/>
          <w:rtl w:val="0"/>
        </w:rPr>
        <w:t xml:space="preserve">United Scientific Holdings Ltd v Burnley Borough Council [1978]</w:t>
      </w:r>
      <w:r w:rsidDel="00000000" w:rsidR="00000000" w:rsidRPr="00000000">
        <w:rPr>
          <w:rFonts w:ascii="Times New Roman" w:cs="Times New Roman" w:eastAsia="Times New Roman" w:hAnsi="Times New Roman"/>
          <w:sz w:val="24"/>
          <w:szCs w:val="24"/>
          <w:rtl w:val="0"/>
        </w:rPr>
        <w:t xml:space="preserve">, this was the situation. </w:t>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Fonts w:ascii="Times New Roman" w:cs="Times New Roman" w:eastAsia="Times New Roman" w:hAnsi="Times New Roman"/>
          <w:sz w:val="24"/>
          <w:szCs w:val="24"/>
          <w:rtl w:val="0"/>
        </w:rPr>
        <w:t xml:space="preserve">Word count: 309</w:t>
      </w:r>
      <w:r w:rsidDel="00000000" w:rsidR="00000000" w:rsidRPr="00000000">
        <w:rPr>
          <w:rtl w:val="0"/>
        </w:rPr>
      </w:r>
    </w:p>
    <w:p w:rsidR="00000000" w:rsidDel="00000000" w:rsidP="00000000" w:rsidRDefault="00000000" w:rsidRPr="00000000" w14:paraId="0000003E">
      <w:pPr>
        <w:pStyle w:val="Title"/>
        <w:rPr>
          <w:b w:val="1"/>
          <w:color w:val="073763"/>
          <w:sz w:val="24"/>
          <w:szCs w:val="24"/>
        </w:rPr>
      </w:pPr>
      <w:bookmarkStart w:colFirst="0" w:colLast="0" w:name="_djs1hab4g566" w:id="27"/>
      <w:bookmarkEnd w:id="27"/>
      <w:r w:rsidDel="00000000" w:rsidR="00000000" w:rsidRPr="00000000">
        <w:rPr>
          <w:rtl w:val="0"/>
        </w:rPr>
      </w:r>
    </w:p>
    <w:p w:rsidR="00000000" w:rsidDel="00000000" w:rsidP="00000000" w:rsidRDefault="00000000" w:rsidRPr="00000000" w14:paraId="0000003F">
      <w:pPr>
        <w:pStyle w:val="Title"/>
        <w:rPr>
          <w:b w:val="1"/>
          <w:color w:val="073763"/>
          <w:sz w:val="24"/>
          <w:szCs w:val="24"/>
        </w:rPr>
      </w:pPr>
      <w:bookmarkStart w:colFirst="0" w:colLast="0" w:name="_560nxyl45yqa" w:id="28"/>
      <w:bookmarkEnd w:id="28"/>
      <w:r w:rsidDel="00000000" w:rsidR="00000000" w:rsidRPr="00000000">
        <w:rPr>
          <w:b w:val="1"/>
          <w:color w:val="073763"/>
          <w:sz w:val="24"/>
          <w:szCs w:val="24"/>
          <w:rtl w:val="0"/>
        </w:rPr>
        <w:t xml:space="preserve"> </w:t>
      </w:r>
    </w:p>
    <w:p w:rsidR="00000000" w:rsidDel="00000000" w:rsidP="00000000" w:rsidRDefault="00000000" w:rsidRPr="00000000" w14:paraId="00000040">
      <w:pPr>
        <w:pStyle w:val="Title"/>
        <w:rPr>
          <w:b w:val="1"/>
          <w:color w:val="073763"/>
          <w:sz w:val="24"/>
          <w:szCs w:val="24"/>
        </w:rPr>
      </w:pPr>
      <w:bookmarkStart w:colFirst="0" w:colLast="0" w:name="_n3nn9s2fbexe" w:id="29"/>
      <w:bookmarkEnd w:id="29"/>
      <w:r w:rsidDel="00000000" w:rsidR="00000000" w:rsidRPr="00000000">
        <w:rPr>
          <w:b w:val="1"/>
          <w:color w:val="073763"/>
          <w:sz w:val="24"/>
          <w:szCs w:val="24"/>
          <w:rtl w:val="0"/>
        </w:rPr>
        <w:t xml:space="preserve">QUESTION D</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offer is a declaration of a desire to enter into a contract on specified terms, made to become legally binding once accepted by the person to whom it is addressed. While offer and acceptance could be a useful tool for determining when an agreement should become enforceable, the courts' primary concern is whether the sides have reached an agreement, and there are a few situations when the rules on offer and acceptance are ineffective. Such as the case of </w:t>
      </w:r>
      <w:r w:rsidDel="00000000" w:rsidR="00000000" w:rsidRPr="00000000">
        <w:rPr>
          <w:rFonts w:ascii="Times New Roman" w:cs="Times New Roman" w:eastAsia="Times New Roman" w:hAnsi="Times New Roman"/>
          <w:color w:val="073763"/>
          <w:sz w:val="24"/>
          <w:szCs w:val="24"/>
          <w:rtl w:val="0"/>
        </w:rPr>
        <w:t xml:space="preserve">Clarke v Dunraven [1897]</w:t>
      </w:r>
      <w:r w:rsidDel="00000000" w:rsidR="00000000" w:rsidRPr="00000000">
        <w:rPr>
          <w:rFonts w:ascii="Times New Roman" w:cs="Times New Roman" w:eastAsia="Times New Roman" w:hAnsi="Times New Roman"/>
          <w:sz w:val="24"/>
          <w:szCs w:val="24"/>
          <w:rtl w:val="0"/>
        </w:rPr>
        <w:t xml:space="preserve"> is an example of this type of issue, where the court had no question that the parties to the lawsuit had a contractual relationship.</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of Author’s posting an advert in the magazine is not considered as an offer but is considered an invitation to treat. According to Elliott and Quinn (2007), an invitation to treat is a preliminary stage in some negotiations that occurs when one party invites another to offer an offer. This is the case of the Author’s advert based on the court counslusion case of  </w:t>
      </w:r>
      <w:r w:rsidDel="00000000" w:rsidR="00000000" w:rsidRPr="00000000">
        <w:rPr>
          <w:rFonts w:ascii="Times New Roman" w:cs="Times New Roman" w:eastAsia="Times New Roman" w:hAnsi="Times New Roman"/>
          <w:color w:val="073763"/>
          <w:sz w:val="24"/>
          <w:szCs w:val="24"/>
          <w:rtl w:val="0"/>
        </w:rPr>
        <w:t xml:space="preserve">Gibson v Manchester City Council [1979]</w:t>
      </w:r>
      <w:r w:rsidDel="00000000" w:rsidR="00000000" w:rsidRPr="00000000">
        <w:rPr>
          <w:rFonts w:ascii="Times New Roman" w:cs="Times New Roman" w:eastAsia="Times New Roman" w:hAnsi="Times New Roman"/>
          <w:sz w:val="24"/>
          <w:szCs w:val="24"/>
          <w:rtl w:val="0"/>
        </w:rPr>
        <w:t xml:space="preserve"> where there was no valid agreement, the defendant was not legally obligated to sell the property, and the invitation to treat was not considered as an offer.</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case of Author, the advertisement is considered an Advertisement for a bilateral contract.  Bilateral contract advertisements are not always considered offers because such promotions frequently lead to advance bartering, and because the sponsor may honestly wish, after recently becoming bound, to ensure that the other party is capable of performing his portion of any contract that may result. Like the case of </w:t>
      </w:r>
      <w:r w:rsidDel="00000000" w:rsidR="00000000" w:rsidRPr="00000000">
        <w:rPr>
          <w:rFonts w:ascii="Times New Roman" w:cs="Times New Roman" w:eastAsia="Times New Roman" w:hAnsi="Times New Roman"/>
          <w:color w:val="073763"/>
          <w:sz w:val="24"/>
          <w:szCs w:val="24"/>
          <w:rtl w:val="0"/>
        </w:rPr>
        <w:t xml:space="preserve">Partridge v Crittenden [1968]</w:t>
      </w:r>
      <w:r w:rsidDel="00000000" w:rsidR="00000000" w:rsidRPr="00000000">
        <w:rPr>
          <w:rFonts w:ascii="Times New Roman" w:cs="Times New Roman" w:eastAsia="Times New Roman" w:hAnsi="Times New Roman"/>
          <w:sz w:val="24"/>
          <w:szCs w:val="24"/>
          <w:rtl w:val="0"/>
        </w:rPr>
        <w:t xml:space="preserve"> wherein general advertising will be viewed as an ITT rather than a contractual obligation.</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regards to </w:t>
      </w:r>
      <w:r w:rsidDel="00000000" w:rsidR="00000000" w:rsidRPr="00000000">
        <w:rPr>
          <w:rFonts w:ascii="Times New Roman" w:cs="Times New Roman" w:eastAsia="Times New Roman" w:hAnsi="Times New Roman"/>
          <w:b w:val="1"/>
          <w:sz w:val="24"/>
          <w:szCs w:val="24"/>
          <w:rtl w:val="0"/>
        </w:rPr>
        <w:t xml:space="preserve">Ben</w:t>
      </w:r>
      <w:r w:rsidDel="00000000" w:rsidR="00000000" w:rsidRPr="00000000">
        <w:rPr>
          <w:rFonts w:ascii="Times New Roman" w:cs="Times New Roman" w:eastAsia="Times New Roman" w:hAnsi="Times New Roman"/>
          <w:sz w:val="24"/>
          <w:szCs w:val="24"/>
          <w:rtl w:val="0"/>
        </w:rPr>
        <w:t xml:space="preserve">, when Ben sent a letter offering Author 15,000 for the watch by post. This made us to consider the postal rule. According to the postal rule, an offer made by mail or letter is not valid until the offeree receives it. Therefore Ben’s offer was not valid until the 7th of May. Such as the case of </w:t>
      </w:r>
      <w:r w:rsidDel="00000000" w:rsidR="00000000" w:rsidRPr="00000000">
        <w:rPr>
          <w:rFonts w:ascii="Times New Roman" w:cs="Times New Roman" w:eastAsia="Times New Roman" w:hAnsi="Times New Roman"/>
          <w:color w:val="073763"/>
          <w:sz w:val="24"/>
          <w:szCs w:val="24"/>
          <w:rtl w:val="0"/>
        </w:rPr>
        <w:t xml:space="preserve">Taylor v Laird [1856]</w:t>
      </w:r>
      <w:r w:rsidDel="00000000" w:rsidR="00000000" w:rsidRPr="00000000">
        <w:rPr>
          <w:rFonts w:ascii="Times New Roman" w:cs="Times New Roman" w:eastAsia="Times New Roman" w:hAnsi="Times New Roman"/>
          <w:sz w:val="24"/>
          <w:szCs w:val="24"/>
          <w:rtl w:val="0"/>
        </w:rPr>
        <w:t xml:space="preserve"> where the litigant had not received any communication or offer of work from the claimant in this capacity, and hence there was no basis for a contract. The court reasoned that it would be improper to bind a party to an offer that he was not notified of.</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an acceptance is communicated to the offeror, it usually takes effect. According to the case </w:t>
      </w:r>
      <w:r w:rsidDel="00000000" w:rsidR="00000000" w:rsidRPr="00000000">
        <w:rPr>
          <w:rFonts w:ascii="Times New Roman" w:cs="Times New Roman" w:eastAsia="Times New Roman" w:hAnsi="Times New Roman"/>
          <w:color w:val="073763"/>
          <w:sz w:val="24"/>
          <w:szCs w:val="24"/>
          <w:rtl w:val="0"/>
        </w:rPr>
        <w:t xml:space="preserve">Entores Ltd v Miles Far East Corporation [1955]</w:t>
      </w:r>
      <w:r w:rsidDel="00000000" w:rsidR="00000000" w:rsidRPr="00000000">
        <w:rPr>
          <w:rFonts w:ascii="Times New Roman" w:cs="Times New Roman" w:eastAsia="Times New Roman" w:hAnsi="Times New Roman"/>
          <w:sz w:val="24"/>
          <w:szCs w:val="24"/>
          <w:rtl w:val="0"/>
        </w:rPr>
        <w:t xml:space="preserve">. The main rationale for this regulation is that if it were not in place, people could be bound by a contract without even knowing that their proposals had been accepted, which could cause problems in a variety of situations. </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acceptance was not communicated from Author to Ben therefore no contract comes into existence between them which is explained in the case law from the case of </w:t>
      </w:r>
      <w:r w:rsidDel="00000000" w:rsidR="00000000" w:rsidRPr="00000000">
        <w:rPr>
          <w:rFonts w:ascii="Times New Roman" w:cs="Times New Roman" w:eastAsia="Times New Roman" w:hAnsi="Times New Roman"/>
          <w:color w:val="073763"/>
          <w:sz w:val="24"/>
          <w:szCs w:val="24"/>
          <w:rtl w:val="0"/>
        </w:rPr>
        <w:t xml:space="preserve">Felthouse v Bindley [1862]</w:t>
      </w:r>
      <w:r w:rsidDel="00000000" w:rsidR="00000000" w:rsidRPr="00000000">
        <w:rPr>
          <w:rFonts w:ascii="Times New Roman" w:cs="Times New Roman" w:eastAsia="Times New Roman" w:hAnsi="Times New Roman"/>
          <w:sz w:val="24"/>
          <w:szCs w:val="24"/>
          <w:rtl w:val="0"/>
        </w:rPr>
        <w:t xml:space="preserve"> where the court decision that there was no contract between the two because silence does not amount to acceptance in contact law. </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hand, with </w:t>
      </w:r>
      <w:r w:rsidDel="00000000" w:rsidR="00000000" w:rsidRPr="00000000">
        <w:rPr>
          <w:rFonts w:ascii="Times New Roman" w:cs="Times New Roman" w:eastAsia="Times New Roman" w:hAnsi="Times New Roman"/>
          <w:b w:val="1"/>
          <w:sz w:val="24"/>
          <w:szCs w:val="24"/>
          <w:rtl w:val="0"/>
        </w:rPr>
        <w:t xml:space="preserve">Christine</w:t>
      </w:r>
      <w:r w:rsidDel="00000000" w:rsidR="00000000" w:rsidRPr="00000000">
        <w:rPr>
          <w:rFonts w:ascii="Times New Roman" w:cs="Times New Roman" w:eastAsia="Times New Roman" w:hAnsi="Times New Roman"/>
          <w:sz w:val="24"/>
          <w:szCs w:val="24"/>
          <w:rtl w:val="0"/>
        </w:rPr>
        <w:t xml:space="preserve">. In the beginning, Christine made an offer to Author for 11,000 which was then followed by a counter-offer from Author at 13,000. </w:t>
      </w:r>
      <w:r w:rsidDel="00000000" w:rsidR="00000000" w:rsidRPr="00000000">
        <w:rPr>
          <w:rFonts w:ascii="Times New Roman" w:cs="Times New Roman" w:eastAsia="Times New Roman" w:hAnsi="Times New Roman"/>
          <w:color w:val="073763"/>
          <w:sz w:val="24"/>
          <w:szCs w:val="24"/>
          <w:rtl w:val="0"/>
        </w:rPr>
        <w:t xml:space="preserve">Wrench v. Hyde [1840]</w:t>
      </w:r>
      <w:r w:rsidDel="00000000" w:rsidR="00000000" w:rsidRPr="00000000">
        <w:rPr>
          <w:rFonts w:ascii="Times New Roman" w:cs="Times New Roman" w:eastAsia="Times New Roman" w:hAnsi="Times New Roman"/>
          <w:sz w:val="24"/>
          <w:szCs w:val="24"/>
          <w:rtl w:val="0"/>
        </w:rPr>
        <w:t xml:space="preserve"> is a landmark law case that encompassed counter-offers. This explains that a counter-offer works as a refusal of the original offer and a formation of the new offer that materially changes the terms of the original offer. Therefore Christine’s offer was refused an a new offer is formed making Authur the offeror. </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Cristine’s response to Arthur is considered a request for further information to his offer when she asked if she could divide payments into two. In the case of their new joint offer, like the case of  </w:t>
      </w:r>
      <w:r w:rsidDel="00000000" w:rsidR="00000000" w:rsidRPr="00000000">
        <w:rPr>
          <w:rFonts w:ascii="Times New Roman" w:cs="Times New Roman" w:eastAsia="Times New Roman" w:hAnsi="Times New Roman"/>
          <w:color w:val="073763"/>
          <w:sz w:val="24"/>
          <w:szCs w:val="24"/>
          <w:rtl w:val="0"/>
        </w:rPr>
        <w:t xml:space="preserve">Stevenson Jaques &amp; Co v McLean [1880]</w:t>
      </w:r>
      <w:r w:rsidDel="00000000" w:rsidR="00000000" w:rsidRPr="00000000">
        <w:rPr>
          <w:rFonts w:ascii="Times New Roman" w:cs="Times New Roman" w:eastAsia="Times New Roman" w:hAnsi="Times New Roman"/>
          <w:sz w:val="24"/>
          <w:szCs w:val="24"/>
          <w:rtl w:val="0"/>
        </w:rPr>
        <w:t xml:space="preserve">, a request for information about an offer does not constitute a counter-offer, so the original offer remains open. And the case of  </w:t>
      </w:r>
      <w:r w:rsidDel="00000000" w:rsidR="00000000" w:rsidRPr="00000000">
        <w:rPr>
          <w:rFonts w:ascii="Times New Roman" w:cs="Times New Roman" w:eastAsia="Times New Roman" w:hAnsi="Times New Roman"/>
          <w:color w:val="073763"/>
          <w:sz w:val="24"/>
          <w:szCs w:val="24"/>
          <w:rtl w:val="0"/>
        </w:rPr>
        <w:t xml:space="preserve">Hyde v Wrench [1840] </w:t>
      </w:r>
      <w:r w:rsidDel="00000000" w:rsidR="00000000" w:rsidRPr="00000000">
        <w:rPr>
          <w:rFonts w:ascii="Times New Roman" w:cs="Times New Roman" w:eastAsia="Times New Roman" w:hAnsi="Times New Roman"/>
          <w:sz w:val="24"/>
          <w:szCs w:val="24"/>
          <w:rtl w:val="0"/>
        </w:rPr>
        <w:t xml:space="preserve"> which also explains that the request for more information is not a counter offer. Therefore at this point Authur’s offer to Cristine is still open. </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when she emailed him her acceptance of his offer then an agreement was made between them as the equation is formed (Offer + Acceptance = Agreement). Because the postal rule simply states that when a party communicates their acceptance of an offer through the mail, their acceptance takes effect as soon as the letter is mailed. The case of </w:t>
      </w:r>
      <w:r w:rsidDel="00000000" w:rsidR="00000000" w:rsidRPr="00000000">
        <w:rPr>
          <w:rFonts w:ascii="Times New Roman" w:cs="Times New Roman" w:eastAsia="Times New Roman" w:hAnsi="Times New Roman"/>
          <w:color w:val="073763"/>
          <w:sz w:val="24"/>
          <w:szCs w:val="24"/>
          <w:rtl w:val="0"/>
        </w:rPr>
        <w:t xml:space="preserve">Adams v Lindsell [1818] </w:t>
      </w:r>
      <w:r w:rsidDel="00000000" w:rsidR="00000000" w:rsidRPr="00000000">
        <w:rPr>
          <w:rFonts w:ascii="Times New Roman" w:cs="Times New Roman" w:eastAsia="Times New Roman" w:hAnsi="Times New Roman"/>
          <w:sz w:val="24"/>
          <w:szCs w:val="24"/>
          <w:rtl w:val="0"/>
        </w:rPr>
        <w:t xml:space="preserve">established The postal rule by it which states that if the parties have agreed to communicate via post, and the letter of acceptance is properly addressed. When the letter is mailed, the acceptance becomes effective. To conclude a contract agreement was made between Author and Christine at 2 PM on the 6th of May. </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w:t>
      </w:r>
      <w:r w:rsidDel="00000000" w:rsidR="00000000" w:rsidRPr="00000000">
        <w:rPr>
          <w:rFonts w:ascii="Times New Roman" w:cs="Times New Roman" w:eastAsia="Times New Roman" w:hAnsi="Times New Roman"/>
          <w:b w:val="1"/>
          <w:sz w:val="24"/>
          <w:szCs w:val="24"/>
          <w:rtl w:val="0"/>
        </w:rPr>
        <w:t xml:space="preserve">Dennis</w:t>
      </w:r>
      <w:r w:rsidDel="00000000" w:rsidR="00000000" w:rsidRPr="00000000">
        <w:rPr>
          <w:rFonts w:ascii="Times New Roman" w:cs="Times New Roman" w:eastAsia="Times New Roman" w:hAnsi="Times New Roman"/>
          <w:sz w:val="24"/>
          <w:szCs w:val="24"/>
          <w:rtl w:val="0"/>
        </w:rPr>
        <w:t xml:space="preserve">, Arthur has made an offer when Dennis showed interest in the watch. The offeror is the person who makes the offer, while the offeree is the person who accepts or declines the offer according to Stefan (2015). Therefore in this case Arthur is the offeror and  Dennis is the offerer. </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Dennis accepted via email to pay the 13,000 as offered, and he have met the mirror offer rule which states that to be significant and form an authoritative contract, the acceptance must match the offer exactly. Therefore there is a valid contract between them at 5 pm on the 6th of may as there is an offer and acceptance. The agreement, which is usually evaluated in terms of an offer met by an unqualified acceptance, is one of the essential elements of a contract. Even if it is lost in the mail and never reaches the offeror, a postal acceptance can take effect when it is sent. </w:t>
      </w:r>
      <w:r w:rsidDel="00000000" w:rsidR="00000000" w:rsidRPr="00000000">
        <w:rPr>
          <w:rFonts w:ascii="Times New Roman" w:cs="Times New Roman" w:eastAsia="Times New Roman" w:hAnsi="Times New Roman"/>
          <w:color w:val="073763"/>
          <w:sz w:val="24"/>
          <w:szCs w:val="24"/>
          <w:rtl w:val="0"/>
        </w:rPr>
        <w:t xml:space="preserve">Household Fire Insurance v Grant [1879]</w:t>
      </w:r>
      <w:r w:rsidDel="00000000" w:rsidR="00000000" w:rsidRPr="00000000">
        <w:rPr>
          <w:rFonts w:ascii="Times New Roman" w:cs="Times New Roman" w:eastAsia="Times New Roman" w:hAnsi="Times New Roman"/>
          <w:sz w:val="24"/>
          <w:szCs w:val="24"/>
          <w:rtl w:val="0"/>
        </w:rPr>
        <w:t xml:space="preserve">. To conclude there is an agreement between Dennis and Arthur as both an offer and acceptance is communicated, an intonation to create a legal relation and there is consideration because a both of then provided something of value to which they are not previously entitled in return for contractual obligations forming a valid contract.</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situation, there is legally binding contract between Author &amp; christine and Author &amp; Dennis. Because it contain the elements of an agreement (offer + acceptance), consideration and an intention to create a legal relation. The decision to withdraw must be communicated. It is not enough for Author to merely change his mind about an offer he must also tell the Christine and Dennis of the revocation, which is a legal requirement and is the legal principle of the case of </w:t>
      </w:r>
      <w:r w:rsidDel="00000000" w:rsidR="00000000" w:rsidRPr="00000000">
        <w:rPr>
          <w:rFonts w:ascii="Times New Roman" w:cs="Times New Roman" w:eastAsia="Times New Roman" w:hAnsi="Times New Roman"/>
          <w:color w:val="073763"/>
          <w:sz w:val="24"/>
          <w:szCs w:val="24"/>
          <w:rtl w:val="0"/>
        </w:rPr>
        <w:t xml:space="preserve">Byrne &amp; Co v Leon Van Tienhoven  [1880]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 1124 words</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word count: 1,781 </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Title"/>
        <w:spacing w:line="360" w:lineRule="auto"/>
        <w:rPr>
          <w:rFonts w:ascii="Times New Roman" w:cs="Times New Roman" w:eastAsia="Times New Roman" w:hAnsi="Times New Roman"/>
          <w:b w:val="1"/>
          <w:color w:val="073763"/>
          <w:sz w:val="24"/>
          <w:szCs w:val="24"/>
        </w:rPr>
      </w:pPr>
      <w:bookmarkStart w:colFirst="0" w:colLast="0" w:name="_9v10gslpg8c8" w:id="30"/>
      <w:bookmarkEnd w:id="30"/>
      <w:r w:rsidDel="00000000" w:rsidR="00000000" w:rsidRPr="00000000">
        <w:rPr>
          <w:rFonts w:ascii="Times New Roman" w:cs="Times New Roman" w:eastAsia="Times New Roman" w:hAnsi="Times New Roman"/>
          <w:b w:val="1"/>
          <w:color w:val="073763"/>
          <w:sz w:val="24"/>
          <w:szCs w:val="24"/>
          <w:rtl w:val="0"/>
        </w:rPr>
        <w:t xml:space="preserve">REFERENCE </w:t>
      </w:r>
    </w:p>
    <w:p w:rsidR="00000000" w:rsidDel="00000000" w:rsidP="00000000" w:rsidRDefault="00000000" w:rsidRPr="00000000" w14:paraId="0000005B">
      <w:pPr>
        <w:pStyle w:val="Title"/>
        <w:spacing w:line="360" w:lineRule="auto"/>
        <w:rPr>
          <w:rFonts w:ascii="Times New Roman" w:cs="Times New Roman" w:eastAsia="Times New Roman" w:hAnsi="Times New Roman"/>
          <w:b w:val="1"/>
          <w:color w:val="073763"/>
          <w:sz w:val="24"/>
          <w:szCs w:val="24"/>
        </w:rPr>
      </w:pPr>
      <w:bookmarkStart w:colFirst="0" w:colLast="0" w:name="_crc36610sleh" w:id="31"/>
      <w:bookmarkEnd w:id="31"/>
      <w:r w:rsidDel="00000000" w:rsidR="00000000" w:rsidRPr="00000000">
        <w:rPr>
          <w:rtl w:val="0"/>
        </w:rPr>
      </w:r>
    </w:p>
    <w:p w:rsidR="00000000" w:rsidDel="00000000" w:rsidP="00000000" w:rsidRDefault="00000000" w:rsidRPr="00000000" w14:paraId="0000005C">
      <w:pPr>
        <w:pStyle w:val="Title"/>
        <w:numPr>
          <w:ilvl w:val="0"/>
          <w:numId w:val="2"/>
        </w:numPr>
        <w:spacing w:line="360" w:lineRule="auto"/>
        <w:ind w:left="720" w:hanging="360"/>
        <w:jc w:val="both"/>
        <w:rPr>
          <w:rFonts w:ascii="Times New Roman" w:cs="Times New Roman" w:eastAsia="Times New Roman" w:hAnsi="Times New Roman"/>
          <w:sz w:val="24"/>
          <w:szCs w:val="24"/>
        </w:rPr>
      </w:pPr>
      <w:bookmarkStart w:colFirst="0" w:colLast="0" w:name="_lju0qxn2ndls" w:id="32"/>
      <w:bookmarkEnd w:id="32"/>
      <w:r w:rsidDel="00000000" w:rsidR="00000000" w:rsidRPr="00000000">
        <w:rPr>
          <w:rFonts w:ascii="Times New Roman" w:cs="Times New Roman" w:eastAsia="Times New Roman" w:hAnsi="Times New Roman"/>
          <w:sz w:val="24"/>
          <w:szCs w:val="24"/>
          <w:rtl w:val="0"/>
        </w:rPr>
        <w:t xml:space="preserve">Elliott, C. and Quinn, F., 2007. </w:t>
      </w:r>
      <w:r w:rsidDel="00000000" w:rsidR="00000000" w:rsidRPr="00000000">
        <w:rPr>
          <w:rFonts w:ascii="Times New Roman" w:cs="Times New Roman" w:eastAsia="Times New Roman" w:hAnsi="Times New Roman"/>
          <w:i w:val="1"/>
          <w:sz w:val="24"/>
          <w:szCs w:val="24"/>
          <w:rtl w:val="0"/>
        </w:rPr>
        <w:t xml:space="preserve">Contract law</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5D">
      <w:pPr>
        <w:spacing w:line="360" w:lineRule="auto"/>
        <w:ind w:left="720" w:firstLine="0"/>
        <w:jc w:val="both"/>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https://d1wqtxts1xzle7.cloudfront.net/60510088/Catherine_Elliott__Frances_Quinn-Contract_law-Longman_201120190906-47606-12wj4bm-with-cover-page-v2.pdf?Expires=1646256819&amp;Signature=dr3iqJ7VmqhAFNshH53jzD3Xgd5JLS~Wu5QN-HhuWDOXFs8Yld80PGQXGr1U11LGAads2Eh7NkXb~j5s7bQPtg5ciIgsQa3pJkyxgXwiNcD2lxakdtvyKMOGBnye2w4hFzMLVRR7Z0Xs-6pF~PNvC6TJlTdJEk4KdgFIJJHub0sngSiuA4Kpc5Mgk-3LL2-73HZ3NjMC9pRa9Zl6wMeuwkHCNbrDnZFxU3wBlQ0ITtGTfaf5j6bHQExnhLPz5oPR29kWLE3BGm~8zEzePnfpQgn1rhzgJQtXvIefwU5h5ke2VzSvAnfXE43sXyCe9ORVQX3JO07NILNn0LkJQ~whMA__&amp;Key-Pair-Id=APKAJLOHF5GGSLRBV4ZA</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E">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Lilienthal, J. W. (1887). </w:t>
      </w:r>
      <w:r w:rsidDel="00000000" w:rsidR="00000000" w:rsidRPr="00000000">
        <w:rPr>
          <w:rFonts w:ascii="Times New Roman" w:cs="Times New Roman" w:eastAsia="Times New Roman" w:hAnsi="Times New Roman"/>
          <w:i w:val="1"/>
          <w:sz w:val="24"/>
          <w:szCs w:val="24"/>
          <w:rtl w:val="0"/>
        </w:rPr>
        <w:t xml:space="preserve">Privity of contract</w:t>
      </w:r>
      <w:r w:rsidDel="00000000" w:rsidR="00000000" w:rsidRPr="00000000">
        <w:rPr>
          <w:rFonts w:ascii="Times New Roman" w:cs="Times New Roman" w:eastAsia="Times New Roman" w:hAnsi="Times New Roman"/>
          <w:sz w:val="24"/>
          <w:szCs w:val="24"/>
          <w:rtl w:val="0"/>
        </w:rPr>
        <w:t xml:space="preserve">. Harvard law review, 226-232. </w:t>
      </w:r>
    </w:p>
    <w:p w:rsidR="00000000" w:rsidDel="00000000" w:rsidP="00000000" w:rsidRDefault="00000000" w:rsidRPr="00000000" w14:paraId="00000060">
      <w:pPr>
        <w:spacing w:line="360" w:lineRule="auto"/>
        <w:ind w:left="720" w:firstLine="0"/>
        <w:jc w:val="both"/>
        <w:rPr>
          <w:rFonts w:ascii="Times New Roman" w:cs="Times New Roman" w:eastAsia="Times New Roman" w:hAnsi="Times New Roman"/>
          <w:sz w:val="24"/>
          <w:szCs w:val="24"/>
        </w:rPr>
      </w:pPr>
      <w:hyperlink r:id="rId8">
        <w:r w:rsidDel="00000000" w:rsidR="00000000" w:rsidRPr="00000000">
          <w:rPr>
            <w:rFonts w:ascii="Times New Roman" w:cs="Times New Roman" w:eastAsia="Times New Roman" w:hAnsi="Times New Roman"/>
            <w:color w:val="1155cc"/>
            <w:sz w:val="24"/>
            <w:szCs w:val="24"/>
            <w:u w:val="single"/>
            <w:rtl w:val="0"/>
          </w:rPr>
          <w:t xml:space="preserve">https://www.jstor.org/stable/pdf/1321337.pdf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1">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Neyers, J.W., 2007. Explaining the principled exception to privity of contract. McGill LJ, 52, p.757.</w:t>
      </w:r>
    </w:p>
    <w:p w:rsidR="00000000" w:rsidDel="00000000" w:rsidP="00000000" w:rsidRDefault="00000000" w:rsidRPr="00000000" w14:paraId="00000063">
      <w:pPr>
        <w:spacing w:line="360" w:lineRule="auto"/>
        <w:ind w:left="720" w:firstLine="0"/>
        <w:jc w:val="both"/>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https://heinonline.org/HOL/LandingPage?handle=hein.journals/mcgil52&amp;div=35&amp;id=&amp;page=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Swain, W., 2003. Cutter v Powell and the Pleading of Claims of Unjust Enrichment. RLR, 11, p.46.</w:t>
      </w:r>
    </w:p>
    <w:p w:rsidR="00000000" w:rsidDel="00000000" w:rsidP="00000000" w:rsidRDefault="00000000" w:rsidRPr="00000000" w14:paraId="00000066">
      <w:pPr>
        <w:spacing w:line="360" w:lineRule="auto"/>
        <w:ind w:left="720" w:firstLine="0"/>
        <w:jc w:val="both"/>
        <w:rPr>
          <w:rFonts w:ascii="Times New Roman" w:cs="Times New Roman" w:eastAsia="Times New Roman" w:hAnsi="Times New Roman"/>
          <w:sz w:val="24"/>
          <w:szCs w:val="24"/>
        </w:rPr>
      </w:pPr>
      <w:hyperlink r:id="rId10">
        <w:r w:rsidDel="00000000" w:rsidR="00000000" w:rsidRPr="00000000">
          <w:rPr>
            <w:rFonts w:ascii="Times New Roman" w:cs="Times New Roman" w:eastAsia="Times New Roman" w:hAnsi="Times New Roman"/>
            <w:color w:val="1155cc"/>
            <w:sz w:val="24"/>
            <w:szCs w:val="24"/>
            <w:u w:val="single"/>
            <w:rtl w:val="0"/>
          </w:rPr>
          <w:t xml:space="preserve">https://heinonline.org/HOL/LandingPage?handle=hein.journals/restilwr11&amp;div=10&amp;id=&amp;page=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7">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Stoljar, S.J., 1956. The Great Case of Cutter v. Powell. Can. B. Rev., 34, p.288. </w:t>
      </w:r>
    </w:p>
    <w:p w:rsidR="00000000" w:rsidDel="00000000" w:rsidP="00000000" w:rsidRDefault="00000000" w:rsidRPr="00000000" w14:paraId="00000069">
      <w:pPr>
        <w:spacing w:line="360" w:lineRule="auto"/>
        <w:ind w:left="720" w:firstLine="0"/>
        <w:jc w:val="both"/>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https://heinonline.org/HOL/LandingPage?handle=hein.journals/canbarev34&amp;div=18&amp;id=&amp;page=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Beck, A., 1975. The doctrine of substantial performance: conditions and conditions precedent. Mod. L. Rev., 38, p.413. </w:t>
      </w:r>
    </w:p>
    <w:p w:rsidR="00000000" w:rsidDel="00000000" w:rsidP="00000000" w:rsidRDefault="00000000" w:rsidRPr="00000000" w14:paraId="0000006C">
      <w:pPr>
        <w:spacing w:line="360" w:lineRule="auto"/>
        <w:ind w:left="720" w:firstLine="0"/>
        <w:jc w:val="both"/>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color w:val="1155cc"/>
            <w:sz w:val="24"/>
            <w:szCs w:val="24"/>
            <w:u w:val="single"/>
            <w:rtl w:val="0"/>
          </w:rPr>
          <w:t xml:space="preserve">https://onlinelibrary.wiley.com/doi/pdf/10.1111/j.1468-2230.1975.tb01422.x</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D">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Woodward, F.C., 1900. The Doctrine of Divisible Contracts. American Law Register (Philadelphia, PA: 1898), pp.1-17. </w:t>
      </w:r>
    </w:p>
    <w:p w:rsidR="00000000" w:rsidDel="00000000" w:rsidP="00000000" w:rsidRDefault="00000000" w:rsidRPr="00000000" w14:paraId="0000006F">
      <w:pPr>
        <w:spacing w:line="360" w:lineRule="auto"/>
        <w:ind w:left="720" w:firstLine="0"/>
        <w:jc w:val="both"/>
        <w:rPr>
          <w:rFonts w:ascii="Times New Roman" w:cs="Times New Roman" w:eastAsia="Times New Roman" w:hAnsi="Times New Roman"/>
          <w:sz w:val="24"/>
          <w:szCs w:val="24"/>
        </w:rPr>
      </w:pPr>
      <w:hyperlink r:id="rId13">
        <w:r w:rsidDel="00000000" w:rsidR="00000000" w:rsidRPr="00000000">
          <w:rPr>
            <w:rFonts w:ascii="Times New Roman" w:cs="Times New Roman" w:eastAsia="Times New Roman" w:hAnsi="Times New Roman"/>
            <w:color w:val="1155cc"/>
            <w:sz w:val="24"/>
            <w:szCs w:val="24"/>
            <w:u w:val="single"/>
            <w:rtl w:val="0"/>
          </w:rPr>
          <w:t xml:space="preserve">https://www.jstor.org/stable/pdf/3306759.pdf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Thel, S. and Yorio, E., 1992. The Promissory Basis of Past Consideration. Virginia Law Review, pp.1045-1101. </w:t>
      </w:r>
    </w:p>
    <w:p w:rsidR="00000000" w:rsidDel="00000000" w:rsidP="00000000" w:rsidRDefault="00000000" w:rsidRPr="00000000" w14:paraId="00000072">
      <w:pPr>
        <w:spacing w:line="360" w:lineRule="auto"/>
        <w:ind w:left="720" w:firstLine="0"/>
        <w:jc w:val="both"/>
        <w:rPr>
          <w:rFonts w:ascii="Times New Roman" w:cs="Times New Roman" w:eastAsia="Times New Roman" w:hAnsi="Times New Roman"/>
          <w:sz w:val="24"/>
          <w:szCs w:val="24"/>
        </w:rPr>
      </w:pPr>
      <w:hyperlink r:id="rId14">
        <w:r w:rsidDel="00000000" w:rsidR="00000000" w:rsidRPr="00000000">
          <w:rPr>
            <w:rFonts w:ascii="Times New Roman" w:cs="Times New Roman" w:eastAsia="Times New Roman" w:hAnsi="Times New Roman"/>
            <w:color w:val="1155cc"/>
            <w:sz w:val="24"/>
            <w:szCs w:val="24"/>
            <w:u w:val="single"/>
            <w:rtl w:val="0"/>
          </w:rPr>
          <w:t xml:space="preserve">https://ir.lawnet.fordham.edu/cgi/viewcontent.cgi?article=1680&amp;context=faculty_scholarship</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3">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Eisenberg, M.A., 1981. Principles of Consideration. Cornell L. Rev., 67, p.640. </w:t>
      </w:r>
    </w:p>
    <w:p w:rsidR="00000000" w:rsidDel="00000000" w:rsidP="00000000" w:rsidRDefault="00000000" w:rsidRPr="00000000" w14:paraId="00000075">
      <w:pPr>
        <w:spacing w:line="360" w:lineRule="auto"/>
        <w:ind w:left="720" w:firstLine="0"/>
        <w:jc w:val="both"/>
        <w:rPr>
          <w:rFonts w:ascii="Times New Roman" w:cs="Times New Roman" w:eastAsia="Times New Roman" w:hAnsi="Times New Roman"/>
          <w:sz w:val="24"/>
          <w:szCs w:val="24"/>
        </w:rPr>
      </w:pPr>
      <w:hyperlink r:id="rId15">
        <w:r w:rsidDel="00000000" w:rsidR="00000000" w:rsidRPr="00000000">
          <w:rPr>
            <w:rFonts w:ascii="Times New Roman" w:cs="Times New Roman" w:eastAsia="Times New Roman" w:hAnsi="Times New Roman"/>
            <w:color w:val="1155cc"/>
            <w:sz w:val="24"/>
            <w:szCs w:val="24"/>
            <w:u w:val="single"/>
            <w:rtl w:val="0"/>
          </w:rPr>
          <w:t xml:space="preserve">https://scholarship.law.cornell.edu/cgi/viewcontent.cgi?article=4281&amp;context=clr</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6">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Ashley, C.D., 1912. Doctrine of Consideration. Harv. L. Rev., 26, p.429. </w:t>
      </w:r>
    </w:p>
    <w:p w:rsidR="00000000" w:rsidDel="00000000" w:rsidP="00000000" w:rsidRDefault="00000000" w:rsidRPr="00000000" w14:paraId="00000078">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Teeven, K.M., 1998. Promises on Prior Obligations at Common Law (No. 85). Greenwood Publishing Group.</w:t>
      </w:r>
    </w:p>
    <w:p w:rsidR="00000000" w:rsidDel="00000000" w:rsidP="00000000" w:rsidRDefault="00000000" w:rsidRPr="00000000" w14:paraId="0000007A">
      <w:pPr>
        <w:spacing w:line="360" w:lineRule="auto"/>
        <w:ind w:left="720" w:firstLine="0"/>
        <w:jc w:val="both"/>
        <w:rPr>
          <w:rFonts w:ascii="Times New Roman" w:cs="Times New Roman" w:eastAsia="Times New Roman" w:hAnsi="Times New Roman"/>
          <w:sz w:val="24"/>
          <w:szCs w:val="24"/>
        </w:rPr>
      </w:pPr>
      <w:hyperlink r:id="rId16">
        <w:r w:rsidDel="00000000" w:rsidR="00000000" w:rsidRPr="00000000">
          <w:rPr>
            <w:rFonts w:ascii="Times New Roman" w:cs="Times New Roman" w:eastAsia="Times New Roman" w:hAnsi="Times New Roman"/>
            <w:color w:val="1155cc"/>
            <w:sz w:val="24"/>
            <w:szCs w:val="24"/>
            <w:u w:val="single"/>
            <w:rtl w:val="0"/>
          </w:rPr>
          <w:t xml:space="preserve">https://books.google.co.uk/books?hl=en&amp;lr=&amp;id=9p8oa0wUU1gC&amp;oi=fnd&amp;pg=PR9&amp;dq=is+past+consideration+good+consideration&amp;ots=x3s7rzP_S7&amp;sig=bt_4L6ZOxT5kSSmcm9mAomorpcg&amp;redir_esc=y#v=onepage&amp;q=is%20past%20consideration%20good%20consideration&amp;f=fals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B">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Stefan Fafinski Contributor. 2015. Stefan Fafinski Author; Emily Finch Author 4th ed.  Pearson</w:t>
      </w:r>
    </w:p>
    <w:p w:rsidR="00000000" w:rsidDel="00000000" w:rsidP="00000000" w:rsidRDefault="00000000" w:rsidRPr="00000000" w14:paraId="0000007D">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Taylor, &amp; Taylor, D. (2021). Contract law (Eighth edition.). Oxford University Press.</w:t>
      </w:r>
    </w:p>
    <w:p w:rsidR="00000000" w:rsidDel="00000000" w:rsidP="00000000" w:rsidRDefault="00000000" w:rsidRPr="00000000" w14:paraId="0000007F">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McKendrick, E. (2021) Contract law. Fourteenth edition. London: Macmillan International Higher Education.</w:t>
      </w:r>
    </w:p>
    <w:p w:rsidR="00000000" w:rsidDel="00000000" w:rsidP="00000000" w:rsidRDefault="00000000" w:rsidRPr="00000000" w14:paraId="00000081">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Eisenberg, M.A., 1994. Expression Rules in Contract Law and Problems of Offer and Acceptance. Cal L. Rev., 82, p.1127.</w:t>
      </w:r>
    </w:p>
    <w:p w:rsidR="00000000" w:rsidDel="00000000" w:rsidP="00000000" w:rsidRDefault="00000000" w:rsidRPr="00000000" w14:paraId="00000083">
      <w:pPr>
        <w:spacing w:line="360" w:lineRule="auto"/>
        <w:ind w:left="720" w:firstLine="0"/>
        <w:jc w:val="both"/>
        <w:rPr>
          <w:rFonts w:ascii="Times New Roman" w:cs="Times New Roman" w:eastAsia="Times New Roman" w:hAnsi="Times New Roman"/>
          <w:sz w:val="24"/>
          <w:szCs w:val="24"/>
        </w:rPr>
      </w:pPr>
      <w:hyperlink r:id="rId17">
        <w:r w:rsidDel="00000000" w:rsidR="00000000" w:rsidRPr="00000000">
          <w:rPr>
            <w:rFonts w:ascii="Times New Roman" w:cs="Times New Roman" w:eastAsia="Times New Roman" w:hAnsi="Times New Roman"/>
            <w:color w:val="1155cc"/>
            <w:sz w:val="24"/>
            <w:szCs w:val="24"/>
            <w:u w:val="single"/>
            <w:rtl w:val="0"/>
          </w:rPr>
          <w:t xml:space="preserve">https://heinonline.org/HOL/LandingPage?handle=hein.journals/calr82&amp;div=40&amp;id=&amp;page=</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Ibrahim, M.A., Ababneh, A.E. and Tahat, H., 2007. The Postal Acceptance Rule in the Digital Age. J. Int'l Com. L. &amp; Tech., 2, p.47. </w:t>
      </w:r>
    </w:p>
    <w:p w:rsidR="00000000" w:rsidDel="00000000" w:rsidP="00000000" w:rsidRDefault="00000000" w:rsidRPr="00000000" w14:paraId="00000086">
      <w:pPr>
        <w:spacing w:line="360" w:lineRule="auto"/>
        <w:ind w:left="720" w:firstLine="0"/>
        <w:jc w:val="both"/>
        <w:rPr>
          <w:rFonts w:ascii="Times New Roman" w:cs="Times New Roman" w:eastAsia="Times New Roman" w:hAnsi="Times New Roman"/>
          <w:sz w:val="24"/>
          <w:szCs w:val="24"/>
        </w:rPr>
      </w:pPr>
      <w:hyperlink r:id="rId18">
        <w:r w:rsidDel="00000000" w:rsidR="00000000" w:rsidRPr="00000000">
          <w:rPr>
            <w:rFonts w:ascii="Times New Roman" w:cs="Times New Roman" w:eastAsia="Times New Roman" w:hAnsi="Times New Roman"/>
            <w:color w:val="1155cc"/>
            <w:sz w:val="24"/>
            <w:szCs w:val="24"/>
            <w:u w:val="single"/>
            <w:rtl w:val="0"/>
          </w:rPr>
          <w:t xml:space="preserve">https://www.researchgate.net/profile/Hisham-Tahat/publication/26448997_The_Postal_Acceptance_Rule_in_the_Digital_Age/links/0c960535f516eb58f6000000/The-Postal-Acceptance-Rule-in-the-Digital-Age.pdf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7">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Defossez, D. (2019). Acceptance sent through email; is the postal rule applicable?. Revista de Direito, Estado e Telecomunicacoes, 11(1). </w:t>
      </w:r>
    </w:p>
    <w:p w:rsidR="00000000" w:rsidDel="00000000" w:rsidP="00000000" w:rsidRDefault="00000000" w:rsidRPr="00000000" w14:paraId="00000089">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Rosen, O., 1989. Conditional Acceptance and Counter Offer as a Rejection of the Offer. Tel Aviv UL Rev., 14, p.135.</w:t>
      </w:r>
    </w:p>
    <w:p w:rsidR="00000000" w:rsidDel="00000000" w:rsidP="00000000" w:rsidRDefault="00000000" w:rsidRPr="00000000" w14:paraId="0000008B">
      <w:pPr>
        <w:spacing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Bayern, S., 2015. Offer and Acceptance in Modern Contract Law: A Needles Concept. Calif. L. Rev., 103, p.67.</w:t>
      </w:r>
    </w:p>
    <w:p w:rsidR="00000000" w:rsidDel="00000000" w:rsidP="00000000" w:rsidRDefault="00000000" w:rsidRPr="00000000" w14:paraId="0000008D">
      <w:pPr>
        <w:jc w:val="both"/>
        <w:rPr>
          <w:sz w:val="24"/>
          <w:szCs w:val="24"/>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8F">
      <w:pPr>
        <w:pStyle w:val="Title"/>
        <w:rPr>
          <w:b w:val="1"/>
          <w:color w:val="073763"/>
          <w:sz w:val="24"/>
          <w:szCs w:val="24"/>
        </w:rPr>
      </w:pPr>
      <w:bookmarkStart w:colFirst="0" w:colLast="0" w:name="_xmouyn229p58" w:id="33"/>
      <w:bookmarkEnd w:id="33"/>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pStyle w:val="Title"/>
        <w:rPr>
          <w:b w:val="1"/>
          <w:color w:val="073763"/>
          <w:sz w:val="24"/>
          <w:szCs w:val="24"/>
        </w:rPr>
      </w:pPr>
      <w:bookmarkStart w:colFirst="0" w:colLast="0" w:name="_dtwv6lu1d5hn" w:id="34"/>
      <w:bookmarkEnd w:id="34"/>
      <w:r w:rsidDel="00000000" w:rsidR="00000000" w:rsidRPr="00000000">
        <w:rPr>
          <w:rtl w:val="0"/>
        </w:rPr>
      </w:r>
    </w:p>
    <w:p w:rsidR="00000000" w:rsidDel="00000000" w:rsidP="00000000" w:rsidRDefault="00000000" w:rsidRPr="00000000" w14:paraId="00000095">
      <w:pPr>
        <w:pStyle w:val="Title"/>
        <w:rPr>
          <w:b w:val="1"/>
          <w:color w:val="073763"/>
          <w:sz w:val="24"/>
          <w:szCs w:val="24"/>
        </w:rPr>
      </w:pPr>
      <w:bookmarkStart w:colFirst="0" w:colLast="0" w:name="_crlzzdpvy07p" w:id="35"/>
      <w:bookmarkEnd w:id="35"/>
      <w:r w:rsidDel="00000000" w:rsidR="00000000" w:rsidRPr="00000000">
        <w:rPr>
          <w:rtl w:val="0"/>
        </w:rPr>
      </w:r>
    </w:p>
    <w:p w:rsidR="00000000" w:rsidDel="00000000" w:rsidP="00000000" w:rsidRDefault="00000000" w:rsidRPr="00000000" w14:paraId="00000096">
      <w:pPr>
        <w:pStyle w:val="Title"/>
        <w:rPr>
          <w:b w:val="1"/>
          <w:color w:val="073763"/>
          <w:sz w:val="24"/>
          <w:szCs w:val="24"/>
        </w:rPr>
      </w:pPr>
      <w:bookmarkStart w:colFirst="0" w:colLast="0" w:name="_n54v666248t8" w:id="36"/>
      <w:bookmarkEnd w:id="36"/>
      <w:r w:rsidDel="00000000" w:rsidR="00000000" w:rsidRPr="00000000">
        <w:rPr>
          <w:b w:val="1"/>
          <w:color w:val="073763"/>
          <w:sz w:val="24"/>
          <w:szCs w:val="24"/>
          <w:rtl w:val="0"/>
        </w:rPr>
        <w:t xml:space="preserve">CASE REFERENCE </w:t>
      </w:r>
    </w:p>
    <w:p w:rsidR="00000000" w:rsidDel="00000000" w:rsidP="00000000" w:rsidRDefault="00000000" w:rsidRPr="00000000" w14:paraId="00000097">
      <w:pPr>
        <w:pStyle w:val="Title"/>
        <w:rPr>
          <w:b w:val="1"/>
          <w:color w:val="073763"/>
          <w:sz w:val="24"/>
          <w:szCs w:val="24"/>
        </w:rPr>
      </w:pPr>
      <w:bookmarkStart w:colFirst="0" w:colLast="0" w:name="_hrtzlv946nnq" w:id="37"/>
      <w:bookmarkEnd w:id="37"/>
      <w:r w:rsidDel="00000000" w:rsidR="00000000" w:rsidRPr="00000000">
        <w:rPr>
          <w:rtl w:val="0"/>
        </w:rPr>
      </w:r>
    </w:p>
    <w:p w:rsidR="00000000" w:rsidDel="00000000" w:rsidP="00000000" w:rsidRDefault="00000000" w:rsidRPr="00000000" w14:paraId="00000098">
      <w:pPr>
        <w:pStyle w:val="Title"/>
        <w:numPr>
          <w:ilvl w:val="0"/>
          <w:numId w:val="1"/>
        </w:numPr>
        <w:spacing w:after="0" w:afterAutospacing="0" w:line="360" w:lineRule="auto"/>
        <w:ind w:left="720" w:hanging="360"/>
        <w:jc w:val="both"/>
        <w:rPr>
          <w:rFonts w:ascii="Times New Roman" w:cs="Times New Roman" w:eastAsia="Times New Roman" w:hAnsi="Times New Roman"/>
          <w:sz w:val="24"/>
          <w:szCs w:val="24"/>
        </w:rPr>
      </w:pPr>
      <w:bookmarkStart w:colFirst="0" w:colLast="0" w:name="_ckdzityc4kzk" w:id="38"/>
      <w:bookmarkEnd w:id="38"/>
      <w:r w:rsidDel="00000000" w:rsidR="00000000" w:rsidRPr="00000000">
        <w:rPr>
          <w:rFonts w:ascii="Times New Roman" w:cs="Times New Roman" w:eastAsia="Times New Roman" w:hAnsi="Times New Roman"/>
          <w:sz w:val="24"/>
          <w:szCs w:val="24"/>
          <w:rtl w:val="0"/>
        </w:rPr>
        <w:t xml:space="preserve">Tweddle v Atkinson [1861] 1 b&amp;s 393</w:t>
      </w:r>
      <w:r w:rsidDel="00000000" w:rsidR="00000000" w:rsidRPr="00000000">
        <w:rPr>
          <w:rtl w:val="0"/>
        </w:rPr>
      </w:r>
    </w:p>
    <w:p w:rsidR="00000000" w:rsidDel="00000000" w:rsidP="00000000" w:rsidRDefault="00000000" w:rsidRPr="00000000" w14:paraId="00000099">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Dunlop Pneumatic Tyre Co Ltd v Selfridge &amp; Co Ltd [1915] AC 847</w:t>
      </w:r>
    </w:p>
    <w:p w:rsidR="00000000" w:rsidDel="00000000" w:rsidP="00000000" w:rsidRDefault="00000000" w:rsidRPr="00000000" w14:paraId="0000009A">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Cutter v Powell [1795] EWHC KB J13</w:t>
      </w:r>
    </w:p>
    <w:p w:rsidR="00000000" w:rsidDel="00000000" w:rsidP="00000000" w:rsidRDefault="00000000" w:rsidRPr="00000000" w14:paraId="0000009B">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Boone v. Eyre [1777] B. R. East. 17 Geo. 3</w:t>
      </w:r>
    </w:p>
    <w:p w:rsidR="00000000" w:rsidDel="00000000" w:rsidP="00000000" w:rsidRDefault="00000000" w:rsidRPr="00000000" w14:paraId="0000009C">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Hoenig v Isaacs [1952] 2 All ER 176</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Bolton v Mahadeva [1972] 2 All ER 1322</w:t>
      </w:r>
    </w:p>
    <w:p w:rsidR="00000000" w:rsidDel="00000000" w:rsidP="00000000" w:rsidRDefault="00000000" w:rsidRPr="00000000" w14:paraId="0000009E">
      <w:pPr>
        <w:pStyle w:val="Title"/>
        <w:numPr>
          <w:ilvl w:val="0"/>
          <w:numId w:val="1"/>
        </w:numPr>
        <w:spacing w:after="0" w:afterAutospacing="0" w:line="360" w:lineRule="auto"/>
        <w:ind w:left="720" w:hanging="360"/>
        <w:jc w:val="both"/>
        <w:rPr>
          <w:rFonts w:ascii="Times New Roman" w:cs="Times New Roman" w:eastAsia="Times New Roman" w:hAnsi="Times New Roman"/>
          <w:sz w:val="24"/>
          <w:szCs w:val="24"/>
        </w:rPr>
      </w:pPr>
      <w:bookmarkStart w:colFirst="0" w:colLast="0" w:name="_r51kvuvdw2ja" w:id="39"/>
      <w:bookmarkEnd w:id="39"/>
      <w:r w:rsidDel="00000000" w:rsidR="00000000" w:rsidRPr="00000000">
        <w:rPr>
          <w:rFonts w:ascii="Times New Roman" w:cs="Times New Roman" w:eastAsia="Times New Roman" w:hAnsi="Times New Roman"/>
          <w:sz w:val="24"/>
          <w:szCs w:val="24"/>
          <w:rtl w:val="0"/>
        </w:rPr>
        <w:t xml:space="preserve">Ritchie v Atkinson [1808] 10 East 295</w:t>
      </w:r>
    </w:p>
    <w:p w:rsidR="00000000" w:rsidDel="00000000" w:rsidP="00000000" w:rsidRDefault="00000000" w:rsidRPr="00000000" w14:paraId="0000009F">
      <w:pPr>
        <w:pStyle w:val="Title"/>
        <w:numPr>
          <w:ilvl w:val="0"/>
          <w:numId w:val="1"/>
        </w:numPr>
        <w:spacing w:after="0" w:afterAutospacing="0" w:line="360" w:lineRule="auto"/>
        <w:ind w:left="720" w:hanging="360"/>
        <w:jc w:val="both"/>
        <w:rPr>
          <w:rFonts w:ascii="Times New Roman" w:cs="Times New Roman" w:eastAsia="Times New Roman" w:hAnsi="Times New Roman"/>
          <w:sz w:val="24"/>
          <w:szCs w:val="24"/>
        </w:rPr>
      </w:pPr>
      <w:bookmarkStart w:colFirst="0" w:colLast="0" w:name="_jtsbuxlgqlqn" w:id="40"/>
      <w:bookmarkEnd w:id="40"/>
      <w:r w:rsidDel="00000000" w:rsidR="00000000" w:rsidRPr="00000000">
        <w:rPr>
          <w:rFonts w:ascii="Times New Roman" w:cs="Times New Roman" w:eastAsia="Times New Roman" w:hAnsi="Times New Roman"/>
          <w:sz w:val="24"/>
          <w:szCs w:val="24"/>
          <w:rtl w:val="0"/>
        </w:rPr>
        <w:t xml:space="preserve">Lowy v. United Pac. Ins. Co.[1967] - 67 </w:t>
      </w:r>
    </w:p>
    <w:p w:rsidR="00000000" w:rsidDel="00000000" w:rsidP="00000000" w:rsidRDefault="00000000" w:rsidRPr="00000000" w14:paraId="000000A0">
      <w:pPr>
        <w:pStyle w:val="Title"/>
        <w:numPr>
          <w:ilvl w:val="0"/>
          <w:numId w:val="1"/>
        </w:numPr>
        <w:spacing w:after="0" w:afterAutospacing="0" w:line="360" w:lineRule="auto"/>
        <w:ind w:left="720" w:hanging="360"/>
        <w:jc w:val="both"/>
        <w:rPr>
          <w:rFonts w:ascii="Times New Roman" w:cs="Times New Roman" w:eastAsia="Times New Roman" w:hAnsi="Times New Roman"/>
          <w:sz w:val="24"/>
          <w:szCs w:val="24"/>
        </w:rPr>
      </w:pPr>
      <w:bookmarkStart w:colFirst="0" w:colLast="0" w:name="_lacpj4j81qnl" w:id="41"/>
      <w:bookmarkEnd w:id="41"/>
      <w:r w:rsidDel="00000000" w:rsidR="00000000" w:rsidRPr="00000000">
        <w:rPr>
          <w:rFonts w:ascii="Times New Roman" w:cs="Times New Roman" w:eastAsia="Times New Roman" w:hAnsi="Times New Roman"/>
          <w:sz w:val="24"/>
          <w:szCs w:val="24"/>
          <w:rtl w:val="0"/>
        </w:rPr>
        <w:t xml:space="preserve">Charles Rickards Ltd v Oppenheim</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1950]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 KB 616</w:t>
      </w:r>
    </w:p>
    <w:p w:rsidR="00000000" w:rsidDel="00000000" w:rsidP="00000000" w:rsidRDefault="00000000" w:rsidRPr="00000000" w14:paraId="000000A1">
      <w:pPr>
        <w:numPr>
          <w:ilvl w:val="0"/>
          <w:numId w:val="1"/>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United Scientific Holdings v Burnley Borough Council [1978] A.C. 904</w:t>
      </w:r>
    </w:p>
    <w:p w:rsidR="00000000" w:rsidDel="00000000" w:rsidP="00000000" w:rsidRDefault="00000000" w:rsidRPr="00000000" w14:paraId="000000A2">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Roscorla v Thomas [1842] 3 QB 234</w:t>
      </w:r>
    </w:p>
    <w:p w:rsidR="00000000" w:rsidDel="00000000" w:rsidP="00000000" w:rsidRDefault="00000000" w:rsidRPr="00000000" w14:paraId="000000A3">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 McArdle [1951] Ch 669</w:t>
      </w:r>
    </w:p>
    <w:p w:rsidR="00000000" w:rsidDel="00000000" w:rsidP="00000000" w:rsidRDefault="00000000" w:rsidRPr="00000000" w14:paraId="000000A4">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Lampleigh v Braithwaite [1615] Hob 105</w:t>
      </w:r>
    </w:p>
    <w:p w:rsidR="00000000" w:rsidDel="00000000" w:rsidP="00000000" w:rsidRDefault="00000000" w:rsidRPr="00000000" w14:paraId="000000A5">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Pao on v Lau Yiu Long [1979] 3 All ER 65 </w:t>
      </w:r>
    </w:p>
    <w:p w:rsidR="00000000" w:rsidDel="00000000" w:rsidP="00000000" w:rsidRDefault="00000000" w:rsidRPr="00000000" w14:paraId="000000A6">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Gibson v Manchester City Council [1979] UKHL 6</w:t>
      </w:r>
    </w:p>
    <w:p w:rsidR="00000000" w:rsidDel="00000000" w:rsidP="00000000" w:rsidRDefault="00000000" w:rsidRPr="00000000" w14:paraId="000000A7">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Partridge v Crittenden [1968] 2 all er 421 </w:t>
      </w:r>
    </w:p>
    <w:p w:rsidR="00000000" w:rsidDel="00000000" w:rsidP="00000000" w:rsidRDefault="00000000" w:rsidRPr="00000000" w14:paraId="000000A8">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walford v. miles [1992] 2 ac 128 </w:t>
      </w:r>
    </w:p>
    <w:p w:rsidR="00000000" w:rsidDel="00000000" w:rsidP="00000000" w:rsidRDefault="00000000" w:rsidRPr="00000000" w14:paraId="000000A9">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Taylor v Laird [1856] 156 E.R. 1203</w:t>
      </w:r>
    </w:p>
    <w:p w:rsidR="00000000" w:rsidDel="00000000" w:rsidP="00000000" w:rsidRDefault="00000000" w:rsidRPr="00000000" w14:paraId="000000AA">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Felthouse v Bindley [1862] EWHC CP J35</w:t>
      </w:r>
    </w:p>
    <w:p w:rsidR="00000000" w:rsidDel="00000000" w:rsidP="00000000" w:rsidRDefault="00000000" w:rsidRPr="00000000" w14:paraId="000000AB">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Hyde v Wrench [1840] EWHC Ch J90 </w:t>
      </w:r>
    </w:p>
    <w:p w:rsidR="00000000" w:rsidDel="00000000" w:rsidP="00000000" w:rsidRDefault="00000000" w:rsidRPr="00000000" w14:paraId="000000AC">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stevenson jaques &amp; co v mclean [1880] 5 qbd 346 </w:t>
      </w:r>
    </w:p>
    <w:p w:rsidR="00000000" w:rsidDel="00000000" w:rsidP="00000000" w:rsidRDefault="00000000" w:rsidRPr="00000000" w14:paraId="000000AD">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Adams v Lindsell [1818] 1 B &amp; Ald 681 </w:t>
      </w:r>
    </w:p>
    <w:p w:rsidR="00000000" w:rsidDel="00000000" w:rsidP="00000000" w:rsidRDefault="00000000" w:rsidRPr="00000000" w14:paraId="000000AE">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Household fire insurance v grant [1879] 4 ex d 217</w:t>
      </w:r>
    </w:p>
    <w:p w:rsidR="00000000" w:rsidDel="00000000" w:rsidP="00000000" w:rsidRDefault="00000000" w:rsidRPr="00000000" w14:paraId="000000AF">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Clarke v Dunraven [1897] ac 59</w:t>
      </w:r>
    </w:p>
    <w:p w:rsidR="00000000" w:rsidDel="00000000" w:rsidP="00000000" w:rsidRDefault="00000000" w:rsidRPr="00000000" w14:paraId="000000B0">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byrne &amp; co v leon van tienhoven &amp; co 1880 5 cpd 344</w:t>
      </w:r>
    </w:p>
    <w:p w:rsidR="00000000" w:rsidDel="00000000" w:rsidP="00000000" w:rsidRDefault="00000000" w:rsidRPr="00000000" w14:paraId="000000B1">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Entores ltd v miles far east corporation 1955 2 qb 327</w:t>
      </w:r>
    </w:p>
    <w:p w:rsidR="00000000" w:rsidDel="00000000" w:rsidP="00000000" w:rsidRDefault="00000000" w:rsidRPr="00000000" w14:paraId="000000B2">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partridge v crittenden (1968) 2 all er 421</w:t>
      </w:r>
    </w:p>
    <w:p w:rsidR="00000000" w:rsidDel="00000000" w:rsidP="00000000" w:rsidRDefault="00000000" w:rsidRPr="00000000" w14:paraId="000000B3">
      <w:pPr>
        <w:ind w:left="720" w:firstLine="0"/>
        <w:jc w:val="both"/>
        <w:rPr>
          <w:sz w:val="24"/>
          <w:szCs w:val="24"/>
        </w:rPr>
      </w:pPr>
      <w:r w:rsidDel="00000000" w:rsidR="00000000" w:rsidRPr="00000000">
        <w:rPr>
          <w:rtl w:val="0"/>
        </w:rPr>
      </w:r>
    </w:p>
    <w:p w:rsidR="00000000" w:rsidDel="00000000" w:rsidP="00000000" w:rsidRDefault="00000000" w:rsidRPr="00000000" w14:paraId="000000B4">
      <w:pPr>
        <w:pStyle w:val="Title"/>
        <w:rPr>
          <w:sz w:val="24"/>
          <w:szCs w:val="24"/>
        </w:rPr>
      </w:pPr>
      <w:bookmarkStart w:colFirst="0" w:colLast="0" w:name="_9hxhv0nxr51p" w:id="42"/>
      <w:bookmarkEnd w:id="42"/>
      <w:r w:rsidDel="00000000" w:rsidR="00000000" w:rsidRPr="00000000">
        <w:rPr>
          <w:rtl w:val="0"/>
        </w:rPr>
      </w:r>
    </w:p>
    <w:p w:rsidR="00000000" w:rsidDel="00000000" w:rsidP="00000000" w:rsidRDefault="00000000" w:rsidRPr="00000000" w14:paraId="000000B5">
      <w:pPr>
        <w:pStyle w:val="Title"/>
        <w:rPr>
          <w:b w:val="1"/>
          <w:color w:val="073763"/>
          <w:sz w:val="24"/>
          <w:szCs w:val="24"/>
        </w:rPr>
      </w:pPr>
      <w:bookmarkStart w:colFirst="0" w:colLast="0" w:name="_gy1qt2wcxn1m" w:id="43"/>
      <w:bookmarkEnd w:id="43"/>
      <w:r w:rsidDel="00000000" w:rsidR="00000000" w:rsidRPr="00000000">
        <w:rPr>
          <w:rtl w:val="0"/>
        </w:rPr>
      </w:r>
    </w:p>
    <w:p w:rsidR="00000000" w:rsidDel="00000000" w:rsidP="00000000" w:rsidRDefault="00000000" w:rsidRPr="00000000" w14:paraId="000000B6">
      <w:pPr>
        <w:pStyle w:val="Title"/>
        <w:rPr>
          <w:b w:val="1"/>
          <w:color w:val="073763"/>
          <w:sz w:val="24"/>
          <w:szCs w:val="24"/>
        </w:rPr>
      </w:pPr>
      <w:bookmarkStart w:colFirst="0" w:colLast="0" w:name="_6aixmlnf0j36" w:id="44"/>
      <w:bookmarkEnd w:id="44"/>
      <w:r w:rsidDel="00000000" w:rsidR="00000000" w:rsidRPr="00000000">
        <w:rPr>
          <w:rtl w:val="0"/>
        </w:rPr>
      </w:r>
    </w:p>
    <w:p w:rsidR="00000000" w:rsidDel="00000000" w:rsidP="00000000" w:rsidRDefault="00000000" w:rsidRPr="00000000" w14:paraId="000000B7">
      <w:pPr>
        <w:pStyle w:val="Title"/>
        <w:rPr>
          <w:b w:val="1"/>
          <w:color w:val="073763"/>
          <w:sz w:val="24"/>
          <w:szCs w:val="24"/>
        </w:rPr>
      </w:pPr>
      <w:bookmarkStart w:colFirst="0" w:colLast="0" w:name="_7peg58gfbkna" w:id="45"/>
      <w:bookmarkEnd w:id="45"/>
      <w:r w:rsidDel="00000000" w:rsidR="00000000" w:rsidRPr="00000000">
        <w:rPr>
          <w:rtl w:val="0"/>
        </w:rPr>
      </w:r>
    </w:p>
    <w:p w:rsidR="00000000" w:rsidDel="00000000" w:rsidP="00000000" w:rsidRDefault="00000000" w:rsidRPr="00000000" w14:paraId="000000B8">
      <w:pPr>
        <w:pStyle w:val="Title"/>
        <w:rPr>
          <w:b w:val="1"/>
          <w:color w:val="073763"/>
          <w:sz w:val="24"/>
          <w:szCs w:val="24"/>
        </w:rPr>
      </w:pPr>
      <w:bookmarkStart w:colFirst="0" w:colLast="0" w:name="_u8jwnqxqf758" w:id="46"/>
      <w:bookmarkEnd w:id="46"/>
      <w:r w:rsidDel="00000000" w:rsidR="00000000" w:rsidRPr="00000000">
        <w:rPr>
          <w:rtl w:val="0"/>
        </w:rPr>
      </w:r>
    </w:p>
    <w:p w:rsidR="00000000" w:rsidDel="00000000" w:rsidP="00000000" w:rsidRDefault="00000000" w:rsidRPr="00000000" w14:paraId="000000B9">
      <w:pPr>
        <w:pStyle w:val="Title"/>
        <w:rPr>
          <w:b w:val="1"/>
          <w:color w:val="073763"/>
          <w:sz w:val="24"/>
          <w:szCs w:val="24"/>
        </w:rPr>
      </w:pPr>
      <w:bookmarkStart w:colFirst="0" w:colLast="0" w:name="_e90p1e3kqou4" w:id="47"/>
      <w:bookmarkEnd w:id="47"/>
      <w:r w:rsidDel="00000000" w:rsidR="00000000" w:rsidRPr="00000000">
        <w:rPr>
          <w:rtl w:val="0"/>
        </w:rPr>
      </w:r>
    </w:p>
    <w:p w:rsidR="00000000" w:rsidDel="00000000" w:rsidP="00000000" w:rsidRDefault="00000000" w:rsidRPr="00000000" w14:paraId="000000BA">
      <w:pPr>
        <w:pStyle w:val="Title"/>
        <w:rPr>
          <w:b w:val="1"/>
          <w:color w:val="073763"/>
          <w:sz w:val="24"/>
          <w:szCs w:val="24"/>
        </w:rPr>
      </w:pPr>
      <w:bookmarkStart w:colFirst="0" w:colLast="0" w:name="_azrh6mxdwffa" w:id="48"/>
      <w:bookmarkEnd w:id="48"/>
      <w:r w:rsidDel="00000000" w:rsidR="00000000" w:rsidRPr="00000000">
        <w:rPr>
          <w:rtl w:val="0"/>
        </w:rPr>
      </w:r>
    </w:p>
    <w:p w:rsidR="00000000" w:rsidDel="00000000" w:rsidP="00000000" w:rsidRDefault="00000000" w:rsidRPr="00000000" w14:paraId="000000BB">
      <w:pPr>
        <w:pStyle w:val="Title"/>
        <w:rPr>
          <w:b w:val="1"/>
          <w:color w:val="073763"/>
          <w:sz w:val="24"/>
          <w:szCs w:val="24"/>
        </w:rPr>
      </w:pPr>
      <w:bookmarkStart w:colFirst="0" w:colLast="0" w:name="_s536rfdlohk9" w:id="49"/>
      <w:bookmarkEnd w:id="49"/>
      <w:r w:rsidDel="00000000" w:rsidR="00000000" w:rsidRPr="00000000">
        <w:rPr>
          <w:rtl w:val="0"/>
        </w:rPr>
      </w:r>
    </w:p>
    <w:p w:rsidR="00000000" w:rsidDel="00000000" w:rsidP="00000000" w:rsidRDefault="00000000" w:rsidRPr="00000000" w14:paraId="000000BC">
      <w:pPr>
        <w:pStyle w:val="Title"/>
        <w:rPr>
          <w:b w:val="1"/>
          <w:color w:val="073763"/>
          <w:sz w:val="24"/>
          <w:szCs w:val="24"/>
        </w:rPr>
      </w:pPr>
      <w:bookmarkStart w:colFirst="0" w:colLast="0" w:name="_y9zw0h2wa5o0" w:id="50"/>
      <w:bookmarkEnd w:id="50"/>
      <w:r w:rsidDel="00000000" w:rsidR="00000000" w:rsidRPr="00000000">
        <w:rPr>
          <w:rtl w:val="0"/>
        </w:rPr>
      </w:r>
    </w:p>
    <w:p w:rsidR="00000000" w:rsidDel="00000000" w:rsidP="00000000" w:rsidRDefault="00000000" w:rsidRPr="00000000" w14:paraId="000000BD">
      <w:pPr>
        <w:pStyle w:val="Title"/>
        <w:rPr>
          <w:b w:val="1"/>
          <w:color w:val="073763"/>
          <w:sz w:val="24"/>
          <w:szCs w:val="24"/>
        </w:rPr>
      </w:pPr>
      <w:bookmarkStart w:colFirst="0" w:colLast="0" w:name="_yhxeolj0ff10" w:id="51"/>
      <w:bookmarkEnd w:id="51"/>
      <w:r w:rsidDel="00000000" w:rsidR="00000000" w:rsidRPr="00000000">
        <w:rPr>
          <w:rtl w:val="0"/>
        </w:rPr>
      </w:r>
    </w:p>
    <w:p w:rsidR="00000000" w:rsidDel="00000000" w:rsidP="00000000" w:rsidRDefault="00000000" w:rsidRPr="00000000" w14:paraId="000000BE">
      <w:pPr>
        <w:pStyle w:val="Title"/>
        <w:rPr>
          <w:b w:val="1"/>
          <w:color w:val="073763"/>
          <w:sz w:val="24"/>
          <w:szCs w:val="24"/>
        </w:rPr>
      </w:pPr>
      <w:bookmarkStart w:colFirst="0" w:colLast="0" w:name="_163i7rpropsa" w:id="52"/>
      <w:bookmarkEnd w:id="52"/>
      <w:r w:rsidDel="00000000" w:rsidR="00000000" w:rsidRPr="00000000">
        <w:rPr>
          <w:rtl w:val="0"/>
        </w:rPr>
      </w:r>
    </w:p>
    <w:p w:rsidR="00000000" w:rsidDel="00000000" w:rsidP="00000000" w:rsidRDefault="00000000" w:rsidRPr="00000000" w14:paraId="000000BF">
      <w:pPr>
        <w:pStyle w:val="Title"/>
        <w:rPr>
          <w:b w:val="1"/>
          <w:color w:val="073763"/>
          <w:sz w:val="24"/>
          <w:szCs w:val="24"/>
        </w:rPr>
      </w:pPr>
      <w:bookmarkStart w:colFirst="0" w:colLast="0" w:name="_21s46pg5yxdj" w:id="53"/>
      <w:bookmarkEnd w:id="53"/>
      <w:r w:rsidDel="00000000" w:rsidR="00000000" w:rsidRPr="00000000">
        <w:rPr>
          <w:rtl w:val="0"/>
        </w:rPr>
      </w:r>
    </w:p>
    <w:p w:rsidR="00000000" w:rsidDel="00000000" w:rsidP="00000000" w:rsidRDefault="00000000" w:rsidRPr="00000000" w14:paraId="000000C0">
      <w:pPr>
        <w:pStyle w:val="Title"/>
        <w:rPr>
          <w:b w:val="1"/>
          <w:color w:val="073763"/>
          <w:sz w:val="24"/>
          <w:szCs w:val="24"/>
        </w:rPr>
      </w:pPr>
      <w:bookmarkStart w:colFirst="0" w:colLast="0" w:name="_p1xj5sz86n9r" w:id="54"/>
      <w:bookmarkEnd w:id="54"/>
      <w:r w:rsidDel="00000000" w:rsidR="00000000" w:rsidRPr="00000000">
        <w:rPr>
          <w:rtl w:val="0"/>
        </w:rPr>
      </w:r>
    </w:p>
    <w:p w:rsidR="00000000" w:rsidDel="00000000" w:rsidP="00000000" w:rsidRDefault="00000000" w:rsidRPr="00000000" w14:paraId="000000C1">
      <w:pPr>
        <w:pStyle w:val="Title"/>
        <w:rPr>
          <w:b w:val="1"/>
          <w:color w:val="073763"/>
          <w:sz w:val="24"/>
          <w:szCs w:val="24"/>
        </w:rPr>
      </w:pPr>
      <w:bookmarkStart w:colFirst="0" w:colLast="0" w:name="_ek1pfb9t802u" w:id="55"/>
      <w:bookmarkEnd w:id="55"/>
      <w:r w:rsidDel="00000000" w:rsidR="00000000" w:rsidRPr="00000000">
        <w:rPr>
          <w:rtl w:val="0"/>
        </w:rPr>
      </w:r>
    </w:p>
    <w:p w:rsidR="00000000" w:rsidDel="00000000" w:rsidP="00000000" w:rsidRDefault="00000000" w:rsidRPr="00000000" w14:paraId="000000C2">
      <w:pPr>
        <w:pStyle w:val="Title"/>
        <w:rPr>
          <w:b w:val="1"/>
          <w:color w:val="073763"/>
          <w:sz w:val="24"/>
          <w:szCs w:val="24"/>
        </w:rPr>
      </w:pPr>
      <w:bookmarkStart w:colFirst="0" w:colLast="0" w:name="_tqvrlinssgwd" w:id="56"/>
      <w:bookmarkEnd w:id="56"/>
      <w:r w:rsidDel="00000000" w:rsidR="00000000" w:rsidRPr="00000000">
        <w:rPr>
          <w:rtl w:val="0"/>
        </w:rPr>
      </w:r>
    </w:p>
    <w:p w:rsidR="00000000" w:rsidDel="00000000" w:rsidP="00000000" w:rsidRDefault="00000000" w:rsidRPr="00000000" w14:paraId="000000C3">
      <w:pPr>
        <w:pStyle w:val="Title"/>
        <w:rPr>
          <w:b w:val="1"/>
          <w:color w:val="073763"/>
          <w:sz w:val="24"/>
          <w:szCs w:val="24"/>
        </w:rPr>
      </w:pPr>
      <w:bookmarkStart w:colFirst="0" w:colLast="0" w:name="_liomso3l861r" w:id="57"/>
      <w:bookmarkEnd w:id="57"/>
      <w:r w:rsidDel="00000000" w:rsidR="00000000" w:rsidRPr="00000000">
        <w:rPr>
          <w:rtl w:val="0"/>
        </w:rPr>
      </w:r>
    </w:p>
    <w:p w:rsidR="00000000" w:rsidDel="00000000" w:rsidP="00000000" w:rsidRDefault="00000000" w:rsidRPr="00000000" w14:paraId="000000C4">
      <w:pPr>
        <w:pStyle w:val="Title"/>
        <w:rPr>
          <w:b w:val="1"/>
          <w:color w:val="073763"/>
          <w:sz w:val="24"/>
          <w:szCs w:val="24"/>
        </w:rPr>
      </w:pPr>
      <w:bookmarkStart w:colFirst="0" w:colLast="0" w:name="_lj2107nl80wu" w:id="58"/>
      <w:bookmarkEnd w:id="58"/>
      <w:r w:rsidDel="00000000" w:rsidR="00000000" w:rsidRPr="00000000">
        <w:rPr>
          <w:rtl w:val="0"/>
        </w:rPr>
      </w:r>
    </w:p>
    <w:p w:rsidR="00000000" w:rsidDel="00000000" w:rsidP="00000000" w:rsidRDefault="00000000" w:rsidRPr="00000000" w14:paraId="000000C5">
      <w:pPr>
        <w:pStyle w:val="Title"/>
        <w:rPr>
          <w:b w:val="1"/>
          <w:color w:val="073763"/>
          <w:sz w:val="24"/>
          <w:szCs w:val="24"/>
        </w:rPr>
      </w:pPr>
      <w:bookmarkStart w:colFirst="0" w:colLast="0" w:name="_s1bzp1is6vdc" w:id="59"/>
      <w:bookmarkEnd w:id="59"/>
      <w:r w:rsidDel="00000000" w:rsidR="00000000" w:rsidRPr="00000000">
        <w:rPr>
          <w:rtl w:val="0"/>
        </w:rPr>
      </w:r>
    </w:p>
    <w:p w:rsidR="00000000" w:rsidDel="00000000" w:rsidP="00000000" w:rsidRDefault="00000000" w:rsidRPr="00000000" w14:paraId="000000C6">
      <w:pPr>
        <w:pStyle w:val="Title"/>
        <w:rPr>
          <w:b w:val="1"/>
          <w:color w:val="073763"/>
          <w:sz w:val="24"/>
          <w:szCs w:val="24"/>
        </w:rPr>
      </w:pPr>
      <w:bookmarkStart w:colFirst="0" w:colLast="0" w:name="_jseiq5kfs00x" w:id="60"/>
      <w:bookmarkEnd w:id="60"/>
      <w:r w:rsidDel="00000000" w:rsidR="00000000" w:rsidRPr="00000000">
        <w:rPr>
          <w:rtl w:val="0"/>
        </w:rPr>
      </w:r>
    </w:p>
    <w:p w:rsidR="00000000" w:rsidDel="00000000" w:rsidP="00000000" w:rsidRDefault="00000000" w:rsidRPr="00000000" w14:paraId="000000C7">
      <w:pPr>
        <w:pStyle w:val="Title"/>
        <w:rPr>
          <w:b w:val="1"/>
          <w:color w:val="073763"/>
          <w:sz w:val="24"/>
          <w:szCs w:val="24"/>
        </w:rPr>
      </w:pPr>
      <w:bookmarkStart w:colFirst="0" w:colLast="0" w:name="_r41s28k8hegt" w:id="61"/>
      <w:bookmarkEnd w:id="61"/>
      <w:r w:rsidDel="00000000" w:rsidR="00000000" w:rsidRPr="00000000">
        <w:rPr>
          <w:rtl w:val="0"/>
        </w:rPr>
      </w:r>
    </w:p>
    <w:p w:rsidR="00000000" w:rsidDel="00000000" w:rsidP="00000000" w:rsidRDefault="00000000" w:rsidRPr="00000000" w14:paraId="000000C8">
      <w:pPr>
        <w:pStyle w:val="Title"/>
        <w:rPr>
          <w:b w:val="1"/>
          <w:color w:val="073763"/>
          <w:sz w:val="24"/>
          <w:szCs w:val="24"/>
        </w:rPr>
      </w:pPr>
      <w:bookmarkStart w:colFirst="0" w:colLast="0" w:name="_cthk00q1s72j" w:id="62"/>
      <w:bookmarkEnd w:id="62"/>
      <w:r w:rsidDel="00000000" w:rsidR="00000000" w:rsidRPr="00000000">
        <w:rPr>
          <w:rtl w:val="0"/>
        </w:rPr>
      </w:r>
    </w:p>
    <w:p w:rsidR="00000000" w:rsidDel="00000000" w:rsidP="00000000" w:rsidRDefault="00000000" w:rsidRPr="00000000" w14:paraId="000000C9">
      <w:pPr>
        <w:pStyle w:val="Title"/>
        <w:rPr>
          <w:b w:val="1"/>
          <w:color w:val="073763"/>
          <w:sz w:val="24"/>
          <w:szCs w:val="24"/>
        </w:rPr>
      </w:pPr>
      <w:bookmarkStart w:colFirst="0" w:colLast="0" w:name="_ftmvizvwl3ma" w:id="63"/>
      <w:bookmarkEnd w:id="63"/>
      <w:r w:rsidDel="00000000" w:rsidR="00000000" w:rsidRPr="00000000">
        <w:rPr>
          <w:rtl w:val="0"/>
        </w:rPr>
      </w:r>
    </w:p>
    <w:p w:rsidR="00000000" w:rsidDel="00000000" w:rsidP="00000000" w:rsidRDefault="00000000" w:rsidRPr="00000000" w14:paraId="000000CA">
      <w:pPr>
        <w:pStyle w:val="Title"/>
        <w:rPr>
          <w:b w:val="1"/>
          <w:color w:val="073763"/>
          <w:sz w:val="24"/>
          <w:szCs w:val="24"/>
        </w:rPr>
      </w:pPr>
      <w:bookmarkStart w:colFirst="0" w:colLast="0" w:name="_lavedceg51uz" w:id="64"/>
      <w:bookmarkEnd w:id="64"/>
      <w:r w:rsidDel="00000000" w:rsidR="00000000" w:rsidRPr="00000000">
        <w:rPr>
          <w:rtl w:val="0"/>
        </w:rPr>
      </w:r>
    </w:p>
    <w:p w:rsidR="00000000" w:rsidDel="00000000" w:rsidP="00000000" w:rsidRDefault="00000000" w:rsidRPr="00000000" w14:paraId="000000CB">
      <w:pPr>
        <w:pStyle w:val="Title"/>
        <w:rPr>
          <w:b w:val="1"/>
          <w:color w:val="073763"/>
          <w:sz w:val="24"/>
          <w:szCs w:val="24"/>
        </w:rPr>
      </w:pPr>
      <w:bookmarkStart w:colFirst="0" w:colLast="0" w:name="_dkicribyra3k" w:id="65"/>
      <w:bookmarkEnd w:id="65"/>
      <w:r w:rsidDel="00000000" w:rsidR="00000000" w:rsidRPr="00000000">
        <w:rPr>
          <w:rtl w:val="0"/>
        </w:rPr>
      </w:r>
    </w:p>
    <w:p w:rsidR="00000000" w:rsidDel="00000000" w:rsidP="00000000" w:rsidRDefault="00000000" w:rsidRPr="00000000" w14:paraId="000000CC">
      <w:pPr>
        <w:pStyle w:val="Title"/>
        <w:rPr>
          <w:b w:val="1"/>
          <w:color w:val="073763"/>
          <w:sz w:val="24"/>
          <w:szCs w:val="24"/>
        </w:rPr>
      </w:pPr>
      <w:bookmarkStart w:colFirst="0" w:colLast="0" w:name="_w5d0m69u0vg7" w:id="66"/>
      <w:bookmarkEnd w:id="66"/>
      <w:r w:rsidDel="00000000" w:rsidR="00000000" w:rsidRPr="00000000">
        <w:rPr>
          <w:rtl w:val="0"/>
        </w:rPr>
      </w:r>
    </w:p>
    <w:p w:rsidR="00000000" w:rsidDel="00000000" w:rsidP="00000000" w:rsidRDefault="00000000" w:rsidRPr="00000000" w14:paraId="000000CD">
      <w:pPr>
        <w:pStyle w:val="Title"/>
        <w:rPr>
          <w:b w:val="1"/>
          <w:color w:val="073763"/>
          <w:sz w:val="24"/>
          <w:szCs w:val="24"/>
        </w:rPr>
      </w:pPr>
      <w:bookmarkStart w:colFirst="0" w:colLast="0" w:name="_1tsx02ixs8zn" w:id="67"/>
      <w:bookmarkEnd w:id="67"/>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heinonline.org/HOL/LandingPage?handle=hein.journals/canbarev34&amp;div=18&amp;id=&amp;page=" TargetMode="External"/><Relationship Id="rId10" Type="http://schemas.openxmlformats.org/officeDocument/2006/relationships/hyperlink" Target="https://heinonline.org/HOL/LandingPage?handle=hein.journals/restilwr11&amp;div=10&amp;id=&amp;page=" TargetMode="External"/><Relationship Id="rId13" Type="http://schemas.openxmlformats.org/officeDocument/2006/relationships/hyperlink" Target="https://www.jstor.org/stable/pdf/3306759.pdf" TargetMode="External"/><Relationship Id="rId12" Type="http://schemas.openxmlformats.org/officeDocument/2006/relationships/hyperlink" Target="https://onlinelibrary.wiley.com/doi/pdf/10.1111/j.1468-2230.1975.tb01422.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einonline.org/HOL/LandingPage?handle=hein.journals/mcgil52&amp;div=35&amp;id=&amp;page=" TargetMode="External"/><Relationship Id="rId15" Type="http://schemas.openxmlformats.org/officeDocument/2006/relationships/hyperlink" Target="https://scholarship.law.cornell.edu/cgi/viewcontent.cgi?article=4281&amp;context=clr" TargetMode="External"/><Relationship Id="rId14" Type="http://schemas.openxmlformats.org/officeDocument/2006/relationships/hyperlink" Target="https://ir.lawnet.fordham.edu/cgi/viewcontent.cgi?article=1680&amp;context=faculty_scholarship" TargetMode="External"/><Relationship Id="rId17" Type="http://schemas.openxmlformats.org/officeDocument/2006/relationships/hyperlink" Target="https://heinonline.org/HOL/LandingPage?handle=hein.journals/calr82&amp;div=40&amp;id=&amp;page=" TargetMode="External"/><Relationship Id="rId16" Type="http://schemas.openxmlformats.org/officeDocument/2006/relationships/hyperlink" Target="https://books.google.co.uk/books?hl=en&amp;lr=&amp;id=9p8oa0wUU1gC&amp;oi=fnd&amp;pg=PR9&amp;dq=is+past+consideration+good+consideration&amp;ots=x3s7rzP_S7&amp;sig=bt_4L6ZOxT5kSSmcm9mAomorpcg&amp;redir_esc=y#v=onepage&amp;q=is%20past%20consideration%20good%20consideration&amp;f=false" TargetMode="Externa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hyperlink" Target="https://www.researchgate.net/profile/Hisham-Tahat/publication/26448997_The_Postal_Acceptance_Rule_in_the_Digital_Age/links/0c960535f516eb58f6000000/The-Postal-Acceptance-Rule-in-the-Digital-Age.pdf" TargetMode="External"/><Relationship Id="rId7" Type="http://schemas.openxmlformats.org/officeDocument/2006/relationships/hyperlink" Target="https://d1wqtxts1xzle7.cloudfront.net/60510088/Catherine_Elliott__Frances_Quinn-Contract_law-Longman_201120190906-47606-12wj4bm-with-cover-page-v2.pdf?Expires=1646256819&amp;Signature=dr3iqJ7VmqhAFNshH53jzD3Xgd5JLS~Wu5QN-HhuWDOXFs8Yld80PGQXGr1U11LGAads2Eh7NkXb~j5s7bQPtg5ciIgsQa3pJkyxgXwiNcD2lxakdtvyKMOGBnye2w4hFzMLVRR7Z0Xs-6pF~PNvC6TJlTdJEk4KdgFIJJHub0sngSiuA4Kpc5Mgk-3LL2-73HZ3NjMC9pRa9Zl6wMeuwkHCNbrDnZFxU3wBlQ0ITtGTfaf5j6bHQExnhLPz5oPR29kWLE3BGm~8zEzePnfpQgn1rhzgJQtXvIefwU5h5ke2VzSvAnfXE43sXyCe9ORVQX3JO07NILNn0LkJQ~whMA__&amp;Key-Pair-Id=APKAJLOHF5GGSLRBV4ZA" TargetMode="External"/><Relationship Id="rId8" Type="http://schemas.openxmlformats.org/officeDocument/2006/relationships/hyperlink" Target="https://www.jstor.org/stable/pdf/13213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