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8BEA868" w14:textId="1F8951AF" w:rsidR="00441812" w:rsidRDefault="00441812">
      <w:pPr>
        <w:rPr>
          <w:rFonts w:ascii="Arial" w:hAnsi="Arial" w:cs="Arial"/>
        </w:rPr>
      </w:pPr>
      <w:r>
        <w:rPr>
          <w:noProof/>
        </w:rPr>
        <w:drawing>
          <wp:inline distT="0" distB="0" distL="0" distR="0" wp14:anchorId="3F77D5A0" wp14:editId="01C51E3D">
            <wp:extent cx="5535615" cy="2085340"/>
            <wp:effectExtent l="133350" t="114300" r="141605" b="143510"/>
            <wp:docPr id="2" name="Picture 1" descr="UNIVERSITY OF WALES TRINITY SAINT DAVID (UWTSD) – Neuron Ed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UWTSD) – Neuron Edu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44763" cy="2088786"/>
                    </a:xfrm>
                    <a:prstGeom prst="rect">
                      <a:avLst/>
                    </a:prstGeom>
                    <a:solidFill>
                      <a:srgbClr val="FFFFFF">
                        <a:shade val="85000"/>
                      </a:srgbClr>
                    </a:solidFill>
                    <a:ln w="88900" cap="sq">
                      <a:solidFill>
                        <a:schemeClr val="tx2"/>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C6F879B" w14:textId="77777777" w:rsidR="002E1091" w:rsidRDefault="002E1091">
      <w:pPr>
        <w:rPr>
          <w:rFonts w:ascii="Arial" w:hAnsi="Arial" w:cs="Arial"/>
        </w:rPr>
      </w:pPr>
    </w:p>
    <w:p w14:paraId="2FE425B8" w14:textId="77777777" w:rsidR="002E1091" w:rsidRDefault="002E1091">
      <w:pPr>
        <w:rPr>
          <w:rFonts w:ascii="Arial" w:hAnsi="Arial" w:cs="Arial"/>
        </w:rPr>
      </w:pPr>
    </w:p>
    <w:p w14:paraId="611BD9F4" w14:textId="7DB1FA81" w:rsidR="004900D2" w:rsidRDefault="00A30447">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7BEBE4CE" wp14:editId="44047F55">
                <wp:simplePos x="0" y="0"/>
                <wp:positionH relativeFrom="margin">
                  <wp:align>left</wp:align>
                </wp:positionH>
                <wp:positionV relativeFrom="paragraph">
                  <wp:posOffset>421640</wp:posOffset>
                </wp:positionV>
                <wp:extent cx="5972175" cy="4124325"/>
                <wp:effectExtent l="0" t="0" r="28575" b="28575"/>
                <wp:wrapSquare wrapText="bothSides"/>
                <wp:docPr id="462051203" name="Text Box 200"/>
                <wp:cNvGraphicFramePr/>
                <a:graphic xmlns:a="http://schemas.openxmlformats.org/drawingml/2006/main">
                  <a:graphicData uri="http://schemas.microsoft.com/office/word/2010/wordprocessingShape">
                    <wps:wsp>
                      <wps:cNvSpPr txBox="1"/>
                      <wps:spPr>
                        <a:xfrm>
                          <a:off x="0" y="0"/>
                          <a:ext cx="5972175" cy="4124325"/>
                        </a:xfrm>
                        <a:prstGeom prst="rect">
                          <a:avLst/>
                        </a:prstGeom>
                        <a:no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14:paraId="43F050B2" w14:textId="376B8021" w:rsidR="004900D2" w:rsidRPr="00A30447" w:rsidRDefault="00FA45AD" w:rsidP="00FA45AD">
                            <w:pPr>
                              <w:shd w:val="clear" w:color="auto" w:fill="F2CEED" w:themeFill="accent5" w:themeFillTint="33"/>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Christine Collins-Mears</w:t>
                            </w:r>
                          </w:p>
                          <w:p w14:paraId="5521C188" w14:textId="06007D06" w:rsidR="00EE6733" w:rsidRPr="00A30447" w:rsidRDefault="00EE6733" w:rsidP="00FA45AD">
                            <w:pPr>
                              <w:shd w:val="clear" w:color="auto" w:fill="F2CEED" w:themeFill="accent5" w:themeFillTint="33"/>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2243935</w:t>
                            </w:r>
                          </w:p>
                          <w:p w14:paraId="05E985D5" w14:textId="6DE1FC9A" w:rsidR="00FA45AD" w:rsidRPr="00BB601A" w:rsidRDefault="00FA45AD" w:rsidP="00FA45AD">
                            <w:pPr>
                              <w:shd w:val="clear" w:color="auto" w:fill="F2CEED" w:themeFill="accent5" w:themeFillTint="33"/>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Int_fK3rqz4o"/>
                            <w:r w:rsidRPr="00BB601A">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w:t>
                            </w:r>
                            <w:r w:rsidR="00EE6733" w:rsidRPr="00BB601A">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 (Hons) Leadership and Management Skills for the Workplace</w:t>
                            </w:r>
                            <w:bookmarkEnd w:id="0"/>
                          </w:p>
                          <w:p w14:paraId="74AA2153" w14:textId="69A40E54" w:rsidR="00FA45AD" w:rsidRPr="00A30447" w:rsidRDefault="00FA45AD" w:rsidP="00FA45AD">
                            <w:pPr>
                              <w:shd w:val="clear" w:color="auto" w:fill="F2CEED" w:themeFill="accent5" w:themeFillTint="33"/>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w:t>
                            </w:r>
                            <w:r w:rsidR="00EE6733"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Leading and Implementing Change</w:t>
                            </w:r>
                          </w:p>
                          <w:p w14:paraId="3FC4143C" w14:textId="2524E85D" w:rsidR="00FA45AD" w:rsidRPr="00A30447" w:rsidRDefault="00FA45AD" w:rsidP="00FA45AD">
                            <w:pPr>
                              <w:shd w:val="clear" w:color="auto" w:fill="F2CEED" w:themeFill="accent5" w:themeFillTint="33"/>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sidR="00EE6733"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LCLM6003</w:t>
                            </w:r>
                          </w:p>
                          <w:p w14:paraId="720A892F" w14:textId="1D70560E" w:rsidR="00EE6733" w:rsidRPr="00A30447" w:rsidRDefault="00EE6733" w:rsidP="00FA45AD">
                            <w:pPr>
                              <w:shd w:val="clear" w:color="auto" w:fill="F2CEED" w:themeFill="accent5" w:themeFillTint="33"/>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Mr Muhammed Tariq</w:t>
                            </w:r>
                          </w:p>
                          <w:p w14:paraId="2CB1AB72" w14:textId="62DF287D" w:rsidR="00FA45AD" w:rsidRPr="00A30447" w:rsidRDefault="00FA45AD" w:rsidP="00FA45AD">
                            <w:pPr>
                              <w:shd w:val="clear" w:color="auto" w:fill="F2CEED" w:themeFill="accent5" w:themeFillTint="33"/>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w:t>
                            </w:r>
                            <w:r w:rsidR="00EE6733"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Strategic Change Plan</w:t>
                            </w:r>
                          </w:p>
                          <w:p w14:paraId="4E6F1FA7" w14:textId="5C749C13" w:rsidR="00FA45AD" w:rsidRPr="00A30447" w:rsidRDefault="00FA45AD" w:rsidP="00FA45AD">
                            <w:pPr>
                              <w:shd w:val="clear" w:color="auto" w:fill="F2CEED" w:themeFill="accent5" w:themeFillTint="33"/>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447">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SUBMISSION DEADLINE:</w:t>
                            </w:r>
                            <w:r w:rsidR="007D6DBD" w:rsidRPr="00A30447">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w:t>
                            </w:r>
                            <w:r w:rsidR="007D6DBD" w:rsidRPr="00A30447">
                              <w:rPr>
                                <w:rFonts w:ascii="Arial" w:hAnsi="Arial" w:cs="Arial"/>
                                <w:b/>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7D6DBD" w:rsidRPr="00A30447">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2025</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EBE4CE" id="_x0000_t202" coordsize="21600,21600" o:spt="202" path="m,l,21600r21600,l21600,xe">
                <v:stroke joinstyle="miter"/>
                <v:path gradientshapeok="t" o:connecttype="rect"/>
              </v:shapetype>
              <v:shape id="Text Box 200" o:spid="_x0000_s1026" type="#_x0000_t202" style="position:absolute;margin-left:0;margin-top:33.2pt;width:470.25pt;height:324.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" filled="f" strokecolor="#0e2841 [3215]" strokeweight=".5pt">
                <v:textbox inset=",7.2pt,,0">
                  <w:txbxContent>
                    <w:p w14:paraId="43F050B2" w14:textId="376B8021" w:rsidR="004900D2" w:rsidRPr="00A30447" w:rsidRDefault="00FA45AD" w:rsidP="00FA45AD">
                      <w:pPr>
                        <w:shd w:val="clear" w:color="auto" w:fill="F2CEED" w:themeFill="accent5" w:themeFillTint="33"/>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Christine Collins-Mears</w:t>
                      </w:r>
                    </w:p>
                    <w:p w14:paraId="5521C188" w14:textId="06007D06" w:rsidR="00EE6733" w:rsidRPr="00A30447" w:rsidRDefault="00EE6733" w:rsidP="00FA45AD">
                      <w:pPr>
                        <w:shd w:val="clear" w:color="auto" w:fill="F2CEED" w:themeFill="accent5" w:themeFillTint="33"/>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2243935</w:t>
                      </w:r>
                    </w:p>
                    <w:p w14:paraId="05E985D5" w14:textId="6DE1FC9A" w:rsidR="00FA45AD" w:rsidRPr="00BB601A" w:rsidRDefault="00FA45AD" w:rsidP="00FA45AD">
                      <w:pPr>
                        <w:shd w:val="clear" w:color="auto" w:fill="F2CEED" w:themeFill="accent5" w:themeFillTint="33"/>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Int_fK3rqz4o"/>
                      <w:r w:rsidRPr="00BB601A">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w:t>
                      </w:r>
                      <w:r w:rsidR="00EE6733" w:rsidRPr="00BB601A">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 (Hons) Leadership and Management Skills for the Workplace</w:t>
                      </w:r>
                      <w:bookmarkEnd w:id="1"/>
                    </w:p>
                    <w:p w14:paraId="74AA2153" w14:textId="69A40E54" w:rsidR="00FA45AD" w:rsidRPr="00A30447" w:rsidRDefault="00FA45AD" w:rsidP="00FA45AD">
                      <w:pPr>
                        <w:shd w:val="clear" w:color="auto" w:fill="F2CEED" w:themeFill="accent5" w:themeFillTint="33"/>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w:t>
                      </w:r>
                      <w:r w:rsidR="00EE6733"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Leading and Implementing Change</w:t>
                      </w:r>
                    </w:p>
                    <w:p w14:paraId="3FC4143C" w14:textId="2524E85D" w:rsidR="00FA45AD" w:rsidRPr="00A30447" w:rsidRDefault="00FA45AD" w:rsidP="00FA45AD">
                      <w:pPr>
                        <w:shd w:val="clear" w:color="auto" w:fill="F2CEED" w:themeFill="accent5" w:themeFillTint="33"/>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sidR="00EE6733"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LCLM6003</w:t>
                      </w:r>
                    </w:p>
                    <w:p w14:paraId="720A892F" w14:textId="1D70560E" w:rsidR="00EE6733" w:rsidRPr="00A30447" w:rsidRDefault="00EE6733" w:rsidP="00FA45AD">
                      <w:pPr>
                        <w:shd w:val="clear" w:color="auto" w:fill="F2CEED" w:themeFill="accent5" w:themeFillTint="33"/>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Mr Muhammed Tariq</w:t>
                      </w:r>
                    </w:p>
                    <w:p w14:paraId="2CB1AB72" w14:textId="62DF287D" w:rsidR="00FA45AD" w:rsidRPr="00A30447" w:rsidRDefault="00FA45AD" w:rsidP="00FA45AD">
                      <w:pPr>
                        <w:shd w:val="clear" w:color="auto" w:fill="F2CEED" w:themeFill="accent5" w:themeFillTint="33"/>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w:t>
                      </w:r>
                      <w:r w:rsidR="00EE6733" w:rsidRPr="00A30447">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Strategic Change Plan</w:t>
                      </w:r>
                    </w:p>
                    <w:p w14:paraId="4E6F1FA7" w14:textId="5C749C13" w:rsidR="00FA45AD" w:rsidRPr="00A30447" w:rsidRDefault="00FA45AD" w:rsidP="00FA45AD">
                      <w:pPr>
                        <w:shd w:val="clear" w:color="auto" w:fill="F2CEED" w:themeFill="accent5" w:themeFillTint="33"/>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447">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SUBMISSION DEADLINE:</w:t>
                      </w:r>
                      <w:r w:rsidR="007D6DBD" w:rsidRPr="00A30447">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w:t>
                      </w:r>
                      <w:r w:rsidR="007D6DBD" w:rsidRPr="00A30447">
                        <w:rPr>
                          <w:rFonts w:ascii="Arial" w:hAnsi="Arial" w:cs="Arial"/>
                          <w:b/>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7D6DBD" w:rsidRPr="00A30447">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2025</w:t>
                      </w:r>
                    </w:p>
                  </w:txbxContent>
                </v:textbox>
                <w10:wrap type="square" anchorx="margin"/>
              </v:shape>
            </w:pict>
          </mc:Fallback>
        </mc:AlternateContent>
      </w:r>
    </w:p>
    <w:p w14:paraId="2B8CB095" w14:textId="38C409BE" w:rsidR="00626BE4" w:rsidRDefault="008C6C21">
      <w:pPr>
        <w:rPr>
          <w:rFonts w:ascii="Arial" w:hAnsi="Arial" w:cs="Arial"/>
        </w:rPr>
      </w:pPr>
      <w:r>
        <w:rPr>
          <w:rFonts w:ascii="Arial" w:hAnsi="Arial" w:cs="Arial"/>
        </w:rPr>
        <w:t xml:space="preserve">                               </w:t>
      </w:r>
    </w:p>
    <w:p w14:paraId="4BE1E13D" w14:textId="77777777" w:rsidR="00504EC6" w:rsidRDefault="0060022D">
      <w:pPr>
        <w:rPr>
          <w:rFonts w:ascii="Arial" w:hAnsi="Arial" w:cs="Arial"/>
        </w:rPr>
        <w:sectPr w:rsidR="00504EC6" w:rsidSect="00772AE2">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pPr>
      <w:r>
        <w:rPr>
          <w:rFonts w:ascii="Arial" w:hAnsi="Arial" w:cs="Arial"/>
        </w:rPr>
        <w:br w:type="page"/>
      </w:r>
    </w:p>
    <w:p w14:paraId="28E266DA" w14:textId="77777777" w:rsidR="008F2F09" w:rsidRPr="008F2F09" w:rsidRDefault="008F2F09" w:rsidP="008F2F09">
      <w:pPr>
        <w:rPr>
          <w:rFonts w:ascii="Arial" w:hAnsi="Arial" w:cs="Arial"/>
          <w:b/>
          <w:bCs/>
          <w:sz w:val="36"/>
          <w:szCs w:val="36"/>
          <w:u w:val="single"/>
        </w:rPr>
      </w:pPr>
      <w:r w:rsidRPr="008F2F09">
        <w:rPr>
          <w:rFonts w:ascii="Arial" w:hAnsi="Arial" w:cs="Arial"/>
          <w:b/>
          <w:bCs/>
          <w:sz w:val="36"/>
          <w:szCs w:val="36"/>
          <w:u w:val="single"/>
        </w:rPr>
        <w:lastRenderedPageBreak/>
        <w:t>Executive Summary</w:t>
      </w:r>
    </w:p>
    <w:p w14:paraId="42082FDC" w14:textId="6984E612" w:rsidR="00101892" w:rsidRDefault="008F2F09" w:rsidP="00C926AE">
      <w:pPr>
        <w:spacing w:line="360" w:lineRule="auto"/>
        <w:rPr>
          <w:rFonts w:ascii="Arial" w:hAnsi="Arial" w:cs="Arial"/>
        </w:rPr>
      </w:pPr>
      <w:r w:rsidRPr="008F2F09">
        <w:rPr>
          <w:rFonts w:ascii="Arial" w:hAnsi="Arial" w:cs="Arial"/>
        </w:rPr>
        <w:t xml:space="preserve">       </w:t>
      </w:r>
      <w:r w:rsidRPr="00BB601A">
        <w:rPr>
          <w:rFonts w:ascii="Arial" w:hAnsi="Arial" w:cs="Arial"/>
        </w:rPr>
        <w:t>This report undertakes a critical examination of strategic change within the John Lewis Partnership</w:t>
      </w:r>
      <w:r w:rsidR="002E1091">
        <w:rPr>
          <w:rFonts w:ascii="Arial" w:hAnsi="Arial" w:cs="Arial"/>
        </w:rPr>
        <w:t xml:space="preserve"> (JLP), a leading UK employee-owned retail organisation facing substantial pressures arising from digital disruption, economic turbulence, and structural changes</w:t>
      </w:r>
      <w:r w:rsidRPr="00BB601A">
        <w:rPr>
          <w:rFonts w:ascii="Arial" w:hAnsi="Arial" w:cs="Arial"/>
        </w:rPr>
        <w:t xml:space="preserve"> within the retail sector.</w:t>
      </w:r>
    </w:p>
    <w:p w14:paraId="18377E60" w14:textId="77777777" w:rsidR="00101892" w:rsidRPr="00101892" w:rsidRDefault="00101892" w:rsidP="00C926AE">
      <w:pPr>
        <w:spacing w:line="360" w:lineRule="auto"/>
        <w:rPr>
          <w:rFonts w:ascii="Arial" w:hAnsi="Arial" w:cs="Arial"/>
        </w:rPr>
      </w:pPr>
      <w:r w:rsidRPr="00101892">
        <w:rPr>
          <w:rFonts w:ascii="Arial" w:hAnsi="Arial" w:cs="Arial"/>
        </w:rPr>
        <w:t>This report examines contemporary issues facing JLP, analyses the relationship between environmental change and organisational capability, and evaluates the nature of change using two established models: Kotter’s (2012) Eight-Step Model and Pettigrew’s (1987) Context–Content–Process Framework. To address the human experience of change, the report also incorporates Russell’s (2003) Journey Through Change.</w:t>
      </w:r>
    </w:p>
    <w:p w14:paraId="23F7E964" w14:textId="77777777" w:rsidR="00101892" w:rsidRPr="00101892" w:rsidRDefault="00101892" w:rsidP="00C926AE">
      <w:pPr>
        <w:spacing w:line="360" w:lineRule="auto"/>
        <w:rPr>
          <w:rFonts w:ascii="Arial" w:hAnsi="Arial" w:cs="Arial"/>
        </w:rPr>
      </w:pPr>
      <w:r w:rsidRPr="00101892">
        <w:rPr>
          <w:rFonts w:ascii="Arial" w:hAnsi="Arial" w:cs="Arial"/>
        </w:rPr>
        <w:t>A strategic change management plan is developed to address technological, organisational, and cultural challenges. The report concludes by outlining how leadership, culture, and structural alignment can enable JLP to achieve sustainable transformation in a rapidly evolving retail environment.</w:t>
      </w:r>
    </w:p>
    <w:p w14:paraId="3D452F62" w14:textId="77777777" w:rsidR="00101892" w:rsidRDefault="00101892" w:rsidP="008F2F09">
      <w:pPr>
        <w:rPr>
          <w:rFonts w:ascii="Arial" w:hAnsi="Arial" w:cs="Arial"/>
        </w:rPr>
      </w:pPr>
    </w:p>
    <w:p w14:paraId="4723B322" w14:textId="77777777" w:rsidR="00101892" w:rsidRDefault="00101892" w:rsidP="008F2F09">
      <w:pPr>
        <w:rPr>
          <w:rFonts w:ascii="Arial" w:hAnsi="Arial" w:cs="Arial"/>
        </w:rPr>
      </w:pPr>
    </w:p>
    <w:p w14:paraId="5D158596" w14:textId="77777777" w:rsidR="00101892" w:rsidRDefault="00101892" w:rsidP="008F2F09">
      <w:pPr>
        <w:rPr>
          <w:rFonts w:ascii="Arial" w:hAnsi="Arial" w:cs="Arial"/>
        </w:rPr>
      </w:pPr>
    </w:p>
    <w:p w14:paraId="1216CA28" w14:textId="32CD5F69" w:rsidR="0060022D" w:rsidRDefault="008F2F09" w:rsidP="009C77A7">
      <w:pPr>
        <w:rPr>
          <w:rFonts w:ascii="Arial" w:hAnsi="Arial" w:cs="Arial"/>
        </w:rPr>
      </w:pPr>
      <w:r w:rsidRPr="00BB601A">
        <w:rPr>
          <w:rFonts w:ascii="Arial" w:hAnsi="Arial" w:cs="Arial"/>
        </w:rPr>
        <w:t xml:space="preserve"> </w:t>
      </w:r>
    </w:p>
    <w:p w14:paraId="01A76253" w14:textId="77777777" w:rsidR="00FE7F46" w:rsidRDefault="00FE7F46" w:rsidP="009C77A7">
      <w:pPr>
        <w:rPr>
          <w:rFonts w:ascii="Arial" w:hAnsi="Arial" w:cs="Arial"/>
        </w:rPr>
      </w:pPr>
    </w:p>
    <w:p w14:paraId="2B13A89D" w14:textId="77777777" w:rsidR="00FE7F46" w:rsidRDefault="00FE7F46" w:rsidP="009C77A7">
      <w:pPr>
        <w:rPr>
          <w:rFonts w:ascii="Arial" w:hAnsi="Arial" w:cs="Arial"/>
        </w:rPr>
      </w:pPr>
    </w:p>
    <w:p w14:paraId="08015ECF" w14:textId="77777777" w:rsidR="00FE7F46" w:rsidRDefault="00FE7F46" w:rsidP="009C77A7">
      <w:pPr>
        <w:rPr>
          <w:rFonts w:ascii="Arial" w:hAnsi="Arial" w:cs="Arial"/>
        </w:rPr>
      </w:pPr>
    </w:p>
    <w:p w14:paraId="65E9A7E9" w14:textId="77777777" w:rsidR="00FE7F46" w:rsidRDefault="00FE7F46" w:rsidP="009C77A7">
      <w:pPr>
        <w:rPr>
          <w:rFonts w:ascii="Arial" w:hAnsi="Arial" w:cs="Arial"/>
        </w:rPr>
      </w:pPr>
    </w:p>
    <w:p w14:paraId="3064D8D1" w14:textId="77777777" w:rsidR="00FE7F46" w:rsidRDefault="00FE7F46" w:rsidP="009C77A7">
      <w:pPr>
        <w:rPr>
          <w:rFonts w:ascii="Arial" w:hAnsi="Arial" w:cs="Arial"/>
        </w:rPr>
      </w:pPr>
    </w:p>
    <w:p w14:paraId="1ED97A72" w14:textId="77777777" w:rsidR="00FE7F46" w:rsidRPr="00BB601A" w:rsidRDefault="00FE7F46" w:rsidP="009C77A7">
      <w:pPr>
        <w:rPr>
          <w:rFonts w:ascii="Arial" w:hAnsi="Arial" w:cs="Arial"/>
        </w:rPr>
      </w:pPr>
    </w:p>
    <w:p w14:paraId="1BA8A559" w14:textId="4EB5BA49" w:rsidR="008C6C21" w:rsidRDefault="00047A12" w:rsidP="008C6C21">
      <w:pPr>
        <w:rPr>
          <w:rFonts w:ascii="Arial" w:hAnsi="Arial" w:cs="Arial"/>
        </w:rPr>
      </w:pPr>
      <w:r w:rsidRPr="00BB601A">
        <w:rPr>
          <w:rFonts w:ascii="Arial" w:hAnsi="Arial" w:cs="Arial"/>
        </w:rPr>
        <w:t xml:space="preserve">               </w:t>
      </w:r>
    </w:p>
    <w:p w14:paraId="2E750F26" w14:textId="77777777" w:rsidR="00FE7F46" w:rsidRPr="00BB601A" w:rsidRDefault="00FE7F46" w:rsidP="008C6C21">
      <w:pPr>
        <w:rPr>
          <w:rFonts w:ascii="Arial" w:hAnsi="Arial" w:cs="Arial"/>
        </w:rPr>
      </w:pPr>
    </w:p>
    <w:sdt>
      <w:sdtPr>
        <w:id w:val="157879170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A43B1D4" w14:textId="2AEE8673" w:rsidR="00CD0C32" w:rsidRDefault="00CD0C32" w:rsidP="008C6C21">
          <w:pPr>
            <w:pStyle w:val="TOCHeading"/>
          </w:pPr>
        </w:p>
        <w:p w14:paraId="504E2DBC" w14:textId="77777777" w:rsidR="008F2F09" w:rsidRDefault="008F2F09" w:rsidP="008F2F09">
          <w:pPr>
            <w:rPr>
              <w:lang w:val="en-US"/>
            </w:rPr>
          </w:pPr>
        </w:p>
        <w:p w14:paraId="663B619C" w14:textId="77777777" w:rsidR="008F2F09" w:rsidRPr="008F2F09" w:rsidRDefault="008F2F09" w:rsidP="008F2F09">
          <w:pPr>
            <w:rPr>
              <w:lang w:val="en-US"/>
            </w:rPr>
          </w:pPr>
        </w:p>
        <w:p w14:paraId="15181C77" w14:textId="3209CEEF" w:rsidR="00CD0C32" w:rsidRDefault="00CD0C32" w:rsidP="00936CFC">
          <w:pPr>
            <w:pStyle w:val="TOCHeading"/>
          </w:pPr>
          <w:r>
            <w:lastRenderedPageBreak/>
            <w:t>Table of Contents</w:t>
          </w:r>
        </w:p>
        <w:p w14:paraId="1E39353E" w14:textId="77777777" w:rsidR="008F2F09" w:rsidRPr="008F2F09" w:rsidRDefault="008F2F09" w:rsidP="008F2F09">
          <w:pPr>
            <w:rPr>
              <w:lang w:val="en-US"/>
            </w:rPr>
          </w:pPr>
        </w:p>
        <w:p w14:paraId="64C1B010" w14:textId="712C9EEC" w:rsidR="00DF7526" w:rsidRDefault="00CD0C32">
          <w:pPr>
            <w:pStyle w:val="TOC1"/>
            <w:rPr>
              <w:rFonts w:asciiTheme="minorHAnsi" w:eastAsiaTheme="minorEastAsia" w:hAnsiTheme="minorHAnsi" w:cstheme="minorBidi"/>
              <w:lang w:eastAsia="en-GB"/>
            </w:rPr>
          </w:pPr>
          <w:r>
            <w:fldChar w:fldCharType="begin"/>
          </w:r>
          <w:r>
            <w:instrText xml:space="preserve"> TOC \o "1-3" \h \z \u </w:instrText>
          </w:r>
          <w:r>
            <w:fldChar w:fldCharType="separate"/>
          </w:r>
          <w:hyperlink w:anchor="_Toc217033559" w:history="1">
            <w:r w:rsidR="00DF7526" w:rsidRPr="00E4404B">
              <w:rPr>
                <w:rStyle w:val="Hyperlink"/>
              </w:rPr>
              <w:t>1. Introduction</w:t>
            </w:r>
            <w:r w:rsidR="00DF7526">
              <w:rPr>
                <w:webHidden/>
              </w:rPr>
              <w:tab/>
            </w:r>
            <w:r w:rsidR="00DF7526">
              <w:rPr>
                <w:webHidden/>
              </w:rPr>
              <w:fldChar w:fldCharType="begin"/>
            </w:r>
            <w:r w:rsidR="00DF7526">
              <w:rPr>
                <w:webHidden/>
              </w:rPr>
              <w:instrText xml:space="preserve"> PAGEREF _Toc217033559 \h </w:instrText>
            </w:r>
            <w:r w:rsidR="00DF7526">
              <w:rPr>
                <w:webHidden/>
              </w:rPr>
            </w:r>
            <w:r w:rsidR="00DF7526">
              <w:rPr>
                <w:webHidden/>
              </w:rPr>
              <w:fldChar w:fldCharType="separate"/>
            </w:r>
            <w:r w:rsidR="00DF7526">
              <w:rPr>
                <w:webHidden/>
              </w:rPr>
              <w:t>1</w:t>
            </w:r>
            <w:r w:rsidR="00DF7526">
              <w:rPr>
                <w:webHidden/>
              </w:rPr>
              <w:fldChar w:fldCharType="end"/>
            </w:r>
          </w:hyperlink>
        </w:p>
        <w:p w14:paraId="758C5064" w14:textId="561C7881" w:rsidR="00DF7526" w:rsidRDefault="00DF7526">
          <w:pPr>
            <w:pStyle w:val="TOC1"/>
            <w:rPr>
              <w:rFonts w:asciiTheme="minorHAnsi" w:eastAsiaTheme="minorEastAsia" w:hAnsiTheme="minorHAnsi" w:cstheme="minorBidi"/>
              <w:lang w:eastAsia="en-GB"/>
            </w:rPr>
          </w:pPr>
          <w:hyperlink w:anchor="_Toc217033560" w:history="1">
            <w:r w:rsidRPr="00E4404B">
              <w:rPr>
                <w:rStyle w:val="Hyperlink"/>
              </w:rPr>
              <w:t>2. Environmental Analysis and Contemporary Issues Affecting John Lewis Partnership</w:t>
            </w:r>
            <w:r>
              <w:rPr>
                <w:webHidden/>
              </w:rPr>
              <w:tab/>
            </w:r>
            <w:r>
              <w:rPr>
                <w:webHidden/>
              </w:rPr>
              <w:fldChar w:fldCharType="begin"/>
            </w:r>
            <w:r>
              <w:rPr>
                <w:webHidden/>
              </w:rPr>
              <w:instrText xml:space="preserve"> PAGEREF _Toc217033560 \h </w:instrText>
            </w:r>
            <w:r>
              <w:rPr>
                <w:webHidden/>
              </w:rPr>
            </w:r>
            <w:r>
              <w:rPr>
                <w:webHidden/>
              </w:rPr>
              <w:fldChar w:fldCharType="separate"/>
            </w:r>
            <w:r>
              <w:rPr>
                <w:webHidden/>
              </w:rPr>
              <w:t>1</w:t>
            </w:r>
            <w:r>
              <w:rPr>
                <w:webHidden/>
              </w:rPr>
              <w:fldChar w:fldCharType="end"/>
            </w:r>
          </w:hyperlink>
        </w:p>
        <w:p w14:paraId="22F512D4" w14:textId="68F472A7" w:rsidR="00DF7526" w:rsidRDefault="00DF7526">
          <w:pPr>
            <w:pStyle w:val="TOC2"/>
            <w:tabs>
              <w:tab w:val="right" w:leader="dot" w:pos="9016"/>
            </w:tabs>
            <w:rPr>
              <w:rFonts w:eastAsiaTheme="minorEastAsia"/>
              <w:noProof/>
              <w:lang w:eastAsia="en-GB"/>
            </w:rPr>
          </w:pPr>
          <w:hyperlink w:anchor="_Toc217033561" w:history="1">
            <w:r w:rsidRPr="00E4404B">
              <w:rPr>
                <w:rStyle w:val="Hyperlink"/>
                <w:bCs/>
                <w:noProof/>
              </w:rPr>
              <w:t>2.1 Political and Regulatory Factors</w:t>
            </w:r>
            <w:r>
              <w:rPr>
                <w:noProof/>
                <w:webHidden/>
              </w:rPr>
              <w:tab/>
            </w:r>
            <w:r>
              <w:rPr>
                <w:noProof/>
                <w:webHidden/>
              </w:rPr>
              <w:fldChar w:fldCharType="begin"/>
            </w:r>
            <w:r>
              <w:rPr>
                <w:noProof/>
                <w:webHidden/>
              </w:rPr>
              <w:instrText xml:space="preserve"> PAGEREF _Toc217033561 \h </w:instrText>
            </w:r>
            <w:r>
              <w:rPr>
                <w:noProof/>
                <w:webHidden/>
              </w:rPr>
            </w:r>
            <w:r>
              <w:rPr>
                <w:noProof/>
                <w:webHidden/>
              </w:rPr>
              <w:fldChar w:fldCharType="separate"/>
            </w:r>
            <w:r>
              <w:rPr>
                <w:noProof/>
                <w:webHidden/>
              </w:rPr>
              <w:t>2</w:t>
            </w:r>
            <w:r>
              <w:rPr>
                <w:noProof/>
                <w:webHidden/>
              </w:rPr>
              <w:fldChar w:fldCharType="end"/>
            </w:r>
          </w:hyperlink>
        </w:p>
        <w:p w14:paraId="2EE0044A" w14:textId="05B5C957" w:rsidR="00DF7526" w:rsidRDefault="00DF7526">
          <w:pPr>
            <w:pStyle w:val="TOC2"/>
            <w:tabs>
              <w:tab w:val="right" w:leader="dot" w:pos="9016"/>
            </w:tabs>
            <w:rPr>
              <w:rFonts w:eastAsiaTheme="minorEastAsia"/>
              <w:noProof/>
              <w:lang w:eastAsia="en-GB"/>
            </w:rPr>
          </w:pPr>
          <w:hyperlink w:anchor="_Toc217033562" w:history="1">
            <w:r w:rsidRPr="00E4404B">
              <w:rPr>
                <w:rStyle w:val="Hyperlink"/>
                <w:noProof/>
              </w:rPr>
              <w:t>2.2 Economic Pressures</w:t>
            </w:r>
            <w:r>
              <w:rPr>
                <w:noProof/>
                <w:webHidden/>
              </w:rPr>
              <w:tab/>
            </w:r>
            <w:r>
              <w:rPr>
                <w:noProof/>
                <w:webHidden/>
              </w:rPr>
              <w:fldChar w:fldCharType="begin"/>
            </w:r>
            <w:r>
              <w:rPr>
                <w:noProof/>
                <w:webHidden/>
              </w:rPr>
              <w:instrText xml:space="preserve"> PAGEREF _Toc217033562 \h </w:instrText>
            </w:r>
            <w:r>
              <w:rPr>
                <w:noProof/>
                <w:webHidden/>
              </w:rPr>
            </w:r>
            <w:r>
              <w:rPr>
                <w:noProof/>
                <w:webHidden/>
              </w:rPr>
              <w:fldChar w:fldCharType="separate"/>
            </w:r>
            <w:r>
              <w:rPr>
                <w:noProof/>
                <w:webHidden/>
              </w:rPr>
              <w:t>2</w:t>
            </w:r>
            <w:r>
              <w:rPr>
                <w:noProof/>
                <w:webHidden/>
              </w:rPr>
              <w:fldChar w:fldCharType="end"/>
            </w:r>
          </w:hyperlink>
        </w:p>
        <w:p w14:paraId="63116A57" w14:textId="6FB6B8DB" w:rsidR="00DF7526" w:rsidRDefault="00DF7526">
          <w:pPr>
            <w:pStyle w:val="TOC2"/>
            <w:tabs>
              <w:tab w:val="right" w:leader="dot" w:pos="9016"/>
            </w:tabs>
            <w:rPr>
              <w:rFonts w:eastAsiaTheme="minorEastAsia"/>
              <w:noProof/>
              <w:lang w:eastAsia="en-GB"/>
            </w:rPr>
          </w:pPr>
          <w:hyperlink w:anchor="_Toc217033563" w:history="1">
            <w:r w:rsidRPr="00E4404B">
              <w:rPr>
                <w:rStyle w:val="Hyperlink"/>
                <w:noProof/>
              </w:rPr>
              <w:t>2.3 Social and Demographic Shifts</w:t>
            </w:r>
            <w:r>
              <w:rPr>
                <w:noProof/>
                <w:webHidden/>
              </w:rPr>
              <w:tab/>
            </w:r>
            <w:r>
              <w:rPr>
                <w:noProof/>
                <w:webHidden/>
              </w:rPr>
              <w:fldChar w:fldCharType="begin"/>
            </w:r>
            <w:r>
              <w:rPr>
                <w:noProof/>
                <w:webHidden/>
              </w:rPr>
              <w:instrText xml:space="preserve"> PAGEREF _Toc217033563 \h </w:instrText>
            </w:r>
            <w:r>
              <w:rPr>
                <w:noProof/>
                <w:webHidden/>
              </w:rPr>
            </w:r>
            <w:r>
              <w:rPr>
                <w:noProof/>
                <w:webHidden/>
              </w:rPr>
              <w:fldChar w:fldCharType="separate"/>
            </w:r>
            <w:r>
              <w:rPr>
                <w:noProof/>
                <w:webHidden/>
              </w:rPr>
              <w:t>2</w:t>
            </w:r>
            <w:r>
              <w:rPr>
                <w:noProof/>
                <w:webHidden/>
              </w:rPr>
              <w:fldChar w:fldCharType="end"/>
            </w:r>
          </w:hyperlink>
        </w:p>
        <w:p w14:paraId="2E29752E" w14:textId="2A54A47C" w:rsidR="00DF7526" w:rsidRDefault="00DF7526">
          <w:pPr>
            <w:pStyle w:val="TOC2"/>
            <w:tabs>
              <w:tab w:val="right" w:leader="dot" w:pos="9016"/>
            </w:tabs>
            <w:rPr>
              <w:rFonts w:eastAsiaTheme="minorEastAsia"/>
              <w:noProof/>
              <w:lang w:eastAsia="en-GB"/>
            </w:rPr>
          </w:pPr>
          <w:hyperlink w:anchor="_Toc217033564" w:history="1">
            <w:r w:rsidRPr="00E4404B">
              <w:rPr>
                <w:rStyle w:val="Hyperlink"/>
                <w:noProof/>
              </w:rPr>
              <w:t>2.4 Technological Disruption</w:t>
            </w:r>
            <w:r>
              <w:rPr>
                <w:noProof/>
                <w:webHidden/>
              </w:rPr>
              <w:tab/>
            </w:r>
            <w:r>
              <w:rPr>
                <w:noProof/>
                <w:webHidden/>
              </w:rPr>
              <w:fldChar w:fldCharType="begin"/>
            </w:r>
            <w:r>
              <w:rPr>
                <w:noProof/>
                <w:webHidden/>
              </w:rPr>
              <w:instrText xml:space="preserve"> PAGEREF _Toc217033564 \h </w:instrText>
            </w:r>
            <w:r>
              <w:rPr>
                <w:noProof/>
                <w:webHidden/>
              </w:rPr>
            </w:r>
            <w:r>
              <w:rPr>
                <w:noProof/>
                <w:webHidden/>
              </w:rPr>
              <w:fldChar w:fldCharType="separate"/>
            </w:r>
            <w:r>
              <w:rPr>
                <w:noProof/>
                <w:webHidden/>
              </w:rPr>
              <w:t>2</w:t>
            </w:r>
            <w:r>
              <w:rPr>
                <w:noProof/>
                <w:webHidden/>
              </w:rPr>
              <w:fldChar w:fldCharType="end"/>
            </w:r>
          </w:hyperlink>
        </w:p>
        <w:p w14:paraId="07813CEE" w14:textId="336E478C" w:rsidR="00DF7526" w:rsidRDefault="00DF7526">
          <w:pPr>
            <w:pStyle w:val="TOC2"/>
            <w:tabs>
              <w:tab w:val="right" w:leader="dot" w:pos="9016"/>
            </w:tabs>
            <w:rPr>
              <w:rFonts w:eastAsiaTheme="minorEastAsia"/>
              <w:noProof/>
              <w:lang w:eastAsia="en-GB"/>
            </w:rPr>
          </w:pPr>
          <w:hyperlink w:anchor="_Toc217033565" w:history="1">
            <w:r w:rsidRPr="00E4404B">
              <w:rPr>
                <w:rStyle w:val="Hyperlink"/>
                <w:noProof/>
              </w:rPr>
              <w:t>2.5 Legal Requirements</w:t>
            </w:r>
            <w:r>
              <w:rPr>
                <w:noProof/>
                <w:webHidden/>
              </w:rPr>
              <w:tab/>
            </w:r>
            <w:r>
              <w:rPr>
                <w:noProof/>
                <w:webHidden/>
              </w:rPr>
              <w:fldChar w:fldCharType="begin"/>
            </w:r>
            <w:r>
              <w:rPr>
                <w:noProof/>
                <w:webHidden/>
              </w:rPr>
              <w:instrText xml:space="preserve"> PAGEREF _Toc217033565 \h </w:instrText>
            </w:r>
            <w:r>
              <w:rPr>
                <w:noProof/>
                <w:webHidden/>
              </w:rPr>
            </w:r>
            <w:r>
              <w:rPr>
                <w:noProof/>
                <w:webHidden/>
              </w:rPr>
              <w:fldChar w:fldCharType="separate"/>
            </w:r>
            <w:r>
              <w:rPr>
                <w:noProof/>
                <w:webHidden/>
              </w:rPr>
              <w:t>3</w:t>
            </w:r>
            <w:r>
              <w:rPr>
                <w:noProof/>
                <w:webHidden/>
              </w:rPr>
              <w:fldChar w:fldCharType="end"/>
            </w:r>
          </w:hyperlink>
        </w:p>
        <w:p w14:paraId="040B3A6D" w14:textId="3DA5ED55" w:rsidR="00DF7526" w:rsidRDefault="00DF7526">
          <w:pPr>
            <w:pStyle w:val="TOC2"/>
            <w:tabs>
              <w:tab w:val="right" w:leader="dot" w:pos="9016"/>
            </w:tabs>
            <w:rPr>
              <w:rFonts w:eastAsiaTheme="minorEastAsia"/>
              <w:noProof/>
              <w:lang w:eastAsia="en-GB"/>
            </w:rPr>
          </w:pPr>
          <w:hyperlink w:anchor="_Toc217033566" w:history="1">
            <w:r w:rsidRPr="00E4404B">
              <w:rPr>
                <w:rStyle w:val="Hyperlink"/>
                <w:noProof/>
              </w:rPr>
              <w:t>2.6 Environmental Expectations</w:t>
            </w:r>
            <w:r>
              <w:rPr>
                <w:noProof/>
                <w:webHidden/>
              </w:rPr>
              <w:tab/>
            </w:r>
            <w:r>
              <w:rPr>
                <w:noProof/>
                <w:webHidden/>
              </w:rPr>
              <w:fldChar w:fldCharType="begin"/>
            </w:r>
            <w:r>
              <w:rPr>
                <w:noProof/>
                <w:webHidden/>
              </w:rPr>
              <w:instrText xml:space="preserve"> PAGEREF _Toc217033566 \h </w:instrText>
            </w:r>
            <w:r>
              <w:rPr>
                <w:noProof/>
                <w:webHidden/>
              </w:rPr>
            </w:r>
            <w:r>
              <w:rPr>
                <w:noProof/>
                <w:webHidden/>
              </w:rPr>
              <w:fldChar w:fldCharType="separate"/>
            </w:r>
            <w:r>
              <w:rPr>
                <w:noProof/>
                <w:webHidden/>
              </w:rPr>
              <w:t>3</w:t>
            </w:r>
            <w:r>
              <w:rPr>
                <w:noProof/>
                <w:webHidden/>
              </w:rPr>
              <w:fldChar w:fldCharType="end"/>
            </w:r>
          </w:hyperlink>
        </w:p>
        <w:p w14:paraId="3DCD1168" w14:textId="7B650717" w:rsidR="00DF7526" w:rsidRDefault="00DF7526">
          <w:pPr>
            <w:pStyle w:val="TOC2"/>
            <w:tabs>
              <w:tab w:val="right" w:leader="dot" w:pos="9016"/>
            </w:tabs>
            <w:rPr>
              <w:rFonts w:eastAsiaTheme="minorEastAsia"/>
              <w:noProof/>
              <w:lang w:eastAsia="en-GB"/>
            </w:rPr>
          </w:pPr>
          <w:hyperlink w:anchor="_Toc217033567" w:history="1">
            <w:r w:rsidRPr="00E4404B">
              <w:rPr>
                <w:rStyle w:val="Hyperlink"/>
                <w:noProof/>
              </w:rPr>
              <w:t>2.7 Internal Environment and Organisational Capability</w:t>
            </w:r>
            <w:r>
              <w:rPr>
                <w:noProof/>
                <w:webHidden/>
              </w:rPr>
              <w:tab/>
            </w:r>
            <w:r>
              <w:rPr>
                <w:noProof/>
                <w:webHidden/>
              </w:rPr>
              <w:fldChar w:fldCharType="begin"/>
            </w:r>
            <w:r>
              <w:rPr>
                <w:noProof/>
                <w:webHidden/>
              </w:rPr>
              <w:instrText xml:space="preserve"> PAGEREF _Toc217033567 \h </w:instrText>
            </w:r>
            <w:r>
              <w:rPr>
                <w:noProof/>
                <w:webHidden/>
              </w:rPr>
            </w:r>
            <w:r>
              <w:rPr>
                <w:noProof/>
                <w:webHidden/>
              </w:rPr>
              <w:fldChar w:fldCharType="separate"/>
            </w:r>
            <w:r>
              <w:rPr>
                <w:noProof/>
                <w:webHidden/>
              </w:rPr>
              <w:t>3</w:t>
            </w:r>
            <w:r>
              <w:rPr>
                <w:noProof/>
                <w:webHidden/>
              </w:rPr>
              <w:fldChar w:fldCharType="end"/>
            </w:r>
          </w:hyperlink>
        </w:p>
        <w:p w14:paraId="7F21AA41" w14:textId="0EC233F3" w:rsidR="00DF7526" w:rsidRDefault="00DF7526">
          <w:pPr>
            <w:pStyle w:val="TOC2"/>
            <w:tabs>
              <w:tab w:val="right" w:leader="dot" w:pos="9016"/>
            </w:tabs>
            <w:rPr>
              <w:rFonts w:eastAsiaTheme="minorEastAsia"/>
              <w:noProof/>
              <w:lang w:eastAsia="en-GB"/>
            </w:rPr>
          </w:pPr>
          <w:hyperlink w:anchor="_Toc217033568" w:history="1">
            <w:r w:rsidRPr="00E4404B">
              <w:rPr>
                <w:rStyle w:val="Hyperlink"/>
                <w:noProof/>
              </w:rPr>
              <w:t>2.8 Environmental Change and Organisational Capability</w:t>
            </w:r>
            <w:r>
              <w:rPr>
                <w:noProof/>
                <w:webHidden/>
              </w:rPr>
              <w:tab/>
            </w:r>
            <w:r>
              <w:rPr>
                <w:noProof/>
                <w:webHidden/>
              </w:rPr>
              <w:fldChar w:fldCharType="begin"/>
            </w:r>
            <w:r>
              <w:rPr>
                <w:noProof/>
                <w:webHidden/>
              </w:rPr>
              <w:instrText xml:space="preserve"> PAGEREF _Toc217033568 \h </w:instrText>
            </w:r>
            <w:r>
              <w:rPr>
                <w:noProof/>
                <w:webHidden/>
              </w:rPr>
            </w:r>
            <w:r>
              <w:rPr>
                <w:noProof/>
                <w:webHidden/>
              </w:rPr>
              <w:fldChar w:fldCharType="separate"/>
            </w:r>
            <w:r>
              <w:rPr>
                <w:noProof/>
                <w:webHidden/>
              </w:rPr>
              <w:t>4</w:t>
            </w:r>
            <w:r>
              <w:rPr>
                <w:noProof/>
                <w:webHidden/>
              </w:rPr>
              <w:fldChar w:fldCharType="end"/>
            </w:r>
          </w:hyperlink>
        </w:p>
        <w:p w14:paraId="498D79E5" w14:textId="494DD356" w:rsidR="00DF7526" w:rsidRDefault="00DF7526">
          <w:pPr>
            <w:pStyle w:val="TOC1"/>
            <w:rPr>
              <w:rFonts w:asciiTheme="minorHAnsi" w:eastAsiaTheme="minorEastAsia" w:hAnsiTheme="minorHAnsi" w:cstheme="minorBidi"/>
              <w:lang w:eastAsia="en-GB"/>
            </w:rPr>
          </w:pPr>
          <w:hyperlink w:anchor="_Toc217033569" w:history="1">
            <w:r w:rsidRPr="00E4404B">
              <w:rPr>
                <w:rStyle w:val="Hyperlink"/>
              </w:rPr>
              <w:t>3. EVALUATION OF CHANGE MANAGEMENT MODELS</w:t>
            </w:r>
            <w:r>
              <w:rPr>
                <w:webHidden/>
              </w:rPr>
              <w:tab/>
            </w:r>
            <w:r>
              <w:rPr>
                <w:webHidden/>
              </w:rPr>
              <w:fldChar w:fldCharType="begin"/>
            </w:r>
            <w:r>
              <w:rPr>
                <w:webHidden/>
              </w:rPr>
              <w:instrText xml:space="preserve"> PAGEREF _Toc217033569 \h </w:instrText>
            </w:r>
            <w:r>
              <w:rPr>
                <w:webHidden/>
              </w:rPr>
            </w:r>
            <w:r>
              <w:rPr>
                <w:webHidden/>
              </w:rPr>
              <w:fldChar w:fldCharType="separate"/>
            </w:r>
            <w:r>
              <w:rPr>
                <w:webHidden/>
              </w:rPr>
              <w:t>4</w:t>
            </w:r>
            <w:r>
              <w:rPr>
                <w:webHidden/>
              </w:rPr>
              <w:fldChar w:fldCharType="end"/>
            </w:r>
          </w:hyperlink>
        </w:p>
        <w:p w14:paraId="538A30D0" w14:textId="36F178F0" w:rsidR="00DF7526" w:rsidRDefault="00DF7526">
          <w:pPr>
            <w:pStyle w:val="TOC2"/>
            <w:tabs>
              <w:tab w:val="right" w:leader="dot" w:pos="9016"/>
            </w:tabs>
            <w:rPr>
              <w:rFonts w:eastAsiaTheme="minorEastAsia"/>
              <w:noProof/>
              <w:lang w:eastAsia="en-GB"/>
            </w:rPr>
          </w:pPr>
          <w:hyperlink w:anchor="_Toc217033570" w:history="1">
            <w:r w:rsidRPr="00E4404B">
              <w:rPr>
                <w:rStyle w:val="Hyperlink"/>
                <w:noProof/>
              </w:rPr>
              <w:t>Table 1: Russell (2003) – Journey Through Change: Stages and Actions</w:t>
            </w:r>
            <w:r>
              <w:rPr>
                <w:noProof/>
                <w:webHidden/>
              </w:rPr>
              <w:tab/>
            </w:r>
            <w:r>
              <w:rPr>
                <w:noProof/>
                <w:webHidden/>
              </w:rPr>
              <w:fldChar w:fldCharType="begin"/>
            </w:r>
            <w:r>
              <w:rPr>
                <w:noProof/>
                <w:webHidden/>
              </w:rPr>
              <w:instrText xml:space="preserve"> PAGEREF _Toc217033570 \h </w:instrText>
            </w:r>
            <w:r>
              <w:rPr>
                <w:noProof/>
                <w:webHidden/>
              </w:rPr>
            </w:r>
            <w:r>
              <w:rPr>
                <w:noProof/>
                <w:webHidden/>
              </w:rPr>
              <w:fldChar w:fldCharType="separate"/>
            </w:r>
            <w:r>
              <w:rPr>
                <w:noProof/>
                <w:webHidden/>
              </w:rPr>
              <w:t>6</w:t>
            </w:r>
            <w:r>
              <w:rPr>
                <w:noProof/>
                <w:webHidden/>
              </w:rPr>
              <w:fldChar w:fldCharType="end"/>
            </w:r>
          </w:hyperlink>
        </w:p>
        <w:p w14:paraId="777F879B" w14:textId="2A7814CE" w:rsidR="00DF7526" w:rsidRDefault="00DF7526">
          <w:pPr>
            <w:pStyle w:val="TOC1"/>
            <w:rPr>
              <w:rFonts w:asciiTheme="minorHAnsi" w:eastAsiaTheme="minorEastAsia" w:hAnsiTheme="minorHAnsi" w:cstheme="minorBidi"/>
              <w:lang w:eastAsia="en-GB"/>
            </w:rPr>
          </w:pPr>
          <w:hyperlink w:anchor="_Toc217033571" w:history="1">
            <w:r w:rsidRPr="00E4404B">
              <w:rPr>
                <w:rStyle w:val="Hyperlink"/>
              </w:rPr>
              <w:t>4. LEADERSHIP, ORGANISATIONAL CULTURE, AND CHANGE EXECUTION AT JOHN LEWIS PARTNERSHIP</w:t>
            </w:r>
            <w:r>
              <w:rPr>
                <w:webHidden/>
              </w:rPr>
              <w:tab/>
            </w:r>
            <w:r>
              <w:rPr>
                <w:webHidden/>
              </w:rPr>
              <w:fldChar w:fldCharType="begin"/>
            </w:r>
            <w:r>
              <w:rPr>
                <w:webHidden/>
              </w:rPr>
              <w:instrText xml:space="preserve"> PAGEREF _Toc217033571 \h </w:instrText>
            </w:r>
            <w:r>
              <w:rPr>
                <w:webHidden/>
              </w:rPr>
            </w:r>
            <w:r>
              <w:rPr>
                <w:webHidden/>
              </w:rPr>
              <w:fldChar w:fldCharType="separate"/>
            </w:r>
            <w:r>
              <w:rPr>
                <w:webHidden/>
              </w:rPr>
              <w:t>8</w:t>
            </w:r>
            <w:r>
              <w:rPr>
                <w:webHidden/>
              </w:rPr>
              <w:fldChar w:fldCharType="end"/>
            </w:r>
          </w:hyperlink>
        </w:p>
        <w:p w14:paraId="728242A9" w14:textId="60142529" w:rsidR="00DF7526" w:rsidRDefault="00DF7526">
          <w:pPr>
            <w:pStyle w:val="TOC1"/>
            <w:rPr>
              <w:rFonts w:asciiTheme="minorHAnsi" w:eastAsiaTheme="minorEastAsia" w:hAnsiTheme="minorHAnsi" w:cstheme="minorBidi"/>
              <w:lang w:eastAsia="en-GB"/>
            </w:rPr>
          </w:pPr>
          <w:hyperlink w:anchor="_Toc217033572" w:history="1">
            <w:r w:rsidRPr="00E4404B">
              <w:rPr>
                <w:rStyle w:val="Hyperlink"/>
              </w:rPr>
              <w:t>5. STRATEGIC CHANGE MANAGEMENT PLAN FOR THE JOHN LEWIS PARTNERSHIP</w:t>
            </w:r>
            <w:r>
              <w:rPr>
                <w:webHidden/>
              </w:rPr>
              <w:tab/>
            </w:r>
            <w:r>
              <w:rPr>
                <w:webHidden/>
              </w:rPr>
              <w:fldChar w:fldCharType="begin"/>
            </w:r>
            <w:r>
              <w:rPr>
                <w:webHidden/>
              </w:rPr>
              <w:instrText xml:space="preserve"> PAGEREF _Toc217033572 \h </w:instrText>
            </w:r>
            <w:r>
              <w:rPr>
                <w:webHidden/>
              </w:rPr>
            </w:r>
            <w:r>
              <w:rPr>
                <w:webHidden/>
              </w:rPr>
              <w:fldChar w:fldCharType="separate"/>
            </w:r>
            <w:r>
              <w:rPr>
                <w:webHidden/>
              </w:rPr>
              <w:t>9</w:t>
            </w:r>
            <w:r>
              <w:rPr>
                <w:webHidden/>
              </w:rPr>
              <w:fldChar w:fldCharType="end"/>
            </w:r>
          </w:hyperlink>
        </w:p>
        <w:p w14:paraId="0A444941" w14:textId="2D91C936" w:rsidR="00DF7526" w:rsidRDefault="00DF7526">
          <w:pPr>
            <w:pStyle w:val="TOC2"/>
            <w:tabs>
              <w:tab w:val="right" w:leader="dot" w:pos="9016"/>
            </w:tabs>
            <w:rPr>
              <w:rFonts w:eastAsiaTheme="minorEastAsia"/>
              <w:noProof/>
              <w:lang w:eastAsia="en-GB"/>
            </w:rPr>
          </w:pPr>
          <w:hyperlink w:anchor="_Toc217033573" w:history="1">
            <w:r w:rsidRPr="00E4404B">
              <w:rPr>
                <w:rStyle w:val="Hyperlink"/>
                <w:noProof/>
              </w:rPr>
              <w:t>5.1 Strategic Direction and Proposed Change</w:t>
            </w:r>
            <w:r>
              <w:rPr>
                <w:noProof/>
                <w:webHidden/>
              </w:rPr>
              <w:tab/>
            </w:r>
            <w:r>
              <w:rPr>
                <w:noProof/>
                <w:webHidden/>
              </w:rPr>
              <w:fldChar w:fldCharType="begin"/>
            </w:r>
            <w:r>
              <w:rPr>
                <w:noProof/>
                <w:webHidden/>
              </w:rPr>
              <w:instrText xml:space="preserve"> PAGEREF _Toc217033573 \h </w:instrText>
            </w:r>
            <w:r>
              <w:rPr>
                <w:noProof/>
                <w:webHidden/>
              </w:rPr>
            </w:r>
            <w:r>
              <w:rPr>
                <w:noProof/>
                <w:webHidden/>
              </w:rPr>
              <w:fldChar w:fldCharType="separate"/>
            </w:r>
            <w:r>
              <w:rPr>
                <w:noProof/>
                <w:webHidden/>
              </w:rPr>
              <w:t>10</w:t>
            </w:r>
            <w:r>
              <w:rPr>
                <w:noProof/>
                <w:webHidden/>
              </w:rPr>
              <w:fldChar w:fldCharType="end"/>
            </w:r>
          </w:hyperlink>
        </w:p>
        <w:p w14:paraId="78BAFFD4" w14:textId="6AC0D62D" w:rsidR="00DF7526" w:rsidRDefault="00DF7526">
          <w:pPr>
            <w:pStyle w:val="TOC2"/>
            <w:tabs>
              <w:tab w:val="right" w:leader="dot" w:pos="9016"/>
            </w:tabs>
            <w:rPr>
              <w:rFonts w:eastAsiaTheme="minorEastAsia"/>
              <w:noProof/>
              <w:lang w:eastAsia="en-GB"/>
            </w:rPr>
          </w:pPr>
          <w:hyperlink w:anchor="_Toc217033574" w:history="1">
            <w:r w:rsidRPr="00E4404B">
              <w:rPr>
                <w:rStyle w:val="Hyperlink"/>
                <w:noProof/>
              </w:rPr>
              <w:t>5.2 Strategic Objectives</w:t>
            </w:r>
            <w:r>
              <w:rPr>
                <w:noProof/>
                <w:webHidden/>
              </w:rPr>
              <w:tab/>
            </w:r>
            <w:r>
              <w:rPr>
                <w:noProof/>
                <w:webHidden/>
              </w:rPr>
              <w:fldChar w:fldCharType="begin"/>
            </w:r>
            <w:r>
              <w:rPr>
                <w:noProof/>
                <w:webHidden/>
              </w:rPr>
              <w:instrText xml:space="preserve"> PAGEREF _Toc217033574 \h </w:instrText>
            </w:r>
            <w:r>
              <w:rPr>
                <w:noProof/>
                <w:webHidden/>
              </w:rPr>
            </w:r>
            <w:r>
              <w:rPr>
                <w:noProof/>
                <w:webHidden/>
              </w:rPr>
              <w:fldChar w:fldCharType="separate"/>
            </w:r>
            <w:r>
              <w:rPr>
                <w:noProof/>
                <w:webHidden/>
              </w:rPr>
              <w:t>10</w:t>
            </w:r>
            <w:r>
              <w:rPr>
                <w:noProof/>
                <w:webHidden/>
              </w:rPr>
              <w:fldChar w:fldCharType="end"/>
            </w:r>
          </w:hyperlink>
        </w:p>
        <w:p w14:paraId="38F55137" w14:textId="3863C4D8" w:rsidR="00DF7526" w:rsidRDefault="00DF7526">
          <w:pPr>
            <w:pStyle w:val="TOC2"/>
            <w:tabs>
              <w:tab w:val="right" w:leader="dot" w:pos="9016"/>
            </w:tabs>
            <w:rPr>
              <w:rFonts w:eastAsiaTheme="minorEastAsia"/>
              <w:noProof/>
              <w:lang w:eastAsia="en-GB"/>
            </w:rPr>
          </w:pPr>
          <w:hyperlink w:anchor="_Toc217033575" w:history="1">
            <w:r w:rsidRPr="00E4404B">
              <w:rPr>
                <w:rStyle w:val="Hyperlink"/>
                <w:noProof/>
              </w:rPr>
              <w:t>5.3 Applying Kotter’s Eight Steps to the JLP Transformation</w:t>
            </w:r>
            <w:r>
              <w:rPr>
                <w:noProof/>
                <w:webHidden/>
              </w:rPr>
              <w:tab/>
            </w:r>
            <w:r>
              <w:rPr>
                <w:noProof/>
                <w:webHidden/>
              </w:rPr>
              <w:fldChar w:fldCharType="begin"/>
            </w:r>
            <w:r>
              <w:rPr>
                <w:noProof/>
                <w:webHidden/>
              </w:rPr>
              <w:instrText xml:space="preserve"> PAGEREF _Toc217033575 \h </w:instrText>
            </w:r>
            <w:r>
              <w:rPr>
                <w:noProof/>
                <w:webHidden/>
              </w:rPr>
            </w:r>
            <w:r>
              <w:rPr>
                <w:noProof/>
                <w:webHidden/>
              </w:rPr>
              <w:fldChar w:fldCharType="separate"/>
            </w:r>
            <w:r>
              <w:rPr>
                <w:noProof/>
                <w:webHidden/>
              </w:rPr>
              <w:t>11</w:t>
            </w:r>
            <w:r>
              <w:rPr>
                <w:noProof/>
                <w:webHidden/>
              </w:rPr>
              <w:fldChar w:fldCharType="end"/>
            </w:r>
          </w:hyperlink>
        </w:p>
        <w:p w14:paraId="363985B8" w14:textId="5A778007" w:rsidR="00DF7526" w:rsidRDefault="00DF7526">
          <w:pPr>
            <w:pStyle w:val="TOC2"/>
            <w:tabs>
              <w:tab w:val="right" w:leader="dot" w:pos="9016"/>
            </w:tabs>
            <w:rPr>
              <w:rFonts w:eastAsiaTheme="minorEastAsia"/>
              <w:noProof/>
              <w:lang w:eastAsia="en-GB"/>
            </w:rPr>
          </w:pPr>
          <w:hyperlink w:anchor="_Toc217033576" w:history="1">
            <w:r w:rsidRPr="00E4404B">
              <w:rPr>
                <w:rStyle w:val="Hyperlink"/>
                <w:noProof/>
              </w:rPr>
              <w:t>5.4 Financial Plan</w:t>
            </w:r>
            <w:r>
              <w:rPr>
                <w:noProof/>
                <w:webHidden/>
              </w:rPr>
              <w:tab/>
            </w:r>
            <w:r>
              <w:rPr>
                <w:noProof/>
                <w:webHidden/>
              </w:rPr>
              <w:fldChar w:fldCharType="begin"/>
            </w:r>
            <w:r>
              <w:rPr>
                <w:noProof/>
                <w:webHidden/>
              </w:rPr>
              <w:instrText xml:space="preserve"> PAGEREF _Toc217033576 \h </w:instrText>
            </w:r>
            <w:r>
              <w:rPr>
                <w:noProof/>
                <w:webHidden/>
              </w:rPr>
            </w:r>
            <w:r>
              <w:rPr>
                <w:noProof/>
                <w:webHidden/>
              </w:rPr>
              <w:fldChar w:fldCharType="separate"/>
            </w:r>
            <w:r>
              <w:rPr>
                <w:noProof/>
                <w:webHidden/>
              </w:rPr>
              <w:t>13</w:t>
            </w:r>
            <w:r>
              <w:rPr>
                <w:noProof/>
                <w:webHidden/>
              </w:rPr>
              <w:fldChar w:fldCharType="end"/>
            </w:r>
          </w:hyperlink>
        </w:p>
        <w:p w14:paraId="57CBBC68" w14:textId="442EC647" w:rsidR="00DF7526" w:rsidRDefault="00DF7526">
          <w:pPr>
            <w:pStyle w:val="TOC2"/>
            <w:tabs>
              <w:tab w:val="right" w:leader="dot" w:pos="9016"/>
            </w:tabs>
            <w:rPr>
              <w:rFonts w:eastAsiaTheme="minorEastAsia"/>
              <w:noProof/>
              <w:lang w:eastAsia="en-GB"/>
            </w:rPr>
          </w:pPr>
          <w:hyperlink w:anchor="_Toc217033577" w:history="1">
            <w:r w:rsidRPr="00E4404B">
              <w:rPr>
                <w:rStyle w:val="Hyperlink"/>
                <w:noProof/>
              </w:rPr>
              <w:t>5.5 Communication Plan</w:t>
            </w:r>
            <w:r>
              <w:rPr>
                <w:noProof/>
                <w:webHidden/>
              </w:rPr>
              <w:tab/>
            </w:r>
            <w:r>
              <w:rPr>
                <w:noProof/>
                <w:webHidden/>
              </w:rPr>
              <w:fldChar w:fldCharType="begin"/>
            </w:r>
            <w:r>
              <w:rPr>
                <w:noProof/>
                <w:webHidden/>
              </w:rPr>
              <w:instrText xml:space="preserve"> PAGEREF _Toc217033577 \h </w:instrText>
            </w:r>
            <w:r>
              <w:rPr>
                <w:noProof/>
                <w:webHidden/>
              </w:rPr>
            </w:r>
            <w:r>
              <w:rPr>
                <w:noProof/>
                <w:webHidden/>
              </w:rPr>
              <w:fldChar w:fldCharType="separate"/>
            </w:r>
            <w:r>
              <w:rPr>
                <w:noProof/>
                <w:webHidden/>
              </w:rPr>
              <w:t>14</w:t>
            </w:r>
            <w:r>
              <w:rPr>
                <w:noProof/>
                <w:webHidden/>
              </w:rPr>
              <w:fldChar w:fldCharType="end"/>
            </w:r>
          </w:hyperlink>
        </w:p>
        <w:p w14:paraId="3E07D672" w14:textId="39C41BCB" w:rsidR="00DF7526" w:rsidRDefault="00DF7526">
          <w:pPr>
            <w:pStyle w:val="TOC2"/>
            <w:tabs>
              <w:tab w:val="right" w:leader="dot" w:pos="9016"/>
            </w:tabs>
            <w:rPr>
              <w:rFonts w:eastAsiaTheme="minorEastAsia"/>
              <w:noProof/>
              <w:lang w:eastAsia="en-GB"/>
            </w:rPr>
          </w:pPr>
          <w:hyperlink w:anchor="_Toc217033578" w:history="1">
            <w:r w:rsidRPr="00E4404B">
              <w:rPr>
                <w:rStyle w:val="Hyperlink"/>
                <w:noProof/>
              </w:rPr>
              <w:t>5.6 Evaluation Plan</w:t>
            </w:r>
            <w:r>
              <w:rPr>
                <w:noProof/>
                <w:webHidden/>
              </w:rPr>
              <w:tab/>
            </w:r>
            <w:r>
              <w:rPr>
                <w:noProof/>
                <w:webHidden/>
              </w:rPr>
              <w:fldChar w:fldCharType="begin"/>
            </w:r>
            <w:r>
              <w:rPr>
                <w:noProof/>
                <w:webHidden/>
              </w:rPr>
              <w:instrText xml:space="preserve"> PAGEREF _Toc217033578 \h </w:instrText>
            </w:r>
            <w:r>
              <w:rPr>
                <w:noProof/>
                <w:webHidden/>
              </w:rPr>
            </w:r>
            <w:r>
              <w:rPr>
                <w:noProof/>
                <w:webHidden/>
              </w:rPr>
              <w:fldChar w:fldCharType="separate"/>
            </w:r>
            <w:r>
              <w:rPr>
                <w:noProof/>
                <w:webHidden/>
              </w:rPr>
              <w:t>14</w:t>
            </w:r>
            <w:r>
              <w:rPr>
                <w:noProof/>
                <w:webHidden/>
              </w:rPr>
              <w:fldChar w:fldCharType="end"/>
            </w:r>
          </w:hyperlink>
        </w:p>
        <w:p w14:paraId="4DBAA622" w14:textId="2B528F13" w:rsidR="00DF7526" w:rsidRDefault="00DF7526">
          <w:pPr>
            <w:pStyle w:val="TOC2"/>
            <w:tabs>
              <w:tab w:val="right" w:leader="dot" w:pos="9016"/>
            </w:tabs>
            <w:rPr>
              <w:rFonts w:eastAsiaTheme="minorEastAsia"/>
              <w:noProof/>
              <w:lang w:eastAsia="en-GB"/>
            </w:rPr>
          </w:pPr>
          <w:hyperlink w:anchor="_Toc217033579" w:history="1">
            <w:r w:rsidRPr="00E4404B">
              <w:rPr>
                <w:rStyle w:val="Hyperlink"/>
                <w:noProof/>
              </w:rPr>
              <w:t>5.7 Workforce Capability and Reskilling Strategy</w:t>
            </w:r>
            <w:r>
              <w:rPr>
                <w:noProof/>
                <w:webHidden/>
              </w:rPr>
              <w:tab/>
            </w:r>
            <w:r>
              <w:rPr>
                <w:noProof/>
                <w:webHidden/>
              </w:rPr>
              <w:fldChar w:fldCharType="begin"/>
            </w:r>
            <w:r>
              <w:rPr>
                <w:noProof/>
                <w:webHidden/>
              </w:rPr>
              <w:instrText xml:space="preserve"> PAGEREF _Toc217033579 \h </w:instrText>
            </w:r>
            <w:r>
              <w:rPr>
                <w:noProof/>
                <w:webHidden/>
              </w:rPr>
            </w:r>
            <w:r>
              <w:rPr>
                <w:noProof/>
                <w:webHidden/>
              </w:rPr>
              <w:fldChar w:fldCharType="separate"/>
            </w:r>
            <w:r>
              <w:rPr>
                <w:noProof/>
                <w:webHidden/>
              </w:rPr>
              <w:t>15</w:t>
            </w:r>
            <w:r>
              <w:rPr>
                <w:noProof/>
                <w:webHidden/>
              </w:rPr>
              <w:fldChar w:fldCharType="end"/>
            </w:r>
          </w:hyperlink>
        </w:p>
        <w:p w14:paraId="0C845493" w14:textId="6ABCF211" w:rsidR="00DF7526" w:rsidRDefault="00DF7526">
          <w:pPr>
            <w:pStyle w:val="TOC1"/>
            <w:rPr>
              <w:rFonts w:asciiTheme="minorHAnsi" w:eastAsiaTheme="minorEastAsia" w:hAnsiTheme="minorHAnsi" w:cstheme="minorBidi"/>
              <w:lang w:eastAsia="en-GB"/>
            </w:rPr>
          </w:pPr>
          <w:hyperlink w:anchor="_Toc217033580" w:history="1">
            <w:r w:rsidRPr="00E4404B">
              <w:rPr>
                <w:rStyle w:val="Hyperlink"/>
              </w:rPr>
              <w:t>6. Recommendations</w:t>
            </w:r>
            <w:r>
              <w:rPr>
                <w:webHidden/>
              </w:rPr>
              <w:tab/>
            </w:r>
            <w:r>
              <w:rPr>
                <w:webHidden/>
              </w:rPr>
              <w:fldChar w:fldCharType="begin"/>
            </w:r>
            <w:r>
              <w:rPr>
                <w:webHidden/>
              </w:rPr>
              <w:instrText xml:space="preserve"> PAGEREF _Toc217033580 \h </w:instrText>
            </w:r>
            <w:r>
              <w:rPr>
                <w:webHidden/>
              </w:rPr>
            </w:r>
            <w:r>
              <w:rPr>
                <w:webHidden/>
              </w:rPr>
              <w:fldChar w:fldCharType="separate"/>
            </w:r>
            <w:r>
              <w:rPr>
                <w:webHidden/>
              </w:rPr>
              <w:t>15</w:t>
            </w:r>
            <w:r>
              <w:rPr>
                <w:webHidden/>
              </w:rPr>
              <w:fldChar w:fldCharType="end"/>
            </w:r>
          </w:hyperlink>
        </w:p>
        <w:p w14:paraId="4BAD464C" w14:textId="1717B53C" w:rsidR="00DF7526" w:rsidRDefault="00DF7526">
          <w:pPr>
            <w:pStyle w:val="TOC1"/>
            <w:rPr>
              <w:rFonts w:asciiTheme="minorHAnsi" w:eastAsiaTheme="minorEastAsia" w:hAnsiTheme="minorHAnsi" w:cstheme="minorBidi"/>
              <w:lang w:eastAsia="en-GB"/>
            </w:rPr>
          </w:pPr>
          <w:hyperlink w:anchor="_Toc217033581" w:history="1">
            <w:r w:rsidRPr="00E4404B">
              <w:rPr>
                <w:rStyle w:val="Hyperlink"/>
              </w:rPr>
              <w:t>7. Conclusion</w:t>
            </w:r>
            <w:r>
              <w:rPr>
                <w:webHidden/>
              </w:rPr>
              <w:tab/>
            </w:r>
            <w:r>
              <w:rPr>
                <w:webHidden/>
              </w:rPr>
              <w:fldChar w:fldCharType="begin"/>
            </w:r>
            <w:r>
              <w:rPr>
                <w:webHidden/>
              </w:rPr>
              <w:instrText xml:space="preserve"> PAGEREF _Toc217033581 \h </w:instrText>
            </w:r>
            <w:r>
              <w:rPr>
                <w:webHidden/>
              </w:rPr>
            </w:r>
            <w:r>
              <w:rPr>
                <w:webHidden/>
              </w:rPr>
              <w:fldChar w:fldCharType="separate"/>
            </w:r>
            <w:r>
              <w:rPr>
                <w:webHidden/>
              </w:rPr>
              <w:t>16</w:t>
            </w:r>
            <w:r>
              <w:rPr>
                <w:webHidden/>
              </w:rPr>
              <w:fldChar w:fldCharType="end"/>
            </w:r>
          </w:hyperlink>
        </w:p>
        <w:p w14:paraId="516EA29B" w14:textId="5A7396F5" w:rsidR="00DF7526" w:rsidRDefault="00DF7526">
          <w:pPr>
            <w:pStyle w:val="TOC1"/>
            <w:rPr>
              <w:rFonts w:asciiTheme="minorHAnsi" w:eastAsiaTheme="minorEastAsia" w:hAnsiTheme="minorHAnsi" w:cstheme="minorBidi"/>
              <w:lang w:eastAsia="en-GB"/>
            </w:rPr>
          </w:pPr>
          <w:hyperlink w:anchor="_Toc217033582" w:history="1">
            <w:r w:rsidRPr="00E4404B">
              <w:rPr>
                <w:rStyle w:val="Hyperlink"/>
              </w:rPr>
              <w:t>References</w:t>
            </w:r>
            <w:r>
              <w:rPr>
                <w:webHidden/>
              </w:rPr>
              <w:tab/>
            </w:r>
            <w:r>
              <w:rPr>
                <w:webHidden/>
              </w:rPr>
              <w:fldChar w:fldCharType="begin"/>
            </w:r>
            <w:r>
              <w:rPr>
                <w:webHidden/>
              </w:rPr>
              <w:instrText xml:space="preserve"> PAGEREF _Toc217033582 \h </w:instrText>
            </w:r>
            <w:r>
              <w:rPr>
                <w:webHidden/>
              </w:rPr>
            </w:r>
            <w:r>
              <w:rPr>
                <w:webHidden/>
              </w:rPr>
              <w:fldChar w:fldCharType="separate"/>
            </w:r>
            <w:r>
              <w:rPr>
                <w:webHidden/>
              </w:rPr>
              <w:t>17</w:t>
            </w:r>
            <w:r>
              <w:rPr>
                <w:webHidden/>
              </w:rPr>
              <w:fldChar w:fldCharType="end"/>
            </w:r>
          </w:hyperlink>
        </w:p>
        <w:p w14:paraId="6D423F2D" w14:textId="1C60FBB6" w:rsidR="00217733" w:rsidRDefault="00CD0C32">
          <w:pPr>
            <w:rPr>
              <w:b/>
              <w:bCs/>
              <w:noProof/>
            </w:rPr>
            <w:sectPr w:rsidR="00217733" w:rsidSect="00772AE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Pr>
              <w:b/>
              <w:bCs/>
              <w:noProof/>
            </w:rPr>
            <w:fldChar w:fldCharType="end"/>
          </w:r>
        </w:p>
        <w:p w14:paraId="5908B082" w14:textId="2B9918B1" w:rsidR="00CD0C32" w:rsidRDefault="00CD0C32"/>
      </w:sdtContent>
    </w:sdt>
    <w:p w14:paraId="1FE5D27C" w14:textId="221FF9CB" w:rsidR="001E5BD5" w:rsidRDefault="00047A12" w:rsidP="00101892">
      <w:pPr>
        <w:rPr>
          <w:rFonts w:ascii="Arial" w:hAnsi="Arial" w:cs="Arial"/>
        </w:rPr>
      </w:pPr>
      <w:r w:rsidRPr="008F2F09">
        <w:rPr>
          <w:b/>
          <w:bCs/>
          <w:sz w:val="32"/>
          <w:szCs w:val="32"/>
        </w:rPr>
        <w:t xml:space="preserve"> </w:t>
      </w:r>
    </w:p>
    <w:p w14:paraId="01369E82" w14:textId="051D3468" w:rsidR="001E5BD5" w:rsidRPr="0055208F" w:rsidRDefault="00333347" w:rsidP="00936CFC">
      <w:pPr>
        <w:pStyle w:val="Heading1"/>
      </w:pPr>
      <w:bookmarkStart w:id="2" w:name="_Toc215096047"/>
      <w:bookmarkStart w:id="3" w:name="_Toc215096082"/>
      <w:bookmarkStart w:id="4" w:name="_Toc217033559"/>
      <w:r>
        <w:t xml:space="preserve">1. </w:t>
      </w:r>
      <w:r w:rsidR="001E5BD5" w:rsidRPr="0055208F">
        <w:t>Introduction</w:t>
      </w:r>
      <w:bookmarkEnd w:id="2"/>
      <w:bookmarkEnd w:id="3"/>
      <w:bookmarkEnd w:id="4"/>
    </w:p>
    <w:p w14:paraId="49DA2A52" w14:textId="43AF4ECB" w:rsidR="002E6624" w:rsidRPr="002E6624" w:rsidRDefault="002E6624" w:rsidP="002E6624">
      <w:pPr>
        <w:spacing w:line="360" w:lineRule="auto"/>
        <w:rPr>
          <w:rFonts w:ascii="Arial" w:hAnsi="Arial" w:cs="Arial"/>
        </w:rPr>
      </w:pPr>
      <w:r w:rsidRPr="002E6624">
        <w:rPr>
          <w:rFonts w:ascii="Arial" w:hAnsi="Arial" w:cs="Arial"/>
        </w:rPr>
        <w:t xml:space="preserve">The John Lewis Partnership (JLP) is one of the United Kingdom’s most distinctive retail organisations, operating both John Lewis department stores and Waitrose supermarkets under an employee-ownership model. This governance structure, where all employees are “partners,” historically generated high engagement, loyalty, and customer trust (Cameron and Green, 2020). However, over the past decade, the retail sector has experienced unprecedented disruption, driven by digital innovation, </w:t>
      </w:r>
      <w:r w:rsidR="000F7454">
        <w:rPr>
          <w:rFonts w:ascii="Arial" w:hAnsi="Arial" w:cs="Arial"/>
        </w:rPr>
        <w:t xml:space="preserve">the rise of </w:t>
      </w:r>
      <w:r w:rsidRPr="002E6624">
        <w:rPr>
          <w:rFonts w:ascii="Arial" w:hAnsi="Arial" w:cs="Arial"/>
        </w:rPr>
        <w:t>omnichannel retail expectations, and volatile economic conditions. JLP has encountered declining profits, increased competition, and structural challenges that demand strategic transformation (MarketLine, 2023).</w:t>
      </w:r>
    </w:p>
    <w:p w14:paraId="51966BC5" w14:textId="7367C15B" w:rsidR="002E6624" w:rsidRPr="002E6624" w:rsidRDefault="002E6624" w:rsidP="002E6624">
      <w:pPr>
        <w:spacing w:line="360" w:lineRule="auto"/>
        <w:rPr>
          <w:rFonts w:ascii="Arial" w:hAnsi="Arial" w:cs="Arial"/>
        </w:rPr>
      </w:pPr>
      <w:r w:rsidRPr="002E6624">
        <w:rPr>
          <w:rFonts w:ascii="Arial" w:hAnsi="Arial" w:cs="Arial"/>
        </w:rPr>
        <w:t>The partnership model, once a competitive strength, now complicates rapid decision-making and digital adaptation. Organisational culture</w:t>
      </w:r>
      <w:r w:rsidR="000F7454">
        <w:rPr>
          <w:rFonts w:ascii="Arial" w:hAnsi="Arial" w:cs="Arial"/>
        </w:rPr>
        <w:t>, which emphasises stability, democratic consultation, and consensus,</w:t>
      </w:r>
      <w:r w:rsidRPr="002E6624">
        <w:rPr>
          <w:rFonts w:ascii="Arial" w:hAnsi="Arial" w:cs="Arial"/>
        </w:rPr>
        <w:t xml:space="preserve"> has been strained by the need for decisive, technology-driven change (Carnall, 2014). Leaders must therefore navigate the tension between preserving JLP’s ethos and responding to environmental pressures.</w:t>
      </w:r>
    </w:p>
    <w:p w14:paraId="12B1588F" w14:textId="77777777" w:rsidR="002E6624" w:rsidRPr="002E6624" w:rsidRDefault="002E6624" w:rsidP="002E6624">
      <w:pPr>
        <w:spacing w:line="360" w:lineRule="auto"/>
        <w:rPr>
          <w:rFonts w:ascii="Arial" w:hAnsi="Arial" w:cs="Arial"/>
        </w:rPr>
      </w:pPr>
      <w:bookmarkStart w:id="5" w:name="_Hlk216429102"/>
      <w:r w:rsidRPr="002E6624">
        <w:rPr>
          <w:rFonts w:ascii="Arial" w:hAnsi="Arial" w:cs="Arial"/>
        </w:rPr>
        <w:t>This report examines contemporary issues facing JLP, analyses the relationship between environmental change and organisational capability, and evaluates the nature of change using two established models: Kotter’s (2012) Eight-Step Model and Pettigrew’s (1987) Context–Content–Process Framework. To address the human experience of change, the report also incorporates Russell’s (2003) Journey Through Change.</w:t>
      </w:r>
    </w:p>
    <w:p w14:paraId="769C1031" w14:textId="612F8134" w:rsidR="00C36F7D" w:rsidRPr="00936CFC" w:rsidRDefault="006C78B3" w:rsidP="00936CFC">
      <w:pPr>
        <w:pStyle w:val="Heading1"/>
        <w:rPr>
          <w:rStyle w:val="Strong"/>
          <w:b/>
          <w:bCs/>
        </w:rPr>
      </w:pPr>
      <w:bookmarkStart w:id="6" w:name="_Toc215096048"/>
      <w:bookmarkStart w:id="7" w:name="_Toc215096083"/>
      <w:bookmarkStart w:id="8" w:name="_Toc217033560"/>
      <w:bookmarkEnd w:id="5"/>
      <w:r w:rsidRPr="00936CFC">
        <w:t>2.</w:t>
      </w:r>
      <w:r w:rsidR="005F30AC" w:rsidRPr="00936CFC">
        <w:t xml:space="preserve"> </w:t>
      </w:r>
      <w:r w:rsidR="00C36F7D" w:rsidRPr="00936CFC">
        <w:rPr>
          <w:rStyle w:val="Strong"/>
          <w:b/>
          <w:bCs/>
        </w:rPr>
        <w:t xml:space="preserve">Environmental Analysis and </w:t>
      </w:r>
      <w:r w:rsidR="001D7990" w:rsidRPr="00936CFC">
        <w:rPr>
          <w:rStyle w:val="Strong"/>
          <w:b/>
          <w:bCs/>
        </w:rPr>
        <w:t>Contemporary Issues Affecting John Lewis Partnership</w:t>
      </w:r>
      <w:bookmarkEnd w:id="6"/>
      <w:bookmarkEnd w:id="7"/>
      <w:bookmarkEnd w:id="8"/>
    </w:p>
    <w:p w14:paraId="3FD894E6" w14:textId="77777777" w:rsidR="005E3A4D" w:rsidRPr="005E3A4D" w:rsidRDefault="005E3A4D" w:rsidP="005E3A4D">
      <w:pPr>
        <w:spacing w:line="360" w:lineRule="auto"/>
        <w:rPr>
          <w:rFonts w:ascii="Arial" w:hAnsi="Arial" w:cs="Arial"/>
        </w:rPr>
      </w:pPr>
      <w:r w:rsidRPr="005E3A4D">
        <w:rPr>
          <w:rFonts w:ascii="Arial" w:hAnsi="Arial" w:cs="Arial"/>
        </w:rPr>
        <w:t xml:space="preserve">Understanding the challenges facing the John Lewis Partnership (JLP) requires examining the external pressures reshaping the retail sector and the internal constraints influencing organisational capability. Contemporary retail environments are characterised by rapid technological development, economic turbulence, and shifting consumer expectations, all of which interact to create significant complexity for legacy organisations like JLP (Henderson, Gulati &amp; Tushman, 2015). The </w:t>
      </w:r>
      <w:r w:rsidRPr="005E3A4D">
        <w:rPr>
          <w:rFonts w:ascii="Arial" w:hAnsi="Arial" w:cs="Arial"/>
        </w:rPr>
        <w:lastRenderedPageBreak/>
        <w:t>partnership’s ability to adapt to such pressures is influenced by its distinctive governance structure, long-standing cultural values, and resource configuration.</w:t>
      </w:r>
    </w:p>
    <w:p w14:paraId="72D50714" w14:textId="77777777" w:rsidR="005E3A4D" w:rsidRPr="000F7454" w:rsidRDefault="005E3A4D" w:rsidP="000F7454">
      <w:pPr>
        <w:pStyle w:val="Heading2"/>
        <w:rPr>
          <w:bCs/>
        </w:rPr>
      </w:pPr>
      <w:bookmarkStart w:id="9" w:name="_Toc215096049"/>
      <w:bookmarkStart w:id="10" w:name="_Toc215096084"/>
      <w:bookmarkStart w:id="11" w:name="_Toc217033561"/>
      <w:r w:rsidRPr="000F7454">
        <w:rPr>
          <w:bCs/>
        </w:rPr>
        <w:t>2.1 Political and Regulatory Factors</w:t>
      </w:r>
      <w:bookmarkEnd w:id="9"/>
      <w:bookmarkEnd w:id="10"/>
      <w:bookmarkEnd w:id="11"/>
    </w:p>
    <w:p w14:paraId="717D8E10" w14:textId="77777777" w:rsidR="005E3A4D" w:rsidRPr="005E3A4D" w:rsidRDefault="005E3A4D" w:rsidP="005E3A4D">
      <w:pPr>
        <w:spacing w:line="360" w:lineRule="auto"/>
        <w:rPr>
          <w:rFonts w:ascii="Arial" w:hAnsi="Arial" w:cs="Arial"/>
        </w:rPr>
      </w:pPr>
      <w:r w:rsidRPr="005E3A4D">
        <w:rPr>
          <w:rFonts w:ascii="Arial" w:hAnsi="Arial" w:cs="Arial"/>
        </w:rPr>
        <w:t>Political instability following Brexit has created supply-chain challenges and increased import costs for UK retailers (MarketLine, 2023). Labour market tightening and evolving sustainability regulations require JLP to invest in compliance, ethical sourcing, and environmental reporting. These pressures increase operational costs and necessitate strategic adjustments to procurement and supply-chain oversight (Henderson et al., 2015).</w:t>
      </w:r>
    </w:p>
    <w:p w14:paraId="78BFE921" w14:textId="77777777" w:rsidR="005E3A4D" w:rsidRPr="000F7454" w:rsidRDefault="005E3A4D" w:rsidP="000F7454">
      <w:pPr>
        <w:pStyle w:val="Heading2"/>
      </w:pPr>
      <w:bookmarkStart w:id="12" w:name="_Toc215096050"/>
      <w:bookmarkStart w:id="13" w:name="_Toc215096085"/>
      <w:bookmarkStart w:id="14" w:name="_Toc217033562"/>
      <w:r w:rsidRPr="000F7454">
        <w:t>2.2 Economic Pressures</w:t>
      </w:r>
      <w:bookmarkEnd w:id="12"/>
      <w:bookmarkEnd w:id="13"/>
      <w:bookmarkEnd w:id="14"/>
    </w:p>
    <w:p w14:paraId="755F97C9" w14:textId="68123054" w:rsidR="005E3A4D" w:rsidRPr="005E3A4D" w:rsidRDefault="005E3A4D" w:rsidP="005E3A4D">
      <w:pPr>
        <w:spacing w:line="360" w:lineRule="auto"/>
        <w:rPr>
          <w:rFonts w:ascii="Arial" w:hAnsi="Arial" w:cs="Arial"/>
        </w:rPr>
      </w:pPr>
      <w:r w:rsidRPr="005E3A4D">
        <w:rPr>
          <w:rFonts w:ascii="Arial" w:hAnsi="Arial" w:cs="Arial"/>
        </w:rPr>
        <w:t xml:space="preserve">The UK cost-of-living crisis, inflation, and recessionary conditions have reduced consumer spending, particularly in </w:t>
      </w:r>
      <w:r w:rsidR="00A56FED">
        <w:rPr>
          <w:rFonts w:ascii="Arial" w:hAnsi="Arial" w:cs="Arial"/>
        </w:rPr>
        <w:t>discretionary categories central to John Lewis’s department store</w:t>
      </w:r>
      <w:r w:rsidRPr="005E3A4D">
        <w:rPr>
          <w:rFonts w:ascii="Arial" w:hAnsi="Arial" w:cs="Arial"/>
        </w:rPr>
        <w:t xml:space="preserve"> revenues. Shifts toward discount retailers intensify competitive pressures. Teece’s (1997) dynamic capabilities theory suggests that organisations must rapidly reconfigure resources under such conditions; however, JLP’s high operating costs and historically cautious decision-making processes hinder agility (Carnall, 2014).</w:t>
      </w:r>
    </w:p>
    <w:p w14:paraId="6F4F0383" w14:textId="77777777" w:rsidR="005E3A4D" w:rsidRPr="005E3A4D" w:rsidRDefault="005E3A4D" w:rsidP="000F7454">
      <w:pPr>
        <w:pStyle w:val="Heading2"/>
      </w:pPr>
      <w:bookmarkStart w:id="15" w:name="_Toc215096051"/>
      <w:bookmarkStart w:id="16" w:name="_Toc215096086"/>
      <w:bookmarkStart w:id="17" w:name="_Toc217033563"/>
      <w:r w:rsidRPr="005E3A4D">
        <w:t>2.3 Social and Demographic Shifts</w:t>
      </w:r>
      <w:bookmarkEnd w:id="15"/>
      <w:bookmarkEnd w:id="16"/>
      <w:bookmarkEnd w:id="17"/>
    </w:p>
    <w:p w14:paraId="45469E6B" w14:textId="5F6E8BE2" w:rsidR="005E3A4D" w:rsidRPr="005E3A4D" w:rsidRDefault="005E3A4D" w:rsidP="005E3A4D">
      <w:pPr>
        <w:spacing w:line="360" w:lineRule="auto"/>
        <w:rPr>
          <w:rFonts w:ascii="Arial" w:hAnsi="Arial" w:cs="Arial"/>
        </w:rPr>
      </w:pPr>
      <w:r w:rsidRPr="005E3A4D">
        <w:rPr>
          <w:rFonts w:ascii="Arial" w:hAnsi="Arial" w:cs="Arial"/>
        </w:rPr>
        <w:t xml:space="preserve">Consumer behaviour increasingly prioritises convenience, personalisation, and seamless integration between digital and physical channels. Younger consumers expect mobile-first interfaces, rapid delivery, and transparent sustainability practices (Cameron &amp; Green, 2020). JLP’s traditional customer demographic </w:t>
      </w:r>
      <w:r w:rsidR="00D6007D">
        <w:rPr>
          <w:rFonts w:ascii="Arial" w:hAnsi="Arial" w:cs="Arial"/>
        </w:rPr>
        <w:t>gro</w:t>
      </w:r>
      <w:r w:rsidRPr="005E3A4D">
        <w:rPr>
          <w:rFonts w:ascii="Arial" w:hAnsi="Arial" w:cs="Arial"/>
        </w:rPr>
        <w:t>ws older, meaning the organisation mus</w:t>
      </w:r>
      <w:r w:rsidR="00D6007D">
        <w:rPr>
          <w:rFonts w:ascii="Arial" w:hAnsi="Arial" w:cs="Arial"/>
        </w:rPr>
        <w:t>t</w:t>
      </w:r>
      <w:r w:rsidRPr="005E3A4D">
        <w:rPr>
          <w:rFonts w:ascii="Arial" w:hAnsi="Arial" w:cs="Arial"/>
        </w:rPr>
        <w:t xml:space="preserve"> adapt its digital offerings and brand positioning to attract emerging market segments.</w:t>
      </w:r>
    </w:p>
    <w:p w14:paraId="41384304" w14:textId="77777777" w:rsidR="005E3A4D" w:rsidRPr="005E3A4D" w:rsidRDefault="005E3A4D" w:rsidP="000F7454">
      <w:pPr>
        <w:pStyle w:val="Heading2"/>
      </w:pPr>
      <w:bookmarkStart w:id="18" w:name="_Toc215096052"/>
      <w:bookmarkStart w:id="19" w:name="_Toc215096087"/>
      <w:bookmarkStart w:id="20" w:name="_Toc217033564"/>
      <w:r w:rsidRPr="005E3A4D">
        <w:t>2.4 Technological Disruption</w:t>
      </w:r>
      <w:bookmarkEnd w:id="18"/>
      <w:bookmarkEnd w:id="19"/>
      <w:bookmarkEnd w:id="20"/>
    </w:p>
    <w:p w14:paraId="108C190B" w14:textId="389A5D78" w:rsidR="009C1E00" w:rsidRDefault="003640C5" w:rsidP="005E3A4D">
      <w:pPr>
        <w:spacing w:line="360" w:lineRule="auto"/>
        <w:rPr>
          <w:rFonts w:ascii="Arial" w:hAnsi="Arial" w:cs="Arial"/>
        </w:rPr>
      </w:pPr>
      <w:r>
        <w:rPr>
          <w:rFonts w:ascii="Arial" w:hAnsi="Arial" w:cs="Arial"/>
        </w:rPr>
        <w:t xml:space="preserve">Technological disruption is arguably the most significant external force affecting JLP. The rise of </w:t>
      </w:r>
      <w:r w:rsidR="00E56024">
        <w:rPr>
          <w:rFonts w:ascii="Arial" w:hAnsi="Arial" w:cs="Arial"/>
        </w:rPr>
        <w:t>e-commerce</w:t>
      </w:r>
      <w:r>
        <w:rPr>
          <w:rFonts w:ascii="Arial" w:hAnsi="Arial" w:cs="Arial"/>
        </w:rPr>
        <w:t xml:space="preserve"> </w:t>
      </w:r>
      <w:r w:rsidR="00E56024">
        <w:rPr>
          <w:rFonts w:ascii="Arial" w:hAnsi="Arial" w:cs="Arial"/>
        </w:rPr>
        <w:t>giants</w:t>
      </w:r>
      <w:r w:rsidR="00824882">
        <w:rPr>
          <w:rFonts w:ascii="Arial" w:hAnsi="Arial" w:cs="Arial"/>
        </w:rPr>
        <w:t>, such as Amazon, has transformed competitive dynamics, setting new standards for delivery speeds, product range,</w:t>
      </w:r>
      <w:r w:rsidR="00E56024">
        <w:rPr>
          <w:rFonts w:ascii="Arial" w:hAnsi="Arial" w:cs="Arial"/>
        </w:rPr>
        <w:t xml:space="preserve"> and digital experience (Bryn</w:t>
      </w:r>
      <w:r w:rsidR="00624395">
        <w:rPr>
          <w:rFonts w:ascii="Arial" w:hAnsi="Arial" w:cs="Arial"/>
        </w:rPr>
        <w:t>j</w:t>
      </w:r>
      <w:r w:rsidR="00E56024">
        <w:rPr>
          <w:rFonts w:ascii="Arial" w:hAnsi="Arial" w:cs="Arial"/>
        </w:rPr>
        <w:t>olfsson &amp; McAfee, 2014). AI and data analytics now underpin personalised marketing, inventory optimisation, and customer service automation.</w:t>
      </w:r>
      <w:r w:rsidR="00EA70DF">
        <w:rPr>
          <w:rFonts w:ascii="Arial" w:hAnsi="Arial" w:cs="Arial"/>
        </w:rPr>
        <w:t xml:space="preserve"> Retailers that fail to invest in digital capability risk </w:t>
      </w:r>
      <w:r w:rsidR="00D6007D">
        <w:rPr>
          <w:rFonts w:ascii="Arial" w:hAnsi="Arial" w:cs="Arial"/>
        </w:rPr>
        <w:t>losing</w:t>
      </w:r>
      <w:r w:rsidR="00EA70DF">
        <w:rPr>
          <w:rFonts w:ascii="Arial" w:hAnsi="Arial" w:cs="Arial"/>
        </w:rPr>
        <w:t xml:space="preserve"> relevance.</w:t>
      </w:r>
    </w:p>
    <w:p w14:paraId="266FC99F" w14:textId="10C8FF57" w:rsidR="005E3A4D" w:rsidRPr="005E3A4D" w:rsidRDefault="00EA70DF" w:rsidP="005E3A4D">
      <w:pPr>
        <w:spacing w:line="360" w:lineRule="auto"/>
        <w:rPr>
          <w:rFonts w:ascii="Arial" w:hAnsi="Arial" w:cs="Arial"/>
        </w:rPr>
      </w:pPr>
      <w:r>
        <w:rPr>
          <w:rFonts w:ascii="Arial" w:hAnsi="Arial" w:cs="Arial"/>
        </w:rPr>
        <w:lastRenderedPageBreak/>
        <w:t xml:space="preserve"> </w:t>
      </w:r>
      <w:r w:rsidR="009C1E00">
        <w:rPr>
          <w:rFonts w:ascii="Arial" w:hAnsi="Arial" w:cs="Arial"/>
        </w:rPr>
        <w:t xml:space="preserve">JLP has historically </w:t>
      </w:r>
      <w:r w:rsidR="00801F31">
        <w:rPr>
          <w:rFonts w:ascii="Arial" w:hAnsi="Arial" w:cs="Arial"/>
        </w:rPr>
        <w:t>lagged</w:t>
      </w:r>
      <w:r w:rsidR="009C1E00">
        <w:rPr>
          <w:rFonts w:ascii="Arial" w:hAnsi="Arial" w:cs="Arial"/>
        </w:rPr>
        <w:t xml:space="preserve"> </w:t>
      </w:r>
      <w:r w:rsidR="00801F31">
        <w:rPr>
          <w:rFonts w:ascii="Arial" w:hAnsi="Arial" w:cs="Arial"/>
        </w:rPr>
        <w:t xml:space="preserve">behind </w:t>
      </w:r>
      <w:r w:rsidR="009C1E00">
        <w:rPr>
          <w:rFonts w:ascii="Arial" w:hAnsi="Arial" w:cs="Arial"/>
        </w:rPr>
        <w:t>competitors in digital innovation</w:t>
      </w:r>
      <w:r w:rsidR="001A7B74">
        <w:rPr>
          <w:rFonts w:ascii="Arial" w:hAnsi="Arial" w:cs="Arial"/>
        </w:rPr>
        <w:t>, partly due to legacy systems and cultural resistance to rapid technological change. While the organisation has invested in online platforms and digital infrastructure</w:t>
      </w:r>
      <w:r w:rsidR="006B4311">
        <w:rPr>
          <w:rFonts w:ascii="Arial" w:hAnsi="Arial" w:cs="Arial"/>
        </w:rPr>
        <w:t>, these efforts have not fully closed the capability gap.</w:t>
      </w:r>
      <w:r w:rsidR="001A7B74">
        <w:rPr>
          <w:rFonts w:ascii="Arial" w:hAnsi="Arial" w:cs="Arial"/>
        </w:rPr>
        <w:t xml:space="preserve"> </w:t>
      </w:r>
      <w:r w:rsidR="00E56024" w:rsidRPr="005E3A4D">
        <w:rPr>
          <w:rFonts w:ascii="Arial" w:hAnsi="Arial" w:cs="Arial"/>
        </w:rPr>
        <w:t>Technological</w:t>
      </w:r>
      <w:r w:rsidR="005E3A4D" w:rsidRPr="005E3A4D">
        <w:rPr>
          <w:rFonts w:ascii="Arial" w:hAnsi="Arial" w:cs="Arial"/>
        </w:rPr>
        <w:t xml:space="preserve"> acceleration represents JLP’s most significant contemporary challenge. AI-enabled retail operations, predictive analytics, and automated logistics are becoming industry norms (Anderson &amp; Ackerman-Anderson, 2010). While competitors such as Amazon and Next have capitalised on digital technologies, JLP’s progress remains uneven due to legacy systems, fragmented digital infrastructure, and capabilities gaps. Digital transformation is constrained by risk aversion and cultural resistance to unfamiliar technological solutions (Brunsson, 2017).</w:t>
      </w:r>
    </w:p>
    <w:p w14:paraId="29969215" w14:textId="77777777" w:rsidR="005E3A4D" w:rsidRPr="005E3A4D" w:rsidRDefault="005E3A4D" w:rsidP="000F7454">
      <w:pPr>
        <w:pStyle w:val="Heading2"/>
      </w:pPr>
      <w:bookmarkStart w:id="21" w:name="_Toc215096053"/>
      <w:bookmarkStart w:id="22" w:name="_Toc215096088"/>
      <w:bookmarkStart w:id="23" w:name="_Toc217033565"/>
      <w:r w:rsidRPr="005E3A4D">
        <w:t>2.5 Legal Requirements</w:t>
      </w:r>
      <w:bookmarkEnd w:id="21"/>
      <w:bookmarkEnd w:id="22"/>
      <w:bookmarkEnd w:id="23"/>
    </w:p>
    <w:p w14:paraId="106F07BF" w14:textId="7206977D" w:rsidR="005E3A4D" w:rsidRPr="005E3A4D" w:rsidRDefault="005E3A4D" w:rsidP="005E3A4D">
      <w:pPr>
        <w:spacing w:line="360" w:lineRule="auto"/>
        <w:rPr>
          <w:rFonts w:ascii="Arial" w:hAnsi="Arial" w:cs="Arial"/>
        </w:rPr>
      </w:pPr>
      <w:r w:rsidRPr="005E3A4D">
        <w:rPr>
          <w:rFonts w:ascii="Arial" w:hAnsi="Arial" w:cs="Arial"/>
        </w:rPr>
        <w:t xml:space="preserve">JLP must comply with stringent consumer protection regulations, GDPR requirements, and employment law. Digital expansion intensifies the need for robust data governance frameworks and cybersecurity investment (Schein, 2010). Legal compliance adds complexity to technological transformation, requiring </w:t>
      </w:r>
      <w:r w:rsidR="000F7454">
        <w:rPr>
          <w:rFonts w:ascii="Arial" w:hAnsi="Arial" w:cs="Arial"/>
        </w:rPr>
        <w:t xml:space="preserve">a </w:t>
      </w:r>
      <w:r w:rsidRPr="005E3A4D">
        <w:rPr>
          <w:rFonts w:ascii="Arial" w:hAnsi="Arial" w:cs="Arial"/>
        </w:rPr>
        <w:t>strong internal capability.</w:t>
      </w:r>
    </w:p>
    <w:p w14:paraId="0E88F53E" w14:textId="77777777" w:rsidR="005E3A4D" w:rsidRPr="005E3A4D" w:rsidRDefault="005E3A4D" w:rsidP="000F7454">
      <w:pPr>
        <w:pStyle w:val="Heading2"/>
      </w:pPr>
      <w:bookmarkStart w:id="24" w:name="_Toc215096054"/>
      <w:bookmarkStart w:id="25" w:name="_Toc215096089"/>
      <w:bookmarkStart w:id="26" w:name="_Toc217033566"/>
      <w:r w:rsidRPr="005E3A4D">
        <w:t>2.6 Environmental Expectations</w:t>
      </w:r>
      <w:bookmarkEnd w:id="24"/>
      <w:bookmarkEnd w:id="25"/>
      <w:bookmarkEnd w:id="26"/>
    </w:p>
    <w:p w14:paraId="3735109C" w14:textId="77777777" w:rsidR="005E3A4D" w:rsidRPr="005E3A4D" w:rsidRDefault="005E3A4D" w:rsidP="005E3A4D">
      <w:pPr>
        <w:spacing w:line="360" w:lineRule="auto"/>
        <w:rPr>
          <w:rFonts w:ascii="Arial" w:hAnsi="Arial" w:cs="Arial"/>
        </w:rPr>
      </w:pPr>
      <w:r w:rsidRPr="005E3A4D">
        <w:rPr>
          <w:rFonts w:ascii="Arial" w:hAnsi="Arial" w:cs="Arial"/>
        </w:rPr>
        <w:t>Growing expectations around corporate sustainability place further pressure on JLP to reduce carbon emissions and increase supply-chain transparency. Although the Partnership has made sustainability commitments, achieving them requires significant investment and operational restructuring (Henderson et al., 2015). Sustainability expectations also shape consumer purchasing decisions and brand loyalty.</w:t>
      </w:r>
    </w:p>
    <w:p w14:paraId="09CAF649" w14:textId="77777777" w:rsidR="005E3A4D" w:rsidRPr="005E3A4D" w:rsidRDefault="005E3A4D" w:rsidP="000F7454">
      <w:pPr>
        <w:pStyle w:val="Heading2"/>
      </w:pPr>
      <w:bookmarkStart w:id="27" w:name="_Toc215096055"/>
      <w:bookmarkStart w:id="28" w:name="_Toc215096090"/>
      <w:bookmarkStart w:id="29" w:name="_Toc217033567"/>
      <w:r w:rsidRPr="005E3A4D">
        <w:t>2.7 Internal Environment and Organisational Capability</w:t>
      </w:r>
      <w:bookmarkEnd w:id="27"/>
      <w:bookmarkEnd w:id="28"/>
      <w:bookmarkEnd w:id="29"/>
    </w:p>
    <w:p w14:paraId="4A56F82E" w14:textId="3D91DCCF" w:rsidR="005E3A4D" w:rsidRPr="005E3A4D" w:rsidRDefault="005E3A4D" w:rsidP="005E3A4D">
      <w:pPr>
        <w:spacing w:line="360" w:lineRule="auto"/>
        <w:rPr>
          <w:rFonts w:ascii="Arial" w:hAnsi="Arial" w:cs="Arial"/>
        </w:rPr>
      </w:pPr>
      <w:r w:rsidRPr="005E3A4D">
        <w:rPr>
          <w:rFonts w:ascii="Arial" w:hAnsi="Arial" w:cs="Arial"/>
        </w:rPr>
        <w:t xml:space="preserve">Internally, JLP faces capability limitations related to technological competence, agile working, and decision-making pace. The partnership model strengthens engagement but </w:t>
      </w:r>
      <w:r w:rsidR="00480A37">
        <w:rPr>
          <w:rFonts w:ascii="Arial" w:hAnsi="Arial" w:cs="Arial"/>
        </w:rPr>
        <w:t xml:space="preserve">is </w:t>
      </w:r>
      <w:r w:rsidRPr="005E3A4D">
        <w:rPr>
          <w:rFonts w:ascii="Arial" w:hAnsi="Arial" w:cs="Arial"/>
        </w:rPr>
        <w:t>slow</w:t>
      </w:r>
      <w:r w:rsidR="00480A37">
        <w:rPr>
          <w:rFonts w:ascii="Arial" w:hAnsi="Arial" w:cs="Arial"/>
        </w:rPr>
        <w:t xml:space="preserve"> in</w:t>
      </w:r>
      <w:r w:rsidRPr="005E3A4D">
        <w:rPr>
          <w:rFonts w:ascii="Arial" w:hAnsi="Arial" w:cs="Arial"/>
        </w:rPr>
        <w:t xml:space="preserve"> responsiveness (Carnall, 2014). </w:t>
      </w:r>
      <w:r>
        <w:rPr>
          <w:rFonts w:ascii="Arial" w:hAnsi="Arial" w:cs="Arial"/>
        </w:rPr>
        <w:t>Deeply</w:t>
      </w:r>
      <w:r w:rsidRPr="005E3A4D">
        <w:rPr>
          <w:rFonts w:ascii="Arial" w:hAnsi="Arial" w:cs="Arial"/>
        </w:rPr>
        <w:t xml:space="preserve"> embedded cultural assumptions</w:t>
      </w:r>
      <w:r>
        <w:rPr>
          <w:rFonts w:ascii="Arial" w:hAnsi="Arial" w:cs="Arial"/>
        </w:rPr>
        <w:t xml:space="preserve">, </w:t>
      </w:r>
      <w:r w:rsidRPr="005E3A4D">
        <w:rPr>
          <w:rFonts w:ascii="Arial" w:hAnsi="Arial" w:cs="Arial"/>
        </w:rPr>
        <w:t>such as job security and consensus-driven governance</w:t>
      </w:r>
      <w:r>
        <w:rPr>
          <w:rFonts w:ascii="Arial" w:hAnsi="Arial" w:cs="Arial"/>
        </w:rPr>
        <w:t xml:space="preserve">, </w:t>
      </w:r>
      <w:r w:rsidRPr="005E3A4D">
        <w:rPr>
          <w:rFonts w:ascii="Arial" w:hAnsi="Arial" w:cs="Arial"/>
        </w:rPr>
        <w:t>limit willingness to adopt disruptive technologies. These internal constraints diminish JLP’s capacity to respond to environmental volatility (Schein, 2010).</w:t>
      </w:r>
    </w:p>
    <w:p w14:paraId="057BD641" w14:textId="77777777" w:rsidR="005E3A4D" w:rsidRPr="005E3A4D" w:rsidRDefault="005E3A4D" w:rsidP="000F7454">
      <w:pPr>
        <w:pStyle w:val="Heading2"/>
      </w:pPr>
      <w:bookmarkStart w:id="30" w:name="_Toc215096056"/>
      <w:bookmarkStart w:id="31" w:name="_Toc215096091"/>
      <w:bookmarkStart w:id="32" w:name="_Toc217033568"/>
      <w:r w:rsidRPr="005E3A4D">
        <w:lastRenderedPageBreak/>
        <w:t>2.8 Environmental Change and Organisational Capability</w:t>
      </w:r>
      <w:bookmarkEnd w:id="30"/>
      <w:bookmarkEnd w:id="31"/>
      <w:bookmarkEnd w:id="32"/>
    </w:p>
    <w:p w14:paraId="7AD73169" w14:textId="5A303202" w:rsidR="005E3A4D" w:rsidRPr="005E3A4D" w:rsidRDefault="005E3A4D" w:rsidP="005E3A4D">
      <w:pPr>
        <w:spacing w:line="360" w:lineRule="auto"/>
        <w:rPr>
          <w:rFonts w:ascii="Arial" w:hAnsi="Arial" w:cs="Arial"/>
        </w:rPr>
      </w:pPr>
      <w:r w:rsidRPr="005E3A4D">
        <w:rPr>
          <w:rFonts w:ascii="Arial" w:hAnsi="Arial" w:cs="Arial"/>
        </w:rPr>
        <w:t>Pettigrew’s (1987) CCP framework highlights the interaction between context, content, and process. For JLP, external pressures clearly demand transformation, yet internal context</w:t>
      </w:r>
      <w:r>
        <w:rPr>
          <w:rFonts w:ascii="Arial" w:hAnsi="Arial" w:cs="Arial"/>
        </w:rPr>
        <w:t xml:space="preserve">, </w:t>
      </w:r>
      <w:r w:rsidRPr="005E3A4D">
        <w:rPr>
          <w:rFonts w:ascii="Arial" w:hAnsi="Arial" w:cs="Arial"/>
        </w:rPr>
        <w:t xml:space="preserve">identity, culture, </w:t>
      </w:r>
      <w:r>
        <w:rPr>
          <w:rFonts w:ascii="Arial" w:hAnsi="Arial" w:cs="Arial"/>
        </w:rPr>
        <w:t xml:space="preserve">and </w:t>
      </w:r>
      <w:r w:rsidRPr="005E3A4D">
        <w:rPr>
          <w:rFonts w:ascii="Arial" w:hAnsi="Arial" w:cs="Arial"/>
        </w:rPr>
        <w:t>governance</w:t>
      </w:r>
      <w:r>
        <w:rPr>
          <w:rFonts w:ascii="Arial" w:hAnsi="Arial" w:cs="Arial"/>
        </w:rPr>
        <w:t xml:space="preserve"> shape</w:t>
      </w:r>
      <w:r w:rsidRPr="005E3A4D">
        <w:rPr>
          <w:rFonts w:ascii="Arial" w:hAnsi="Arial" w:cs="Arial"/>
        </w:rPr>
        <w:t xml:space="preserve"> how these pressures are interpreted. This misalignment contributes to weak dynamic capabilities (Teece, 1997), as the organisation struggles to reconfigure structures and practices. Slow adaptation to digital disruption illustrates the tension between historic cultural strengths and contemporary strategic demands.</w:t>
      </w:r>
    </w:p>
    <w:p w14:paraId="48150279" w14:textId="545809FE" w:rsidR="005F30AC" w:rsidRPr="00936CFC" w:rsidRDefault="005F30AC" w:rsidP="00936CFC">
      <w:pPr>
        <w:pStyle w:val="Heading1"/>
      </w:pPr>
      <w:bookmarkStart w:id="33" w:name="_Toc215096057"/>
      <w:bookmarkStart w:id="34" w:name="_Toc215096092"/>
      <w:bookmarkStart w:id="35" w:name="_Toc217033569"/>
      <w:r w:rsidRPr="00936CFC">
        <w:t xml:space="preserve">3. </w:t>
      </w:r>
      <w:r w:rsidRPr="00936CFC">
        <w:rPr>
          <w:rStyle w:val="Heading1Char"/>
          <w:b/>
          <w:bCs/>
        </w:rPr>
        <w:t>EVALUATION OF CHANGE MANAGEMENT MODELS</w:t>
      </w:r>
      <w:bookmarkEnd w:id="33"/>
      <w:bookmarkEnd w:id="34"/>
      <w:bookmarkEnd w:id="35"/>
    </w:p>
    <w:p w14:paraId="5583C250" w14:textId="77777777" w:rsidR="005F30AC" w:rsidRPr="005F30AC" w:rsidRDefault="005F30AC" w:rsidP="005F30AC">
      <w:pPr>
        <w:spacing w:line="360" w:lineRule="auto"/>
        <w:rPr>
          <w:rFonts w:ascii="Arial" w:hAnsi="Arial" w:cs="Arial"/>
        </w:rPr>
      </w:pPr>
      <w:r w:rsidRPr="005F30AC">
        <w:rPr>
          <w:rFonts w:ascii="Arial" w:hAnsi="Arial" w:cs="Arial"/>
        </w:rPr>
        <w:t>Understanding change within the John Lewis Partnership (JLP) requires analytical frameworks capable of explaining both the procedural elements of transformation and the contextual conditions that shape organisational responses. This section evaluates Kotter’s (2012) Eight-Step Model and Pettigrew’s (1987) Context–Content–Process (CCP) Framework, alongside Russell’s (2003) Journey Through Change, which explains the emotional trajectory individuals experience during organisational disruption. These models collectively illuminate why JLP has struggled to implement change effectively and how future transformation should be structured.</w:t>
      </w:r>
    </w:p>
    <w:p w14:paraId="3AC2656F" w14:textId="6566DCC0" w:rsidR="005F30AC" w:rsidRPr="005F30AC" w:rsidRDefault="005F30AC" w:rsidP="005F30AC">
      <w:pPr>
        <w:spacing w:line="360" w:lineRule="auto"/>
        <w:rPr>
          <w:rFonts w:ascii="Arial" w:hAnsi="Arial" w:cs="Arial"/>
        </w:rPr>
      </w:pPr>
      <w:r w:rsidRPr="005F30AC">
        <w:rPr>
          <w:rFonts w:ascii="Arial" w:hAnsi="Arial" w:cs="Arial"/>
        </w:rPr>
        <w:t>Kotter’s (2012) Eight-Step Model remains one of the most influential frameworks in planned organisational change due to its clear, staged approach emphasising urgency, leadership, communication, and consolidation. For JLP, Kotter’s model highlights three persistent weaknesses. First, the organisation has struggled to generate and sustain urgency, partly because its partnership culture encourages stability and gradualism rather than rapid strategic action (Cameron &amp; Green, 2020). Despite strong environmental signals</w:t>
      </w:r>
      <w:r w:rsidR="00FE4A3D">
        <w:rPr>
          <w:rFonts w:ascii="Arial" w:hAnsi="Arial" w:cs="Arial"/>
        </w:rPr>
        <w:t xml:space="preserve">, </w:t>
      </w:r>
      <w:r w:rsidRPr="005F30AC">
        <w:rPr>
          <w:rFonts w:ascii="Arial" w:hAnsi="Arial" w:cs="Arial"/>
        </w:rPr>
        <w:t xml:space="preserve">such as intensified digital competition and declining </w:t>
      </w:r>
      <w:r w:rsidR="009C1E00">
        <w:rPr>
          <w:rFonts w:ascii="Arial" w:hAnsi="Arial" w:cs="Arial"/>
        </w:rPr>
        <w:t xml:space="preserve">foot traffic, leadership communication has </w:t>
      </w:r>
      <w:r w:rsidRPr="005F30AC">
        <w:rPr>
          <w:rFonts w:ascii="Arial" w:hAnsi="Arial" w:cs="Arial"/>
        </w:rPr>
        <w:t>historically framed challenges as incremental rather than transformative, weakening the motivational tension needed to mobilise action (Kotter, 1995).</w:t>
      </w:r>
    </w:p>
    <w:p w14:paraId="4EBA1C27" w14:textId="77777777" w:rsidR="005F30AC" w:rsidRPr="005F30AC" w:rsidRDefault="005F30AC" w:rsidP="005F30AC">
      <w:pPr>
        <w:spacing w:line="360" w:lineRule="auto"/>
        <w:rPr>
          <w:rFonts w:ascii="Arial" w:hAnsi="Arial" w:cs="Arial"/>
        </w:rPr>
      </w:pPr>
      <w:r w:rsidRPr="005F30AC">
        <w:rPr>
          <w:rFonts w:ascii="Arial" w:hAnsi="Arial" w:cs="Arial"/>
        </w:rPr>
        <w:t xml:space="preserve">Second, the model underscores difficulties in forming a strong guiding coalition. JLP’s governance structure, which distributes authority among executives, partner councils, and committees, complicates unified change leadership (Carnall, 2014). Pettigrew (1987) argues that change processes are deeply political; diffuse decision-making often fragments priorities, and this is evident in JLP’s inconsistent </w:t>
      </w:r>
      <w:r w:rsidRPr="005F30AC">
        <w:rPr>
          <w:rFonts w:ascii="Arial" w:hAnsi="Arial" w:cs="Arial"/>
        </w:rPr>
        <w:lastRenderedPageBreak/>
        <w:t>implementation of digital initiatives. Kotter’s emphasis on strategic coalitions provides a useful counterbalance to these political constraints.</w:t>
      </w:r>
    </w:p>
    <w:p w14:paraId="54D6F349" w14:textId="05D65DBC" w:rsidR="005F30AC" w:rsidRPr="005F30AC" w:rsidRDefault="005F30AC" w:rsidP="005F30AC">
      <w:pPr>
        <w:spacing w:line="360" w:lineRule="auto"/>
        <w:rPr>
          <w:rFonts w:ascii="Arial" w:hAnsi="Arial" w:cs="Arial"/>
        </w:rPr>
      </w:pPr>
      <w:r w:rsidRPr="005F30AC">
        <w:rPr>
          <w:rFonts w:ascii="Arial" w:hAnsi="Arial" w:cs="Arial"/>
        </w:rPr>
        <w:t>Third, Kotter’s focus on communication exposes gaps in JLP’s past change efforts. Although the organisation values transparency, communication during restructuring</w:t>
      </w:r>
      <w:r w:rsidR="00FE4A3D">
        <w:rPr>
          <w:rFonts w:ascii="Arial" w:hAnsi="Arial" w:cs="Arial"/>
        </w:rPr>
        <w:t xml:space="preserve">, </w:t>
      </w:r>
      <w:r w:rsidRPr="005F30AC">
        <w:rPr>
          <w:rFonts w:ascii="Arial" w:hAnsi="Arial" w:cs="Arial"/>
        </w:rPr>
        <w:t>particularly around store closures</w:t>
      </w:r>
      <w:r w:rsidR="00FE4A3D">
        <w:rPr>
          <w:rFonts w:ascii="Arial" w:hAnsi="Arial" w:cs="Arial"/>
        </w:rPr>
        <w:t xml:space="preserve">, </w:t>
      </w:r>
      <w:r w:rsidRPr="005F30AC">
        <w:rPr>
          <w:rFonts w:ascii="Arial" w:hAnsi="Arial" w:cs="Arial"/>
        </w:rPr>
        <w:t>has often been reactive and ambiguous, contributing to resistance and anxiety (Brunsson, 2017). Kotter (2012) emphasises repeated, consistent communication that links organisational purpose to transformation; the lack of sustained messaging at JLP weakened employee confidence and slowed behavioural change.</w:t>
      </w:r>
    </w:p>
    <w:p w14:paraId="55401FAB" w14:textId="77777777" w:rsidR="005F30AC" w:rsidRPr="005F30AC" w:rsidRDefault="005F30AC" w:rsidP="005F30AC">
      <w:pPr>
        <w:spacing w:line="360" w:lineRule="auto"/>
        <w:rPr>
          <w:rFonts w:ascii="Arial" w:hAnsi="Arial" w:cs="Arial"/>
        </w:rPr>
      </w:pPr>
      <w:r w:rsidRPr="005F30AC">
        <w:rPr>
          <w:rFonts w:ascii="Arial" w:hAnsi="Arial" w:cs="Arial"/>
        </w:rPr>
        <w:t>However, Kotter’s model is not without limitations. It assumes a linear progression and does not fully address the complexity of cultural and political dynamics within organisations (Van de Ven &amp; Poole, 1995). For a historically value-driven organisation such as JLP, change unfolds in a more emergent and negotiated manner than the model implies. Accordingly, Kotter offers strong procedural insights but must be adapted to JLP’s culture and governance.</w:t>
      </w:r>
    </w:p>
    <w:p w14:paraId="180BCF65" w14:textId="50B8CB8C" w:rsidR="005F30AC" w:rsidRPr="005F30AC" w:rsidRDefault="005F30AC" w:rsidP="005F30AC">
      <w:pPr>
        <w:spacing w:line="360" w:lineRule="auto"/>
        <w:rPr>
          <w:rFonts w:ascii="Arial" w:hAnsi="Arial" w:cs="Arial"/>
        </w:rPr>
      </w:pPr>
      <w:r w:rsidRPr="005F30AC">
        <w:rPr>
          <w:rFonts w:ascii="Arial" w:hAnsi="Arial" w:cs="Arial"/>
        </w:rPr>
        <w:t>Pettigrew’s (1987) CCP model is therefore particularly relevant. It emphasises the interplay between context, content, and process, arguing that organisational change cannot be understood without reference to historical, cultural, and political factors. For JLP, external context</w:t>
      </w:r>
      <w:r w:rsidR="00FE4A3D">
        <w:rPr>
          <w:rFonts w:ascii="Arial" w:hAnsi="Arial" w:cs="Arial"/>
        </w:rPr>
        <w:t xml:space="preserve">, </w:t>
      </w:r>
      <w:r w:rsidRPr="005F30AC">
        <w:rPr>
          <w:rFonts w:ascii="Arial" w:hAnsi="Arial" w:cs="Arial"/>
        </w:rPr>
        <w:t xml:space="preserve">digital disruption, shifting consumer expectations, </w:t>
      </w:r>
      <w:r w:rsidR="00FE4A3D">
        <w:rPr>
          <w:rFonts w:ascii="Arial" w:hAnsi="Arial" w:cs="Arial"/>
        </w:rPr>
        <w:t xml:space="preserve">and </w:t>
      </w:r>
      <w:r w:rsidRPr="005F30AC">
        <w:rPr>
          <w:rFonts w:ascii="Arial" w:hAnsi="Arial" w:cs="Arial"/>
        </w:rPr>
        <w:t>economic pressure</w:t>
      </w:r>
      <w:r w:rsidR="00FE4A3D">
        <w:rPr>
          <w:rFonts w:ascii="Arial" w:hAnsi="Arial" w:cs="Arial"/>
        </w:rPr>
        <w:t xml:space="preserve"> create</w:t>
      </w:r>
      <w:r w:rsidRPr="005F30AC">
        <w:rPr>
          <w:rFonts w:ascii="Arial" w:hAnsi="Arial" w:cs="Arial"/>
        </w:rPr>
        <w:t xml:space="preserve"> the need for transformation (MarketLine, 2023). Internal context, however, shapes how these pressures are interpreted. The partnership ethos fosters loyalty and high employee identification but can also slow decision-making, reinforce risk aversion, and challenge the introduction of unfamiliar technologies (Schein, 2010). Pettigrew’s emphasis on internal politics explains why JLP’s change initiatives often encounter resistance: decisions affecting job security, automation, or store closures directly contradict long-held cultural assumptions (Brunsson, 2017).</w:t>
      </w:r>
    </w:p>
    <w:p w14:paraId="18201B3A" w14:textId="0687C888" w:rsidR="005F30AC" w:rsidRPr="005F30AC" w:rsidRDefault="005F30AC" w:rsidP="005F30AC">
      <w:pPr>
        <w:spacing w:line="360" w:lineRule="auto"/>
        <w:rPr>
          <w:rFonts w:ascii="Arial" w:hAnsi="Arial" w:cs="Arial"/>
        </w:rPr>
      </w:pPr>
      <w:r w:rsidRPr="005F30AC">
        <w:rPr>
          <w:rFonts w:ascii="Arial" w:hAnsi="Arial" w:cs="Arial"/>
        </w:rPr>
        <w:t>The content of change at JLP</w:t>
      </w:r>
      <w:r w:rsidR="00FE4A3D">
        <w:rPr>
          <w:rFonts w:ascii="Arial" w:hAnsi="Arial" w:cs="Arial"/>
        </w:rPr>
        <w:t xml:space="preserve">, </w:t>
      </w:r>
      <w:r w:rsidRPr="005F30AC">
        <w:rPr>
          <w:rFonts w:ascii="Arial" w:hAnsi="Arial" w:cs="Arial"/>
        </w:rPr>
        <w:t>digital transformation, restructuring, and cultural renewal</w:t>
      </w:r>
      <w:r w:rsidR="00FE4A3D">
        <w:rPr>
          <w:rFonts w:ascii="Arial" w:hAnsi="Arial" w:cs="Arial"/>
        </w:rPr>
        <w:t xml:space="preserve">, </w:t>
      </w:r>
      <w:r w:rsidRPr="005F30AC">
        <w:rPr>
          <w:rFonts w:ascii="Arial" w:hAnsi="Arial" w:cs="Arial"/>
        </w:rPr>
        <w:t xml:space="preserve">requires coherent sequencing and integration. Pettigrew’s process dimension highlights the difficulties the organisation has faced in executing change consistently. Leadership transitions, shifting priorities, and fragmented initiatives </w:t>
      </w:r>
      <w:r w:rsidRPr="005F30AC">
        <w:rPr>
          <w:rFonts w:ascii="Arial" w:hAnsi="Arial" w:cs="Arial"/>
        </w:rPr>
        <w:lastRenderedPageBreak/>
        <w:t>have undermined momentum, illustrating Pettigrew’s argument that change is shaped by the unfolding interaction of events, interests, and interpretations.</w:t>
      </w:r>
    </w:p>
    <w:p w14:paraId="22C14921" w14:textId="77777777" w:rsidR="005F30AC" w:rsidRPr="005F30AC" w:rsidRDefault="005F30AC" w:rsidP="005F30AC">
      <w:pPr>
        <w:spacing w:line="360" w:lineRule="auto"/>
        <w:rPr>
          <w:rFonts w:ascii="Arial" w:hAnsi="Arial" w:cs="Arial"/>
        </w:rPr>
      </w:pPr>
      <w:r w:rsidRPr="005F30AC">
        <w:rPr>
          <w:rFonts w:ascii="Arial" w:hAnsi="Arial" w:cs="Arial"/>
        </w:rPr>
        <w:t>Complementing these structural perspectives, Russell’s (2003) Journey Through Change offers psychological insight into employee reactions during transformation. For a workforce with high emotional attachment to organisational identity, partners are likely to progress through stages of shock, denial, anger, bargaining, and eventually acceptance. Recognising these emotional dynamics is crucial given JLP’s emphasis on employee voice and shared ownership. Leaders must therefore address both the structural and emotional aspects of change through empathy, transparent communication, and consistent behaviour (Anderson &amp; Ackerman-Anderson, 2010).</w:t>
      </w:r>
    </w:p>
    <w:p w14:paraId="1E8488EA" w14:textId="77777777" w:rsidR="00BF3C6D" w:rsidRDefault="005F30AC" w:rsidP="00BF3C6D">
      <w:pPr>
        <w:spacing w:line="360" w:lineRule="auto"/>
        <w:rPr>
          <w:rFonts w:ascii="Times New Roman" w:eastAsia="Times New Roman" w:hAnsi="Times New Roman" w:cs="Times New Roman"/>
          <w:kern w:val="36"/>
          <w:sz w:val="48"/>
          <w:szCs w:val="48"/>
          <w:lang w:eastAsia="en-GB"/>
          <w14:ligatures w14:val="none"/>
        </w:rPr>
      </w:pPr>
      <w:r w:rsidRPr="005F30AC">
        <w:rPr>
          <w:rFonts w:ascii="Arial" w:hAnsi="Arial" w:cs="Arial"/>
        </w:rPr>
        <w:t>Collectively, the three models illustrate that JLP’s transformation challenges stem from procedural inconsistencies (Kotter), contextual and political constraints (Pettigrew), and emotional resistance (Russell). Their combined application provides a robust foundation for the organisation’s strategic change plan.</w:t>
      </w:r>
      <w:r w:rsidR="00BF3C6D" w:rsidRPr="00BF3C6D">
        <w:rPr>
          <w:rFonts w:ascii="Times New Roman" w:eastAsia="Times New Roman" w:hAnsi="Times New Roman" w:cs="Times New Roman"/>
          <w:kern w:val="36"/>
          <w:sz w:val="48"/>
          <w:szCs w:val="48"/>
          <w:lang w:eastAsia="en-GB"/>
          <w14:ligatures w14:val="none"/>
        </w:rPr>
        <w:t xml:space="preserve"> </w:t>
      </w:r>
    </w:p>
    <w:p w14:paraId="0CAB5C51" w14:textId="6BEDD801" w:rsidR="00BF3C6D" w:rsidRPr="0060022D" w:rsidRDefault="00BF3C6D" w:rsidP="0060022D">
      <w:pPr>
        <w:pStyle w:val="Heading2"/>
      </w:pPr>
      <w:bookmarkStart w:id="36" w:name="_Toc217033570"/>
      <w:r w:rsidRPr="0060022D">
        <w:t>Table 1: Russell (2003) – Journey Through Change: Stages and Actions</w:t>
      </w:r>
      <w:bookmarkEnd w:id="36"/>
    </w:p>
    <w:tbl>
      <w:tblPr>
        <w:tblW w:w="0" w:type="auto"/>
        <w:tblCellSpacing w:w="15" w:type="dxa"/>
        <w:tblInd w:w="-142" w:type="dxa"/>
        <w:tblCellMar>
          <w:top w:w="15" w:type="dxa"/>
          <w:left w:w="15" w:type="dxa"/>
          <w:bottom w:w="15" w:type="dxa"/>
          <w:right w:w="15" w:type="dxa"/>
        </w:tblCellMar>
        <w:tblLook w:val="04A0" w:firstRow="1" w:lastRow="0" w:firstColumn="1" w:lastColumn="0" w:noHBand="0" w:noVBand="1"/>
      </w:tblPr>
      <w:tblGrid>
        <w:gridCol w:w="2321"/>
        <w:gridCol w:w="3200"/>
        <w:gridCol w:w="3557"/>
      </w:tblGrid>
      <w:tr w:rsidR="003A5167" w:rsidRPr="003A5167" w14:paraId="331E9C1B" w14:textId="77777777" w:rsidTr="00C11D4F">
        <w:trPr>
          <w:tblHeader/>
          <w:tblCellSpacing w:w="15" w:type="dxa"/>
        </w:trPr>
        <w:tc>
          <w:tcPr>
            <w:tcW w:w="2276" w:type="dxa"/>
            <w:tcBorders>
              <w:top w:val="single" w:sz="36" w:space="0" w:color="000000" w:themeColor="text1"/>
              <w:left w:val="single" w:sz="36" w:space="0" w:color="000000" w:themeColor="text1"/>
              <w:bottom w:val="single" w:sz="36" w:space="0" w:color="000000" w:themeColor="text1"/>
              <w:right w:val="single" w:sz="36" w:space="0" w:color="000000" w:themeColor="text1"/>
            </w:tcBorders>
            <w:shd w:val="clear" w:color="auto" w:fill="E59EDC" w:themeFill="accent5" w:themeFillTint="66"/>
            <w:vAlign w:val="center"/>
            <w:hideMark/>
          </w:tcPr>
          <w:p w14:paraId="25015855" w14:textId="2DEF9573" w:rsidR="00BF3C6D" w:rsidRPr="00BF3C6D" w:rsidRDefault="00C11D4F" w:rsidP="00BF3C6D">
            <w:pPr>
              <w:spacing w:line="360" w:lineRule="auto"/>
              <w:rPr>
                <w:rFonts w:ascii="Arial" w:hAnsi="Arial" w:cs="Arial"/>
                <w:b/>
                <w:bCs/>
                <w:color w:val="000000" w:themeColor="text1"/>
              </w:rPr>
            </w:pPr>
            <w:r w:rsidRPr="00C11D4F">
              <w:rPr>
                <w:rFonts w:ascii="Arial" w:hAnsi="Arial" w:cs="Arial"/>
                <w:b/>
                <w:bCs/>
                <w:color w:val="000000" w:themeColor="text1"/>
              </w:rPr>
              <w:t xml:space="preserve">Stages </w:t>
            </w:r>
            <w:r w:rsidR="00BF3C6D" w:rsidRPr="00BF3C6D">
              <w:rPr>
                <w:rFonts w:ascii="Arial" w:hAnsi="Arial" w:cs="Arial"/>
                <w:b/>
                <w:bCs/>
                <w:color w:val="000000" w:themeColor="text1"/>
              </w:rPr>
              <w:t>of Change (Russell, 2003)</w:t>
            </w:r>
            <w:r w:rsidRPr="00C11D4F">
              <w:rPr>
                <w:rFonts w:ascii="Arial" w:hAnsi="Arial" w:cs="Arial"/>
                <w:b/>
                <w:bCs/>
                <w:color w:val="000000" w:themeColor="text1"/>
              </w:rPr>
              <w:t xml:space="preserve"> </w:t>
            </w:r>
          </w:p>
        </w:tc>
        <w:tc>
          <w:tcPr>
            <w:tcW w:w="0" w:type="auto"/>
            <w:tcBorders>
              <w:top w:val="single" w:sz="36" w:space="0" w:color="000000" w:themeColor="text1"/>
              <w:left w:val="single" w:sz="36" w:space="0" w:color="000000" w:themeColor="text1"/>
              <w:bottom w:val="single" w:sz="36" w:space="0" w:color="000000" w:themeColor="text1"/>
              <w:right w:val="single" w:sz="36" w:space="0" w:color="000000" w:themeColor="text1"/>
            </w:tcBorders>
            <w:shd w:val="clear" w:color="auto" w:fill="E59EDC" w:themeFill="accent5" w:themeFillTint="66"/>
            <w:vAlign w:val="center"/>
            <w:hideMark/>
          </w:tcPr>
          <w:p w14:paraId="3FA6849A" w14:textId="77777777"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00000" w:themeColor="text1"/>
              </w:rPr>
              <w:t>Description</w:t>
            </w:r>
          </w:p>
        </w:tc>
        <w:tc>
          <w:tcPr>
            <w:tcW w:w="0" w:type="auto"/>
            <w:tcBorders>
              <w:top w:val="single" w:sz="36" w:space="0" w:color="000000" w:themeColor="text1"/>
              <w:left w:val="single" w:sz="36" w:space="0" w:color="000000" w:themeColor="text1"/>
              <w:bottom w:val="single" w:sz="36" w:space="0" w:color="000000" w:themeColor="text1"/>
              <w:right w:val="single" w:sz="36" w:space="0" w:color="000000" w:themeColor="text1"/>
            </w:tcBorders>
            <w:shd w:val="clear" w:color="auto" w:fill="E59EDC" w:themeFill="accent5" w:themeFillTint="66"/>
            <w:vAlign w:val="center"/>
            <w:hideMark/>
          </w:tcPr>
          <w:p w14:paraId="7239EBF9" w14:textId="77777777"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00000" w:themeColor="text1"/>
              </w:rPr>
              <w:t>Recommended Actions for Leaders</w:t>
            </w:r>
          </w:p>
        </w:tc>
      </w:tr>
      <w:tr w:rsidR="003A5167" w:rsidRPr="003A5167" w14:paraId="1B4BC3C5" w14:textId="77777777" w:rsidTr="00960C8D">
        <w:trPr>
          <w:tblCellSpacing w:w="15" w:type="dxa"/>
        </w:trPr>
        <w:tc>
          <w:tcPr>
            <w:tcW w:w="2276" w:type="dxa"/>
            <w:tcBorders>
              <w:top w:val="single" w:sz="18" w:space="0" w:color="000000" w:themeColor="text1"/>
              <w:left w:val="single" w:sz="12" w:space="0" w:color="000000" w:themeColor="text1"/>
              <w:bottom w:val="single" w:sz="12" w:space="0" w:color="000000" w:themeColor="text1"/>
              <w:right w:val="single" w:sz="12" w:space="0" w:color="000000" w:themeColor="text1"/>
            </w:tcBorders>
            <w:shd w:val="clear" w:color="auto" w:fill="C1F0C7" w:themeFill="accent3" w:themeFillTint="33"/>
            <w:vAlign w:val="center"/>
            <w:hideMark/>
          </w:tcPr>
          <w:p w14:paraId="385779F9" w14:textId="77777777" w:rsidR="00BF3C6D" w:rsidRPr="00BF3C6D" w:rsidRDefault="00BF3C6D" w:rsidP="00BF3C6D">
            <w:pPr>
              <w:spacing w:line="360" w:lineRule="auto"/>
              <w:rPr>
                <w:rFonts w:ascii="Arial" w:hAnsi="Arial" w:cs="Arial"/>
                <w:color w:val="000000" w:themeColor="text1"/>
              </w:rPr>
            </w:pPr>
            <w:r w:rsidRPr="00BF3C6D">
              <w:rPr>
                <w:rFonts w:ascii="Arial" w:hAnsi="Arial" w:cs="Arial"/>
                <w:b/>
                <w:bCs/>
                <w:color w:val="000000" w:themeColor="text1"/>
              </w:rPr>
              <w:t>1. Stability</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vAlign w:val="center"/>
            <w:hideMark/>
          </w:tcPr>
          <w:p w14:paraId="0EEF07D9" w14:textId="77777777"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Employees feel secure and settled; organisational routines are predictable.</w:t>
            </w:r>
          </w:p>
        </w:tc>
        <w:tc>
          <w:tcPr>
            <w:tcW w:w="0" w:type="auto"/>
            <w:tcBorders>
              <w:left w:val="single" w:sz="12" w:space="0" w:color="000000" w:themeColor="text1"/>
              <w:bottom w:val="single" w:sz="12" w:space="0" w:color="000000" w:themeColor="text1"/>
            </w:tcBorders>
            <w:shd w:val="clear" w:color="auto" w:fill="FFC000"/>
            <w:vAlign w:val="center"/>
            <w:hideMark/>
          </w:tcPr>
          <w:p w14:paraId="030CC0C4" w14:textId="1B21FBEC"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Maintain clear communication</w:t>
            </w:r>
            <w:r w:rsidR="00960C8D">
              <w:rPr>
                <w:rFonts w:ascii="Arial" w:hAnsi="Arial" w:cs="Arial"/>
                <w:b/>
                <w:bCs/>
                <w:color w:val="0F4761" w:themeColor="accent1" w:themeShade="BF"/>
              </w:rPr>
              <w:t>, avoid unnecessary disruptions, and</w:t>
            </w:r>
            <w:r w:rsidRPr="00BF3C6D">
              <w:rPr>
                <w:rFonts w:ascii="Arial" w:hAnsi="Arial" w:cs="Arial"/>
                <w:b/>
                <w:bCs/>
                <w:color w:val="0F4761" w:themeColor="accent1" w:themeShade="BF"/>
              </w:rPr>
              <w:t xml:space="preserve"> build trust to prepare for change.</w:t>
            </w:r>
          </w:p>
        </w:tc>
      </w:tr>
      <w:tr w:rsidR="003A5167" w:rsidRPr="003A5167" w14:paraId="7F28E2C1" w14:textId="77777777" w:rsidTr="00B979F1">
        <w:trPr>
          <w:tblCellSpacing w:w="15" w:type="dxa"/>
        </w:trPr>
        <w:tc>
          <w:tcPr>
            <w:tcW w:w="227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1F0C7" w:themeFill="accent3" w:themeFillTint="33"/>
            <w:vAlign w:val="center"/>
            <w:hideMark/>
          </w:tcPr>
          <w:p w14:paraId="2D3145BE" w14:textId="77777777" w:rsidR="00BF3C6D" w:rsidRPr="00C11D4F" w:rsidRDefault="00BF3C6D" w:rsidP="00BF3C6D">
            <w:pPr>
              <w:spacing w:line="360" w:lineRule="auto"/>
              <w:rPr>
                <w:rFonts w:ascii="Arial" w:hAnsi="Arial" w:cs="Arial"/>
                <w:b/>
                <w:bCs/>
                <w:color w:val="000000" w:themeColor="text1"/>
                <w:shd w:val="clear" w:color="auto" w:fill="CAEDFB" w:themeFill="accent4" w:themeFillTint="33"/>
              </w:rPr>
            </w:pPr>
            <w:r w:rsidRPr="00BF3C6D">
              <w:rPr>
                <w:rFonts w:ascii="Arial" w:hAnsi="Arial" w:cs="Arial"/>
                <w:b/>
                <w:bCs/>
                <w:color w:val="000000" w:themeColor="text1"/>
              </w:rPr>
              <w:t>2</w:t>
            </w:r>
            <w:r w:rsidRPr="00BF3C6D">
              <w:rPr>
                <w:rFonts w:ascii="Arial" w:hAnsi="Arial" w:cs="Arial"/>
                <w:b/>
                <w:bCs/>
                <w:color w:val="000000" w:themeColor="text1"/>
                <w:shd w:val="clear" w:color="auto" w:fill="CAEDFB" w:themeFill="accent4" w:themeFillTint="33"/>
              </w:rPr>
              <w:t>. Immobilisation</w:t>
            </w:r>
          </w:p>
          <w:p w14:paraId="709B56DD" w14:textId="77777777" w:rsidR="00B979F1" w:rsidRPr="00C11D4F" w:rsidRDefault="00B979F1" w:rsidP="00B979F1">
            <w:pPr>
              <w:rPr>
                <w:rFonts w:ascii="Arial" w:hAnsi="Arial" w:cs="Arial"/>
                <w:b/>
                <w:bCs/>
                <w:color w:val="000000" w:themeColor="text1"/>
                <w:shd w:val="clear" w:color="auto" w:fill="CAEDFB" w:themeFill="accent4" w:themeFillTint="33"/>
              </w:rPr>
            </w:pPr>
          </w:p>
          <w:p w14:paraId="44A2289F" w14:textId="77777777" w:rsidR="00B979F1" w:rsidRPr="00BF3C6D" w:rsidRDefault="00B979F1" w:rsidP="00B979F1">
            <w:pPr>
              <w:rPr>
                <w:rFonts w:ascii="Arial" w:hAnsi="Arial" w:cs="Arial"/>
                <w:color w:val="000000" w:themeColor="text1"/>
              </w:rPr>
            </w:pP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vAlign w:val="center"/>
            <w:hideMark/>
          </w:tcPr>
          <w:p w14:paraId="1BFD3441" w14:textId="676C306A"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Shock or disbelief when change is announced</w:t>
            </w:r>
            <w:r w:rsidR="00960C8D">
              <w:rPr>
                <w:rFonts w:ascii="Arial" w:hAnsi="Arial" w:cs="Arial"/>
                <w:b/>
                <w:bCs/>
                <w:color w:val="0F4761" w:themeColor="accent1" w:themeShade="BF"/>
              </w:rPr>
              <w:t>,</w:t>
            </w:r>
            <w:r w:rsidR="00960C8D">
              <w:rPr>
                <w:rFonts w:ascii="Arial" w:hAnsi="Arial" w:cs="Arial"/>
                <w:b/>
                <w:bCs/>
                <w:color w:val="0F4761" w:themeColor="accent1" w:themeShade="BF"/>
                <w:bdr w:val="single" w:sz="12" w:space="0" w:color="000000" w:themeColor="text1"/>
              </w:rPr>
              <w:t xml:space="preserve"> </w:t>
            </w:r>
            <w:r w:rsidRPr="00BF3C6D">
              <w:rPr>
                <w:rFonts w:ascii="Arial" w:hAnsi="Arial" w:cs="Arial"/>
                <w:b/>
                <w:bCs/>
                <w:color w:val="0F4761" w:themeColor="accent1" w:themeShade="BF"/>
              </w:rPr>
              <w:t>emotional resistance emerges.</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vAlign w:val="center"/>
            <w:hideMark/>
          </w:tcPr>
          <w:p w14:paraId="5BCA68F2" w14:textId="77777777" w:rsidR="00BF3C6D" w:rsidRPr="00BF3C6D" w:rsidRDefault="00BF3C6D" w:rsidP="00BF3C6D">
            <w:pPr>
              <w:spacing w:line="360" w:lineRule="auto"/>
              <w:rPr>
                <w:rFonts w:ascii="Arial" w:hAnsi="Arial" w:cs="Arial"/>
                <w:color w:val="0F4761" w:themeColor="accent1" w:themeShade="BF"/>
              </w:rPr>
            </w:pPr>
            <w:r w:rsidRPr="00BF3C6D">
              <w:rPr>
                <w:rFonts w:ascii="Arial" w:hAnsi="Arial" w:cs="Arial"/>
                <w:b/>
                <w:bCs/>
                <w:color w:val="0F4761" w:themeColor="accent1" w:themeShade="BF"/>
              </w:rPr>
              <w:t>Provide reassurance; acknowledge concerns; reinforce rationale for change</w:t>
            </w:r>
            <w:r w:rsidRPr="00BF3C6D">
              <w:rPr>
                <w:rFonts w:ascii="Arial" w:hAnsi="Arial" w:cs="Arial"/>
                <w:color w:val="0F4761" w:themeColor="accent1" w:themeShade="BF"/>
              </w:rPr>
              <w:t>.</w:t>
            </w:r>
          </w:p>
        </w:tc>
      </w:tr>
      <w:tr w:rsidR="003A5167" w:rsidRPr="003A5167" w14:paraId="6933B549" w14:textId="77777777" w:rsidTr="00B979F1">
        <w:trPr>
          <w:tblCellSpacing w:w="15" w:type="dxa"/>
        </w:trPr>
        <w:tc>
          <w:tcPr>
            <w:tcW w:w="227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1F0C7" w:themeFill="accent3" w:themeFillTint="33"/>
            <w:vAlign w:val="center"/>
            <w:hideMark/>
          </w:tcPr>
          <w:p w14:paraId="5E8FF3F5" w14:textId="77777777" w:rsidR="00BF3C6D" w:rsidRPr="00BF3C6D" w:rsidRDefault="00BF3C6D" w:rsidP="00BF3C6D">
            <w:pPr>
              <w:spacing w:line="360" w:lineRule="auto"/>
              <w:rPr>
                <w:rFonts w:ascii="Arial" w:hAnsi="Arial" w:cs="Arial"/>
                <w:color w:val="000000" w:themeColor="text1"/>
              </w:rPr>
            </w:pPr>
            <w:r w:rsidRPr="00BF3C6D">
              <w:rPr>
                <w:rFonts w:ascii="Arial" w:hAnsi="Arial" w:cs="Arial"/>
                <w:b/>
                <w:bCs/>
                <w:color w:val="000000" w:themeColor="text1"/>
              </w:rPr>
              <w:lastRenderedPageBreak/>
              <w:t>3. Denial</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vAlign w:val="center"/>
            <w:hideMark/>
          </w:tcPr>
          <w:p w14:paraId="538EE2EE" w14:textId="77777777" w:rsidR="00BF3C6D" w:rsidRPr="00BF3C6D" w:rsidRDefault="00BF3C6D" w:rsidP="00BF3C6D">
            <w:pPr>
              <w:spacing w:line="360" w:lineRule="auto"/>
              <w:rPr>
                <w:rFonts w:ascii="Arial" w:hAnsi="Arial" w:cs="Arial"/>
                <w:color w:val="0F4761" w:themeColor="accent1" w:themeShade="BF"/>
              </w:rPr>
            </w:pPr>
            <w:r w:rsidRPr="00BF3C6D">
              <w:rPr>
                <w:rFonts w:ascii="Arial" w:hAnsi="Arial" w:cs="Arial"/>
                <w:b/>
                <w:bCs/>
                <w:color w:val="0F4761" w:themeColor="accent1" w:themeShade="BF"/>
              </w:rPr>
              <w:t>Individuals minimise the significance of change or believe it will not affect them</w:t>
            </w:r>
            <w:r w:rsidRPr="00BF3C6D">
              <w:rPr>
                <w:rFonts w:ascii="Arial" w:hAnsi="Arial" w:cs="Arial"/>
                <w:color w:val="0F4761" w:themeColor="accent1" w:themeShade="BF"/>
              </w:rPr>
              <w:t>.</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vAlign w:val="center"/>
            <w:hideMark/>
          </w:tcPr>
          <w:p w14:paraId="2BA4B800" w14:textId="77777777"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Increase visibility of leadership; provide factual evidence; encourage dialogue and participation.</w:t>
            </w:r>
          </w:p>
        </w:tc>
      </w:tr>
      <w:tr w:rsidR="003A5167" w:rsidRPr="003A5167" w14:paraId="4F5F9312" w14:textId="77777777" w:rsidTr="00B979F1">
        <w:trPr>
          <w:tblCellSpacing w:w="15" w:type="dxa"/>
        </w:trPr>
        <w:tc>
          <w:tcPr>
            <w:tcW w:w="227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1F0C7" w:themeFill="accent3" w:themeFillTint="33"/>
            <w:vAlign w:val="center"/>
            <w:hideMark/>
          </w:tcPr>
          <w:p w14:paraId="7FBE90D3" w14:textId="77777777" w:rsidR="00BF3C6D" w:rsidRPr="00BF3C6D" w:rsidRDefault="00BF3C6D" w:rsidP="00BF3C6D">
            <w:pPr>
              <w:spacing w:line="360" w:lineRule="auto"/>
              <w:rPr>
                <w:rFonts w:ascii="Arial" w:hAnsi="Arial" w:cs="Arial"/>
                <w:color w:val="0F4761" w:themeColor="accent1" w:themeShade="BF"/>
              </w:rPr>
            </w:pPr>
            <w:r w:rsidRPr="00BF3C6D">
              <w:rPr>
                <w:rFonts w:ascii="Arial" w:hAnsi="Arial" w:cs="Arial"/>
                <w:b/>
                <w:bCs/>
                <w:color w:val="0F4761" w:themeColor="accent1" w:themeShade="BF"/>
              </w:rPr>
              <w:t xml:space="preserve">4. </w:t>
            </w:r>
            <w:r w:rsidRPr="00BF3C6D">
              <w:rPr>
                <w:rFonts w:ascii="Arial" w:hAnsi="Arial" w:cs="Arial"/>
                <w:b/>
                <w:bCs/>
                <w:color w:val="000000" w:themeColor="text1"/>
              </w:rPr>
              <w:t>Anger</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vAlign w:val="center"/>
            <w:hideMark/>
          </w:tcPr>
          <w:p w14:paraId="4CC6F0A7" w14:textId="77777777"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Frustration and resentment surface, especially where job roles or identities feel threatened.</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vAlign w:val="center"/>
            <w:hideMark/>
          </w:tcPr>
          <w:p w14:paraId="070B1635" w14:textId="77777777"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Engage empathetically; offer support mechanisms; create safe spaces for expression.</w:t>
            </w:r>
          </w:p>
        </w:tc>
      </w:tr>
      <w:tr w:rsidR="003A5167" w:rsidRPr="00960C8D" w14:paraId="3B71923F" w14:textId="77777777" w:rsidTr="0060022D">
        <w:trPr>
          <w:tblCellSpacing w:w="15" w:type="dxa"/>
        </w:trPr>
        <w:tc>
          <w:tcPr>
            <w:tcW w:w="227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1F0C7" w:themeFill="accent3" w:themeFillTint="33"/>
            <w:vAlign w:val="center"/>
            <w:hideMark/>
          </w:tcPr>
          <w:p w14:paraId="2099ECA3" w14:textId="77777777"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 xml:space="preserve">5. </w:t>
            </w:r>
            <w:r w:rsidRPr="00BF3C6D">
              <w:rPr>
                <w:rFonts w:ascii="Arial" w:hAnsi="Arial" w:cs="Arial"/>
                <w:b/>
                <w:bCs/>
                <w:color w:val="000000" w:themeColor="text1"/>
              </w:rPr>
              <w:t>Bargaining</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vAlign w:val="center"/>
            <w:hideMark/>
          </w:tcPr>
          <w:p w14:paraId="4C17ED8D" w14:textId="77777777"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Individuals attempt to negotiate or seek compromises to avoid change impacts.</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vAlign w:val="center"/>
            <w:hideMark/>
          </w:tcPr>
          <w:p w14:paraId="4D0106E0" w14:textId="77777777"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Clarify non-negotiables; provide structured options; maintain consistency in messaging.</w:t>
            </w:r>
          </w:p>
        </w:tc>
      </w:tr>
      <w:tr w:rsidR="003A5167" w:rsidRPr="00960C8D" w14:paraId="5EA94848" w14:textId="77777777" w:rsidTr="0060022D">
        <w:trPr>
          <w:tblCellSpacing w:w="15" w:type="dxa"/>
        </w:trPr>
        <w:tc>
          <w:tcPr>
            <w:tcW w:w="227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1F0C7" w:themeFill="accent3" w:themeFillTint="33"/>
            <w:vAlign w:val="center"/>
            <w:hideMark/>
          </w:tcPr>
          <w:p w14:paraId="0F0450AF" w14:textId="77777777"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 xml:space="preserve">6. </w:t>
            </w:r>
            <w:r w:rsidRPr="00BF3C6D">
              <w:rPr>
                <w:rFonts w:ascii="Arial" w:hAnsi="Arial" w:cs="Arial"/>
                <w:b/>
                <w:bCs/>
                <w:color w:val="000000" w:themeColor="text1"/>
              </w:rPr>
              <w:t>Depression</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vAlign w:val="center"/>
            <w:hideMark/>
          </w:tcPr>
          <w:p w14:paraId="3397FC3A" w14:textId="77777777"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Lower morale, uncertainty, and reduced performance as change becomes inevitable.</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vAlign w:val="center"/>
            <w:hideMark/>
          </w:tcPr>
          <w:p w14:paraId="68B40ED1" w14:textId="77777777"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Strengthen emotional support; reinforce purpose; introduce early wins to rebuild confidence.</w:t>
            </w:r>
          </w:p>
        </w:tc>
      </w:tr>
      <w:tr w:rsidR="003A5167" w:rsidRPr="00960C8D" w14:paraId="3D220CE4" w14:textId="77777777" w:rsidTr="0060022D">
        <w:trPr>
          <w:tblCellSpacing w:w="15" w:type="dxa"/>
        </w:trPr>
        <w:tc>
          <w:tcPr>
            <w:tcW w:w="227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1F0C7" w:themeFill="accent3" w:themeFillTint="33"/>
            <w:vAlign w:val="center"/>
            <w:hideMark/>
          </w:tcPr>
          <w:p w14:paraId="1F46E2A0" w14:textId="77777777"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 xml:space="preserve">7. </w:t>
            </w:r>
            <w:r w:rsidRPr="00BF3C6D">
              <w:rPr>
                <w:rFonts w:ascii="Arial" w:hAnsi="Arial" w:cs="Arial"/>
                <w:b/>
                <w:bCs/>
                <w:color w:val="000000" w:themeColor="text1"/>
              </w:rPr>
              <w:t>Testing</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vAlign w:val="center"/>
            <w:hideMark/>
          </w:tcPr>
          <w:p w14:paraId="7D70E040" w14:textId="77777777"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Employees begin experimenting with new behaviours and processes.</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vAlign w:val="center"/>
            <w:hideMark/>
          </w:tcPr>
          <w:p w14:paraId="6E57E611" w14:textId="0BD5161E"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 xml:space="preserve">Provide training, coaching, and positive reinforcement; promote </w:t>
            </w:r>
            <w:r w:rsidR="00960C8D">
              <w:rPr>
                <w:rFonts w:ascii="Arial" w:hAnsi="Arial" w:cs="Arial"/>
                <w:b/>
                <w:bCs/>
                <w:color w:val="0F4761" w:themeColor="accent1" w:themeShade="BF"/>
              </w:rPr>
              <w:t xml:space="preserve">a </w:t>
            </w:r>
            <w:r w:rsidRPr="00BF3C6D">
              <w:rPr>
                <w:rFonts w:ascii="Arial" w:hAnsi="Arial" w:cs="Arial"/>
                <w:b/>
                <w:bCs/>
                <w:color w:val="0F4761" w:themeColor="accent1" w:themeShade="BF"/>
              </w:rPr>
              <w:t>learning culture.</w:t>
            </w:r>
          </w:p>
        </w:tc>
      </w:tr>
      <w:tr w:rsidR="003A5167" w:rsidRPr="00960C8D" w14:paraId="309DC0AD" w14:textId="77777777" w:rsidTr="0060022D">
        <w:trPr>
          <w:tblCellSpacing w:w="15" w:type="dxa"/>
        </w:trPr>
        <w:tc>
          <w:tcPr>
            <w:tcW w:w="227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1F0C7" w:themeFill="accent3" w:themeFillTint="33"/>
            <w:vAlign w:val="center"/>
            <w:hideMark/>
          </w:tcPr>
          <w:p w14:paraId="5E556443" w14:textId="77777777"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 xml:space="preserve">8. </w:t>
            </w:r>
            <w:r w:rsidRPr="00BF3C6D">
              <w:rPr>
                <w:rFonts w:ascii="Arial" w:hAnsi="Arial" w:cs="Arial"/>
                <w:b/>
                <w:bCs/>
                <w:color w:val="000000" w:themeColor="text1"/>
              </w:rPr>
              <w:t>Acceptance</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vAlign w:val="center"/>
            <w:hideMark/>
          </w:tcPr>
          <w:p w14:paraId="0CF44B97" w14:textId="12B79939"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Change is integrated into everyday practice</w:t>
            </w:r>
            <w:r w:rsidR="00960C8D">
              <w:rPr>
                <w:rFonts w:ascii="Arial" w:hAnsi="Arial" w:cs="Arial"/>
                <w:b/>
                <w:bCs/>
                <w:color w:val="0F4761" w:themeColor="accent1" w:themeShade="BF"/>
              </w:rPr>
              <w:t xml:space="preserve">, allowing individuals to </w:t>
            </w:r>
            <w:r w:rsidRPr="00BF3C6D">
              <w:rPr>
                <w:rFonts w:ascii="Arial" w:hAnsi="Arial" w:cs="Arial"/>
                <w:b/>
                <w:bCs/>
                <w:color w:val="0F4761" w:themeColor="accent1" w:themeShade="BF"/>
              </w:rPr>
              <w:t>regain stability.</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vAlign w:val="center"/>
            <w:hideMark/>
          </w:tcPr>
          <w:p w14:paraId="13048CE4" w14:textId="77777777" w:rsidR="00BF3C6D" w:rsidRPr="00BF3C6D" w:rsidRDefault="00BF3C6D" w:rsidP="00BF3C6D">
            <w:pPr>
              <w:spacing w:line="360" w:lineRule="auto"/>
              <w:rPr>
                <w:rFonts w:ascii="Arial" w:hAnsi="Arial" w:cs="Arial"/>
                <w:b/>
                <w:bCs/>
                <w:color w:val="0F4761" w:themeColor="accent1" w:themeShade="BF"/>
              </w:rPr>
            </w:pPr>
            <w:r w:rsidRPr="00BF3C6D">
              <w:rPr>
                <w:rFonts w:ascii="Arial" w:hAnsi="Arial" w:cs="Arial"/>
                <w:b/>
                <w:bCs/>
                <w:color w:val="0F4761" w:themeColor="accent1" w:themeShade="BF"/>
              </w:rPr>
              <w:t>Embed new behaviours; celebrate progress; institutionalise learning for future change.</w:t>
            </w:r>
          </w:p>
        </w:tc>
      </w:tr>
    </w:tbl>
    <w:p w14:paraId="6C1F2E48" w14:textId="2EF56904" w:rsidR="005F30AC" w:rsidRPr="00960C8D" w:rsidRDefault="005F30AC" w:rsidP="005F30AC">
      <w:pPr>
        <w:spacing w:line="360" w:lineRule="auto"/>
        <w:rPr>
          <w:rFonts w:ascii="Arial" w:hAnsi="Arial" w:cs="Arial"/>
          <w:b/>
          <w:bCs/>
          <w:color w:val="0F4761" w:themeColor="accent1" w:themeShade="BF"/>
        </w:rPr>
      </w:pPr>
    </w:p>
    <w:p w14:paraId="51D53340" w14:textId="77777777" w:rsidR="00BF3C6D" w:rsidRDefault="00BF3C6D" w:rsidP="005F30AC">
      <w:pPr>
        <w:spacing w:line="360" w:lineRule="auto"/>
        <w:rPr>
          <w:rFonts w:ascii="Arial" w:hAnsi="Arial" w:cs="Arial"/>
        </w:rPr>
      </w:pPr>
    </w:p>
    <w:p w14:paraId="18261C1F" w14:textId="77777777" w:rsidR="00BB4427" w:rsidRPr="00936CFC" w:rsidRDefault="00BB4427" w:rsidP="00936CFC">
      <w:pPr>
        <w:pStyle w:val="Heading1"/>
      </w:pPr>
      <w:bookmarkStart w:id="37" w:name="_Toc215096058"/>
      <w:bookmarkStart w:id="38" w:name="_Toc215096093"/>
      <w:bookmarkStart w:id="39" w:name="_Toc217033571"/>
      <w:r w:rsidRPr="00936CFC">
        <w:t>4. LEADERSHIP, ORGANISATIONAL CULTURE, AND CHANGE EXECUTION AT JOHN LEWIS PARTNERSHIP</w:t>
      </w:r>
      <w:bookmarkEnd w:id="37"/>
      <w:bookmarkEnd w:id="38"/>
      <w:bookmarkEnd w:id="39"/>
    </w:p>
    <w:p w14:paraId="0D73EA62" w14:textId="77777777" w:rsidR="00BB4427" w:rsidRPr="00BB4427" w:rsidRDefault="00BB4427" w:rsidP="00BB4427">
      <w:pPr>
        <w:spacing w:line="360" w:lineRule="auto"/>
        <w:rPr>
          <w:rFonts w:ascii="Arial" w:hAnsi="Arial" w:cs="Arial"/>
        </w:rPr>
      </w:pPr>
      <w:r w:rsidRPr="00BB4427">
        <w:rPr>
          <w:rFonts w:ascii="Arial" w:hAnsi="Arial" w:cs="Arial"/>
        </w:rPr>
        <w:t>Leadership and organisational culture fundamentally shape the trajectory and effectiveness of change within the John Lewis Partnership. Because the organisation’s identity is rooted in democratic governance, employee ownership, and long-standing values, leadership behaviour and cultural expectations exert a stronger influence on change outcomes than in more traditional hierarchies.</w:t>
      </w:r>
    </w:p>
    <w:p w14:paraId="32F376C3" w14:textId="1FE7A413" w:rsidR="00BB4427" w:rsidRPr="00BB4427" w:rsidRDefault="00BB4427" w:rsidP="00BB4427">
      <w:pPr>
        <w:spacing w:line="360" w:lineRule="auto"/>
        <w:rPr>
          <w:rFonts w:ascii="Arial" w:hAnsi="Arial" w:cs="Arial"/>
        </w:rPr>
      </w:pPr>
      <w:r w:rsidRPr="00BB4427">
        <w:rPr>
          <w:rFonts w:ascii="Arial" w:hAnsi="Arial" w:cs="Arial"/>
        </w:rPr>
        <w:t xml:space="preserve">JLP’s leadership heritage emphasises stewardship, collective responsibility, and fairness (Cameron &amp; Green, 2020). These principles have cultivated high trust and </w:t>
      </w:r>
      <w:r w:rsidR="007D044D" w:rsidRPr="00BB4427">
        <w:rPr>
          <w:rFonts w:ascii="Arial" w:hAnsi="Arial" w:cs="Arial"/>
        </w:rPr>
        <w:t>loyalty</w:t>
      </w:r>
      <w:r w:rsidR="00FA2689">
        <w:rPr>
          <w:rFonts w:ascii="Arial" w:hAnsi="Arial" w:cs="Arial"/>
        </w:rPr>
        <w:t>,</w:t>
      </w:r>
      <w:r w:rsidR="007D044D">
        <w:rPr>
          <w:rFonts w:ascii="Arial" w:hAnsi="Arial" w:cs="Arial"/>
        </w:rPr>
        <w:t xml:space="preserve"> but</w:t>
      </w:r>
      <w:r w:rsidRPr="00BB4427">
        <w:rPr>
          <w:rFonts w:ascii="Arial" w:hAnsi="Arial" w:cs="Arial"/>
        </w:rPr>
        <w:t xml:space="preserve"> have not aligned easily with the need for agile, digitally driven decision-making in a volatile retail environment. Kotter (2012) argues that transformational change requires leaders who articulate urgency, form powerful coalitions, and communicate vision consistently. JLP’s leadership has not always demonstrated these capabilities. Leadership communication during structural changes</w:t>
      </w:r>
      <w:r>
        <w:rPr>
          <w:rFonts w:ascii="Arial" w:hAnsi="Arial" w:cs="Arial"/>
        </w:rPr>
        <w:t xml:space="preserve">, </w:t>
      </w:r>
      <w:r w:rsidRPr="00BB4427">
        <w:rPr>
          <w:rFonts w:ascii="Arial" w:hAnsi="Arial" w:cs="Arial"/>
        </w:rPr>
        <w:t>such as store closures</w:t>
      </w:r>
      <w:r>
        <w:rPr>
          <w:rFonts w:ascii="Arial" w:hAnsi="Arial" w:cs="Arial"/>
        </w:rPr>
        <w:t xml:space="preserve">, </w:t>
      </w:r>
      <w:r w:rsidRPr="00BB4427">
        <w:rPr>
          <w:rFonts w:ascii="Arial" w:hAnsi="Arial" w:cs="Arial"/>
        </w:rPr>
        <w:t>has been inconsistent, at times failing to convey urgency or a compelling future direction (Brunsson, 2017). Furthermore, JLP’s distributed governance complicates coalition formation, as authority is diffused across partner councils and committees, slowing strategic alignment (Carnall, 2014).</w:t>
      </w:r>
    </w:p>
    <w:p w14:paraId="411FE36B" w14:textId="76897B59" w:rsidR="00BB4427" w:rsidRPr="00BB4427" w:rsidRDefault="00BB4427" w:rsidP="00BB4427">
      <w:pPr>
        <w:spacing w:line="360" w:lineRule="auto"/>
        <w:rPr>
          <w:rFonts w:ascii="Arial" w:hAnsi="Arial" w:cs="Arial"/>
        </w:rPr>
      </w:pPr>
      <w:r w:rsidRPr="00BB4427">
        <w:rPr>
          <w:rFonts w:ascii="Arial" w:hAnsi="Arial" w:cs="Arial"/>
        </w:rPr>
        <w:t xml:space="preserve">Transformational leadership, characterised by inspirational motivation and forward-looking vision (Bass, 1990), is particularly needed but not consistently evident. Henderson, Gulati &amp; Tushman (2015) emphasise that in periods of technological disruption, leaders must not only preserve organisational values but </w:t>
      </w:r>
      <w:r>
        <w:rPr>
          <w:rFonts w:ascii="Arial" w:hAnsi="Arial" w:cs="Arial"/>
        </w:rPr>
        <w:t xml:space="preserve">also </w:t>
      </w:r>
      <w:r w:rsidRPr="00BB4427">
        <w:rPr>
          <w:rFonts w:ascii="Arial" w:hAnsi="Arial" w:cs="Arial"/>
        </w:rPr>
        <w:t>challenge outdated assumptions and encourage innovation. JLP’s leadership has struggled to balance cultural preservation with strategic necessity, often favouring incrementalism over bold digital adaptation.</w:t>
      </w:r>
    </w:p>
    <w:p w14:paraId="7F644BC5" w14:textId="65C693E9" w:rsidR="00BB4427" w:rsidRPr="00BB4427" w:rsidRDefault="00BB4427" w:rsidP="00BB4427">
      <w:pPr>
        <w:spacing w:line="360" w:lineRule="auto"/>
        <w:rPr>
          <w:rFonts w:ascii="Arial" w:hAnsi="Arial" w:cs="Arial"/>
        </w:rPr>
      </w:pPr>
      <w:r w:rsidRPr="00BB4427">
        <w:rPr>
          <w:rFonts w:ascii="Arial" w:hAnsi="Arial" w:cs="Arial"/>
        </w:rPr>
        <w:t>Organisational culture further complicates transformation. Schein’s (2010) three levels of culture</w:t>
      </w:r>
      <w:r>
        <w:rPr>
          <w:rFonts w:ascii="Arial" w:hAnsi="Arial" w:cs="Arial"/>
        </w:rPr>
        <w:t xml:space="preserve">, </w:t>
      </w:r>
      <w:r w:rsidRPr="00BB4427">
        <w:rPr>
          <w:rFonts w:ascii="Arial" w:hAnsi="Arial" w:cs="Arial"/>
        </w:rPr>
        <w:t xml:space="preserve">artefacts, espoused values, </w:t>
      </w:r>
      <w:r>
        <w:rPr>
          <w:rFonts w:ascii="Arial" w:hAnsi="Arial" w:cs="Arial"/>
        </w:rPr>
        <w:t>and underlying</w:t>
      </w:r>
      <w:r w:rsidRPr="00BB4427">
        <w:rPr>
          <w:rFonts w:ascii="Arial" w:hAnsi="Arial" w:cs="Arial"/>
        </w:rPr>
        <w:t xml:space="preserve"> assumptions</w:t>
      </w:r>
      <w:r>
        <w:rPr>
          <w:rFonts w:ascii="Arial" w:hAnsi="Arial" w:cs="Arial"/>
        </w:rPr>
        <w:t xml:space="preserve">, </w:t>
      </w:r>
      <w:r w:rsidRPr="00BB4427">
        <w:rPr>
          <w:rFonts w:ascii="Arial" w:hAnsi="Arial" w:cs="Arial"/>
        </w:rPr>
        <w:t xml:space="preserve">illustrate that JLP’s democratic structures and participatory norms are visible artefacts of deeper values relating to fairness, transparency, and community. These values generate strong commitment but also reinforce expectations of stability. Underlying </w:t>
      </w:r>
      <w:r w:rsidRPr="00BB4427">
        <w:rPr>
          <w:rFonts w:ascii="Arial" w:hAnsi="Arial" w:cs="Arial"/>
        </w:rPr>
        <w:lastRenderedPageBreak/>
        <w:t>assumptions regarding job security, face-to-face service, and gradual change reduce receptivity to technological disruption. Such assumptions magnify resistance to digital initiatives, automation, or structural consolidation (Carnall, 2014).</w:t>
      </w:r>
    </w:p>
    <w:p w14:paraId="45BBC4D8" w14:textId="04B61183" w:rsidR="00BB4427" w:rsidRPr="00BB4427" w:rsidRDefault="00BB4427" w:rsidP="00BB4427">
      <w:pPr>
        <w:spacing w:line="360" w:lineRule="auto"/>
        <w:rPr>
          <w:rFonts w:ascii="Arial" w:hAnsi="Arial" w:cs="Arial"/>
        </w:rPr>
      </w:pPr>
      <w:r w:rsidRPr="00BB4427">
        <w:rPr>
          <w:rFonts w:ascii="Arial" w:hAnsi="Arial" w:cs="Arial"/>
        </w:rPr>
        <w:t>Cultural resistance is amplified by the organisation’s strong identity. Employees view themselves as partners, not workers, which intensifies the emotional impact of change. Russell’s (2003) model highlights that individuals experiencing change often move through emotional stages</w:t>
      </w:r>
      <w:r>
        <w:rPr>
          <w:rFonts w:ascii="Arial" w:hAnsi="Arial" w:cs="Arial"/>
        </w:rPr>
        <w:t xml:space="preserve"> such as </w:t>
      </w:r>
      <w:r w:rsidRPr="00BB4427">
        <w:rPr>
          <w:rFonts w:ascii="Arial" w:hAnsi="Arial" w:cs="Arial"/>
        </w:rPr>
        <w:t>shock, denial, anger, bargaining</w:t>
      </w:r>
      <w:r w:rsidR="002E6624">
        <w:rPr>
          <w:rFonts w:ascii="Arial" w:hAnsi="Arial" w:cs="Arial"/>
        </w:rPr>
        <w:t xml:space="preserve">, </w:t>
      </w:r>
      <w:r w:rsidRPr="00BB4427">
        <w:rPr>
          <w:rFonts w:ascii="Arial" w:hAnsi="Arial" w:cs="Arial"/>
        </w:rPr>
        <w:t>before acceptance. Because identity is central to the JLP culture, these emotional reactions are likely to be pronounced. Leaders must therefore demonstrate emotional intelligence, empathy, and clear communication to help employees transition through these stages (Anderson &amp; Ackerman-Anderson, 2010).</w:t>
      </w:r>
    </w:p>
    <w:p w14:paraId="4F7B6B1C" w14:textId="77777777" w:rsidR="00BB4427" w:rsidRPr="00BB4427" w:rsidRDefault="00BB4427" w:rsidP="00BB4427">
      <w:pPr>
        <w:spacing w:line="360" w:lineRule="auto"/>
        <w:rPr>
          <w:rFonts w:ascii="Arial" w:hAnsi="Arial" w:cs="Arial"/>
        </w:rPr>
      </w:pPr>
      <w:r w:rsidRPr="00BB4427">
        <w:rPr>
          <w:rFonts w:ascii="Arial" w:hAnsi="Arial" w:cs="Arial"/>
        </w:rPr>
        <w:t>Leadership–culture alignment is therefore essential. When leadership behaviours contradict cultural expectations, trust erodes; when cultural assumptions restrict leadership action, transformation stalls. Kotter (2012) argues that sustained change requires new behaviours to be anchored in culture, but embedding new cultural norms demands consistent reinforcement over time. JLP’s leadership transitions and shifting strategies have weakened this reinforcement, limiting cultural adaptation.</w:t>
      </w:r>
    </w:p>
    <w:p w14:paraId="4CC8E671" w14:textId="77777777" w:rsidR="00BB4427" w:rsidRDefault="00BB4427" w:rsidP="00BB4427">
      <w:pPr>
        <w:spacing w:line="360" w:lineRule="auto"/>
        <w:rPr>
          <w:rFonts w:ascii="Arial" w:hAnsi="Arial" w:cs="Arial"/>
        </w:rPr>
      </w:pPr>
      <w:r w:rsidRPr="00BB4427">
        <w:rPr>
          <w:rFonts w:ascii="Arial" w:hAnsi="Arial" w:cs="Arial"/>
        </w:rPr>
        <w:t>For JLP, future leadership must adopt a more transformational and adaptive orientation. Leaders must create urgency without undermining trust, articulate a compelling digital vision, and model behaviours that encourage learning and innovation. Cultural change must also be approached as a gradual, participatory process, acknowledging that employees’ emotional journey is as important as structural shifts. By integrating strong, empathetic leadership with cultural sensitivity, JLP can align its partnership ethos with the strategic demands of the contemporary retail landscape.</w:t>
      </w:r>
    </w:p>
    <w:p w14:paraId="57139BEA" w14:textId="77777777" w:rsidR="00A13BE8" w:rsidRPr="00A13BE8" w:rsidRDefault="00A13BE8" w:rsidP="00936CFC">
      <w:pPr>
        <w:pStyle w:val="Heading1"/>
      </w:pPr>
      <w:bookmarkStart w:id="40" w:name="_Toc215096059"/>
      <w:bookmarkStart w:id="41" w:name="_Toc215096094"/>
      <w:bookmarkStart w:id="42" w:name="_Toc217033572"/>
      <w:r w:rsidRPr="00A13BE8">
        <w:t>5. STRATEGIC CHANGE MANAGEMENT PLAN FOR THE JOHN LEWIS PARTNERSHIP</w:t>
      </w:r>
      <w:bookmarkEnd w:id="40"/>
      <w:bookmarkEnd w:id="41"/>
      <w:bookmarkEnd w:id="42"/>
    </w:p>
    <w:p w14:paraId="15A9458F" w14:textId="77777777" w:rsidR="00A13BE8" w:rsidRPr="00A13BE8" w:rsidRDefault="00A13BE8" w:rsidP="00A13BE8">
      <w:pPr>
        <w:spacing w:line="360" w:lineRule="auto"/>
        <w:rPr>
          <w:rFonts w:ascii="Arial" w:hAnsi="Arial" w:cs="Arial"/>
        </w:rPr>
      </w:pPr>
      <w:r w:rsidRPr="00A13BE8">
        <w:rPr>
          <w:rFonts w:ascii="Arial" w:hAnsi="Arial" w:cs="Arial"/>
        </w:rPr>
        <w:t xml:space="preserve">A strategic change management plan must reflect both the procedural elements of transformation and the contextual characteristics of the organisation undergoing change. For the John Lewis Partnership (JLP), effective transformation requires a deep appreciation of the partnership ethos, the political and cultural dynamics that </w:t>
      </w:r>
      <w:r w:rsidRPr="00A13BE8">
        <w:rPr>
          <w:rFonts w:ascii="Arial" w:hAnsi="Arial" w:cs="Arial"/>
        </w:rPr>
        <w:lastRenderedPageBreak/>
        <w:t xml:space="preserve">shape internal behaviour, and the external pressures necessitating technological, structural, and strategic renewal. Integrating </w:t>
      </w:r>
      <w:r w:rsidRPr="00A13BE8">
        <w:rPr>
          <w:rFonts w:ascii="Arial" w:hAnsi="Arial" w:cs="Arial"/>
          <w:b/>
          <w:bCs/>
        </w:rPr>
        <w:t>Kotter’s (2012) Eight-Step Change Model</w:t>
      </w:r>
      <w:r w:rsidRPr="00A13BE8">
        <w:rPr>
          <w:rFonts w:ascii="Arial" w:hAnsi="Arial" w:cs="Arial"/>
        </w:rPr>
        <w:t xml:space="preserve">, </w:t>
      </w:r>
      <w:r w:rsidRPr="00A13BE8">
        <w:rPr>
          <w:rFonts w:ascii="Arial" w:hAnsi="Arial" w:cs="Arial"/>
          <w:b/>
          <w:bCs/>
        </w:rPr>
        <w:t>Pettigrew’s (1987) Context–Content–Process Framework</w:t>
      </w:r>
      <w:r w:rsidRPr="00A13BE8">
        <w:rPr>
          <w:rFonts w:ascii="Arial" w:hAnsi="Arial" w:cs="Arial"/>
        </w:rPr>
        <w:t xml:space="preserve">, and </w:t>
      </w:r>
      <w:r w:rsidRPr="00A13BE8">
        <w:rPr>
          <w:rFonts w:ascii="Arial" w:hAnsi="Arial" w:cs="Arial"/>
          <w:b/>
          <w:bCs/>
        </w:rPr>
        <w:t>Russell’s (2003) Journey Through Change</w:t>
      </w:r>
      <w:r w:rsidRPr="00A13BE8">
        <w:rPr>
          <w:rFonts w:ascii="Arial" w:hAnsi="Arial" w:cs="Arial"/>
        </w:rPr>
        <w:t xml:space="preserve"> allows for a holistic plan that recognises the procedural, contextual, and emotional dimensions of organisational transformation. The plan outlined below supports JLP’s transition towards a digitally capable, strategically agile, and culturally aligned organisation.</w:t>
      </w:r>
    </w:p>
    <w:p w14:paraId="7C864E2A" w14:textId="77777777" w:rsidR="00A13BE8" w:rsidRPr="00F876F8" w:rsidRDefault="00A13BE8" w:rsidP="000F7454">
      <w:pPr>
        <w:pStyle w:val="Heading2"/>
      </w:pPr>
      <w:bookmarkStart w:id="43" w:name="_Toc215096060"/>
      <w:bookmarkStart w:id="44" w:name="_Toc215096095"/>
      <w:bookmarkStart w:id="45" w:name="_Toc217033573"/>
      <w:r w:rsidRPr="00F876F8">
        <w:t>5.1 Strategic Direction and Proposed Change</w:t>
      </w:r>
      <w:bookmarkEnd w:id="43"/>
      <w:bookmarkEnd w:id="44"/>
      <w:bookmarkEnd w:id="45"/>
    </w:p>
    <w:p w14:paraId="47718AD5" w14:textId="77777777" w:rsidR="00A13BE8" w:rsidRPr="00A13BE8" w:rsidRDefault="00A13BE8" w:rsidP="00A13BE8">
      <w:pPr>
        <w:spacing w:line="360" w:lineRule="auto"/>
        <w:rPr>
          <w:rFonts w:ascii="Arial" w:hAnsi="Arial" w:cs="Arial"/>
        </w:rPr>
      </w:pPr>
      <w:r w:rsidRPr="00A13BE8">
        <w:rPr>
          <w:rFonts w:ascii="Arial" w:hAnsi="Arial" w:cs="Arial"/>
        </w:rPr>
        <w:t>The overarching aim of the proposed change programme is to reposition JLP as a digitally enabled, customer-centric, operationally efficient retailer while preserving its core partnership values. This requires transformation across four domains: (1) digital capability, (2) organisational structure, (3) workforce competencies, and (4) cultural alignment.</w:t>
      </w:r>
    </w:p>
    <w:p w14:paraId="69E7E4AB" w14:textId="77777777" w:rsidR="00A13BE8" w:rsidRPr="00A13BE8" w:rsidRDefault="00A13BE8" w:rsidP="00A13BE8">
      <w:pPr>
        <w:spacing w:line="360" w:lineRule="auto"/>
        <w:rPr>
          <w:rFonts w:ascii="Arial" w:hAnsi="Arial" w:cs="Arial"/>
        </w:rPr>
      </w:pPr>
      <w:r w:rsidRPr="00A13BE8">
        <w:rPr>
          <w:rFonts w:ascii="Arial" w:hAnsi="Arial" w:cs="Arial"/>
        </w:rPr>
        <w:t>The proposed transformation focuses on:</w:t>
      </w:r>
    </w:p>
    <w:p w14:paraId="003C656B" w14:textId="77777777" w:rsidR="00A13BE8" w:rsidRPr="00A13BE8" w:rsidRDefault="00A13BE8" w:rsidP="00A13BE8">
      <w:pPr>
        <w:pStyle w:val="ListParagraph"/>
        <w:numPr>
          <w:ilvl w:val="0"/>
          <w:numId w:val="12"/>
        </w:numPr>
        <w:spacing w:line="360" w:lineRule="auto"/>
        <w:rPr>
          <w:rFonts w:ascii="Arial" w:hAnsi="Arial" w:cs="Arial"/>
        </w:rPr>
      </w:pPr>
      <w:r w:rsidRPr="00A13BE8">
        <w:rPr>
          <w:rFonts w:ascii="Arial" w:hAnsi="Arial" w:cs="Arial"/>
          <w:b/>
          <w:bCs/>
        </w:rPr>
        <w:t>Digital transformation and technology integration</w:t>
      </w:r>
      <w:r w:rsidRPr="00A13BE8">
        <w:rPr>
          <w:rFonts w:ascii="Arial" w:hAnsi="Arial" w:cs="Arial"/>
        </w:rPr>
        <w:t xml:space="preserve"> (AI-enabled operations, predictive analytics, automated supply chains).</w:t>
      </w:r>
    </w:p>
    <w:p w14:paraId="280B5F90" w14:textId="77777777" w:rsidR="00A13BE8" w:rsidRPr="00A13BE8" w:rsidRDefault="00A13BE8" w:rsidP="00A13BE8">
      <w:pPr>
        <w:numPr>
          <w:ilvl w:val="0"/>
          <w:numId w:val="11"/>
        </w:numPr>
        <w:spacing w:line="360" w:lineRule="auto"/>
        <w:rPr>
          <w:rFonts w:ascii="Arial" w:hAnsi="Arial" w:cs="Arial"/>
        </w:rPr>
      </w:pPr>
      <w:r w:rsidRPr="00A13BE8">
        <w:rPr>
          <w:rFonts w:ascii="Arial" w:hAnsi="Arial" w:cs="Arial"/>
          <w:b/>
          <w:bCs/>
        </w:rPr>
        <w:t>Organisational restructuring</w:t>
      </w:r>
      <w:r w:rsidRPr="00A13BE8">
        <w:rPr>
          <w:rFonts w:ascii="Arial" w:hAnsi="Arial" w:cs="Arial"/>
        </w:rPr>
        <w:t xml:space="preserve"> to streamline governance and accelerate decision-making.</w:t>
      </w:r>
    </w:p>
    <w:p w14:paraId="575DD8CD" w14:textId="77777777" w:rsidR="00A13BE8" w:rsidRPr="00A13BE8" w:rsidRDefault="00A13BE8" w:rsidP="00A13BE8">
      <w:pPr>
        <w:numPr>
          <w:ilvl w:val="0"/>
          <w:numId w:val="11"/>
        </w:numPr>
        <w:spacing w:line="360" w:lineRule="auto"/>
        <w:rPr>
          <w:rFonts w:ascii="Arial" w:hAnsi="Arial" w:cs="Arial"/>
        </w:rPr>
      </w:pPr>
      <w:r w:rsidRPr="00A13BE8">
        <w:rPr>
          <w:rFonts w:ascii="Arial" w:hAnsi="Arial" w:cs="Arial"/>
          <w:b/>
          <w:bCs/>
        </w:rPr>
        <w:t>Workforce reskilling</w:t>
      </w:r>
      <w:r w:rsidRPr="00A13BE8">
        <w:rPr>
          <w:rFonts w:ascii="Arial" w:hAnsi="Arial" w:cs="Arial"/>
        </w:rPr>
        <w:t xml:space="preserve"> in digital literacy, data interpretation, and agile work practices.</w:t>
      </w:r>
    </w:p>
    <w:p w14:paraId="46530F42" w14:textId="77777777" w:rsidR="00A13BE8" w:rsidRPr="00A13BE8" w:rsidRDefault="00A13BE8" w:rsidP="00A13BE8">
      <w:pPr>
        <w:numPr>
          <w:ilvl w:val="0"/>
          <w:numId w:val="11"/>
        </w:numPr>
        <w:spacing w:line="360" w:lineRule="auto"/>
        <w:rPr>
          <w:rFonts w:ascii="Arial" w:hAnsi="Arial" w:cs="Arial"/>
        </w:rPr>
      </w:pPr>
      <w:r w:rsidRPr="00A13BE8">
        <w:rPr>
          <w:rFonts w:ascii="Arial" w:hAnsi="Arial" w:cs="Arial"/>
          <w:b/>
          <w:bCs/>
        </w:rPr>
        <w:t>Cultural renewal</w:t>
      </w:r>
      <w:r w:rsidRPr="00A13BE8">
        <w:rPr>
          <w:rFonts w:ascii="Arial" w:hAnsi="Arial" w:cs="Arial"/>
        </w:rPr>
        <w:t>, maintaining partnership values while enabling adaptive and innovative behaviours.</w:t>
      </w:r>
    </w:p>
    <w:p w14:paraId="7B7D2832" w14:textId="3291AD66" w:rsidR="00A13BE8" w:rsidRPr="00A13BE8" w:rsidRDefault="00A13BE8" w:rsidP="00A13BE8">
      <w:pPr>
        <w:spacing w:line="360" w:lineRule="auto"/>
        <w:rPr>
          <w:rFonts w:ascii="Arial" w:hAnsi="Arial" w:cs="Arial"/>
        </w:rPr>
      </w:pPr>
      <w:r w:rsidRPr="00A13BE8">
        <w:rPr>
          <w:rFonts w:ascii="Arial" w:hAnsi="Arial" w:cs="Arial"/>
        </w:rPr>
        <w:t>These changes reflect the content of change described by Pettigrew (1987), shaped by external pressures such as digital disruption, economic volatility, and shifting consumer expectations (MarketLine, 2023). They also reflect internal contextual challenges</w:t>
      </w:r>
      <w:r>
        <w:rPr>
          <w:rFonts w:ascii="Arial" w:hAnsi="Arial" w:cs="Arial"/>
        </w:rPr>
        <w:t>,</w:t>
      </w:r>
      <w:r w:rsidRPr="00A13BE8">
        <w:rPr>
          <w:rFonts w:ascii="Arial" w:hAnsi="Arial" w:cs="Arial"/>
        </w:rPr>
        <w:t xml:space="preserve"> including cultural inertia, limited technological competence, and slow decision-making (Carnall, 2014; Schein, 2010).</w:t>
      </w:r>
    </w:p>
    <w:p w14:paraId="2F779C9F" w14:textId="77777777" w:rsidR="00A13BE8" w:rsidRPr="00F876F8" w:rsidRDefault="00A13BE8" w:rsidP="000F7454">
      <w:pPr>
        <w:pStyle w:val="Heading2"/>
      </w:pPr>
      <w:bookmarkStart w:id="46" w:name="_Toc215096061"/>
      <w:bookmarkStart w:id="47" w:name="_Toc215096096"/>
      <w:bookmarkStart w:id="48" w:name="_Toc217033574"/>
      <w:r w:rsidRPr="00F876F8">
        <w:t>5.2 Strategic Objectives</w:t>
      </w:r>
      <w:bookmarkEnd w:id="46"/>
      <w:bookmarkEnd w:id="47"/>
      <w:bookmarkEnd w:id="48"/>
    </w:p>
    <w:p w14:paraId="1AC0503D" w14:textId="77777777" w:rsidR="00A13BE8" w:rsidRPr="00A13BE8" w:rsidRDefault="00A13BE8" w:rsidP="00A13BE8">
      <w:pPr>
        <w:spacing w:line="360" w:lineRule="auto"/>
        <w:rPr>
          <w:rFonts w:ascii="Arial" w:hAnsi="Arial" w:cs="Arial"/>
        </w:rPr>
      </w:pPr>
      <w:r w:rsidRPr="00A13BE8">
        <w:rPr>
          <w:rFonts w:ascii="Arial" w:hAnsi="Arial" w:cs="Arial"/>
        </w:rPr>
        <w:t>The proposed change programme seeks to achieve the following measurable objectives over a 24–36-month period:</w:t>
      </w:r>
    </w:p>
    <w:p w14:paraId="5ED2EAC8" w14:textId="46F3B309" w:rsidR="00A13BE8" w:rsidRPr="00A13BE8" w:rsidRDefault="00A13BE8" w:rsidP="00A13BE8">
      <w:pPr>
        <w:numPr>
          <w:ilvl w:val="0"/>
          <w:numId w:val="2"/>
        </w:numPr>
        <w:spacing w:line="360" w:lineRule="auto"/>
        <w:rPr>
          <w:rFonts w:ascii="Arial" w:hAnsi="Arial" w:cs="Arial"/>
        </w:rPr>
      </w:pPr>
      <w:r w:rsidRPr="00A13BE8">
        <w:rPr>
          <w:rFonts w:ascii="Arial" w:hAnsi="Arial" w:cs="Arial"/>
          <w:b/>
          <w:bCs/>
        </w:rPr>
        <w:lastRenderedPageBreak/>
        <w:t>Increase digital</w:t>
      </w:r>
      <w:r w:rsidR="007A539E">
        <w:rPr>
          <w:rFonts w:ascii="Arial" w:hAnsi="Arial" w:cs="Arial"/>
          <w:b/>
          <w:bCs/>
        </w:rPr>
        <w:t xml:space="preserve">/ online </w:t>
      </w:r>
      <w:r w:rsidRPr="00A13BE8">
        <w:rPr>
          <w:rFonts w:ascii="Arial" w:hAnsi="Arial" w:cs="Arial"/>
          <w:b/>
          <w:bCs/>
        </w:rPr>
        <w:t>sales by 30%</w:t>
      </w:r>
      <w:r w:rsidRPr="00A13BE8">
        <w:rPr>
          <w:rFonts w:ascii="Arial" w:hAnsi="Arial" w:cs="Arial"/>
        </w:rPr>
        <w:t xml:space="preserve"> through enhanced online platforms, mobile optimisation, and AI-driven personalisation.</w:t>
      </w:r>
    </w:p>
    <w:p w14:paraId="5C85E474" w14:textId="7E1FC3E6" w:rsidR="00A13BE8" w:rsidRPr="00A13BE8" w:rsidRDefault="00A13BE8" w:rsidP="00A13BE8">
      <w:pPr>
        <w:numPr>
          <w:ilvl w:val="0"/>
          <w:numId w:val="2"/>
        </w:numPr>
        <w:spacing w:line="360" w:lineRule="auto"/>
        <w:rPr>
          <w:rFonts w:ascii="Arial" w:hAnsi="Arial" w:cs="Arial"/>
        </w:rPr>
      </w:pPr>
      <w:r w:rsidRPr="00A13BE8">
        <w:rPr>
          <w:rFonts w:ascii="Arial" w:hAnsi="Arial" w:cs="Arial"/>
          <w:b/>
          <w:bCs/>
        </w:rPr>
        <w:t>Reduce operating costs by 15%</w:t>
      </w:r>
      <w:r w:rsidRPr="00A13BE8">
        <w:rPr>
          <w:rFonts w:ascii="Arial" w:hAnsi="Arial" w:cs="Arial"/>
        </w:rPr>
        <w:t xml:space="preserve"> through automation, improved supply-chain efficiency, and streamlined </w:t>
      </w:r>
      <w:r w:rsidR="00312712">
        <w:rPr>
          <w:rFonts w:ascii="Arial" w:hAnsi="Arial" w:cs="Arial"/>
        </w:rPr>
        <w:t xml:space="preserve">optimisation and </w:t>
      </w:r>
      <w:r w:rsidRPr="00A13BE8">
        <w:rPr>
          <w:rFonts w:ascii="Arial" w:hAnsi="Arial" w:cs="Arial"/>
        </w:rPr>
        <w:t xml:space="preserve">governance </w:t>
      </w:r>
      <w:r w:rsidR="00312712">
        <w:rPr>
          <w:rFonts w:ascii="Arial" w:hAnsi="Arial" w:cs="Arial"/>
        </w:rPr>
        <w:t xml:space="preserve">of </w:t>
      </w:r>
      <w:r w:rsidRPr="00A13BE8">
        <w:rPr>
          <w:rFonts w:ascii="Arial" w:hAnsi="Arial" w:cs="Arial"/>
        </w:rPr>
        <w:t>processes.</w:t>
      </w:r>
    </w:p>
    <w:p w14:paraId="179A2244" w14:textId="7D2243A1" w:rsidR="00A13BE8" w:rsidRPr="00A13BE8" w:rsidRDefault="00A13BE8" w:rsidP="00A13BE8">
      <w:pPr>
        <w:numPr>
          <w:ilvl w:val="0"/>
          <w:numId w:val="2"/>
        </w:numPr>
        <w:spacing w:line="360" w:lineRule="auto"/>
        <w:rPr>
          <w:rFonts w:ascii="Arial" w:hAnsi="Arial" w:cs="Arial"/>
        </w:rPr>
      </w:pPr>
      <w:r w:rsidRPr="00A13BE8">
        <w:rPr>
          <w:rFonts w:ascii="Arial" w:hAnsi="Arial" w:cs="Arial"/>
          <w:b/>
          <w:bCs/>
        </w:rPr>
        <w:t>Reskill</w:t>
      </w:r>
      <w:r w:rsidR="007A539E">
        <w:rPr>
          <w:rFonts w:ascii="Arial" w:hAnsi="Arial" w:cs="Arial"/>
          <w:b/>
          <w:bCs/>
        </w:rPr>
        <w:t xml:space="preserve"> and achieve </w:t>
      </w:r>
      <w:r w:rsidRPr="00A13BE8">
        <w:rPr>
          <w:rFonts w:ascii="Arial" w:hAnsi="Arial" w:cs="Arial"/>
          <w:b/>
          <w:bCs/>
        </w:rPr>
        <w:t xml:space="preserve"> 80% of </w:t>
      </w:r>
      <w:r w:rsidR="007A539E">
        <w:rPr>
          <w:rFonts w:ascii="Arial" w:hAnsi="Arial" w:cs="Arial"/>
          <w:b/>
          <w:bCs/>
        </w:rPr>
        <w:t>partners' participation</w:t>
      </w:r>
      <w:r w:rsidRPr="00A13BE8">
        <w:rPr>
          <w:rFonts w:ascii="Arial" w:hAnsi="Arial" w:cs="Arial"/>
        </w:rPr>
        <w:t xml:space="preserve"> in digital literacy, data analytics, or technology-augmented decision-making</w:t>
      </w:r>
      <w:r w:rsidR="007A539E">
        <w:rPr>
          <w:rFonts w:ascii="Arial" w:hAnsi="Arial" w:cs="Arial"/>
        </w:rPr>
        <w:t>, skills training programmes.</w:t>
      </w:r>
    </w:p>
    <w:p w14:paraId="0F21424E" w14:textId="1936B951" w:rsidR="00A13BE8" w:rsidRPr="00A13BE8" w:rsidRDefault="00A13BE8" w:rsidP="00A13BE8">
      <w:pPr>
        <w:numPr>
          <w:ilvl w:val="0"/>
          <w:numId w:val="2"/>
        </w:numPr>
        <w:spacing w:line="360" w:lineRule="auto"/>
        <w:rPr>
          <w:rFonts w:ascii="Arial" w:hAnsi="Arial" w:cs="Arial"/>
        </w:rPr>
      </w:pPr>
      <w:r w:rsidRPr="00A13BE8">
        <w:rPr>
          <w:rFonts w:ascii="Arial" w:hAnsi="Arial" w:cs="Arial"/>
          <w:b/>
          <w:bCs/>
        </w:rPr>
        <w:t>Improve customer satisfaction by 20%</w:t>
      </w:r>
      <w:r w:rsidRPr="00A13BE8">
        <w:rPr>
          <w:rFonts w:ascii="Arial" w:hAnsi="Arial" w:cs="Arial"/>
        </w:rPr>
        <w:t xml:space="preserve"> by integrating omnichannel </w:t>
      </w:r>
      <w:r w:rsidR="007A539E">
        <w:rPr>
          <w:rFonts w:ascii="Arial" w:hAnsi="Arial" w:cs="Arial"/>
        </w:rPr>
        <w:t xml:space="preserve">enhanced digital </w:t>
      </w:r>
      <w:r w:rsidRPr="00A13BE8">
        <w:rPr>
          <w:rFonts w:ascii="Arial" w:hAnsi="Arial" w:cs="Arial"/>
        </w:rPr>
        <w:t>experiences and personalised services.</w:t>
      </w:r>
    </w:p>
    <w:p w14:paraId="09F95546" w14:textId="77777777" w:rsidR="00A13BE8" w:rsidRPr="00A13BE8" w:rsidRDefault="00A13BE8" w:rsidP="00A13BE8">
      <w:pPr>
        <w:numPr>
          <w:ilvl w:val="0"/>
          <w:numId w:val="2"/>
        </w:numPr>
        <w:spacing w:line="360" w:lineRule="auto"/>
        <w:rPr>
          <w:rFonts w:ascii="Arial" w:hAnsi="Arial" w:cs="Arial"/>
        </w:rPr>
      </w:pPr>
      <w:r w:rsidRPr="00A13BE8">
        <w:rPr>
          <w:rFonts w:ascii="Arial" w:hAnsi="Arial" w:cs="Arial"/>
          <w:b/>
          <w:bCs/>
        </w:rPr>
        <w:t>Achieve demonstrable progress towards carbon-reduction targets</w:t>
      </w:r>
      <w:r w:rsidRPr="00A13BE8">
        <w:rPr>
          <w:rFonts w:ascii="Arial" w:hAnsi="Arial" w:cs="Arial"/>
        </w:rPr>
        <w:t>, embedding sustainability into processes and reporting systems.</w:t>
      </w:r>
    </w:p>
    <w:p w14:paraId="3D4914FA" w14:textId="313AB2EF" w:rsidR="00A13BE8" w:rsidRPr="00A13BE8" w:rsidRDefault="00A13BE8" w:rsidP="00A13BE8">
      <w:pPr>
        <w:spacing w:line="360" w:lineRule="auto"/>
        <w:rPr>
          <w:rFonts w:ascii="Arial" w:hAnsi="Arial" w:cs="Arial"/>
        </w:rPr>
      </w:pPr>
      <w:r w:rsidRPr="00A13BE8">
        <w:rPr>
          <w:rFonts w:ascii="Arial" w:hAnsi="Arial" w:cs="Arial"/>
        </w:rPr>
        <w:t>These objectives align with the strategic necessity to respond to environmental pressures while maintaining organisational purpose and values (Henderson et al., 2015).</w:t>
      </w:r>
      <w:r w:rsidR="007A539E">
        <w:rPr>
          <w:rFonts w:ascii="Arial" w:hAnsi="Arial" w:cs="Arial"/>
        </w:rPr>
        <w:t xml:space="preserve"> These objectives provide clear direction and measurable outcomes.</w:t>
      </w:r>
    </w:p>
    <w:p w14:paraId="73CAD98B" w14:textId="77777777" w:rsidR="00A13BE8" w:rsidRPr="00F876F8" w:rsidRDefault="00A13BE8" w:rsidP="000F7454">
      <w:pPr>
        <w:pStyle w:val="Heading2"/>
      </w:pPr>
      <w:bookmarkStart w:id="49" w:name="_Toc215096062"/>
      <w:bookmarkStart w:id="50" w:name="_Toc215096097"/>
      <w:bookmarkStart w:id="51" w:name="_Toc217033575"/>
      <w:r w:rsidRPr="00F876F8">
        <w:t>5.3 Applying Kotter’s Eight Steps to the JLP Transformation</w:t>
      </w:r>
      <w:bookmarkEnd w:id="49"/>
      <w:bookmarkEnd w:id="50"/>
      <w:bookmarkEnd w:id="51"/>
    </w:p>
    <w:p w14:paraId="4808AD72" w14:textId="77777777" w:rsidR="00A13BE8" w:rsidRPr="00A13BE8" w:rsidRDefault="00A13BE8" w:rsidP="00A13BE8">
      <w:pPr>
        <w:spacing w:line="360" w:lineRule="auto"/>
        <w:rPr>
          <w:rFonts w:ascii="Arial" w:hAnsi="Arial" w:cs="Arial"/>
        </w:rPr>
      </w:pPr>
      <w:r w:rsidRPr="00A13BE8">
        <w:rPr>
          <w:rFonts w:ascii="Arial" w:hAnsi="Arial" w:cs="Arial"/>
        </w:rPr>
        <w:t>Kotter’s framework provides a structured approach for operationalising transformation within JLP. However, its application must be adapted to respect the unique partnership culture and governance system.</w:t>
      </w:r>
    </w:p>
    <w:p w14:paraId="0FF2C350" w14:textId="77777777" w:rsidR="00A13BE8" w:rsidRPr="008B41B1" w:rsidRDefault="00A13BE8" w:rsidP="00A13BE8">
      <w:pPr>
        <w:spacing w:line="360" w:lineRule="auto"/>
        <w:rPr>
          <w:rFonts w:ascii="Arial" w:hAnsi="Arial" w:cs="Arial"/>
          <w:b/>
          <w:bCs/>
        </w:rPr>
      </w:pPr>
      <w:r w:rsidRPr="008B41B1">
        <w:rPr>
          <w:rFonts w:ascii="Arial" w:hAnsi="Arial" w:cs="Arial"/>
          <w:b/>
          <w:bCs/>
        </w:rPr>
        <w:t>Step 1: Establishing Urgency</w:t>
      </w:r>
    </w:p>
    <w:p w14:paraId="6F3B7FD1" w14:textId="77777777" w:rsidR="00A13BE8" w:rsidRPr="00A13BE8" w:rsidRDefault="00A13BE8" w:rsidP="00A13BE8">
      <w:pPr>
        <w:spacing w:line="360" w:lineRule="auto"/>
        <w:rPr>
          <w:rFonts w:ascii="Arial" w:hAnsi="Arial" w:cs="Arial"/>
        </w:rPr>
      </w:pPr>
      <w:r w:rsidRPr="00A13BE8">
        <w:rPr>
          <w:rFonts w:ascii="Arial" w:hAnsi="Arial" w:cs="Arial"/>
        </w:rPr>
        <w:t>JLP must communicate clear evidence of the external threats posed by market shifts, digital competitors, and economic pressures. Leaders should present data on declining profitability, decreased footfall, and digital capability gaps to build a compelling case for immediate action (Kotter, 2012). This communication must be transparent, evidence-based, and sensitive to partnership values, acknowledging partner concerns while emphasising strategic necessity.</w:t>
      </w:r>
    </w:p>
    <w:p w14:paraId="58A37820" w14:textId="77777777" w:rsidR="00A13BE8" w:rsidRPr="008B41B1" w:rsidRDefault="00A13BE8" w:rsidP="00A13BE8">
      <w:pPr>
        <w:spacing w:line="360" w:lineRule="auto"/>
        <w:rPr>
          <w:rFonts w:ascii="Arial" w:hAnsi="Arial" w:cs="Arial"/>
          <w:b/>
          <w:bCs/>
        </w:rPr>
      </w:pPr>
      <w:r w:rsidRPr="008B41B1">
        <w:rPr>
          <w:rFonts w:ascii="Arial" w:hAnsi="Arial" w:cs="Arial"/>
          <w:b/>
          <w:bCs/>
        </w:rPr>
        <w:t>Step 2: Forming a Guiding Coalition</w:t>
      </w:r>
    </w:p>
    <w:p w14:paraId="12443F91" w14:textId="77777777" w:rsidR="00A13BE8" w:rsidRPr="00A13BE8" w:rsidRDefault="00A13BE8" w:rsidP="00A13BE8">
      <w:pPr>
        <w:spacing w:line="360" w:lineRule="auto"/>
        <w:rPr>
          <w:rFonts w:ascii="Arial" w:hAnsi="Arial" w:cs="Arial"/>
        </w:rPr>
      </w:pPr>
      <w:r w:rsidRPr="00A13BE8">
        <w:rPr>
          <w:rFonts w:ascii="Arial" w:hAnsi="Arial" w:cs="Arial"/>
        </w:rPr>
        <w:t xml:space="preserve">Due to JLP’s democratic governance model, traditional hierarchical coalitions are insufficient. The coalition must include representatives from executive leadership, partner councils, digital innovation teams, and store-level management. According to Pettigrew (1987), internal political alignment is critical for change momentum. This </w:t>
      </w:r>
      <w:r w:rsidRPr="00A13BE8">
        <w:rPr>
          <w:rFonts w:ascii="Arial" w:hAnsi="Arial" w:cs="Arial"/>
        </w:rPr>
        <w:lastRenderedPageBreak/>
        <w:t>coalition must carry cross-functional credibility to influence emotional, behavioural, and operational aspects of transformation.</w:t>
      </w:r>
    </w:p>
    <w:p w14:paraId="5F474C48" w14:textId="77777777" w:rsidR="00A13BE8" w:rsidRPr="008B41B1" w:rsidRDefault="00A13BE8" w:rsidP="00A13BE8">
      <w:pPr>
        <w:spacing w:line="360" w:lineRule="auto"/>
        <w:rPr>
          <w:rFonts w:ascii="Arial" w:hAnsi="Arial" w:cs="Arial"/>
          <w:b/>
          <w:bCs/>
        </w:rPr>
      </w:pPr>
      <w:r w:rsidRPr="008B41B1">
        <w:rPr>
          <w:rFonts w:ascii="Arial" w:hAnsi="Arial" w:cs="Arial"/>
          <w:b/>
          <w:bCs/>
        </w:rPr>
        <w:t>Step 3: Developing a Vision and Strategy</w:t>
      </w:r>
    </w:p>
    <w:p w14:paraId="4D463F3F" w14:textId="77777777" w:rsidR="00A13BE8" w:rsidRPr="00A13BE8" w:rsidRDefault="00A13BE8" w:rsidP="00A13BE8">
      <w:pPr>
        <w:spacing w:line="360" w:lineRule="auto"/>
        <w:rPr>
          <w:rFonts w:ascii="Arial" w:hAnsi="Arial" w:cs="Arial"/>
        </w:rPr>
      </w:pPr>
      <w:r w:rsidRPr="00A13BE8">
        <w:rPr>
          <w:rFonts w:ascii="Arial" w:hAnsi="Arial" w:cs="Arial"/>
        </w:rPr>
        <w:t>A clear, coherent, and inspiring vision must be created, framed within partnership values yet oriented toward digital and commercial realities. An appropriate vision might be:</w:t>
      </w:r>
      <w:r w:rsidRPr="00A13BE8">
        <w:rPr>
          <w:rFonts w:ascii="Arial" w:hAnsi="Arial" w:cs="Arial"/>
        </w:rPr>
        <w:br/>
      </w:r>
      <w:r w:rsidRPr="00A13BE8">
        <w:rPr>
          <w:rFonts w:ascii="Arial" w:hAnsi="Arial" w:cs="Arial"/>
          <w:b/>
          <w:bCs/>
        </w:rPr>
        <w:t>“To become the UK’s most trusted and digitally innovative partnership, delivering personalised, sustainable, and seamless customer experiences.”</w:t>
      </w:r>
      <w:r w:rsidRPr="00A13BE8">
        <w:rPr>
          <w:rFonts w:ascii="Arial" w:hAnsi="Arial" w:cs="Arial"/>
        </w:rPr>
        <w:br/>
        <w:t>This vision unifies digital ambition with JLP’s distinctive cultural identity.</w:t>
      </w:r>
    </w:p>
    <w:p w14:paraId="1AF52C9B" w14:textId="77777777" w:rsidR="00A13BE8" w:rsidRPr="008B41B1" w:rsidRDefault="00A13BE8" w:rsidP="00A13BE8">
      <w:pPr>
        <w:spacing w:line="360" w:lineRule="auto"/>
        <w:rPr>
          <w:rFonts w:ascii="Arial" w:hAnsi="Arial" w:cs="Arial"/>
          <w:b/>
          <w:bCs/>
        </w:rPr>
      </w:pPr>
      <w:r w:rsidRPr="008B41B1">
        <w:rPr>
          <w:rFonts w:ascii="Arial" w:hAnsi="Arial" w:cs="Arial"/>
          <w:b/>
          <w:bCs/>
        </w:rPr>
        <w:t>Step 4: Communicating the Vision</w:t>
      </w:r>
    </w:p>
    <w:p w14:paraId="4ABCEC2F" w14:textId="77777777" w:rsidR="00A13BE8" w:rsidRPr="00A13BE8" w:rsidRDefault="00A13BE8" w:rsidP="00A13BE8">
      <w:pPr>
        <w:spacing w:line="360" w:lineRule="auto"/>
        <w:rPr>
          <w:rFonts w:ascii="Arial" w:hAnsi="Arial" w:cs="Arial"/>
        </w:rPr>
      </w:pPr>
      <w:r w:rsidRPr="00A13BE8">
        <w:rPr>
          <w:rFonts w:ascii="Arial" w:hAnsi="Arial" w:cs="Arial"/>
        </w:rPr>
        <w:t>Communication must be multifaceted, consistent, and participative. Town halls, digital platforms, partner newsletters, and leadership roadshows should reinforce the vision and connect it with partner identity. As Kotter (2012) emphasises, communication must occur “at least ten times more often than expected” (p. 89). This is essential in JLP’s emotionally rich culture (Russell, 2003), where transparency mitigates anxiety and resistance.</w:t>
      </w:r>
    </w:p>
    <w:p w14:paraId="4CBD918D" w14:textId="77777777" w:rsidR="00A13BE8" w:rsidRPr="008B41B1" w:rsidRDefault="00A13BE8" w:rsidP="00A13BE8">
      <w:pPr>
        <w:spacing w:line="360" w:lineRule="auto"/>
        <w:rPr>
          <w:rFonts w:ascii="Arial" w:hAnsi="Arial" w:cs="Arial"/>
          <w:b/>
          <w:bCs/>
        </w:rPr>
      </w:pPr>
      <w:r w:rsidRPr="008B41B1">
        <w:rPr>
          <w:rFonts w:ascii="Arial" w:hAnsi="Arial" w:cs="Arial"/>
          <w:b/>
          <w:bCs/>
        </w:rPr>
        <w:t>Step 5: Empowering Employees and Removing Obstacles</w:t>
      </w:r>
    </w:p>
    <w:p w14:paraId="1F85BD32" w14:textId="31B27DF4" w:rsidR="00A13BE8" w:rsidRPr="00A13BE8" w:rsidRDefault="00A13BE8" w:rsidP="00A13BE8">
      <w:pPr>
        <w:spacing w:line="360" w:lineRule="auto"/>
        <w:rPr>
          <w:rFonts w:ascii="Arial" w:hAnsi="Arial" w:cs="Arial"/>
        </w:rPr>
      </w:pPr>
      <w:r w:rsidRPr="00A13BE8">
        <w:rPr>
          <w:rFonts w:ascii="Arial" w:hAnsi="Arial" w:cs="Arial"/>
        </w:rPr>
        <w:t>Barriers to change</w:t>
      </w:r>
      <w:r>
        <w:rPr>
          <w:rFonts w:ascii="Arial" w:hAnsi="Arial" w:cs="Arial"/>
        </w:rPr>
        <w:t xml:space="preserve">, </w:t>
      </w:r>
      <w:r w:rsidRPr="00A13BE8">
        <w:rPr>
          <w:rFonts w:ascii="Arial" w:hAnsi="Arial" w:cs="Arial"/>
        </w:rPr>
        <w:t>such as outdated systems, bureaucratic processes, and psychological resistance</w:t>
      </w:r>
      <w:r>
        <w:rPr>
          <w:rFonts w:ascii="Arial" w:hAnsi="Arial" w:cs="Arial"/>
        </w:rPr>
        <w:t xml:space="preserve">, </w:t>
      </w:r>
      <w:r w:rsidRPr="00A13BE8">
        <w:rPr>
          <w:rFonts w:ascii="Arial" w:hAnsi="Arial" w:cs="Arial"/>
        </w:rPr>
        <w:t>must be removed proactively. This includes modernising legacy IT systems, simplifying approval structures, and training leaders in digital competencies. Anderson &amp; Ackerman-Anderson (2010) highlight the need to address both structural and human barriers, ensuring partners feel enabled rather than marginalised.</w:t>
      </w:r>
    </w:p>
    <w:p w14:paraId="68B7DB03" w14:textId="77777777" w:rsidR="00A13BE8" w:rsidRPr="008B41B1" w:rsidRDefault="00A13BE8" w:rsidP="00A13BE8">
      <w:pPr>
        <w:spacing w:line="360" w:lineRule="auto"/>
        <w:rPr>
          <w:rFonts w:ascii="Arial" w:hAnsi="Arial" w:cs="Arial"/>
          <w:b/>
          <w:bCs/>
        </w:rPr>
      </w:pPr>
      <w:r w:rsidRPr="008B41B1">
        <w:rPr>
          <w:rFonts w:ascii="Arial" w:hAnsi="Arial" w:cs="Arial"/>
          <w:b/>
          <w:bCs/>
        </w:rPr>
        <w:t>Step 6: Generating Short-Term Wins</w:t>
      </w:r>
    </w:p>
    <w:p w14:paraId="7059F69A" w14:textId="77777777" w:rsidR="00A13BE8" w:rsidRPr="00A13BE8" w:rsidRDefault="00A13BE8" w:rsidP="00A13BE8">
      <w:pPr>
        <w:spacing w:line="360" w:lineRule="auto"/>
        <w:rPr>
          <w:rFonts w:ascii="Arial" w:hAnsi="Arial" w:cs="Arial"/>
        </w:rPr>
      </w:pPr>
      <w:r w:rsidRPr="00A13BE8">
        <w:rPr>
          <w:rFonts w:ascii="Arial" w:hAnsi="Arial" w:cs="Arial"/>
        </w:rPr>
        <w:t>Early successes should demonstrate the value of transformation, such as:</w:t>
      </w:r>
    </w:p>
    <w:p w14:paraId="46565D18" w14:textId="77777777" w:rsidR="00A13BE8" w:rsidRPr="00A13BE8" w:rsidRDefault="00A13BE8" w:rsidP="00A13BE8">
      <w:pPr>
        <w:numPr>
          <w:ilvl w:val="0"/>
          <w:numId w:val="13"/>
        </w:numPr>
        <w:spacing w:line="360" w:lineRule="auto"/>
        <w:rPr>
          <w:rFonts w:ascii="Arial" w:hAnsi="Arial" w:cs="Arial"/>
        </w:rPr>
      </w:pPr>
      <w:r w:rsidRPr="00A13BE8">
        <w:rPr>
          <w:rFonts w:ascii="Arial" w:hAnsi="Arial" w:cs="Arial"/>
        </w:rPr>
        <w:t>A pilot AI-driven virtual styling service.</w:t>
      </w:r>
    </w:p>
    <w:p w14:paraId="7A3E31F7" w14:textId="77777777" w:rsidR="00A13BE8" w:rsidRPr="00A13BE8" w:rsidRDefault="00A13BE8" w:rsidP="00A13BE8">
      <w:pPr>
        <w:numPr>
          <w:ilvl w:val="0"/>
          <w:numId w:val="13"/>
        </w:numPr>
        <w:spacing w:line="360" w:lineRule="auto"/>
        <w:rPr>
          <w:rFonts w:ascii="Arial" w:hAnsi="Arial" w:cs="Arial"/>
        </w:rPr>
      </w:pPr>
      <w:r w:rsidRPr="00A13BE8">
        <w:rPr>
          <w:rFonts w:ascii="Arial" w:hAnsi="Arial" w:cs="Arial"/>
        </w:rPr>
        <w:t>Automation in selected distribution centres.</w:t>
      </w:r>
    </w:p>
    <w:p w14:paraId="3F0FBF2D" w14:textId="77777777" w:rsidR="00A13BE8" w:rsidRPr="00A13BE8" w:rsidRDefault="00A13BE8" w:rsidP="00A13BE8">
      <w:pPr>
        <w:numPr>
          <w:ilvl w:val="0"/>
          <w:numId w:val="13"/>
        </w:numPr>
        <w:spacing w:line="360" w:lineRule="auto"/>
        <w:rPr>
          <w:rFonts w:ascii="Arial" w:hAnsi="Arial" w:cs="Arial"/>
        </w:rPr>
      </w:pPr>
      <w:r w:rsidRPr="00A13BE8">
        <w:rPr>
          <w:rFonts w:ascii="Arial" w:hAnsi="Arial" w:cs="Arial"/>
        </w:rPr>
        <w:t>Measurable improvements in online conversion rates.</w:t>
      </w:r>
      <w:r w:rsidRPr="00A13BE8">
        <w:rPr>
          <w:rFonts w:ascii="Arial" w:hAnsi="Arial" w:cs="Arial"/>
        </w:rPr>
        <w:br/>
        <w:t xml:space="preserve">Small, visible wins build confidence and help employees navigate Russell’s </w:t>
      </w:r>
      <w:r w:rsidRPr="00A13BE8">
        <w:rPr>
          <w:rFonts w:ascii="Arial" w:hAnsi="Arial" w:cs="Arial"/>
        </w:rPr>
        <w:lastRenderedPageBreak/>
        <w:t>(2003) emotional change stages, particularly during periods of fear, bargaining, or depression.</w:t>
      </w:r>
    </w:p>
    <w:p w14:paraId="5A25F14B" w14:textId="77777777" w:rsidR="00A13BE8" w:rsidRPr="008B41B1" w:rsidRDefault="00A13BE8" w:rsidP="00A13BE8">
      <w:pPr>
        <w:spacing w:line="360" w:lineRule="auto"/>
        <w:rPr>
          <w:rFonts w:ascii="Arial" w:hAnsi="Arial" w:cs="Arial"/>
          <w:b/>
          <w:bCs/>
        </w:rPr>
      </w:pPr>
      <w:r w:rsidRPr="008B41B1">
        <w:rPr>
          <w:rFonts w:ascii="Arial" w:hAnsi="Arial" w:cs="Arial"/>
          <w:b/>
          <w:bCs/>
        </w:rPr>
        <w:t>Step 7: Consolidating Gains and Accelerating Change</w:t>
      </w:r>
    </w:p>
    <w:p w14:paraId="7CA6C32D" w14:textId="77777777" w:rsidR="00A13BE8" w:rsidRPr="00A13BE8" w:rsidRDefault="00A13BE8" w:rsidP="00A13BE8">
      <w:pPr>
        <w:spacing w:line="360" w:lineRule="auto"/>
        <w:rPr>
          <w:rFonts w:ascii="Arial" w:hAnsi="Arial" w:cs="Arial"/>
        </w:rPr>
      </w:pPr>
      <w:r w:rsidRPr="00A13BE8">
        <w:rPr>
          <w:rFonts w:ascii="Arial" w:hAnsi="Arial" w:cs="Arial"/>
        </w:rPr>
        <w:t>Short-term wins should be leveraged to expand transformation efforts. This aligns with Pettigrew’s (1987) process dimension, where momentum is sustained through political reinforcement and cultural adaptation. JLP should integrate agile practices, reinforce digital upskilling, and scale successful pilot initiatives.</w:t>
      </w:r>
    </w:p>
    <w:p w14:paraId="249A9BFF" w14:textId="77777777" w:rsidR="00A13BE8" w:rsidRPr="008B41B1" w:rsidRDefault="00A13BE8" w:rsidP="00A13BE8">
      <w:pPr>
        <w:spacing w:line="360" w:lineRule="auto"/>
        <w:rPr>
          <w:rFonts w:ascii="Arial" w:hAnsi="Arial" w:cs="Arial"/>
          <w:b/>
          <w:bCs/>
        </w:rPr>
      </w:pPr>
      <w:r w:rsidRPr="008B41B1">
        <w:rPr>
          <w:rFonts w:ascii="Arial" w:hAnsi="Arial" w:cs="Arial"/>
          <w:b/>
          <w:bCs/>
        </w:rPr>
        <w:t>Step 8: Anchoring New Approaches in the Culture</w:t>
      </w:r>
    </w:p>
    <w:p w14:paraId="5A5F48D9" w14:textId="77777777" w:rsidR="00A13BE8" w:rsidRPr="00A13BE8" w:rsidRDefault="00A13BE8" w:rsidP="00A13BE8">
      <w:pPr>
        <w:spacing w:line="360" w:lineRule="auto"/>
        <w:rPr>
          <w:rFonts w:ascii="Arial" w:hAnsi="Arial" w:cs="Arial"/>
        </w:rPr>
      </w:pPr>
      <w:r w:rsidRPr="00A13BE8">
        <w:rPr>
          <w:rFonts w:ascii="Arial" w:hAnsi="Arial" w:cs="Arial"/>
        </w:rPr>
        <w:t>Cultural anchoring is particularly important at JLP due to its deeply embedded values and identity (Schein, 2010). New digital behaviours and agile routines must be incorporated into performance management, partner development programmes, and leadership expectations. Change becomes embedded when partners see alignment between values, vision, and everyday practices.</w:t>
      </w:r>
    </w:p>
    <w:p w14:paraId="3B28AAAF" w14:textId="77777777" w:rsidR="00A13BE8" w:rsidRPr="008B41B1" w:rsidRDefault="00A13BE8" w:rsidP="008B41B1">
      <w:pPr>
        <w:pStyle w:val="Heading2"/>
      </w:pPr>
      <w:bookmarkStart w:id="52" w:name="_Toc217033576"/>
      <w:r w:rsidRPr="008B41B1">
        <w:t>5.4 Financial Plan</w:t>
      </w:r>
      <w:bookmarkEnd w:id="52"/>
    </w:p>
    <w:p w14:paraId="2228CBC0" w14:textId="77777777" w:rsidR="00A13BE8" w:rsidRPr="00A13BE8" w:rsidRDefault="00A13BE8" w:rsidP="00A13BE8">
      <w:pPr>
        <w:spacing w:line="360" w:lineRule="auto"/>
        <w:rPr>
          <w:rFonts w:ascii="Arial" w:hAnsi="Arial" w:cs="Arial"/>
        </w:rPr>
      </w:pPr>
      <w:r w:rsidRPr="00A13BE8">
        <w:rPr>
          <w:rFonts w:ascii="Arial" w:hAnsi="Arial" w:cs="Arial"/>
        </w:rPr>
        <w:t xml:space="preserve">A strategic change programme requires clear financial planning to ensure feasibility and alignment with organisational capacity. The estimated investment for the 36-month transformation is </w:t>
      </w:r>
      <w:r w:rsidRPr="00A13BE8">
        <w:rPr>
          <w:rFonts w:ascii="Arial" w:hAnsi="Arial" w:cs="Arial"/>
          <w:b/>
          <w:bCs/>
        </w:rPr>
        <w:t>£40–50 million</w:t>
      </w:r>
      <w:r w:rsidRPr="00A13BE8">
        <w:rPr>
          <w:rFonts w:ascii="Arial" w:hAnsi="Arial" w:cs="Arial"/>
        </w:rPr>
        <w:t>, allocated as follows:</w:t>
      </w:r>
    </w:p>
    <w:p w14:paraId="121D45DE" w14:textId="77777777" w:rsidR="00A13BE8" w:rsidRPr="00A13BE8" w:rsidRDefault="00A13BE8" w:rsidP="00A13BE8">
      <w:pPr>
        <w:numPr>
          <w:ilvl w:val="0"/>
          <w:numId w:val="14"/>
        </w:numPr>
        <w:spacing w:line="360" w:lineRule="auto"/>
        <w:rPr>
          <w:rFonts w:ascii="Arial" w:hAnsi="Arial" w:cs="Arial"/>
        </w:rPr>
      </w:pPr>
      <w:r w:rsidRPr="00A13BE8">
        <w:rPr>
          <w:rFonts w:ascii="Arial" w:hAnsi="Arial" w:cs="Arial"/>
          <w:b/>
          <w:bCs/>
        </w:rPr>
        <w:t>£20 million</w:t>
      </w:r>
      <w:r w:rsidRPr="00A13BE8">
        <w:rPr>
          <w:rFonts w:ascii="Arial" w:hAnsi="Arial" w:cs="Arial"/>
        </w:rPr>
        <w:t xml:space="preserve"> for digital infrastructure upgrades, including platform redevelopment, AI tools, analytics software, and cybersecurity.</w:t>
      </w:r>
    </w:p>
    <w:p w14:paraId="080E0335" w14:textId="77777777" w:rsidR="00A13BE8" w:rsidRPr="00A13BE8" w:rsidRDefault="00A13BE8" w:rsidP="00A13BE8">
      <w:pPr>
        <w:numPr>
          <w:ilvl w:val="0"/>
          <w:numId w:val="14"/>
        </w:numPr>
        <w:spacing w:line="360" w:lineRule="auto"/>
        <w:rPr>
          <w:rFonts w:ascii="Arial" w:hAnsi="Arial" w:cs="Arial"/>
        </w:rPr>
      </w:pPr>
      <w:r w:rsidRPr="00A13BE8">
        <w:rPr>
          <w:rFonts w:ascii="Arial" w:hAnsi="Arial" w:cs="Arial"/>
          <w:b/>
          <w:bCs/>
        </w:rPr>
        <w:t>£10 million</w:t>
      </w:r>
      <w:r w:rsidRPr="00A13BE8">
        <w:rPr>
          <w:rFonts w:ascii="Arial" w:hAnsi="Arial" w:cs="Arial"/>
        </w:rPr>
        <w:t xml:space="preserve"> for workforce reskilling, leadership development, and partner training programmes.</w:t>
      </w:r>
    </w:p>
    <w:p w14:paraId="1C9DCC84" w14:textId="77777777" w:rsidR="00A13BE8" w:rsidRPr="00A13BE8" w:rsidRDefault="00A13BE8" w:rsidP="00A13BE8">
      <w:pPr>
        <w:numPr>
          <w:ilvl w:val="0"/>
          <w:numId w:val="14"/>
        </w:numPr>
        <w:spacing w:line="360" w:lineRule="auto"/>
        <w:rPr>
          <w:rFonts w:ascii="Arial" w:hAnsi="Arial" w:cs="Arial"/>
        </w:rPr>
      </w:pPr>
      <w:r w:rsidRPr="00A13BE8">
        <w:rPr>
          <w:rFonts w:ascii="Arial" w:hAnsi="Arial" w:cs="Arial"/>
          <w:b/>
          <w:bCs/>
        </w:rPr>
        <w:t>£5 million</w:t>
      </w:r>
      <w:r w:rsidRPr="00A13BE8">
        <w:rPr>
          <w:rFonts w:ascii="Arial" w:hAnsi="Arial" w:cs="Arial"/>
        </w:rPr>
        <w:t xml:space="preserve"> for automation and supply-chain optimisation, including warehouse robotics and automated inventory management.</w:t>
      </w:r>
    </w:p>
    <w:p w14:paraId="6CBBA9A2" w14:textId="77777777" w:rsidR="00A13BE8" w:rsidRPr="00A13BE8" w:rsidRDefault="00A13BE8" w:rsidP="00A13BE8">
      <w:pPr>
        <w:numPr>
          <w:ilvl w:val="0"/>
          <w:numId w:val="14"/>
        </w:numPr>
        <w:spacing w:line="360" w:lineRule="auto"/>
        <w:rPr>
          <w:rFonts w:ascii="Arial" w:hAnsi="Arial" w:cs="Arial"/>
        </w:rPr>
      </w:pPr>
      <w:r w:rsidRPr="00A13BE8">
        <w:rPr>
          <w:rFonts w:ascii="Arial" w:hAnsi="Arial" w:cs="Arial"/>
          <w:b/>
          <w:bCs/>
        </w:rPr>
        <w:t>£5 million</w:t>
      </w:r>
      <w:r w:rsidRPr="00A13BE8">
        <w:rPr>
          <w:rFonts w:ascii="Arial" w:hAnsi="Arial" w:cs="Arial"/>
        </w:rPr>
        <w:t xml:space="preserve"> for sustainability initiatives and carbon-reduction technologies.</w:t>
      </w:r>
    </w:p>
    <w:p w14:paraId="7667A934" w14:textId="77777777" w:rsidR="00A13BE8" w:rsidRPr="00A13BE8" w:rsidRDefault="00A13BE8" w:rsidP="00A13BE8">
      <w:pPr>
        <w:numPr>
          <w:ilvl w:val="0"/>
          <w:numId w:val="14"/>
        </w:numPr>
        <w:spacing w:line="360" w:lineRule="auto"/>
        <w:rPr>
          <w:rFonts w:ascii="Arial" w:hAnsi="Arial" w:cs="Arial"/>
        </w:rPr>
      </w:pPr>
      <w:r w:rsidRPr="00A13BE8">
        <w:rPr>
          <w:rFonts w:ascii="Arial" w:hAnsi="Arial" w:cs="Arial"/>
          <w:b/>
          <w:bCs/>
        </w:rPr>
        <w:t>£5–10 million contingency</w:t>
      </w:r>
      <w:r w:rsidRPr="00A13BE8">
        <w:rPr>
          <w:rFonts w:ascii="Arial" w:hAnsi="Arial" w:cs="Arial"/>
        </w:rPr>
        <w:t xml:space="preserve"> for unforeseen cost increases, reflecting the volatility of digital transformation.</w:t>
      </w:r>
    </w:p>
    <w:p w14:paraId="01D32BC0" w14:textId="77777777" w:rsidR="00A13BE8" w:rsidRPr="00A13BE8" w:rsidRDefault="00A13BE8" w:rsidP="00A13BE8">
      <w:pPr>
        <w:spacing w:line="360" w:lineRule="auto"/>
        <w:rPr>
          <w:rFonts w:ascii="Arial" w:hAnsi="Arial" w:cs="Arial"/>
        </w:rPr>
      </w:pPr>
      <w:r w:rsidRPr="00A13BE8">
        <w:rPr>
          <w:rFonts w:ascii="Arial" w:hAnsi="Arial" w:cs="Arial"/>
        </w:rPr>
        <w:t>This investment aligns with industry benchmarks and is expected to generate significant ROI through reduced operating costs, increased online sales, and enhanced customer engagement (MarketLine, 2023).</w:t>
      </w:r>
    </w:p>
    <w:p w14:paraId="1D4221F8" w14:textId="78299BDD" w:rsidR="00A13BE8" w:rsidRPr="00A13BE8" w:rsidRDefault="00A13BE8" w:rsidP="00A13BE8">
      <w:pPr>
        <w:spacing w:line="360" w:lineRule="auto"/>
        <w:rPr>
          <w:rFonts w:ascii="Arial" w:hAnsi="Arial" w:cs="Arial"/>
        </w:rPr>
      </w:pPr>
    </w:p>
    <w:p w14:paraId="0D1DE9F0" w14:textId="77777777" w:rsidR="00A13BE8" w:rsidRPr="008B41B1" w:rsidRDefault="00A13BE8" w:rsidP="008B41B1">
      <w:pPr>
        <w:pStyle w:val="Heading2"/>
      </w:pPr>
      <w:bookmarkStart w:id="53" w:name="_Toc217033577"/>
      <w:r w:rsidRPr="008B41B1">
        <w:t>5.5 Communication Plan</w:t>
      </w:r>
      <w:bookmarkEnd w:id="53"/>
    </w:p>
    <w:p w14:paraId="4FA44134" w14:textId="77777777" w:rsidR="00A13BE8" w:rsidRPr="00A13BE8" w:rsidRDefault="00A13BE8" w:rsidP="00A13BE8">
      <w:pPr>
        <w:spacing w:line="360" w:lineRule="auto"/>
        <w:rPr>
          <w:rFonts w:ascii="Arial" w:hAnsi="Arial" w:cs="Arial"/>
        </w:rPr>
      </w:pPr>
      <w:r w:rsidRPr="00A13BE8">
        <w:rPr>
          <w:rFonts w:ascii="Arial" w:hAnsi="Arial" w:cs="Arial"/>
        </w:rPr>
        <w:t>Communication is vital for mitigating resistance and ensuring ongoing partner engagement. Drawing on Kotter (2012), Russell (2003), and Cameron &amp; Green (2020), the communication plan will include:</w:t>
      </w:r>
    </w:p>
    <w:p w14:paraId="6B663763" w14:textId="77777777" w:rsidR="00A13BE8" w:rsidRPr="00A13BE8" w:rsidRDefault="00A13BE8" w:rsidP="00A13BE8">
      <w:pPr>
        <w:numPr>
          <w:ilvl w:val="0"/>
          <w:numId w:val="15"/>
        </w:numPr>
        <w:spacing w:line="360" w:lineRule="auto"/>
        <w:rPr>
          <w:rFonts w:ascii="Arial" w:hAnsi="Arial" w:cs="Arial"/>
        </w:rPr>
      </w:pPr>
      <w:r w:rsidRPr="00A13BE8">
        <w:rPr>
          <w:rFonts w:ascii="Arial" w:hAnsi="Arial" w:cs="Arial"/>
          <w:b/>
          <w:bCs/>
        </w:rPr>
        <w:t>Regular leadership briefings</w:t>
      </w:r>
      <w:r w:rsidRPr="00A13BE8">
        <w:rPr>
          <w:rFonts w:ascii="Arial" w:hAnsi="Arial" w:cs="Arial"/>
        </w:rPr>
        <w:t>, providing updates on progress and addressing concerns.</w:t>
      </w:r>
    </w:p>
    <w:p w14:paraId="4B67C674" w14:textId="77777777" w:rsidR="00A13BE8" w:rsidRPr="00A13BE8" w:rsidRDefault="00A13BE8" w:rsidP="00A13BE8">
      <w:pPr>
        <w:numPr>
          <w:ilvl w:val="0"/>
          <w:numId w:val="15"/>
        </w:numPr>
        <w:spacing w:line="360" w:lineRule="auto"/>
        <w:rPr>
          <w:rFonts w:ascii="Arial" w:hAnsi="Arial" w:cs="Arial"/>
        </w:rPr>
      </w:pPr>
      <w:r w:rsidRPr="00A13BE8">
        <w:rPr>
          <w:rFonts w:ascii="Arial" w:hAnsi="Arial" w:cs="Arial"/>
          <w:b/>
          <w:bCs/>
        </w:rPr>
        <w:t>Digital communication channels</w:t>
      </w:r>
      <w:r w:rsidRPr="00A13BE8">
        <w:rPr>
          <w:rFonts w:ascii="Arial" w:hAnsi="Arial" w:cs="Arial"/>
        </w:rPr>
        <w:t>, including intranet portals, webinars, interactive FAQs, and video updates.</w:t>
      </w:r>
    </w:p>
    <w:p w14:paraId="29D85F03" w14:textId="77777777" w:rsidR="00EC62AC" w:rsidRPr="00EC62AC" w:rsidRDefault="00A13BE8">
      <w:pPr>
        <w:numPr>
          <w:ilvl w:val="0"/>
          <w:numId w:val="15"/>
        </w:numPr>
        <w:spacing w:line="360" w:lineRule="auto"/>
      </w:pPr>
      <w:r w:rsidRPr="00EC62AC">
        <w:rPr>
          <w:rFonts w:ascii="Arial" w:hAnsi="Arial" w:cs="Arial"/>
          <w:b/>
          <w:bCs/>
        </w:rPr>
        <w:t>Partner forums</w:t>
      </w:r>
      <w:r w:rsidRPr="00EC62AC">
        <w:rPr>
          <w:rFonts w:ascii="Arial" w:hAnsi="Arial" w:cs="Arial"/>
        </w:rPr>
        <w:t xml:space="preserve"> to foster dialogue, address misconceptions, and capture feedback.</w:t>
      </w:r>
      <w:r w:rsidR="00EC62AC" w:rsidRPr="00EC62AC">
        <w:rPr>
          <w:b/>
          <w:bCs/>
        </w:rPr>
        <w:t xml:space="preserve"> </w:t>
      </w:r>
    </w:p>
    <w:p w14:paraId="4E3D83A2" w14:textId="6B68AD97" w:rsidR="005636E8" w:rsidRPr="00A13BE8" w:rsidRDefault="00EC62AC">
      <w:pPr>
        <w:numPr>
          <w:ilvl w:val="0"/>
          <w:numId w:val="15"/>
        </w:numPr>
        <w:spacing w:line="360" w:lineRule="auto"/>
      </w:pPr>
      <w:r w:rsidRPr="00EC62AC">
        <w:rPr>
          <w:rFonts w:ascii="Arial" w:hAnsi="Arial" w:cs="Arial"/>
          <w:b/>
          <w:bCs/>
        </w:rPr>
        <w:t>Change champions</w:t>
      </w:r>
      <w:r w:rsidRPr="00EC62AC">
        <w:rPr>
          <w:rFonts w:ascii="Arial" w:hAnsi="Arial" w:cs="Arial"/>
        </w:rPr>
        <w:t xml:space="preserve"> embedded at store and distribution levels, providing localised communication support.</w:t>
      </w:r>
    </w:p>
    <w:p w14:paraId="7D6E1C71" w14:textId="77777777" w:rsidR="00A13BE8" w:rsidRDefault="00A13BE8" w:rsidP="00B64293">
      <w:pPr>
        <w:spacing w:line="360" w:lineRule="auto"/>
        <w:ind w:left="360"/>
        <w:rPr>
          <w:rFonts w:ascii="Arial" w:hAnsi="Arial" w:cs="Arial"/>
        </w:rPr>
      </w:pPr>
      <w:r w:rsidRPr="00EC62AC">
        <w:rPr>
          <w:rFonts w:ascii="Arial" w:hAnsi="Arial" w:cs="Arial"/>
        </w:rPr>
        <w:t>Communication must be tailored to emotional stages identified by Russell (2003), offering reassurance during early shock phases and empowerment during later testing and acceptance stages.</w:t>
      </w:r>
    </w:p>
    <w:p w14:paraId="368F00E9" w14:textId="344FBBD7" w:rsidR="00B45CE4" w:rsidRDefault="00BA06EE" w:rsidP="00DF7526">
      <w:pPr>
        <w:pStyle w:val="Heading2"/>
      </w:pPr>
      <w:r>
        <w:t xml:space="preserve">  </w:t>
      </w:r>
      <w:bookmarkStart w:id="54" w:name="_Toc217033578"/>
      <w:r w:rsidR="00BF61A4">
        <w:t xml:space="preserve">5.6 </w:t>
      </w:r>
      <w:r w:rsidR="00B45CE4">
        <w:t>Evaluation Plan</w:t>
      </w:r>
      <w:bookmarkEnd w:id="54"/>
    </w:p>
    <w:p w14:paraId="316F355D" w14:textId="140603BC" w:rsidR="00B45CE4" w:rsidRDefault="00B45CE4" w:rsidP="00B64293">
      <w:pPr>
        <w:spacing w:line="360" w:lineRule="auto"/>
        <w:rPr>
          <w:rFonts w:ascii="Arial" w:hAnsi="Arial" w:cs="Arial"/>
        </w:rPr>
      </w:pPr>
      <w:r w:rsidRPr="00B45CE4">
        <w:rPr>
          <w:rFonts w:ascii="Arial" w:hAnsi="Arial" w:cs="Arial"/>
        </w:rPr>
        <w:t xml:space="preserve">Evaluation </w:t>
      </w:r>
      <w:r>
        <w:rPr>
          <w:rFonts w:ascii="Arial" w:hAnsi="Arial" w:cs="Arial"/>
        </w:rPr>
        <w:t>ensures</w:t>
      </w:r>
      <w:r w:rsidRPr="00B45CE4">
        <w:rPr>
          <w:rFonts w:ascii="Arial" w:hAnsi="Arial" w:cs="Arial"/>
        </w:rPr>
        <w:t xml:space="preserve"> that </w:t>
      </w:r>
      <w:r>
        <w:rPr>
          <w:rFonts w:ascii="Arial" w:hAnsi="Arial" w:cs="Arial"/>
        </w:rPr>
        <w:t>progress is monitored and adjustments are made as needed. The plan includes:</w:t>
      </w:r>
    </w:p>
    <w:p w14:paraId="5A1B61D6" w14:textId="4B3D302F" w:rsidR="00B45CE4" w:rsidRDefault="00B45CE4" w:rsidP="00B64293">
      <w:pPr>
        <w:pStyle w:val="ListParagraph"/>
        <w:numPr>
          <w:ilvl w:val="0"/>
          <w:numId w:val="18"/>
        </w:numPr>
        <w:spacing w:line="360" w:lineRule="auto"/>
        <w:rPr>
          <w:rFonts w:ascii="Arial" w:hAnsi="Arial" w:cs="Arial"/>
        </w:rPr>
      </w:pPr>
      <w:r>
        <w:rPr>
          <w:rFonts w:ascii="Arial" w:hAnsi="Arial" w:cs="Arial"/>
        </w:rPr>
        <w:t>Key Performance Indicators (KPI’s) aligned with SMART objectives.</w:t>
      </w:r>
    </w:p>
    <w:p w14:paraId="687C41CB" w14:textId="68A4B3DA" w:rsidR="00B45CE4" w:rsidRDefault="00B45CE4" w:rsidP="00B64293">
      <w:pPr>
        <w:pStyle w:val="ListParagraph"/>
        <w:numPr>
          <w:ilvl w:val="0"/>
          <w:numId w:val="18"/>
        </w:numPr>
        <w:spacing w:line="360" w:lineRule="auto"/>
        <w:rPr>
          <w:rFonts w:ascii="Arial" w:hAnsi="Arial" w:cs="Arial"/>
        </w:rPr>
      </w:pPr>
      <w:r>
        <w:rPr>
          <w:rFonts w:ascii="Arial" w:hAnsi="Arial" w:cs="Arial"/>
        </w:rPr>
        <w:t>Quarterly performance reviews</w:t>
      </w:r>
    </w:p>
    <w:p w14:paraId="0CD82F68" w14:textId="755470AC" w:rsidR="00B45CE4" w:rsidRDefault="00B45CE4" w:rsidP="00B64293">
      <w:pPr>
        <w:pStyle w:val="ListParagraph"/>
        <w:numPr>
          <w:ilvl w:val="0"/>
          <w:numId w:val="18"/>
        </w:numPr>
        <w:spacing w:line="360" w:lineRule="auto"/>
        <w:rPr>
          <w:rFonts w:ascii="Arial" w:hAnsi="Arial" w:cs="Arial"/>
        </w:rPr>
      </w:pPr>
      <w:r>
        <w:rPr>
          <w:rFonts w:ascii="Arial" w:hAnsi="Arial" w:cs="Arial"/>
        </w:rPr>
        <w:t>Balanced scorecard approach to</w:t>
      </w:r>
      <w:r w:rsidR="006D05B3">
        <w:rPr>
          <w:rFonts w:ascii="Arial" w:hAnsi="Arial" w:cs="Arial"/>
        </w:rPr>
        <w:t xml:space="preserve"> track financial, customer, internal process and learning metrics</w:t>
      </w:r>
    </w:p>
    <w:p w14:paraId="3DB185B9" w14:textId="60572ED8" w:rsidR="006D05B3" w:rsidRDefault="006D05B3" w:rsidP="00B64293">
      <w:pPr>
        <w:pStyle w:val="ListParagraph"/>
        <w:numPr>
          <w:ilvl w:val="0"/>
          <w:numId w:val="18"/>
        </w:numPr>
        <w:spacing w:line="360" w:lineRule="auto"/>
        <w:rPr>
          <w:rFonts w:ascii="Arial" w:hAnsi="Arial" w:cs="Arial"/>
        </w:rPr>
      </w:pPr>
      <w:r>
        <w:rPr>
          <w:rFonts w:ascii="Arial" w:hAnsi="Arial" w:cs="Arial"/>
        </w:rPr>
        <w:t>Continuous improvement loops to refine processes.</w:t>
      </w:r>
    </w:p>
    <w:p w14:paraId="0901E78A" w14:textId="0336B932" w:rsidR="006D05B3" w:rsidRPr="00B45CE4" w:rsidRDefault="006D05B3" w:rsidP="00B64293">
      <w:pPr>
        <w:pStyle w:val="ListParagraph"/>
        <w:spacing w:line="360" w:lineRule="auto"/>
        <w:rPr>
          <w:rFonts w:ascii="Arial" w:hAnsi="Arial" w:cs="Arial"/>
        </w:rPr>
      </w:pPr>
      <w:r>
        <w:rPr>
          <w:rFonts w:ascii="Arial" w:hAnsi="Arial" w:cs="Arial"/>
        </w:rPr>
        <w:t>This ensures accountability and sustained progress.</w:t>
      </w:r>
    </w:p>
    <w:p w14:paraId="7963170A" w14:textId="77777777" w:rsidR="00B45CE4" w:rsidRPr="00EC62AC" w:rsidRDefault="00B45CE4" w:rsidP="00B64293">
      <w:pPr>
        <w:spacing w:line="360" w:lineRule="auto"/>
        <w:ind w:left="360"/>
        <w:rPr>
          <w:rFonts w:ascii="Arial" w:hAnsi="Arial" w:cs="Arial"/>
        </w:rPr>
      </w:pPr>
    </w:p>
    <w:p w14:paraId="0446121E" w14:textId="710482C3" w:rsidR="00A13BE8" w:rsidRPr="00A13BE8" w:rsidRDefault="00A13BE8" w:rsidP="00A13BE8">
      <w:pPr>
        <w:spacing w:line="360" w:lineRule="auto"/>
        <w:rPr>
          <w:rFonts w:ascii="Arial" w:hAnsi="Arial" w:cs="Arial"/>
        </w:rPr>
      </w:pPr>
    </w:p>
    <w:p w14:paraId="0F31AE24" w14:textId="49E4A42B" w:rsidR="00A13BE8" w:rsidRPr="00F876F8" w:rsidRDefault="00A13BE8" w:rsidP="000F7454">
      <w:pPr>
        <w:pStyle w:val="Heading2"/>
      </w:pPr>
      <w:bookmarkStart w:id="55" w:name="_Toc215096064"/>
      <w:bookmarkStart w:id="56" w:name="_Toc215096099"/>
      <w:bookmarkStart w:id="57" w:name="_Toc217033579"/>
      <w:r w:rsidRPr="00F876F8">
        <w:lastRenderedPageBreak/>
        <w:t>5.</w:t>
      </w:r>
      <w:r w:rsidR="00BF61A4">
        <w:t>7</w:t>
      </w:r>
      <w:r w:rsidRPr="00F876F8">
        <w:t xml:space="preserve"> Workforce Capability and Reskilling Strategy</w:t>
      </w:r>
      <w:bookmarkEnd w:id="55"/>
      <w:bookmarkEnd w:id="56"/>
      <w:bookmarkEnd w:id="57"/>
    </w:p>
    <w:p w14:paraId="7FF2591D" w14:textId="4F7F803B" w:rsidR="00A13BE8" w:rsidRPr="00A13BE8" w:rsidRDefault="00A13BE8" w:rsidP="00A13BE8">
      <w:pPr>
        <w:spacing w:line="360" w:lineRule="auto"/>
        <w:rPr>
          <w:rFonts w:ascii="Arial" w:hAnsi="Arial" w:cs="Arial"/>
        </w:rPr>
      </w:pPr>
      <w:r w:rsidRPr="00A13BE8">
        <w:rPr>
          <w:rFonts w:ascii="Arial" w:hAnsi="Arial" w:cs="Arial"/>
        </w:rPr>
        <w:t>Capability development is essential for embedding change. Carnall (2014) highlights that organisations cannot transform without investment in individual and collective competence. JLP must deliver comprehensive reskilling programmes</w:t>
      </w:r>
      <w:r>
        <w:rPr>
          <w:rFonts w:ascii="Arial" w:hAnsi="Arial" w:cs="Arial"/>
        </w:rPr>
        <w:t>,</w:t>
      </w:r>
      <w:r w:rsidRPr="00A13BE8">
        <w:rPr>
          <w:rFonts w:ascii="Arial" w:hAnsi="Arial" w:cs="Arial"/>
        </w:rPr>
        <w:t xml:space="preserve"> including:</w:t>
      </w:r>
    </w:p>
    <w:p w14:paraId="0F51BD07" w14:textId="77777777" w:rsidR="00A13BE8" w:rsidRPr="00A13BE8" w:rsidRDefault="00A13BE8" w:rsidP="00A13BE8">
      <w:pPr>
        <w:numPr>
          <w:ilvl w:val="0"/>
          <w:numId w:val="16"/>
        </w:numPr>
        <w:spacing w:line="360" w:lineRule="auto"/>
        <w:rPr>
          <w:rFonts w:ascii="Arial" w:hAnsi="Arial" w:cs="Arial"/>
        </w:rPr>
      </w:pPr>
      <w:r w:rsidRPr="00A13BE8">
        <w:rPr>
          <w:rFonts w:ascii="Arial" w:hAnsi="Arial" w:cs="Arial"/>
          <w:b/>
          <w:bCs/>
        </w:rPr>
        <w:t>Digital literacy training</w:t>
      </w:r>
      <w:r w:rsidRPr="00A13BE8">
        <w:rPr>
          <w:rFonts w:ascii="Arial" w:hAnsi="Arial" w:cs="Arial"/>
        </w:rPr>
        <w:t xml:space="preserve"> for all partners.</w:t>
      </w:r>
    </w:p>
    <w:p w14:paraId="4DCD6306" w14:textId="77777777" w:rsidR="00A13BE8" w:rsidRPr="00A13BE8" w:rsidRDefault="00A13BE8" w:rsidP="00A13BE8">
      <w:pPr>
        <w:numPr>
          <w:ilvl w:val="0"/>
          <w:numId w:val="16"/>
        </w:numPr>
        <w:spacing w:line="360" w:lineRule="auto"/>
        <w:rPr>
          <w:rFonts w:ascii="Arial" w:hAnsi="Arial" w:cs="Arial"/>
        </w:rPr>
      </w:pPr>
      <w:r w:rsidRPr="00A13BE8">
        <w:rPr>
          <w:rFonts w:ascii="Arial" w:hAnsi="Arial" w:cs="Arial"/>
          <w:b/>
          <w:bCs/>
        </w:rPr>
        <w:t>Advanced analytics and AI training</w:t>
      </w:r>
      <w:r w:rsidRPr="00A13BE8">
        <w:rPr>
          <w:rFonts w:ascii="Arial" w:hAnsi="Arial" w:cs="Arial"/>
        </w:rPr>
        <w:t xml:space="preserve"> for specialist roles.</w:t>
      </w:r>
    </w:p>
    <w:p w14:paraId="5B5CC0D5" w14:textId="77777777" w:rsidR="00A13BE8" w:rsidRPr="00A13BE8" w:rsidRDefault="00A13BE8" w:rsidP="00A13BE8">
      <w:pPr>
        <w:numPr>
          <w:ilvl w:val="0"/>
          <w:numId w:val="16"/>
        </w:numPr>
        <w:spacing w:line="360" w:lineRule="auto"/>
        <w:rPr>
          <w:rFonts w:ascii="Arial" w:hAnsi="Arial" w:cs="Arial"/>
        </w:rPr>
      </w:pPr>
      <w:r w:rsidRPr="00A13BE8">
        <w:rPr>
          <w:rFonts w:ascii="Arial" w:hAnsi="Arial" w:cs="Arial"/>
          <w:b/>
          <w:bCs/>
        </w:rPr>
        <w:t>Leadership development programmes</w:t>
      </w:r>
      <w:r w:rsidRPr="00A13BE8">
        <w:rPr>
          <w:rFonts w:ascii="Arial" w:hAnsi="Arial" w:cs="Arial"/>
        </w:rPr>
        <w:t xml:space="preserve"> focused on transformational and adaptive leadership styles.</w:t>
      </w:r>
    </w:p>
    <w:p w14:paraId="105E9B8D" w14:textId="77777777" w:rsidR="00A13BE8" w:rsidRPr="00A13BE8" w:rsidRDefault="00A13BE8" w:rsidP="00A13BE8">
      <w:pPr>
        <w:numPr>
          <w:ilvl w:val="0"/>
          <w:numId w:val="16"/>
        </w:numPr>
        <w:spacing w:line="360" w:lineRule="auto"/>
        <w:rPr>
          <w:rFonts w:ascii="Arial" w:hAnsi="Arial" w:cs="Arial"/>
        </w:rPr>
      </w:pPr>
      <w:r w:rsidRPr="00A13BE8">
        <w:rPr>
          <w:rFonts w:ascii="Arial" w:hAnsi="Arial" w:cs="Arial"/>
          <w:b/>
          <w:bCs/>
        </w:rPr>
        <w:t>Agile methodology training</w:t>
      </w:r>
      <w:r w:rsidRPr="00A13BE8">
        <w:rPr>
          <w:rFonts w:ascii="Arial" w:hAnsi="Arial" w:cs="Arial"/>
        </w:rPr>
        <w:t>, supporting iterative improvement and cross-functional collaboration.</w:t>
      </w:r>
    </w:p>
    <w:p w14:paraId="1882207B" w14:textId="77777777" w:rsidR="00A13BE8" w:rsidRPr="00A13BE8" w:rsidRDefault="00A13BE8" w:rsidP="00B64293">
      <w:pPr>
        <w:spacing w:line="360" w:lineRule="auto"/>
        <w:rPr>
          <w:rFonts w:ascii="Arial" w:hAnsi="Arial" w:cs="Arial"/>
        </w:rPr>
      </w:pPr>
      <w:r w:rsidRPr="00A13BE8">
        <w:rPr>
          <w:rFonts w:ascii="Arial" w:hAnsi="Arial" w:cs="Arial"/>
        </w:rPr>
        <w:t>These initiatives address capability gaps identified in Section 2 and support the behavioural transition required for cultural embedding (Schein, 2010).</w:t>
      </w:r>
    </w:p>
    <w:p w14:paraId="5CF1510C" w14:textId="2AA7FAAC" w:rsidR="00ED45F7" w:rsidRDefault="00002844" w:rsidP="00B64293">
      <w:pPr>
        <w:pStyle w:val="Heading1"/>
        <w:spacing w:line="360" w:lineRule="auto"/>
      </w:pPr>
      <w:bookmarkStart w:id="58" w:name="_Toc217033580"/>
      <w:r>
        <w:t xml:space="preserve">6. </w:t>
      </w:r>
      <w:r w:rsidR="00ED45F7">
        <w:t>Recommendations</w:t>
      </w:r>
      <w:bookmarkEnd w:id="58"/>
    </w:p>
    <w:p w14:paraId="3506F70A" w14:textId="7F19F1C4" w:rsidR="0022579C" w:rsidRPr="00B33683" w:rsidRDefault="0022579C" w:rsidP="00B64293">
      <w:pPr>
        <w:spacing w:line="360" w:lineRule="auto"/>
        <w:rPr>
          <w:rFonts w:ascii="Arial" w:hAnsi="Arial" w:cs="Arial"/>
        </w:rPr>
      </w:pPr>
      <w:r w:rsidRPr="00B33683">
        <w:rPr>
          <w:rFonts w:ascii="Arial" w:hAnsi="Arial" w:cs="Arial"/>
        </w:rPr>
        <w:t xml:space="preserve">Based on the preceding analysis, </w:t>
      </w:r>
      <w:r w:rsidR="00B33683" w:rsidRPr="00B33683">
        <w:rPr>
          <w:rFonts w:ascii="Arial" w:hAnsi="Arial" w:cs="Arial"/>
        </w:rPr>
        <w:t xml:space="preserve"> several strategic recommendations are proposed. </w:t>
      </w:r>
      <w:r w:rsidRPr="00B33683">
        <w:rPr>
          <w:rFonts w:ascii="Arial" w:hAnsi="Arial" w:cs="Arial"/>
        </w:rPr>
        <w:t xml:space="preserve">JLP should: </w:t>
      </w:r>
    </w:p>
    <w:p w14:paraId="79CC4BF7" w14:textId="4A16C302" w:rsidR="00A13BE8" w:rsidRPr="00B33683" w:rsidRDefault="00A13BE8" w:rsidP="00B64293">
      <w:pPr>
        <w:spacing w:line="360" w:lineRule="auto"/>
        <w:rPr>
          <w:rFonts w:ascii="Arial" w:hAnsi="Arial" w:cs="Arial"/>
        </w:rPr>
      </w:pPr>
      <w:r w:rsidRPr="00B33683">
        <w:rPr>
          <w:rFonts w:ascii="Arial" w:hAnsi="Arial" w:cs="Arial"/>
          <w:b/>
          <w:bCs/>
        </w:rPr>
        <w:t xml:space="preserve">1. </w:t>
      </w:r>
      <w:r w:rsidR="0022579C" w:rsidRPr="00B33683">
        <w:rPr>
          <w:rFonts w:ascii="Arial" w:hAnsi="Arial" w:cs="Arial"/>
          <w:b/>
          <w:bCs/>
        </w:rPr>
        <w:t xml:space="preserve">Strengthen Transformational Leadership Capability </w:t>
      </w:r>
      <w:r w:rsidR="0022579C" w:rsidRPr="00B33683">
        <w:rPr>
          <w:rFonts w:ascii="Arial" w:hAnsi="Arial" w:cs="Arial"/>
        </w:rPr>
        <w:t>across senior and middle management levels</w:t>
      </w:r>
      <w:r w:rsidR="00CE75AA">
        <w:rPr>
          <w:rFonts w:ascii="Arial" w:hAnsi="Arial" w:cs="Arial"/>
        </w:rPr>
        <w:t>. Leaders must be equipped with the skills to articulate urgency, communicate a compelling digital vision, and balance partnership values with commercial realism.</w:t>
      </w:r>
      <w:r w:rsidR="00D56EFC">
        <w:rPr>
          <w:rFonts w:ascii="Arial" w:hAnsi="Arial" w:cs="Arial"/>
        </w:rPr>
        <w:t xml:space="preserve"> Targeted leadership development programs focusing on digital literacy</w:t>
      </w:r>
      <w:r w:rsidR="00B0646D">
        <w:rPr>
          <w:rFonts w:ascii="Arial" w:hAnsi="Arial" w:cs="Arial"/>
        </w:rPr>
        <w:t>, adaptive decision-making and emotional intelligence would enhance change effectiveness (Bass,1990; Henderson, Gulati &amp; Tushman, 2015).</w:t>
      </w:r>
    </w:p>
    <w:p w14:paraId="4EB7E8A0" w14:textId="5E4D60EE" w:rsidR="00A13BE8" w:rsidRPr="00B33683" w:rsidRDefault="00ED45F7" w:rsidP="00B64293">
      <w:pPr>
        <w:spacing w:line="360" w:lineRule="auto"/>
        <w:rPr>
          <w:rFonts w:ascii="Arial" w:hAnsi="Arial" w:cs="Arial"/>
        </w:rPr>
      </w:pPr>
      <w:r w:rsidRPr="00B33683">
        <w:rPr>
          <w:rFonts w:ascii="Arial" w:hAnsi="Arial" w:cs="Arial"/>
          <w:b/>
          <w:bCs/>
        </w:rPr>
        <w:t>2</w:t>
      </w:r>
      <w:r w:rsidR="00A13BE8" w:rsidRPr="00B33683">
        <w:rPr>
          <w:rFonts w:ascii="Arial" w:hAnsi="Arial" w:cs="Arial"/>
          <w:b/>
          <w:bCs/>
        </w:rPr>
        <w:t xml:space="preserve">. </w:t>
      </w:r>
      <w:r w:rsidRPr="00B33683">
        <w:rPr>
          <w:rFonts w:ascii="Arial" w:hAnsi="Arial" w:cs="Arial"/>
          <w:b/>
          <w:bCs/>
        </w:rPr>
        <w:t xml:space="preserve"> </w:t>
      </w:r>
      <w:r w:rsidR="0022579C" w:rsidRPr="00B33683">
        <w:rPr>
          <w:rFonts w:ascii="Arial" w:hAnsi="Arial" w:cs="Arial"/>
          <w:b/>
          <w:bCs/>
        </w:rPr>
        <w:t xml:space="preserve">Simplify Governance Structures </w:t>
      </w:r>
      <w:r w:rsidR="0022579C" w:rsidRPr="00B33683">
        <w:rPr>
          <w:rFonts w:ascii="Arial" w:hAnsi="Arial" w:cs="Arial"/>
        </w:rPr>
        <w:t>to accelerate strategic decision making</w:t>
      </w:r>
      <w:r w:rsidR="00FA2689">
        <w:rPr>
          <w:rFonts w:ascii="Arial" w:hAnsi="Arial" w:cs="Arial"/>
        </w:rPr>
        <w:t>. While democratic participation is a defining strength</w:t>
      </w:r>
      <w:r w:rsidR="008902A2">
        <w:rPr>
          <w:rFonts w:ascii="Arial" w:hAnsi="Arial" w:cs="Arial"/>
        </w:rPr>
        <w:t xml:space="preserve"> of the partnership model, clearer accountability and streamlined approval processes are required to support timely responses to technological </w:t>
      </w:r>
      <w:r w:rsidR="00921150">
        <w:rPr>
          <w:rFonts w:ascii="Arial" w:hAnsi="Arial" w:cs="Arial"/>
        </w:rPr>
        <w:t>disruption</w:t>
      </w:r>
      <w:r w:rsidR="0035231C">
        <w:rPr>
          <w:rFonts w:ascii="Arial" w:hAnsi="Arial" w:cs="Arial"/>
        </w:rPr>
        <w:t xml:space="preserve"> (Carnall, 2014).</w:t>
      </w:r>
    </w:p>
    <w:p w14:paraId="59931E07" w14:textId="1DD6C1E7" w:rsidR="0022579C" w:rsidRDefault="0022579C" w:rsidP="00B64293">
      <w:pPr>
        <w:spacing w:line="360" w:lineRule="auto"/>
        <w:rPr>
          <w:rFonts w:ascii="Arial" w:hAnsi="Arial" w:cs="Arial"/>
        </w:rPr>
      </w:pPr>
      <w:r w:rsidRPr="00B33683">
        <w:rPr>
          <w:rFonts w:ascii="Arial" w:hAnsi="Arial" w:cs="Arial"/>
          <w:b/>
          <w:bCs/>
        </w:rPr>
        <w:t xml:space="preserve">3. Prioritise Workforce </w:t>
      </w:r>
      <w:r w:rsidR="00CF050B">
        <w:rPr>
          <w:rFonts w:ascii="Arial" w:hAnsi="Arial" w:cs="Arial"/>
          <w:b/>
          <w:bCs/>
        </w:rPr>
        <w:t>R</w:t>
      </w:r>
      <w:r w:rsidRPr="00B33683">
        <w:rPr>
          <w:rFonts w:ascii="Arial" w:hAnsi="Arial" w:cs="Arial"/>
          <w:b/>
          <w:bCs/>
        </w:rPr>
        <w:t xml:space="preserve">eskilling and </w:t>
      </w:r>
      <w:r w:rsidR="00B33683" w:rsidRPr="00B33683">
        <w:rPr>
          <w:rFonts w:ascii="Arial" w:hAnsi="Arial" w:cs="Arial"/>
          <w:b/>
          <w:bCs/>
        </w:rPr>
        <w:t xml:space="preserve">Capability </w:t>
      </w:r>
      <w:r w:rsidR="00CF050B">
        <w:rPr>
          <w:rFonts w:ascii="Arial" w:hAnsi="Arial" w:cs="Arial"/>
          <w:b/>
          <w:bCs/>
        </w:rPr>
        <w:t>D</w:t>
      </w:r>
      <w:r w:rsidR="00B33683" w:rsidRPr="00B33683">
        <w:rPr>
          <w:rFonts w:ascii="Arial" w:hAnsi="Arial" w:cs="Arial"/>
          <w:b/>
          <w:bCs/>
        </w:rPr>
        <w:t>evelopment</w:t>
      </w:r>
      <w:r w:rsidR="00B33683">
        <w:rPr>
          <w:rFonts w:ascii="Arial" w:hAnsi="Arial" w:cs="Arial"/>
        </w:rPr>
        <w:t>.</w:t>
      </w:r>
      <w:r w:rsidR="00CE75AA">
        <w:rPr>
          <w:rFonts w:ascii="Arial" w:hAnsi="Arial" w:cs="Arial"/>
        </w:rPr>
        <w:t xml:space="preserve"> Investment in digital skills, data analytics, and</w:t>
      </w:r>
      <w:r w:rsidR="00CF050B">
        <w:rPr>
          <w:rFonts w:ascii="Arial" w:hAnsi="Arial" w:cs="Arial"/>
        </w:rPr>
        <w:t xml:space="preserve"> agile working practices is essential for enhancing organisational capability and reducing resistance to technological </w:t>
      </w:r>
      <w:r w:rsidR="0035231C">
        <w:rPr>
          <w:rFonts w:ascii="Arial" w:hAnsi="Arial" w:cs="Arial"/>
        </w:rPr>
        <w:t xml:space="preserve">change. </w:t>
      </w:r>
      <w:r w:rsidR="0035231C">
        <w:rPr>
          <w:rFonts w:ascii="Arial" w:hAnsi="Arial" w:cs="Arial"/>
        </w:rPr>
        <w:lastRenderedPageBreak/>
        <w:t xml:space="preserve">Continuous learning initiatives should be embedded into partner development pathways to support </w:t>
      </w:r>
      <w:r w:rsidR="00160358">
        <w:rPr>
          <w:rFonts w:ascii="Arial" w:hAnsi="Arial" w:cs="Arial"/>
        </w:rPr>
        <w:t>long-term adaptability (Teece, 1997).</w:t>
      </w:r>
    </w:p>
    <w:p w14:paraId="0137F4F2" w14:textId="01E3B737" w:rsidR="00B33683" w:rsidRPr="00160358" w:rsidRDefault="00B33683" w:rsidP="00B64293">
      <w:pPr>
        <w:spacing w:line="360" w:lineRule="auto"/>
        <w:rPr>
          <w:rFonts w:ascii="Arial" w:hAnsi="Arial" w:cs="Arial"/>
        </w:rPr>
      </w:pPr>
      <w:r>
        <w:rPr>
          <w:rFonts w:ascii="Arial" w:hAnsi="Arial" w:cs="Arial"/>
        </w:rPr>
        <w:t>4</w:t>
      </w:r>
      <w:r w:rsidRPr="00B33683">
        <w:rPr>
          <w:rFonts w:ascii="Arial" w:hAnsi="Arial" w:cs="Arial"/>
          <w:b/>
          <w:bCs/>
        </w:rPr>
        <w:t xml:space="preserve">. </w:t>
      </w:r>
      <w:r w:rsidR="00160358">
        <w:rPr>
          <w:rFonts w:ascii="Arial" w:hAnsi="Arial" w:cs="Arial"/>
          <w:b/>
          <w:bCs/>
        </w:rPr>
        <w:t xml:space="preserve">Leaders </w:t>
      </w:r>
      <w:r w:rsidR="00D620F1">
        <w:rPr>
          <w:rFonts w:ascii="Arial" w:hAnsi="Arial" w:cs="Arial"/>
          <w:b/>
          <w:bCs/>
        </w:rPr>
        <w:t>should</w:t>
      </w:r>
      <w:r w:rsidR="00160358">
        <w:rPr>
          <w:rFonts w:ascii="Arial" w:hAnsi="Arial" w:cs="Arial"/>
          <w:b/>
          <w:bCs/>
        </w:rPr>
        <w:t xml:space="preserve"> adopt</w:t>
      </w:r>
      <w:r w:rsidRPr="00B33683">
        <w:rPr>
          <w:rFonts w:ascii="Arial" w:hAnsi="Arial" w:cs="Arial"/>
          <w:b/>
          <w:bCs/>
        </w:rPr>
        <w:t xml:space="preserve"> a</w:t>
      </w:r>
      <w:r w:rsidR="00160358">
        <w:rPr>
          <w:rFonts w:ascii="Arial" w:hAnsi="Arial" w:cs="Arial"/>
          <w:b/>
          <w:bCs/>
        </w:rPr>
        <w:t xml:space="preserve"> S</w:t>
      </w:r>
      <w:r w:rsidRPr="00B33683">
        <w:rPr>
          <w:rFonts w:ascii="Arial" w:hAnsi="Arial" w:cs="Arial"/>
          <w:b/>
          <w:bCs/>
        </w:rPr>
        <w:t xml:space="preserve">tructured and Empathetic </w:t>
      </w:r>
      <w:r w:rsidR="00160358">
        <w:rPr>
          <w:rFonts w:ascii="Arial" w:hAnsi="Arial" w:cs="Arial"/>
          <w:b/>
          <w:bCs/>
        </w:rPr>
        <w:t>C</w:t>
      </w:r>
      <w:r w:rsidRPr="00B33683">
        <w:rPr>
          <w:rFonts w:ascii="Arial" w:hAnsi="Arial" w:cs="Arial"/>
          <w:b/>
          <w:bCs/>
        </w:rPr>
        <w:t>ommunication Strategy</w:t>
      </w:r>
      <w:r w:rsidR="00160358">
        <w:rPr>
          <w:rFonts w:ascii="Arial" w:hAnsi="Arial" w:cs="Arial"/>
          <w:b/>
          <w:bCs/>
        </w:rPr>
        <w:t xml:space="preserve"> </w:t>
      </w:r>
      <w:r w:rsidR="00160358">
        <w:rPr>
          <w:rFonts w:ascii="Arial" w:hAnsi="Arial" w:cs="Arial"/>
        </w:rPr>
        <w:t xml:space="preserve">that acknowledges the emotional journey of partners during change. Applying Russell's (2003) </w:t>
      </w:r>
      <w:r w:rsidR="00D620F1">
        <w:rPr>
          <w:rFonts w:ascii="Arial" w:hAnsi="Arial" w:cs="Arial"/>
        </w:rPr>
        <w:t>J</w:t>
      </w:r>
      <w:r w:rsidR="00160358">
        <w:rPr>
          <w:rFonts w:ascii="Arial" w:hAnsi="Arial" w:cs="Arial"/>
        </w:rPr>
        <w:t xml:space="preserve">ourney </w:t>
      </w:r>
      <w:r w:rsidR="00D620F1">
        <w:rPr>
          <w:rFonts w:ascii="Arial" w:hAnsi="Arial" w:cs="Arial"/>
        </w:rPr>
        <w:t>T</w:t>
      </w:r>
      <w:r w:rsidR="00160358">
        <w:rPr>
          <w:rFonts w:ascii="Arial" w:hAnsi="Arial" w:cs="Arial"/>
        </w:rPr>
        <w:t xml:space="preserve">hrough </w:t>
      </w:r>
      <w:r w:rsidR="00D620F1">
        <w:rPr>
          <w:rFonts w:ascii="Arial" w:hAnsi="Arial" w:cs="Arial"/>
        </w:rPr>
        <w:t>Change</w:t>
      </w:r>
      <w:r w:rsidR="00160358">
        <w:rPr>
          <w:rFonts w:ascii="Arial" w:hAnsi="Arial" w:cs="Arial"/>
        </w:rPr>
        <w:t xml:space="preserve"> enables leaders to anticipate</w:t>
      </w:r>
      <w:r w:rsidR="00D620F1">
        <w:rPr>
          <w:rFonts w:ascii="Arial" w:hAnsi="Arial" w:cs="Arial"/>
        </w:rPr>
        <w:t xml:space="preserve"> resistance, provide reassurance and support behavioural transition, thereby sustaining engagement and trust.</w:t>
      </w:r>
    </w:p>
    <w:p w14:paraId="3D07470F" w14:textId="238E3C37" w:rsidR="00CF050B" w:rsidRPr="00921150" w:rsidRDefault="00CF050B" w:rsidP="00B64293">
      <w:pPr>
        <w:spacing w:line="360" w:lineRule="auto"/>
        <w:rPr>
          <w:rFonts w:ascii="Arial" w:hAnsi="Arial" w:cs="Arial"/>
        </w:rPr>
      </w:pPr>
      <w:r>
        <w:rPr>
          <w:rFonts w:ascii="Arial" w:hAnsi="Arial" w:cs="Arial"/>
          <w:b/>
          <w:bCs/>
        </w:rPr>
        <w:t>5. Embed sustainability and digital Innovation</w:t>
      </w:r>
      <w:r w:rsidR="00921150">
        <w:rPr>
          <w:rFonts w:ascii="Arial" w:hAnsi="Arial" w:cs="Arial"/>
          <w:b/>
          <w:bCs/>
        </w:rPr>
        <w:t xml:space="preserve">, </w:t>
      </w:r>
      <w:r w:rsidR="00921150" w:rsidRPr="00921150">
        <w:rPr>
          <w:rFonts w:ascii="Arial" w:hAnsi="Arial" w:cs="Arial"/>
        </w:rPr>
        <w:t>ensuring that</w:t>
      </w:r>
      <w:r w:rsidR="00921150">
        <w:rPr>
          <w:rFonts w:ascii="Arial" w:hAnsi="Arial" w:cs="Arial"/>
          <w:b/>
          <w:bCs/>
        </w:rPr>
        <w:t xml:space="preserve"> </w:t>
      </w:r>
      <w:r w:rsidR="00921150">
        <w:rPr>
          <w:rFonts w:ascii="Arial" w:hAnsi="Arial" w:cs="Arial"/>
        </w:rPr>
        <w:t>environmental commitments and</w:t>
      </w:r>
      <w:r w:rsidR="00255BB9">
        <w:rPr>
          <w:rFonts w:ascii="Arial" w:hAnsi="Arial" w:cs="Arial"/>
        </w:rPr>
        <w:t xml:space="preserve"> technological investment reinforce rather than compete with organisational values. This alignment will strengthen long-term competitiveness and organisational legitimacy.</w:t>
      </w:r>
    </w:p>
    <w:p w14:paraId="254B56BE" w14:textId="77777777" w:rsidR="00B64293" w:rsidRPr="00A13BE8" w:rsidRDefault="00B64293" w:rsidP="00B64293">
      <w:pPr>
        <w:spacing w:line="360" w:lineRule="auto"/>
        <w:rPr>
          <w:rFonts w:ascii="Arial" w:hAnsi="Arial" w:cs="Arial"/>
        </w:rPr>
      </w:pPr>
    </w:p>
    <w:p w14:paraId="32E04ADC" w14:textId="02FFB222" w:rsidR="00630F7D" w:rsidRDefault="00C926AE" w:rsidP="00C926AE">
      <w:pPr>
        <w:pStyle w:val="Heading1"/>
      </w:pPr>
      <w:bookmarkStart w:id="59" w:name="_Toc217033581"/>
      <w:r>
        <w:t xml:space="preserve">7. </w:t>
      </w:r>
      <w:bookmarkStart w:id="60" w:name="_Toc215096065"/>
      <w:bookmarkStart w:id="61" w:name="_Toc215096100"/>
      <w:r w:rsidR="00630F7D" w:rsidRPr="00630F7D">
        <w:t>C</w:t>
      </w:r>
      <w:bookmarkEnd w:id="60"/>
      <w:bookmarkEnd w:id="61"/>
      <w:r>
        <w:t>onclusion</w:t>
      </w:r>
      <w:bookmarkEnd w:id="59"/>
    </w:p>
    <w:p w14:paraId="287208F4" w14:textId="52AE7810" w:rsidR="00B64293" w:rsidRPr="00BA06EE" w:rsidRDefault="00BA06EE" w:rsidP="00BA06EE">
      <w:pPr>
        <w:spacing w:line="360" w:lineRule="auto"/>
        <w:rPr>
          <w:rFonts w:ascii="Arial" w:hAnsi="Arial" w:cs="Arial"/>
        </w:rPr>
      </w:pPr>
      <w:r w:rsidRPr="00BA06EE">
        <w:rPr>
          <w:rFonts w:ascii="Arial" w:hAnsi="Arial" w:cs="Arial"/>
        </w:rPr>
        <w:t>The John Lewis Partnership faces a convergence of external pressures and internal constraints that require urgent and strategic transformation. Digital disruption, economic volatility, and evolving consumer expectations have revealed capability gaps and cultural barriers. Leadership must adopt a more transformational approach to articulate a compelling digital vision and mobilise Partners. The proposed strategic change plan offers a structured, financially viable pathway for modernisation. JLP’s long-term resilience will depend on its ability to embed continuous learning, develop dynamic capabilities, and align its cultural identity with the demands of a digital retail future.</w:t>
      </w:r>
    </w:p>
    <w:p w14:paraId="308144E5" w14:textId="1CCDB818" w:rsidR="00B64293" w:rsidRPr="00B64293" w:rsidRDefault="00B64293" w:rsidP="00B64293">
      <w:pPr>
        <w:spacing w:line="360" w:lineRule="auto"/>
        <w:rPr>
          <w:rFonts w:ascii="Arial" w:hAnsi="Arial" w:cs="Arial"/>
        </w:rPr>
      </w:pPr>
    </w:p>
    <w:p w14:paraId="1E632175" w14:textId="77777777" w:rsidR="00BB4427" w:rsidRPr="00BB4427" w:rsidRDefault="00BB4427" w:rsidP="00BB4427">
      <w:pPr>
        <w:spacing w:line="360" w:lineRule="auto"/>
        <w:rPr>
          <w:rFonts w:ascii="Arial" w:hAnsi="Arial" w:cs="Arial"/>
          <w:b/>
          <w:bCs/>
          <w:sz w:val="28"/>
          <w:szCs w:val="28"/>
        </w:rPr>
      </w:pPr>
    </w:p>
    <w:p w14:paraId="56ED4FBF" w14:textId="77777777" w:rsidR="00BB4427" w:rsidRPr="005F30AC" w:rsidRDefault="00BB4427" w:rsidP="005F30AC">
      <w:pPr>
        <w:spacing w:line="360" w:lineRule="auto"/>
        <w:rPr>
          <w:rFonts w:ascii="Arial" w:hAnsi="Arial" w:cs="Arial"/>
        </w:rPr>
      </w:pPr>
    </w:p>
    <w:p w14:paraId="3FBDBE5B" w14:textId="77777777" w:rsidR="005F30AC" w:rsidRDefault="005F30AC" w:rsidP="005F30AC">
      <w:pPr>
        <w:spacing w:line="360" w:lineRule="auto"/>
        <w:rPr>
          <w:rFonts w:ascii="Arial" w:hAnsi="Arial" w:cs="Arial"/>
        </w:rPr>
      </w:pPr>
    </w:p>
    <w:p w14:paraId="13DC2FB7" w14:textId="77777777" w:rsidR="007D3A66" w:rsidRDefault="007D3A66" w:rsidP="005F30AC">
      <w:pPr>
        <w:spacing w:line="360" w:lineRule="auto"/>
        <w:rPr>
          <w:rFonts w:ascii="Arial" w:hAnsi="Arial" w:cs="Arial"/>
        </w:rPr>
      </w:pPr>
    </w:p>
    <w:p w14:paraId="24ADB5C8" w14:textId="77777777" w:rsidR="007D3A66" w:rsidRDefault="007D3A66" w:rsidP="005F30AC">
      <w:pPr>
        <w:spacing w:line="360" w:lineRule="auto"/>
        <w:rPr>
          <w:rFonts w:ascii="Arial" w:hAnsi="Arial" w:cs="Arial"/>
        </w:rPr>
      </w:pPr>
    </w:p>
    <w:p w14:paraId="5FE00BA5" w14:textId="6275711B" w:rsidR="007D3A66" w:rsidRDefault="007D3A66" w:rsidP="00936CFC">
      <w:pPr>
        <w:pStyle w:val="Heading1"/>
      </w:pPr>
      <w:bookmarkStart w:id="62" w:name="_Toc215096066"/>
      <w:bookmarkStart w:id="63" w:name="_Toc215096101"/>
      <w:bookmarkStart w:id="64" w:name="_Toc217033582"/>
      <w:r w:rsidRPr="007D3A66">
        <w:lastRenderedPageBreak/>
        <w:t>References</w:t>
      </w:r>
      <w:bookmarkEnd w:id="62"/>
      <w:bookmarkEnd w:id="63"/>
      <w:bookmarkEnd w:id="64"/>
    </w:p>
    <w:p w14:paraId="51092600" w14:textId="5343028E" w:rsidR="007D3A66" w:rsidRPr="007D3A66" w:rsidRDefault="007D3A66" w:rsidP="007D3A66">
      <w:pPr>
        <w:spacing w:line="360" w:lineRule="auto"/>
        <w:rPr>
          <w:rFonts w:ascii="Arial" w:hAnsi="Arial" w:cs="Arial"/>
        </w:rPr>
      </w:pPr>
      <w:r w:rsidRPr="007D3A66">
        <w:rPr>
          <w:rFonts w:ascii="Arial" w:hAnsi="Arial" w:cs="Arial"/>
        </w:rPr>
        <w:t>Anderson, D. and Ackerman-Anderson, L. (2010)</w:t>
      </w:r>
      <w:r>
        <w:rPr>
          <w:rFonts w:ascii="Arial" w:hAnsi="Arial" w:cs="Arial"/>
        </w:rPr>
        <w:t>.</w:t>
      </w:r>
      <w:r w:rsidRPr="007D3A66">
        <w:rPr>
          <w:rFonts w:ascii="Arial" w:hAnsi="Arial" w:cs="Arial"/>
        </w:rPr>
        <w:t xml:space="preserve"> </w:t>
      </w:r>
      <w:bookmarkStart w:id="65" w:name="_Int_5LOIbgTp"/>
      <w:r w:rsidRPr="007D3A66">
        <w:rPr>
          <w:rFonts w:ascii="Arial" w:hAnsi="Arial" w:cs="Arial"/>
          <w:i/>
          <w:iCs/>
        </w:rPr>
        <w:t>Beyond Change Management: How to Achieve Breakthrough Results Through Conscious Change Leadership</w:t>
      </w:r>
      <w:r w:rsidRPr="007D3A66">
        <w:rPr>
          <w:rFonts w:ascii="Arial" w:hAnsi="Arial" w:cs="Arial"/>
        </w:rPr>
        <w:t>.</w:t>
      </w:r>
      <w:bookmarkEnd w:id="65"/>
      <w:r w:rsidRPr="007D3A66">
        <w:rPr>
          <w:rFonts w:ascii="Arial" w:hAnsi="Arial" w:cs="Arial"/>
        </w:rPr>
        <w:t xml:space="preserve"> San Francisco: Pfeiffer.</w:t>
      </w:r>
    </w:p>
    <w:p w14:paraId="6703A31E" w14:textId="3320ACC4" w:rsidR="007D3A66" w:rsidRPr="007D3A66" w:rsidRDefault="007D3A66" w:rsidP="007D3A66">
      <w:pPr>
        <w:spacing w:line="360" w:lineRule="auto"/>
        <w:rPr>
          <w:rFonts w:ascii="Arial" w:hAnsi="Arial" w:cs="Arial"/>
        </w:rPr>
      </w:pPr>
      <w:r w:rsidRPr="007D3A66">
        <w:rPr>
          <w:rFonts w:ascii="Arial" w:hAnsi="Arial" w:cs="Arial"/>
        </w:rPr>
        <w:t>Bass, B. (1990)</w:t>
      </w:r>
      <w:r>
        <w:rPr>
          <w:rFonts w:ascii="Arial" w:hAnsi="Arial" w:cs="Arial"/>
        </w:rPr>
        <w:t>.</w:t>
      </w:r>
      <w:r w:rsidRPr="007D3A66">
        <w:rPr>
          <w:rFonts w:ascii="Arial" w:hAnsi="Arial" w:cs="Arial"/>
        </w:rPr>
        <w:t xml:space="preserve"> </w:t>
      </w:r>
      <w:bookmarkStart w:id="66" w:name="_Int_euiltTVT"/>
      <w:r w:rsidRPr="007D3A66">
        <w:rPr>
          <w:rFonts w:ascii="Arial" w:hAnsi="Arial" w:cs="Arial"/>
          <w:i/>
          <w:iCs/>
        </w:rPr>
        <w:t>From Transactional to Transformational Leadership: Learning to Share the Vision</w:t>
      </w:r>
      <w:r w:rsidRPr="007D3A66">
        <w:rPr>
          <w:rFonts w:ascii="Arial" w:hAnsi="Arial" w:cs="Arial"/>
        </w:rPr>
        <w:t>.</w:t>
      </w:r>
      <w:bookmarkEnd w:id="66"/>
      <w:r w:rsidRPr="007D3A66">
        <w:rPr>
          <w:rFonts w:ascii="Arial" w:hAnsi="Arial" w:cs="Arial"/>
        </w:rPr>
        <w:t xml:space="preserve"> New York: Free Press.</w:t>
      </w:r>
    </w:p>
    <w:p w14:paraId="11959CEE" w14:textId="7A2ADEB6" w:rsidR="007D3A66" w:rsidRDefault="007D3A66" w:rsidP="007D3A66">
      <w:pPr>
        <w:spacing w:line="360" w:lineRule="auto"/>
        <w:rPr>
          <w:rFonts w:ascii="Arial" w:hAnsi="Arial" w:cs="Arial"/>
        </w:rPr>
      </w:pPr>
      <w:r w:rsidRPr="007D3A66">
        <w:rPr>
          <w:rFonts w:ascii="Arial" w:hAnsi="Arial" w:cs="Arial"/>
        </w:rPr>
        <w:t>Brunsson, N. (2017)</w:t>
      </w:r>
      <w:r>
        <w:rPr>
          <w:rFonts w:ascii="Arial" w:hAnsi="Arial" w:cs="Arial"/>
        </w:rPr>
        <w:t>.</w:t>
      </w:r>
      <w:r w:rsidRPr="007D3A66">
        <w:rPr>
          <w:rFonts w:ascii="Arial" w:hAnsi="Arial" w:cs="Arial"/>
        </w:rPr>
        <w:t xml:space="preserve"> </w:t>
      </w:r>
      <w:bookmarkStart w:id="67" w:name="_Int_lawEefFu"/>
      <w:r w:rsidRPr="007D3A66">
        <w:rPr>
          <w:rFonts w:ascii="Arial" w:hAnsi="Arial" w:cs="Arial"/>
          <w:i/>
          <w:iCs/>
        </w:rPr>
        <w:t xml:space="preserve">Reform as Routine: </w:t>
      </w:r>
      <w:r>
        <w:rPr>
          <w:rFonts w:ascii="Arial" w:hAnsi="Arial" w:cs="Arial"/>
          <w:i/>
          <w:iCs/>
        </w:rPr>
        <w:t>Organisational</w:t>
      </w:r>
      <w:r w:rsidRPr="007D3A66">
        <w:rPr>
          <w:rFonts w:ascii="Arial" w:hAnsi="Arial" w:cs="Arial"/>
          <w:i/>
          <w:iCs/>
        </w:rPr>
        <w:t xml:space="preserve"> Change and Stability in the Modern World</w:t>
      </w:r>
      <w:r w:rsidRPr="007D3A66">
        <w:rPr>
          <w:rFonts w:ascii="Arial" w:hAnsi="Arial" w:cs="Arial"/>
        </w:rPr>
        <w:t>.</w:t>
      </w:r>
      <w:bookmarkEnd w:id="67"/>
      <w:r w:rsidRPr="007D3A66">
        <w:rPr>
          <w:rFonts w:ascii="Arial" w:hAnsi="Arial" w:cs="Arial"/>
        </w:rPr>
        <w:t xml:space="preserve"> Oxford: Oxford University Press.</w:t>
      </w:r>
    </w:p>
    <w:p w14:paraId="414AAA7E" w14:textId="12D21038" w:rsidR="00647735" w:rsidRPr="007D3A66" w:rsidRDefault="00647735" w:rsidP="007D3A66">
      <w:pPr>
        <w:spacing w:line="360" w:lineRule="auto"/>
        <w:rPr>
          <w:rFonts w:ascii="Arial" w:hAnsi="Arial" w:cs="Arial"/>
        </w:rPr>
      </w:pPr>
      <w:r>
        <w:rPr>
          <w:rFonts w:ascii="Arial" w:hAnsi="Arial" w:cs="Arial"/>
        </w:rPr>
        <w:t>Brynjolsson, E. and McAfee, A.(2014) The Second Machine Age</w:t>
      </w:r>
      <w:r w:rsidR="00624395">
        <w:rPr>
          <w:rFonts w:ascii="Arial" w:hAnsi="Arial" w:cs="Arial"/>
        </w:rPr>
        <w:t>: Work, Progress, and Prosperity in a Time of Brilliant Technologies. New York: W.W. Norton.</w:t>
      </w:r>
    </w:p>
    <w:p w14:paraId="33B20092" w14:textId="00A38A9E" w:rsidR="007D3A66" w:rsidRPr="007D3A66" w:rsidRDefault="007D3A66" w:rsidP="007D3A66">
      <w:pPr>
        <w:spacing w:line="360" w:lineRule="auto"/>
        <w:rPr>
          <w:rFonts w:ascii="Arial" w:hAnsi="Arial" w:cs="Arial"/>
        </w:rPr>
      </w:pPr>
      <w:r w:rsidRPr="007D3A66">
        <w:rPr>
          <w:rFonts w:ascii="Arial" w:hAnsi="Arial" w:cs="Arial"/>
        </w:rPr>
        <w:t>Cameron, E. and Green, M. (2020)</w:t>
      </w:r>
      <w:r>
        <w:rPr>
          <w:rFonts w:ascii="Arial" w:hAnsi="Arial" w:cs="Arial"/>
        </w:rPr>
        <w:t>.</w:t>
      </w:r>
      <w:r w:rsidRPr="007D3A66">
        <w:rPr>
          <w:rFonts w:ascii="Arial" w:hAnsi="Arial" w:cs="Arial"/>
        </w:rPr>
        <w:t xml:space="preserve"> </w:t>
      </w:r>
      <w:r w:rsidRPr="007D3A66">
        <w:rPr>
          <w:rFonts w:ascii="Arial" w:hAnsi="Arial" w:cs="Arial"/>
          <w:i/>
          <w:iCs/>
        </w:rPr>
        <w:t>Making Sense of Change Management</w:t>
      </w:r>
      <w:r w:rsidRPr="007D3A66">
        <w:rPr>
          <w:rFonts w:ascii="Arial" w:hAnsi="Arial" w:cs="Arial"/>
        </w:rPr>
        <w:t>. 5th ed. London: Kogan Page.</w:t>
      </w:r>
    </w:p>
    <w:p w14:paraId="4ECCBE06" w14:textId="16660101" w:rsidR="007D3A66" w:rsidRPr="007D3A66" w:rsidRDefault="007D3A66" w:rsidP="007D3A66">
      <w:pPr>
        <w:spacing w:line="360" w:lineRule="auto"/>
        <w:rPr>
          <w:rFonts w:ascii="Arial" w:hAnsi="Arial" w:cs="Arial"/>
        </w:rPr>
      </w:pPr>
      <w:r w:rsidRPr="007D3A66">
        <w:rPr>
          <w:rFonts w:ascii="Arial" w:hAnsi="Arial" w:cs="Arial"/>
        </w:rPr>
        <w:t>Carnall, C. (2014)</w:t>
      </w:r>
      <w:r>
        <w:rPr>
          <w:rFonts w:ascii="Arial" w:hAnsi="Arial" w:cs="Arial"/>
        </w:rPr>
        <w:t>.</w:t>
      </w:r>
      <w:r w:rsidRPr="007D3A66">
        <w:rPr>
          <w:rFonts w:ascii="Arial" w:hAnsi="Arial" w:cs="Arial"/>
        </w:rPr>
        <w:t xml:space="preserve"> </w:t>
      </w:r>
      <w:r w:rsidRPr="007D3A66">
        <w:rPr>
          <w:rFonts w:ascii="Arial" w:hAnsi="Arial" w:cs="Arial"/>
          <w:i/>
          <w:iCs/>
        </w:rPr>
        <w:t>Managing Change in Organisations</w:t>
      </w:r>
      <w:r w:rsidRPr="007D3A66">
        <w:rPr>
          <w:rFonts w:ascii="Arial" w:hAnsi="Arial" w:cs="Arial"/>
        </w:rPr>
        <w:t>. 6th ed. Harlow: Pearson.</w:t>
      </w:r>
    </w:p>
    <w:p w14:paraId="1FA2D5FB" w14:textId="4CAC2FB1" w:rsidR="007D3A66" w:rsidRPr="007D3A66" w:rsidRDefault="007D3A66" w:rsidP="007D3A66">
      <w:pPr>
        <w:spacing w:line="360" w:lineRule="auto"/>
        <w:rPr>
          <w:rFonts w:ascii="Arial" w:hAnsi="Arial" w:cs="Arial"/>
        </w:rPr>
      </w:pPr>
      <w:r w:rsidRPr="007D3A66">
        <w:rPr>
          <w:rFonts w:ascii="Arial" w:hAnsi="Arial" w:cs="Arial"/>
        </w:rPr>
        <w:t xml:space="preserve">Gulati, R., Henderson, R. and Tushman, M. (eds.) (2015) </w:t>
      </w:r>
      <w:r w:rsidRPr="007D3A66">
        <w:rPr>
          <w:rFonts w:ascii="Arial" w:hAnsi="Arial" w:cs="Arial"/>
          <w:i/>
          <w:iCs/>
        </w:rPr>
        <w:t xml:space="preserve">Leading Sustainable Change: An </w:t>
      </w:r>
      <w:r>
        <w:rPr>
          <w:rFonts w:ascii="Arial" w:hAnsi="Arial" w:cs="Arial"/>
          <w:i/>
          <w:iCs/>
        </w:rPr>
        <w:t>Organisational</w:t>
      </w:r>
      <w:r w:rsidRPr="007D3A66">
        <w:rPr>
          <w:rFonts w:ascii="Arial" w:hAnsi="Arial" w:cs="Arial"/>
          <w:i/>
          <w:iCs/>
        </w:rPr>
        <w:t xml:space="preserve"> Perspective</w:t>
      </w:r>
      <w:r w:rsidRPr="007D3A66">
        <w:rPr>
          <w:rFonts w:ascii="Arial" w:hAnsi="Arial" w:cs="Arial"/>
        </w:rPr>
        <w:t>. Oxford: Oxford University Press.</w:t>
      </w:r>
    </w:p>
    <w:p w14:paraId="44F7C3F1" w14:textId="77777777" w:rsidR="007D3A66" w:rsidRPr="007D3A66" w:rsidRDefault="007D3A66" w:rsidP="007D3A66">
      <w:pPr>
        <w:spacing w:line="360" w:lineRule="auto"/>
        <w:rPr>
          <w:rFonts w:ascii="Arial" w:hAnsi="Arial" w:cs="Arial"/>
        </w:rPr>
      </w:pPr>
      <w:r w:rsidRPr="007D3A66">
        <w:rPr>
          <w:rFonts w:ascii="Arial" w:hAnsi="Arial" w:cs="Arial"/>
        </w:rPr>
        <w:t xml:space="preserve">Hamel, G. and Prahalad, C.K. (1994) </w:t>
      </w:r>
      <w:r w:rsidRPr="007D3A66">
        <w:rPr>
          <w:rFonts w:ascii="Arial" w:hAnsi="Arial" w:cs="Arial"/>
          <w:i/>
          <w:iCs/>
        </w:rPr>
        <w:t>Competing for the Future</w:t>
      </w:r>
      <w:r w:rsidRPr="007D3A66">
        <w:rPr>
          <w:rFonts w:ascii="Arial" w:hAnsi="Arial" w:cs="Arial"/>
        </w:rPr>
        <w:t>. Boston: Harvard Business School Press.</w:t>
      </w:r>
    </w:p>
    <w:p w14:paraId="7024D282" w14:textId="77777777" w:rsidR="007D3A66" w:rsidRPr="007D3A66" w:rsidRDefault="007D3A66" w:rsidP="007D3A66">
      <w:pPr>
        <w:spacing w:line="360" w:lineRule="auto"/>
        <w:rPr>
          <w:rFonts w:ascii="Arial" w:hAnsi="Arial" w:cs="Arial"/>
        </w:rPr>
      </w:pPr>
      <w:r w:rsidRPr="007D3A66">
        <w:rPr>
          <w:rFonts w:ascii="Arial" w:hAnsi="Arial" w:cs="Arial"/>
        </w:rPr>
        <w:t xml:space="preserve">Henderson, R., Gulati, R. and Tushman, M. (2015) ‘The organization of innovation’, in </w:t>
      </w:r>
      <w:r w:rsidRPr="007D3A66">
        <w:rPr>
          <w:rFonts w:ascii="Arial" w:hAnsi="Arial" w:cs="Arial"/>
          <w:i/>
          <w:iCs/>
        </w:rPr>
        <w:t>Leading Sustainable Change</w:t>
      </w:r>
      <w:r w:rsidRPr="007D3A66">
        <w:rPr>
          <w:rFonts w:ascii="Arial" w:hAnsi="Arial" w:cs="Arial"/>
        </w:rPr>
        <w:t>. Oxford: OUP, pp. 27–46.</w:t>
      </w:r>
    </w:p>
    <w:p w14:paraId="4FACBCE3" w14:textId="77777777" w:rsidR="007D3A66" w:rsidRPr="007D3A66" w:rsidRDefault="007D3A66" w:rsidP="007D3A66">
      <w:pPr>
        <w:spacing w:line="360" w:lineRule="auto"/>
        <w:rPr>
          <w:rFonts w:ascii="Arial" w:hAnsi="Arial" w:cs="Arial"/>
        </w:rPr>
      </w:pPr>
      <w:r w:rsidRPr="007D3A66">
        <w:rPr>
          <w:rFonts w:ascii="Arial" w:hAnsi="Arial" w:cs="Arial"/>
        </w:rPr>
        <w:t xml:space="preserve">John Lewis Partnership (2023) </w:t>
      </w:r>
      <w:r w:rsidRPr="007D3A66">
        <w:rPr>
          <w:rFonts w:ascii="Arial" w:hAnsi="Arial" w:cs="Arial"/>
          <w:i/>
          <w:iCs/>
        </w:rPr>
        <w:t>Annual Report and Accounts 2023</w:t>
      </w:r>
      <w:r w:rsidRPr="007D3A66">
        <w:rPr>
          <w:rFonts w:ascii="Arial" w:hAnsi="Arial" w:cs="Arial"/>
        </w:rPr>
        <w:t>. London: JLP.</w:t>
      </w:r>
    </w:p>
    <w:p w14:paraId="30D72D74" w14:textId="77777777" w:rsidR="007D3A66" w:rsidRPr="007D3A66" w:rsidRDefault="007D3A66" w:rsidP="007D3A66">
      <w:pPr>
        <w:spacing w:line="360" w:lineRule="auto"/>
        <w:rPr>
          <w:rFonts w:ascii="Arial" w:hAnsi="Arial" w:cs="Arial"/>
        </w:rPr>
      </w:pPr>
      <w:r w:rsidRPr="007D3A66">
        <w:rPr>
          <w:rFonts w:ascii="Arial" w:hAnsi="Arial" w:cs="Arial"/>
        </w:rPr>
        <w:t xml:space="preserve">Kotter, J. (1995) ‘Leading change: Why transformation efforts fail’, </w:t>
      </w:r>
      <w:r w:rsidRPr="007D3A66">
        <w:rPr>
          <w:rFonts w:ascii="Arial" w:hAnsi="Arial" w:cs="Arial"/>
          <w:i/>
          <w:iCs/>
        </w:rPr>
        <w:t>Harvard Business Review</w:t>
      </w:r>
      <w:r w:rsidRPr="007D3A66">
        <w:rPr>
          <w:rFonts w:ascii="Arial" w:hAnsi="Arial" w:cs="Arial"/>
        </w:rPr>
        <w:t>, 73(2), pp. 59–67.</w:t>
      </w:r>
    </w:p>
    <w:p w14:paraId="49F77E93" w14:textId="4CAC098C" w:rsidR="007D3A66" w:rsidRPr="007D3A66" w:rsidRDefault="007D3A66" w:rsidP="007D3A66">
      <w:pPr>
        <w:spacing w:line="360" w:lineRule="auto"/>
        <w:rPr>
          <w:rFonts w:ascii="Arial" w:hAnsi="Arial" w:cs="Arial"/>
        </w:rPr>
      </w:pPr>
      <w:r w:rsidRPr="007D3A66">
        <w:rPr>
          <w:rFonts w:ascii="Arial" w:hAnsi="Arial" w:cs="Arial"/>
        </w:rPr>
        <w:t>Kotter, J. (2012)</w:t>
      </w:r>
      <w:r>
        <w:rPr>
          <w:rFonts w:ascii="Arial" w:hAnsi="Arial" w:cs="Arial"/>
        </w:rPr>
        <w:t>.</w:t>
      </w:r>
      <w:r w:rsidRPr="007D3A66">
        <w:rPr>
          <w:rFonts w:ascii="Arial" w:hAnsi="Arial" w:cs="Arial"/>
        </w:rPr>
        <w:t xml:space="preserve"> </w:t>
      </w:r>
      <w:r w:rsidRPr="007D3A66">
        <w:rPr>
          <w:rFonts w:ascii="Arial" w:hAnsi="Arial" w:cs="Arial"/>
          <w:i/>
          <w:iCs/>
        </w:rPr>
        <w:t>Leading Change</w:t>
      </w:r>
      <w:r w:rsidRPr="007D3A66">
        <w:rPr>
          <w:rFonts w:ascii="Arial" w:hAnsi="Arial" w:cs="Arial"/>
        </w:rPr>
        <w:t>. Boston: Harvard Business Review Press.</w:t>
      </w:r>
    </w:p>
    <w:p w14:paraId="36BFB986" w14:textId="77777777" w:rsidR="007D3A66" w:rsidRPr="007D3A66" w:rsidRDefault="007D3A66" w:rsidP="007D3A66">
      <w:pPr>
        <w:spacing w:line="360" w:lineRule="auto"/>
        <w:rPr>
          <w:rFonts w:ascii="Arial" w:hAnsi="Arial" w:cs="Arial"/>
        </w:rPr>
      </w:pPr>
      <w:r w:rsidRPr="007D3A66">
        <w:rPr>
          <w:rFonts w:ascii="Arial" w:hAnsi="Arial" w:cs="Arial"/>
        </w:rPr>
        <w:t xml:space="preserve">MarketLine (2023) </w:t>
      </w:r>
      <w:r w:rsidRPr="007D3A66">
        <w:rPr>
          <w:rFonts w:ascii="Arial" w:hAnsi="Arial" w:cs="Arial"/>
          <w:i/>
          <w:iCs/>
        </w:rPr>
        <w:t>Industry Profile: United Kingdom – Retail Sector</w:t>
      </w:r>
      <w:r w:rsidRPr="007D3A66">
        <w:rPr>
          <w:rFonts w:ascii="Arial" w:hAnsi="Arial" w:cs="Arial"/>
        </w:rPr>
        <w:t>. London: MarketLine.</w:t>
      </w:r>
    </w:p>
    <w:p w14:paraId="743D27A3" w14:textId="77777777" w:rsidR="007D3A66" w:rsidRPr="007D3A66" w:rsidRDefault="007D3A66" w:rsidP="007D3A66">
      <w:pPr>
        <w:spacing w:line="360" w:lineRule="auto"/>
        <w:rPr>
          <w:rFonts w:ascii="Arial" w:hAnsi="Arial" w:cs="Arial"/>
        </w:rPr>
      </w:pPr>
      <w:r w:rsidRPr="007D3A66">
        <w:rPr>
          <w:rFonts w:ascii="Arial" w:hAnsi="Arial" w:cs="Arial"/>
        </w:rPr>
        <w:t xml:space="preserve">Pettigrew, A. (1987) ‘Context and action in the transformation of the firm’, </w:t>
      </w:r>
      <w:r w:rsidRPr="007D3A66">
        <w:rPr>
          <w:rFonts w:ascii="Arial" w:hAnsi="Arial" w:cs="Arial"/>
          <w:i/>
          <w:iCs/>
        </w:rPr>
        <w:t>Journal of Management Studies</w:t>
      </w:r>
      <w:r w:rsidRPr="007D3A66">
        <w:rPr>
          <w:rFonts w:ascii="Arial" w:hAnsi="Arial" w:cs="Arial"/>
        </w:rPr>
        <w:t>, 24(6), pp. 649–670.</w:t>
      </w:r>
    </w:p>
    <w:p w14:paraId="69268FE0" w14:textId="77777777" w:rsidR="007D3A66" w:rsidRPr="007D3A66" w:rsidRDefault="007D3A66" w:rsidP="007D3A66">
      <w:pPr>
        <w:spacing w:line="360" w:lineRule="auto"/>
        <w:rPr>
          <w:rFonts w:ascii="Arial" w:hAnsi="Arial" w:cs="Arial"/>
        </w:rPr>
      </w:pPr>
      <w:bookmarkStart w:id="68" w:name="_Int_UUDJ7HEL"/>
      <w:r w:rsidRPr="007D3A66">
        <w:rPr>
          <w:rFonts w:ascii="Arial" w:hAnsi="Arial" w:cs="Arial"/>
        </w:rPr>
        <w:lastRenderedPageBreak/>
        <w:t xml:space="preserve">Pettigrew, A., Ferlie, E. and McKee, L. (1992) </w:t>
      </w:r>
      <w:r w:rsidRPr="007D3A66">
        <w:rPr>
          <w:rFonts w:ascii="Arial" w:hAnsi="Arial" w:cs="Arial"/>
          <w:i/>
          <w:iCs/>
        </w:rPr>
        <w:t>Shaping Strategic Change</w:t>
      </w:r>
      <w:r w:rsidRPr="007D3A66">
        <w:rPr>
          <w:rFonts w:ascii="Arial" w:hAnsi="Arial" w:cs="Arial"/>
        </w:rPr>
        <w:t>.</w:t>
      </w:r>
      <w:bookmarkEnd w:id="68"/>
      <w:r w:rsidRPr="007D3A66">
        <w:rPr>
          <w:rFonts w:ascii="Arial" w:hAnsi="Arial" w:cs="Arial"/>
        </w:rPr>
        <w:t xml:space="preserve"> London: Sage.</w:t>
      </w:r>
    </w:p>
    <w:p w14:paraId="076A615D" w14:textId="182D2B95" w:rsidR="007D3A66" w:rsidRPr="007D3A66" w:rsidRDefault="007D3A66" w:rsidP="007D3A66">
      <w:pPr>
        <w:spacing w:line="360" w:lineRule="auto"/>
        <w:rPr>
          <w:rFonts w:ascii="Arial" w:hAnsi="Arial" w:cs="Arial"/>
        </w:rPr>
      </w:pPr>
      <w:r w:rsidRPr="007D3A66">
        <w:rPr>
          <w:rFonts w:ascii="Arial" w:hAnsi="Arial" w:cs="Arial"/>
        </w:rPr>
        <w:t>Russell, G. (2003)</w:t>
      </w:r>
      <w:r>
        <w:rPr>
          <w:rFonts w:ascii="Arial" w:hAnsi="Arial" w:cs="Arial"/>
        </w:rPr>
        <w:t>.</w:t>
      </w:r>
      <w:r w:rsidRPr="007D3A66">
        <w:rPr>
          <w:rFonts w:ascii="Arial" w:hAnsi="Arial" w:cs="Arial"/>
        </w:rPr>
        <w:t xml:space="preserve"> </w:t>
      </w:r>
      <w:r w:rsidRPr="007D3A66">
        <w:rPr>
          <w:rFonts w:ascii="Arial" w:hAnsi="Arial" w:cs="Arial"/>
          <w:i/>
          <w:iCs/>
        </w:rPr>
        <w:t>The Journey Through Change</w:t>
      </w:r>
      <w:r w:rsidRPr="007D3A66">
        <w:rPr>
          <w:rFonts w:ascii="Arial" w:hAnsi="Arial" w:cs="Arial"/>
        </w:rPr>
        <w:t>. London: Russell Consulting.</w:t>
      </w:r>
    </w:p>
    <w:p w14:paraId="1725F039" w14:textId="5D9AD734" w:rsidR="007D3A66" w:rsidRPr="007D3A66" w:rsidRDefault="007D3A66" w:rsidP="007D3A66">
      <w:pPr>
        <w:spacing w:line="360" w:lineRule="auto"/>
        <w:rPr>
          <w:rFonts w:ascii="Arial" w:hAnsi="Arial" w:cs="Arial"/>
        </w:rPr>
      </w:pPr>
      <w:r w:rsidRPr="007D3A66">
        <w:rPr>
          <w:rFonts w:ascii="Arial" w:hAnsi="Arial" w:cs="Arial"/>
        </w:rPr>
        <w:t>Schein, E. (2010)</w:t>
      </w:r>
      <w:r>
        <w:rPr>
          <w:rFonts w:ascii="Arial" w:hAnsi="Arial" w:cs="Arial"/>
        </w:rPr>
        <w:t>.</w:t>
      </w:r>
      <w:r w:rsidRPr="007D3A66">
        <w:rPr>
          <w:rFonts w:ascii="Arial" w:hAnsi="Arial" w:cs="Arial"/>
        </w:rPr>
        <w:t xml:space="preserve"> </w:t>
      </w:r>
      <w:r>
        <w:rPr>
          <w:rFonts w:ascii="Arial" w:hAnsi="Arial" w:cs="Arial"/>
          <w:i/>
          <w:iCs/>
        </w:rPr>
        <w:t>Organisational</w:t>
      </w:r>
      <w:r w:rsidRPr="007D3A66">
        <w:rPr>
          <w:rFonts w:ascii="Arial" w:hAnsi="Arial" w:cs="Arial"/>
          <w:i/>
          <w:iCs/>
        </w:rPr>
        <w:t xml:space="preserve"> Culture and Leadership</w:t>
      </w:r>
      <w:r w:rsidRPr="007D3A66">
        <w:rPr>
          <w:rFonts w:ascii="Arial" w:hAnsi="Arial" w:cs="Arial"/>
        </w:rPr>
        <w:t>. 4th ed. San Francisco: Jossey-Bass.</w:t>
      </w:r>
    </w:p>
    <w:p w14:paraId="257D8078" w14:textId="44F4C921" w:rsidR="007D3A66" w:rsidRPr="007D3A66" w:rsidRDefault="007D3A66" w:rsidP="007D3A66">
      <w:pPr>
        <w:spacing w:line="360" w:lineRule="auto"/>
        <w:rPr>
          <w:rFonts w:ascii="Arial" w:hAnsi="Arial" w:cs="Arial"/>
        </w:rPr>
      </w:pPr>
      <w:r w:rsidRPr="007D3A66">
        <w:rPr>
          <w:rFonts w:ascii="Arial" w:hAnsi="Arial" w:cs="Arial"/>
        </w:rPr>
        <w:t>Senge, P. (2006)</w:t>
      </w:r>
      <w:r>
        <w:rPr>
          <w:rFonts w:ascii="Arial" w:hAnsi="Arial" w:cs="Arial"/>
        </w:rPr>
        <w:t>.</w:t>
      </w:r>
      <w:r w:rsidRPr="007D3A66">
        <w:rPr>
          <w:rFonts w:ascii="Arial" w:hAnsi="Arial" w:cs="Arial"/>
        </w:rPr>
        <w:t xml:space="preserve"> </w:t>
      </w:r>
      <w:r w:rsidRPr="007D3A66">
        <w:rPr>
          <w:rFonts w:ascii="Arial" w:hAnsi="Arial" w:cs="Arial"/>
          <w:i/>
          <w:iCs/>
        </w:rPr>
        <w:t xml:space="preserve">The Fifth Discipline: The Art and Practice of the Learning </w:t>
      </w:r>
      <w:r>
        <w:rPr>
          <w:rFonts w:ascii="Arial" w:hAnsi="Arial" w:cs="Arial"/>
          <w:i/>
          <w:iCs/>
        </w:rPr>
        <w:t>Organisation</w:t>
      </w:r>
      <w:r w:rsidRPr="007D3A66">
        <w:rPr>
          <w:rFonts w:ascii="Arial" w:hAnsi="Arial" w:cs="Arial"/>
        </w:rPr>
        <w:t>. New York: Doubleday.</w:t>
      </w:r>
    </w:p>
    <w:p w14:paraId="5AB63330" w14:textId="77777777" w:rsidR="007D3A66" w:rsidRPr="007D3A66" w:rsidRDefault="007D3A66" w:rsidP="007D3A66">
      <w:pPr>
        <w:spacing w:line="360" w:lineRule="auto"/>
        <w:rPr>
          <w:rFonts w:ascii="Arial" w:hAnsi="Arial" w:cs="Arial"/>
        </w:rPr>
      </w:pPr>
      <w:r w:rsidRPr="007D3A66">
        <w:rPr>
          <w:rFonts w:ascii="Arial" w:hAnsi="Arial" w:cs="Arial"/>
        </w:rPr>
        <w:t xml:space="preserve">Teece, D. (1997) ‘Dynamic capabilities and strategic management’, </w:t>
      </w:r>
      <w:r w:rsidRPr="007D3A66">
        <w:rPr>
          <w:rFonts w:ascii="Arial" w:hAnsi="Arial" w:cs="Arial"/>
          <w:i/>
          <w:iCs/>
        </w:rPr>
        <w:t>Strategic Management Journal</w:t>
      </w:r>
      <w:r w:rsidRPr="007D3A66">
        <w:rPr>
          <w:rFonts w:ascii="Arial" w:hAnsi="Arial" w:cs="Arial"/>
        </w:rPr>
        <w:t>, 18(7), pp. 509–533.</w:t>
      </w:r>
    </w:p>
    <w:p w14:paraId="1AD6B01A" w14:textId="7D55E6EB" w:rsidR="007D3A66" w:rsidRPr="007D3A66" w:rsidRDefault="007D3A66" w:rsidP="007D3A66">
      <w:pPr>
        <w:spacing w:line="360" w:lineRule="auto"/>
        <w:rPr>
          <w:rFonts w:ascii="Arial" w:hAnsi="Arial" w:cs="Arial"/>
        </w:rPr>
      </w:pPr>
      <w:r w:rsidRPr="007D3A66">
        <w:rPr>
          <w:rFonts w:ascii="Arial" w:hAnsi="Arial" w:cs="Arial"/>
        </w:rPr>
        <w:t>Tidd, J. and Bessant, J. (2018)</w:t>
      </w:r>
      <w:r>
        <w:rPr>
          <w:rFonts w:ascii="Arial" w:hAnsi="Arial" w:cs="Arial"/>
        </w:rPr>
        <w:t>.</w:t>
      </w:r>
      <w:r w:rsidRPr="007D3A66">
        <w:rPr>
          <w:rFonts w:ascii="Arial" w:hAnsi="Arial" w:cs="Arial"/>
        </w:rPr>
        <w:t xml:space="preserve"> </w:t>
      </w:r>
      <w:r w:rsidRPr="007D3A66">
        <w:rPr>
          <w:rFonts w:ascii="Arial" w:hAnsi="Arial" w:cs="Arial"/>
          <w:i/>
          <w:iCs/>
        </w:rPr>
        <w:t xml:space="preserve">Managing Innovation: Integrating Technological, Market and </w:t>
      </w:r>
      <w:r>
        <w:rPr>
          <w:rFonts w:ascii="Arial" w:hAnsi="Arial" w:cs="Arial"/>
          <w:i/>
          <w:iCs/>
        </w:rPr>
        <w:t>Organisational</w:t>
      </w:r>
      <w:r w:rsidRPr="007D3A66">
        <w:rPr>
          <w:rFonts w:ascii="Arial" w:hAnsi="Arial" w:cs="Arial"/>
          <w:i/>
          <w:iCs/>
        </w:rPr>
        <w:t xml:space="preserve"> Change</w:t>
      </w:r>
      <w:r w:rsidRPr="007D3A66">
        <w:rPr>
          <w:rFonts w:ascii="Arial" w:hAnsi="Arial" w:cs="Arial"/>
        </w:rPr>
        <w:t>. 6th ed. Chichester: Wiley.</w:t>
      </w:r>
    </w:p>
    <w:p w14:paraId="392E8BFE" w14:textId="50759FF7" w:rsidR="007D3A66" w:rsidRPr="007D3A66" w:rsidRDefault="007D3A66" w:rsidP="007D3A66">
      <w:pPr>
        <w:spacing w:line="360" w:lineRule="auto"/>
        <w:rPr>
          <w:rFonts w:ascii="Arial" w:hAnsi="Arial" w:cs="Arial"/>
        </w:rPr>
      </w:pPr>
      <w:r w:rsidRPr="007D3A66">
        <w:rPr>
          <w:rFonts w:ascii="Arial" w:hAnsi="Arial" w:cs="Arial"/>
        </w:rPr>
        <w:t>Trice, H. and Beyer, J. (1993)</w:t>
      </w:r>
      <w:r>
        <w:rPr>
          <w:rFonts w:ascii="Arial" w:hAnsi="Arial" w:cs="Arial"/>
        </w:rPr>
        <w:t>.</w:t>
      </w:r>
      <w:r w:rsidRPr="007D3A66">
        <w:rPr>
          <w:rFonts w:ascii="Arial" w:hAnsi="Arial" w:cs="Arial"/>
        </w:rPr>
        <w:t xml:space="preserve"> </w:t>
      </w:r>
      <w:r w:rsidRPr="007D3A66">
        <w:rPr>
          <w:rFonts w:ascii="Arial" w:hAnsi="Arial" w:cs="Arial"/>
          <w:i/>
          <w:iCs/>
        </w:rPr>
        <w:t xml:space="preserve">The Cultures of Work </w:t>
      </w:r>
      <w:r>
        <w:rPr>
          <w:rFonts w:ascii="Arial" w:hAnsi="Arial" w:cs="Arial"/>
          <w:i/>
          <w:iCs/>
        </w:rPr>
        <w:t>Organisations</w:t>
      </w:r>
      <w:r w:rsidRPr="007D3A66">
        <w:rPr>
          <w:rFonts w:ascii="Arial" w:hAnsi="Arial" w:cs="Arial"/>
        </w:rPr>
        <w:t>. Englewood Cliffs: Prentice Hall.</w:t>
      </w:r>
    </w:p>
    <w:p w14:paraId="49BD721B" w14:textId="77777777" w:rsidR="007D3A66" w:rsidRPr="007D3A66" w:rsidRDefault="007D3A66" w:rsidP="007D3A66">
      <w:pPr>
        <w:spacing w:line="360" w:lineRule="auto"/>
        <w:rPr>
          <w:rFonts w:ascii="Arial" w:hAnsi="Arial" w:cs="Arial"/>
        </w:rPr>
      </w:pPr>
      <w:bookmarkStart w:id="69" w:name="_Int_Xr0nHQLf"/>
      <w:r w:rsidRPr="007D3A66">
        <w:rPr>
          <w:rFonts w:ascii="Arial" w:hAnsi="Arial" w:cs="Arial"/>
        </w:rPr>
        <w:t xml:space="preserve">Ulrich, D. and Brockbank, W. (2005) </w:t>
      </w:r>
      <w:r w:rsidRPr="007D3A66">
        <w:rPr>
          <w:rFonts w:ascii="Arial" w:hAnsi="Arial" w:cs="Arial"/>
          <w:i/>
          <w:iCs/>
        </w:rPr>
        <w:t>The HR Value Proposition</w:t>
      </w:r>
      <w:r w:rsidRPr="007D3A66">
        <w:rPr>
          <w:rFonts w:ascii="Arial" w:hAnsi="Arial" w:cs="Arial"/>
        </w:rPr>
        <w:t>.</w:t>
      </w:r>
      <w:bookmarkEnd w:id="69"/>
      <w:r w:rsidRPr="007D3A66">
        <w:rPr>
          <w:rFonts w:ascii="Arial" w:hAnsi="Arial" w:cs="Arial"/>
        </w:rPr>
        <w:t xml:space="preserve"> Boston: Harvard Business School Press.</w:t>
      </w:r>
    </w:p>
    <w:p w14:paraId="03CF3FB1" w14:textId="6A41DF0F" w:rsidR="007D3A66" w:rsidRPr="007D3A66" w:rsidRDefault="007D3A66" w:rsidP="007D3A66">
      <w:pPr>
        <w:spacing w:line="360" w:lineRule="auto"/>
        <w:rPr>
          <w:rFonts w:ascii="Arial" w:hAnsi="Arial" w:cs="Arial"/>
        </w:rPr>
      </w:pPr>
      <w:r w:rsidRPr="007D3A66">
        <w:rPr>
          <w:rFonts w:ascii="Arial" w:hAnsi="Arial" w:cs="Arial"/>
        </w:rPr>
        <w:t xml:space="preserve">Van de Ven, A. and Poole, M. (1995) ‘Explaining development and change in </w:t>
      </w:r>
      <w:r>
        <w:rPr>
          <w:rFonts w:ascii="Arial" w:hAnsi="Arial" w:cs="Arial"/>
        </w:rPr>
        <w:t>organisations’</w:t>
      </w:r>
      <w:r w:rsidRPr="007D3A66">
        <w:rPr>
          <w:rFonts w:ascii="Arial" w:hAnsi="Arial" w:cs="Arial"/>
        </w:rPr>
        <w:t xml:space="preserve">, </w:t>
      </w:r>
      <w:r w:rsidRPr="007D3A66">
        <w:rPr>
          <w:rFonts w:ascii="Arial" w:hAnsi="Arial" w:cs="Arial"/>
          <w:i/>
          <w:iCs/>
        </w:rPr>
        <w:t>Academy of Management Review</w:t>
      </w:r>
      <w:r w:rsidRPr="007D3A66">
        <w:rPr>
          <w:rFonts w:ascii="Arial" w:hAnsi="Arial" w:cs="Arial"/>
        </w:rPr>
        <w:t>, 20(3), pp. 510–540.</w:t>
      </w:r>
    </w:p>
    <w:p w14:paraId="40CB2086" w14:textId="77777777" w:rsidR="007D3A66" w:rsidRPr="007D3A66" w:rsidRDefault="007D3A66" w:rsidP="007D3A66">
      <w:pPr>
        <w:spacing w:line="360" w:lineRule="auto"/>
        <w:rPr>
          <w:rFonts w:ascii="Arial" w:hAnsi="Arial" w:cs="Arial"/>
        </w:rPr>
      </w:pPr>
      <w:r w:rsidRPr="007D3A66">
        <w:rPr>
          <w:rFonts w:ascii="Arial" w:hAnsi="Arial" w:cs="Arial"/>
        </w:rPr>
        <w:t xml:space="preserve">Weick, K. and Quinn, R. (1999) ‘Organisational change and development’, </w:t>
      </w:r>
      <w:r w:rsidRPr="007D3A66">
        <w:rPr>
          <w:rFonts w:ascii="Arial" w:hAnsi="Arial" w:cs="Arial"/>
          <w:i/>
          <w:iCs/>
        </w:rPr>
        <w:t>Annual Review of Psychology</w:t>
      </w:r>
      <w:r w:rsidRPr="007D3A66">
        <w:rPr>
          <w:rFonts w:ascii="Arial" w:hAnsi="Arial" w:cs="Arial"/>
        </w:rPr>
        <w:t>, 50, pp. 361–386.</w:t>
      </w:r>
    </w:p>
    <w:p w14:paraId="0F096D20" w14:textId="77777777" w:rsidR="007D3A66" w:rsidRPr="007D3A66" w:rsidRDefault="007D3A66" w:rsidP="005F30AC">
      <w:pPr>
        <w:spacing w:line="360" w:lineRule="auto"/>
        <w:rPr>
          <w:rFonts w:ascii="Arial" w:hAnsi="Arial" w:cs="Arial"/>
        </w:rPr>
      </w:pPr>
    </w:p>
    <w:sectPr w:rsidR="007D3A66" w:rsidRPr="007D3A66" w:rsidSect="00772AE2">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E2588" w14:textId="77777777" w:rsidR="007130D5" w:rsidRDefault="007130D5" w:rsidP="00C57F50">
      <w:pPr>
        <w:spacing w:after="0" w:line="240" w:lineRule="auto"/>
      </w:pPr>
      <w:r>
        <w:separator/>
      </w:r>
    </w:p>
  </w:endnote>
  <w:endnote w:type="continuationSeparator" w:id="0">
    <w:p w14:paraId="4E172462" w14:textId="77777777" w:rsidR="007130D5" w:rsidRDefault="007130D5" w:rsidP="00C57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833E8" w14:textId="028B7DB0" w:rsidR="00B45EB4" w:rsidRDefault="00B45EB4">
    <w:pPr>
      <w:pStyle w:val="Footer"/>
      <w:jc w:val="center"/>
    </w:pPr>
  </w:p>
  <w:p w14:paraId="151D14EF" w14:textId="77777777" w:rsidR="008C6C21" w:rsidRPr="008C6C21" w:rsidRDefault="008C6C21">
    <w:pPr>
      <w:pStyle w:val="Footer"/>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3893657"/>
      <w:docPartObj>
        <w:docPartGallery w:val="Page Numbers (Bottom of Page)"/>
        <w:docPartUnique/>
      </w:docPartObj>
    </w:sdtPr>
    <w:sdtEndPr>
      <w:rPr>
        <w:noProof/>
      </w:rPr>
    </w:sdtEndPr>
    <w:sdtContent>
      <w:p w14:paraId="7CF23349" w14:textId="21EA0735" w:rsidR="00772AE2" w:rsidRDefault="00772A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087D5E" w14:textId="77777777" w:rsidR="00504EC6" w:rsidRPr="008C6C21" w:rsidRDefault="00504EC6">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CA2A0" w14:textId="77777777" w:rsidR="007130D5" w:rsidRDefault="007130D5" w:rsidP="00C57F50">
      <w:pPr>
        <w:spacing w:after="0" w:line="240" w:lineRule="auto"/>
      </w:pPr>
      <w:r>
        <w:separator/>
      </w:r>
    </w:p>
  </w:footnote>
  <w:footnote w:type="continuationSeparator" w:id="0">
    <w:p w14:paraId="405CE54B" w14:textId="77777777" w:rsidR="007130D5" w:rsidRDefault="007130D5" w:rsidP="00C57F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47695"/>
    <w:multiLevelType w:val="multilevel"/>
    <w:tmpl w:val="0BC0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4C4816"/>
    <w:multiLevelType w:val="hybridMultilevel"/>
    <w:tmpl w:val="7AC0B4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421AE"/>
    <w:multiLevelType w:val="multilevel"/>
    <w:tmpl w:val="7C1CDC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BC7515"/>
    <w:multiLevelType w:val="multilevel"/>
    <w:tmpl w:val="DDA8F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D71143"/>
    <w:multiLevelType w:val="hybridMultilevel"/>
    <w:tmpl w:val="EE5E26A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CA772E6"/>
    <w:multiLevelType w:val="hybridMultilevel"/>
    <w:tmpl w:val="4CF6DB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672865"/>
    <w:multiLevelType w:val="multilevel"/>
    <w:tmpl w:val="A986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A50417"/>
    <w:multiLevelType w:val="hybridMultilevel"/>
    <w:tmpl w:val="3448FC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422373"/>
    <w:multiLevelType w:val="multilevel"/>
    <w:tmpl w:val="7C2E8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F740ED"/>
    <w:multiLevelType w:val="multilevel"/>
    <w:tmpl w:val="228CB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E3000E"/>
    <w:multiLevelType w:val="hybridMultilevel"/>
    <w:tmpl w:val="41606B4E"/>
    <w:lvl w:ilvl="0" w:tplc="28CC887E">
      <w:start w:val="7"/>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15:restartNumberingAfterBreak="0">
    <w:nsid w:val="43AB2B90"/>
    <w:multiLevelType w:val="multilevel"/>
    <w:tmpl w:val="B9D4A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D82AA2"/>
    <w:multiLevelType w:val="multilevel"/>
    <w:tmpl w:val="6BD09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116156"/>
    <w:multiLevelType w:val="multilevel"/>
    <w:tmpl w:val="BCD23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963857"/>
    <w:multiLevelType w:val="hybridMultilevel"/>
    <w:tmpl w:val="24E6E8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9A51EC"/>
    <w:multiLevelType w:val="multilevel"/>
    <w:tmpl w:val="C6007D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487DB3"/>
    <w:multiLevelType w:val="multilevel"/>
    <w:tmpl w:val="B28060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F3139A"/>
    <w:multiLevelType w:val="multilevel"/>
    <w:tmpl w:val="A6A21C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A001E2"/>
    <w:multiLevelType w:val="multilevel"/>
    <w:tmpl w:val="F068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7646969">
    <w:abstractNumId w:val="0"/>
  </w:num>
  <w:num w:numId="2" w16cid:durableId="648705983">
    <w:abstractNumId w:val="11"/>
  </w:num>
  <w:num w:numId="3" w16cid:durableId="208959671">
    <w:abstractNumId w:val="3"/>
  </w:num>
  <w:num w:numId="4" w16cid:durableId="1696735266">
    <w:abstractNumId w:val="13"/>
  </w:num>
  <w:num w:numId="5" w16cid:durableId="1486387276">
    <w:abstractNumId w:val="18"/>
  </w:num>
  <w:num w:numId="6" w16cid:durableId="521169567">
    <w:abstractNumId w:val="9"/>
  </w:num>
  <w:num w:numId="7" w16cid:durableId="1448230660">
    <w:abstractNumId w:val="6"/>
  </w:num>
  <w:num w:numId="8" w16cid:durableId="655692759">
    <w:abstractNumId w:val="8"/>
  </w:num>
  <w:num w:numId="9" w16cid:durableId="1439984449">
    <w:abstractNumId w:val="12"/>
  </w:num>
  <w:num w:numId="10" w16cid:durableId="1239098237">
    <w:abstractNumId w:val="4"/>
  </w:num>
  <w:num w:numId="11" w16cid:durableId="427586029">
    <w:abstractNumId w:val="16"/>
  </w:num>
  <w:num w:numId="12" w16cid:durableId="1520702432">
    <w:abstractNumId w:val="7"/>
  </w:num>
  <w:num w:numId="13" w16cid:durableId="1132283359">
    <w:abstractNumId w:val="2"/>
  </w:num>
  <w:num w:numId="14" w16cid:durableId="766270048">
    <w:abstractNumId w:val="17"/>
  </w:num>
  <w:num w:numId="15" w16cid:durableId="712342932">
    <w:abstractNumId w:val="14"/>
  </w:num>
  <w:num w:numId="16" w16cid:durableId="611396352">
    <w:abstractNumId w:val="15"/>
  </w:num>
  <w:num w:numId="17" w16cid:durableId="882715744">
    <w:abstractNumId w:val="5"/>
  </w:num>
  <w:num w:numId="18" w16cid:durableId="865800476">
    <w:abstractNumId w:val="1"/>
  </w:num>
  <w:num w:numId="19" w16cid:durableId="1046632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812"/>
    <w:rsid w:val="00002844"/>
    <w:rsid w:val="00014DEF"/>
    <w:rsid w:val="00021511"/>
    <w:rsid w:val="00047A12"/>
    <w:rsid w:val="000534D4"/>
    <w:rsid w:val="00063032"/>
    <w:rsid w:val="000647A0"/>
    <w:rsid w:val="00073909"/>
    <w:rsid w:val="000807E1"/>
    <w:rsid w:val="00095F52"/>
    <w:rsid w:val="000F7454"/>
    <w:rsid w:val="00101892"/>
    <w:rsid w:val="00102E29"/>
    <w:rsid w:val="00122A91"/>
    <w:rsid w:val="001418AF"/>
    <w:rsid w:val="00150EA9"/>
    <w:rsid w:val="00160358"/>
    <w:rsid w:val="00193D45"/>
    <w:rsid w:val="001A7B74"/>
    <w:rsid w:val="001B768C"/>
    <w:rsid w:val="001D7990"/>
    <w:rsid w:val="001E5BD5"/>
    <w:rsid w:val="001E7119"/>
    <w:rsid w:val="0020001D"/>
    <w:rsid w:val="00214A33"/>
    <w:rsid w:val="00217733"/>
    <w:rsid w:val="0022579C"/>
    <w:rsid w:val="002316D9"/>
    <w:rsid w:val="00233B19"/>
    <w:rsid w:val="0024337B"/>
    <w:rsid w:val="0025301E"/>
    <w:rsid w:val="00255BB9"/>
    <w:rsid w:val="002C4104"/>
    <w:rsid w:val="002E1091"/>
    <w:rsid w:val="002E2209"/>
    <w:rsid w:val="002E6624"/>
    <w:rsid w:val="00312712"/>
    <w:rsid w:val="00324CF4"/>
    <w:rsid w:val="00331CEB"/>
    <w:rsid w:val="00333347"/>
    <w:rsid w:val="0035231C"/>
    <w:rsid w:val="003640C5"/>
    <w:rsid w:val="003A5167"/>
    <w:rsid w:val="003E2268"/>
    <w:rsid w:val="00433117"/>
    <w:rsid w:val="00433764"/>
    <w:rsid w:val="004403D2"/>
    <w:rsid w:val="00441812"/>
    <w:rsid w:val="00480A37"/>
    <w:rsid w:val="004900D2"/>
    <w:rsid w:val="00504EC6"/>
    <w:rsid w:val="00510C7A"/>
    <w:rsid w:val="0054787B"/>
    <w:rsid w:val="0055208F"/>
    <w:rsid w:val="00555BA4"/>
    <w:rsid w:val="005636E8"/>
    <w:rsid w:val="00592D4D"/>
    <w:rsid w:val="005E3A4D"/>
    <w:rsid w:val="005F30AC"/>
    <w:rsid w:val="0060022D"/>
    <w:rsid w:val="006145C8"/>
    <w:rsid w:val="00624395"/>
    <w:rsid w:val="00626BE4"/>
    <w:rsid w:val="00630F7D"/>
    <w:rsid w:val="00647735"/>
    <w:rsid w:val="0065038F"/>
    <w:rsid w:val="006A1F86"/>
    <w:rsid w:val="006B4311"/>
    <w:rsid w:val="006C78B3"/>
    <w:rsid w:val="006D05B3"/>
    <w:rsid w:val="007130D5"/>
    <w:rsid w:val="00737AF9"/>
    <w:rsid w:val="00772AE2"/>
    <w:rsid w:val="00780228"/>
    <w:rsid w:val="00782089"/>
    <w:rsid w:val="007A539E"/>
    <w:rsid w:val="007B2622"/>
    <w:rsid w:val="007D044D"/>
    <w:rsid w:val="007D3A66"/>
    <w:rsid w:val="007D6DBD"/>
    <w:rsid w:val="007E1B71"/>
    <w:rsid w:val="00800B19"/>
    <w:rsid w:val="00801F31"/>
    <w:rsid w:val="00824882"/>
    <w:rsid w:val="00833A46"/>
    <w:rsid w:val="008574F8"/>
    <w:rsid w:val="008902A2"/>
    <w:rsid w:val="008A7507"/>
    <w:rsid w:val="008B41B1"/>
    <w:rsid w:val="008C6C21"/>
    <w:rsid w:val="008F1C81"/>
    <w:rsid w:val="008F2F09"/>
    <w:rsid w:val="00900430"/>
    <w:rsid w:val="00903701"/>
    <w:rsid w:val="00921150"/>
    <w:rsid w:val="00924318"/>
    <w:rsid w:val="0093078C"/>
    <w:rsid w:val="00936CFC"/>
    <w:rsid w:val="00960C8D"/>
    <w:rsid w:val="009C105B"/>
    <w:rsid w:val="009C1E00"/>
    <w:rsid w:val="009C77A7"/>
    <w:rsid w:val="009E2F54"/>
    <w:rsid w:val="00A1115F"/>
    <w:rsid w:val="00A13BE8"/>
    <w:rsid w:val="00A30447"/>
    <w:rsid w:val="00A42940"/>
    <w:rsid w:val="00A42A52"/>
    <w:rsid w:val="00A56FED"/>
    <w:rsid w:val="00AD7D85"/>
    <w:rsid w:val="00AF2330"/>
    <w:rsid w:val="00AF3714"/>
    <w:rsid w:val="00B0646D"/>
    <w:rsid w:val="00B101CC"/>
    <w:rsid w:val="00B20669"/>
    <w:rsid w:val="00B334BC"/>
    <w:rsid w:val="00B33683"/>
    <w:rsid w:val="00B34EE1"/>
    <w:rsid w:val="00B37331"/>
    <w:rsid w:val="00B45CE4"/>
    <w:rsid w:val="00B45EB4"/>
    <w:rsid w:val="00B64293"/>
    <w:rsid w:val="00B7139E"/>
    <w:rsid w:val="00B979F1"/>
    <w:rsid w:val="00BA06EE"/>
    <w:rsid w:val="00BB16F8"/>
    <w:rsid w:val="00BB4427"/>
    <w:rsid w:val="00BB601A"/>
    <w:rsid w:val="00BD3051"/>
    <w:rsid w:val="00BE1043"/>
    <w:rsid w:val="00BF3C6D"/>
    <w:rsid w:val="00BF61A4"/>
    <w:rsid w:val="00C11D4F"/>
    <w:rsid w:val="00C36F7D"/>
    <w:rsid w:val="00C57F50"/>
    <w:rsid w:val="00C74D08"/>
    <w:rsid w:val="00C862D1"/>
    <w:rsid w:val="00C926AE"/>
    <w:rsid w:val="00C96700"/>
    <w:rsid w:val="00CA24D9"/>
    <w:rsid w:val="00CA6612"/>
    <w:rsid w:val="00CD0C32"/>
    <w:rsid w:val="00CD25A2"/>
    <w:rsid w:val="00CE75AA"/>
    <w:rsid w:val="00CF050B"/>
    <w:rsid w:val="00D07F92"/>
    <w:rsid w:val="00D12DBE"/>
    <w:rsid w:val="00D16E90"/>
    <w:rsid w:val="00D20451"/>
    <w:rsid w:val="00D408A2"/>
    <w:rsid w:val="00D56EFC"/>
    <w:rsid w:val="00D6007D"/>
    <w:rsid w:val="00D620F1"/>
    <w:rsid w:val="00D64CAC"/>
    <w:rsid w:val="00DA2467"/>
    <w:rsid w:val="00DC4723"/>
    <w:rsid w:val="00DF7526"/>
    <w:rsid w:val="00E0049D"/>
    <w:rsid w:val="00E25F12"/>
    <w:rsid w:val="00E56024"/>
    <w:rsid w:val="00E92C29"/>
    <w:rsid w:val="00EA70DF"/>
    <w:rsid w:val="00EB746A"/>
    <w:rsid w:val="00EC62AC"/>
    <w:rsid w:val="00ED45F7"/>
    <w:rsid w:val="00EE6733"/>
    <w:rsid w:val="00EE7391"/>
    <w:rsid w:val="00F2447B"/>
    <w:rsid w:val="00F3230D"/>
    <w:rsid w:val="00F61ED6"/>
    <w:rsid w:val="00F62510"/>
    <w:rsid w:val="00F876F8"/>
    <w:rsid w:val="00FA2689"/>
    <w:rsid w:val="00FA45AD"/>
    <w:rsid w:val="00FB5204"/>
    <w:rsid w:val="00FE4A3D"/>
    <w:rsid w:val="00FE7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D788D2"/>
  <w15:chartTrackingRefBased/>
  <w15:docId w15:val="{0F904313-1FEB-48D9-AF08-160BE7FC4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926AE"/>
    <w:pPr>
      <w:keepNext/>
      <w:keepLines/>
      <w:spacing w:before="360" w:after="80"/>
      <w:outlineLvl w:val="0"/>
    </w:pPr>
    <w:rPr>
      <w:rFonts w:ascii="Arial" w:eastAsiaTheme="majorEastAsia" w:hAnsi="Arial" w:cs="Arial"/>
      <w:b/>
      <w:bCs/>
      <w:color w:val="000000" w:themeColor="text1"/>
      <w:sz w:val="32"/>
      <w:szCs w:val="32"/>
    </w:rPr>
  </w:style>
  <w:style w:type="paragraph" w:styleId="Heading2">
    <w:name w:val="heading 2"/>
    <w:basedOn w:val="Normal"/>
    <w:next w:val="Normal"/>
    <w:link w:val="Heading2Char"/>
    <w:autoRedefine/>
    <w:uiPriority w:val="9"/>
    <w:unhideWhenUsed/>
    <w:qFormat/>
    <w:rsid w:val="000F7454"/>
    <w:pPr>
      <w:keepNext/>
      <w:keepLines/>
      <w:spacing w:before="160" w:after="80"/>
      <w:outlineLvl w:val="1"/>
    </w:pPr>
    <w:rPr>
      <w:rFonts w:ascii="Arial" w:eastAsiaTheme="majorEastAsia" w:hAnsi="Arial" w:cstheme="majorBidi"/>
      <w:b/>
      <w:color w:val="000000" w:themeColor="text1"/>
      <w:sz w:val="28"/>
      <w:szCs w:val="32"/>
      <w:u w:val="single"/>
    </w:rPr>
  </w:style>
  <w:style w:type="paragraph" w:styleId="Heading3">
    <w:name w:val="heading 3"/>
    <w:basedOn w:val="Normal"/>
    <w:next w:val="Normal"/>
    <w:link w:val="Heading3Char"/>
    <w:uiPriority w:val="9"/>
    <w:unhideWhenUsed/>
    <w:qFormat/>
    <w:rsid w:val="004418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18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18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18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18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18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18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6AE"/>
    <w:rPr>
      <w:rFonts w:ascii="Arial" w:eastAsiaTheme="majorEastAsia" w:hAnsi="Arial" w:cs="Arial"/>
      <w:b/>
      <w:bCs/>
      <w:color w:val="000000" w:themeColor="text1"/>
      <w:sz w:val="32"/>
      <w:szCs w:val="32"/>
    </w:rPr>
  </w:style>
  <w:style w:type="character" w:customStyle="1" w:styleId="Heading2Char">
    <w:name w:val="Heading 2 Char"/>
    <w:basedOn w:val="DefaultParagraphFont"/>
    <w:link w:val="Heading2"/>
    <w:uiPriority w:val="9"/>
    <w:rsid w:val="000F7454"/>
    <w:rPr>
      <w:rFonts w:ascii="Arial" w:eastAsiaTheme="majorEastAsia" w:hAnsi="Arial" w:cstheme="majorBidi"/>
      <w:b/>
      <w:color w:val="000000" w:themeColor="text1"/>
      <w:sz w:val="28"/>
      <w:szCs w:val="32"/>
      <w:u w:val="single"/>
    </w:rPr>
  </w:style>
  <w:style w:type="character" w:customStyle="1" w:styleId="Heading3Char">
    <w:name w:val="Heading 3 Char"/>
    <w:basedOn w:val="DefaultParagraphFont"/>
    <w:link w:val="Heading3"/>
    <w:uiPriority w:val="9"/>
    <w:rsid w:val="004418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18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18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18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18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18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1812"/>
    <w:rPr>
      <w:rFonts w:eastAsiaTheme="majorEastAsia" w:cstheme="majorBidi"/>
      <w:color w:val="272727" w:themeColor="text1" w:themeTint="D8"/>
    </w:rPr>
  </w:style>
  <w:style w:type="paragraph" w:styleId="Title">
    <w:name w:val="Title"/>
    <w:basedOn w:val="Normal"/>
    <w:next w:val="Normal"/>
    <w:link w:val="TitleChar"/>
    <w:uiPriority w:val="10"/>
    <w:qFormat/>
    <w:rsid w:val="004418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18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18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18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1812"/>
    <w:pPr>
      <w:spacing w:before="160"/>
      <w:jc w:val="center"/>
    </w:pPr>
    <w:rPr>
      <w:i/>
      <w:iCs/>
      <w:color w:val="404040" w:themeColor="text1" w:themeTint="BF"/>
    </w:rPr>
  </w:style>
  <w:style w:type="character" w:customStyle="1" w:styleId="QuoteChar">
    <w:name w:val="Quote Char"/>
    <w:basedOn w:val="DefaultParagraphFont"/>
    <w:link w:val="Quote"/>
    <w:uiPriority w:val="29"/>
    <w:rsid w:val="00441812"/>
    <w:rPr>
      <w:i/>
      <w:iCs/>
      <w:color w:val="404040" w:themeColor="text1" w:themeTint="BF"/>
    </w:rPr>
  </w:style>
  <w:style w:type="paragraph" w:styleId="ListParagraph">
    <w:name w:val="List Paragraph"/>
    <w:basedOn w:val="Normal"/>
    <w:uiPriority w:val="34"/>
    <w:qFormat/>
    <w:rsid w:val="00441812"/>
    <w:pPr>
      <w:ind w:left="720"/>
      <w:contextualSpacing/>
    </w:pPr>
  </w:style>
  <w:style w:type="character" w:styleId="IntenseEmphasis">
    <w:name w:val="Intense Emphasis"/>
    <w:basedOn w:val="DefaultParagraphFont"/>
    <w:uiPriority w:val="21"/>
    <w:qFormat/>
    <w:rsid w:val="00441812"/>
    <w:rPr>
      <w:i/>
      <w:iCs/>
      <w:color w:val="0F4761" w:themeColor="accent1" w:themeShade="BF"/>
    </w:rPr>
  </w:style>
  <w:style w:type="paragraph" w:styleId="IntenseQuote">
    <w:name w:val="Intense Quote"/>
    <w:basedOn w:val="Normal"/>
    <w:next w:val="Normal"/>
    <w:link w:val="IntenseQuoteChar"/>
    <w:uiPriority w:val="30"/>
    <w:qFormat/>
    <w:rsid w:val="004418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1812"/>
    <w:rPr>
      <w:i/>
      <w:iCs/>
      <w:color w:val="0F4761" w:themeColor="accent1" w:themeShade="BF"/>
    </w:rPr>
  </w:style>
  <w:style w:type="character" w:styleId="IntenseReference">
    <w:name w:val="Intense Reference"/>
    <w:basedOn w:val="DefaultParagraphFont"/>
    <w:uiPriority w:val="32"/>
    <w:qFormat/>
    <w:rsid w:val="00441812"/>
    <w:rPr>
      <w:b/>
      <w:bCs/>
      <w:smallCaps/>
      <w:color w:val="0F4761" w:themeColor="accent1" w:themeShade="BF"/>
      <w:spacing w:val="5"/>
    </w:rPr>
  </w:style>
  <w:style w:type="character" w:styleId="Hyperlink">
    <w:name w:val="Hyperlink"/>
    <w:basedOn w:val="DefaultParagraphFont"/>
    <w:uiPriority w:val="99"/>
    <w:unhideWhenUsed/>
    <w:rsid w:val="00626BE4"/>
    <w:rPr>
      <w:color w:val="467886" w:themeColor="hyperlink"/>
      <w:u w:val="single"/>
    </w:rPr>
  </w:style>
  <w:style w:type="character" w:styleId="UnresolvedMention">
    <w:name w:val="Unresolved Mention"/>
    <w:basedOn w:val="DefaultParagraphFont"/>
    <w:uiPriority w:val="99"/>
    <w:semiHidden/>
    <w:unhideWhenUsed/>
    <w:rsid w:val="00626BE4"/>
    <w:rPr>
      <w:color w:val="605E5C"/>
      <w:shd w:val="clear" w:color="auto" w:fill="E1DFDD"/>
    </w:rPr>
  </w:style>
  <w:style w:type="paragraph" w:styleId="NormalWeb">
    <w:name w:val="Normal (Web)"/>
    <w:basedOn w:val="Normal"/>
    <w:uiPriority w:val="99"/>
    <w:semiHidden/>
    <w:unhideWhenUsed/>
    <w:rsid w:val="00C57F5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C57F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F50"/>
  </w:style>
  <w:style w:type="paragraph" w:styleId="Footer">
    <w:name w:val="footer"/>
    <w:basedOn w:val="Normal"/>
    <w:link w:val="FooterChar"/>
    <w:uiPriority w:val="99"/>
    <w:unhideWhenUsed/>
    <w:rsid w:val="00C57F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F50"/>
  </w:style>
  <w:style w:type="paragraph" w:styleId="TOCHeading">
    <w:name w:val="TOC Heading"/>
    <w:basedOn w:val="Heading1"/>
    <w:next w:val="Normal"/>
    <w:uiPriority w:val="39"/>
    <w:unhideWhenUsed/>
    <w:qFormat/>
    <w:rsid w:val="005636E8"/>
    <w:pPr>
      <w:spacing w:before="240" w:after="0" w:line="259" w:lineRule="auto"/>
      <w:outlineLvl w:val="9"/>
    </w:pPr>
    <w:rPr>
      <w:kern w:val="0"/>
      <w:lang w:val="en-US"/>
      <w14:ligatures w14:val="none"/>
    </w:rPr>
  </w:style>
  <w:style w:type="paragraph" w:styleId="TOC1">
    <w:name w:val="toc 1"/>
    <w:basedOn w:val="Normal"/>
    <w:next w:val="Normal"/>
    <w:autoRedefine/>
    <w:uiPriority w:val="39"/>
    <w:unhideWhenUsed/>
    <w:rsid w:val="00214A33"/>
    <w:pPr>
      <w:tabs>
        <w:tab w:val="right" w:leader="dot" w:pos="9016"/>
      </w:tabs>
      <w:spacing w:after="100"/>
    </w:pPr>
    <w:rPr>
      <w:rFonts w:ascii="Arial" w:hAnsi="Arial" w:cs="Arial"/>
      <w:noProof/>
    </w:rPr>
  </w:style>
  <w:style w:type="character" w:styleId="Strong">
    <w:name w:val="Strong"/>
    <w:basedOn w:val="DefaultParagraphFont"/>
    <w:uiPriority w:val="22"/>
    <w:qFormat/>
    <w:rsid w:val="005636E8"/>
    <w:rPr>
      <w:b/>
      <w:bCs/>
    </w:rPr>
  </w:style>
  <w:style w:type="paragraph" w:styleId="TOC2">
    <w:name w:val="toc 2"/>
    <w:basedOn w:val="Normal"/>
    <w:next w:val="Normal"/>
    <w:autoRedefine/>
    <w:uiPriority w:val="39"/>
    <w:unhideWhenUsed/>
    <w:rsid w:val="00B334B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EB4FC-C5CD-456F-840D-F99E99082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5531</Words>
  <Characters>31532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Constance Yolandah Collins-Mears (2243935)</dc:creator>
  <cp:keywords/>
  <dc:description/>
  <cp:lastModifiedBy>Christine Constance Yolandah Collins-Mears (2243935)</cp:lastModifiedBy>
  <cp:revision>2</cp:revision>
  <dcterms:created xsi:type="dcterms:W3CDTF">2025-12-19T12:20:00Z</dcterms:created>
  <dcterms:modified xsi:type="dcterms:W3CDTF">2025-12-19T12:20:00Z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6f5a07b4-9b57-4c35-b5c2-1a551b00c2b1</vt:lpwstr>
  </property>
</Properties>
</file>