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305659" w:rsidRDefault="00F37B62" w:rsidP="00410552">
      <w:pPr>
        <w:spacing w:line="360" w:lineRule="auto"/>
        <w:jc w:val="both"/>
        <w:rPr>
          <w:rFonts w:ascii="Times New Roman" w:hAnsi="Times New Roman" w:cs="Times New Roman"/>
          <w:sz w:val="24"/>
          <w:szCs w:val="24"/>
        </w:rPr>
      </w:pPr>
      <w:r w:rsidRPr="00305659">
        <w:rPr>
          <w:rFonts w:ascii="Times New Roman" w:hAnsi="Times New Roman" w:cs="Times New Roman"/>
          <w:noProof/>
          <w:sz w:val="24"/>
          <w:szCs w:val="24"/>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305659" w:rsidRDefault="00F37B62" w:rsidP="00410552">
      <w:pPr>
        <w:spacing w:line="360" w:lineRule="auto"/>
        <w:jc w:val="both"/>
        <w:rPr>
          <w:rFonts w:ascii="Times New Roman" w:hAnsi="Times New Roman" w:cs="Times New Roman"/>
          <w:sz w:val="24"/>
          <w:szCs w:val="24"/>
        </w:rPr>
      </w:pPr>
    </w:p>
    <w:p w14:paraId="5BDFF3BD" w14:textId="5EDF5E29" w:rsidR="00F37B62" w:rsidRPr="00305659" w:rsidRDefault="00F37B62" w:rsidP="00410552">
      <w:pPr>
        <w:spacing w:line="360" w:lineRule="auto"/>
        <w:jc w:val="both"/>
        <w:rPr>
          <w:rFonts w:ascii="Times New Roman" w:hAnsi="Times New Roman" w:cs="Times New Roman"/>
          <w:sz w:val="24"/>
          <w:szCs w:val="24"/>
        </w:rPr>
      </w:pPr>
    </w:p>
    <w:p w14:paraId="3A2C342B" w14:textId="4CDA3754" w:rsidR="00F37B62" w:rsidRPr="00305659" w:rsidRDefault="00F37B62" w:rsidP="00410552">
      <w:pPr>
        <w:spacing w:line="360" w:lineRule="auto"/>
        <w:jc w:val="both"/>
        <w:rPr>
          <w:rFonts w:ascii="Times New Roman" w:hAnsi="Times New Roman" w:cs="Times New Roman"/>
          <w:sz w:val="24"/>
          <w:szCs w:val="24"/>
        </w:rPr>
      </w:pPr>
    </w:p>
    <w:p w14:paraId="6471E3EA" w14:textId="57652776" w:rsidR="00E255EA" w:rsidRPr="002B21C0" w:rsidRDefault="00931C9B" w:rsidP="002B21C0">
      <w:pPr>
        <w:spacing w:line="360" w:lineRule="auto"/>
        <w:jc w:val="center"/>
        <w:rPr>
          <w:rFonts w:ascii="Times New Roman" w:hAnsi="Times New Roman" w:cs="Times New Roman"/>
          <w:b/>
          <w:bCs/>
          <w:sz w:val="52"/>
          <w:szCs w:val="52"/>
        </w:rPr>
      </w:pPr>
      <w:r w:rsidRPr="002B21C0">
        <w:rPr>
          <w:rFonts w:ascii="Times New Roman" w:hAnsi="Times New Roman" w:cs="Times New Roman"/>
          <w:b/>
          <w:bCs/>
          <w:sz w:val="52"/>
          <w:szCs w:val="52"/>
        </w:rPr>
        <w:t>BA(Hons) Business Management</w:t>
      </w:r>
    </w:p>
    <w:p w14:paraId="3D8A9CBE" w14:textId="059DCEF2" w:rsidR="00DE135B" w:rsidRPr="002B21C0" w:rsidRDefault="00E435E6" w:rsidP="002B21C0">
      <w:pPr>
        <w:spacing w:line="360" w:lineRule="auto"/>
        <w:jc w:val="center"/>
        <w:rPr>
          <w:rFonts w:ascii="Times New Roman" w:hAnsi="Times New Roman" w:cs="Times New Roman"/>
          <w:b/>
          <w:bCs/>
          <w:sz w:val="52"/>
          <w:szCs w:val="52"/>
        </w:rPr>
      </w:pPr>
      <w:r w:rsidRPr="002B21C0">
        <w:rPr>
          <w:rFonts w:ascii="Times New Roman" w:hAnsi="Times New Roman" w:cs="Times New Roman"/>
          <w:b/>
          <w:bCs/>
          <w:sz w:val="52"/>
          <w:szCs w:val="52"/>
        </w:rPr>
        <w:t>Portfolio</w:t>
      </w:r>
    </w:p>
    <w:p w14:paraId="4C9D3567" w14:textId="07962594" w:rsidR="00021656" w:rsidRDefault="00E435E6" w:rsidP="002B21C0">
      <w:pPr>
        <w:spacing w:line="360" w:lineRule="auto"/>
        <w:jc w:val="center"/>
        <w:rPr>
          <w:rFonts w:ascii="Times New Roman" w:hAnsi="Times New Roman" w:cs="Times New Roman"/>
          <w:b/>
          <w:bCs/>
          <w:sz w:val="52"/>
          <w:szCs w:val="52"/>
        </w:rPr>
      </w:pPr>
      <w:r w:rsidRPr="002B21C0">
        <w:rPr>
          <w:rFonts w:ascii="Times New Roman" w:hAnsi="Times New Roman" w:cs="Times New Roman"/>
          <w:b/>
          <w:bCs/>
          <w:sz w:val="52"/>
          <w:szCs w:val="52"/>
        </w:rPr>
        <w:t>Task 1: Business Plan Development</w:t>
      </w:r>
    </w:p>
    <w:p w14:paraId="53FDFE31" w14:textId="77777777" w:rsidR="002B21C0" w:rsidRPr="002B21C0" w:rsidRDefault="002B21C0" w:rsidP="002B21C0">
      <w:pPr>
        <w:spacing w:line="360" w:lineRule="auto"/>
        <w:jc w:val="center"/>
        <w:rPr>
          <w:rFonts w:ascii="Times New Roman" w:hAnsi="Times New Roman" w:cs="Times New Roman"/>
          <w:b/>
          <w:bCs/>
          <w:sz w:val="52"/>
          <w:szCs w:val="52"/>
        </w:rPr>
      </w:pPr>
    </w:p>
    <w:p w14:paraId="1EE10BBF" w14:textId="68C1FFDA" w:rsidR="00F37B62" w:rsidRPr="00305659" w:rsidRDefault="00F37B6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Student Name:</w:t>
      </w:r>
      <w:r w:rsidR="002D2C89" w:rsidRPr="00305659">
        <w:rPr>
          <w:rFonts w:ascii="Times New Roman" w:hAnsi="Times New Roman" w:cs="Times New Roman"/>
          <w:sz w:val="24"/>
          <w:szCs w:val="24"/>
        </w:rPr>
        <w:t xml:space="preserve"> Alexandra </w:t>
      </w:r>
      <w:r w:rsidR="007A7CE8" w:rsidRPr="00305659">
        <w:rPr>
          <w:rFonts w:ascii="Times New Roman" w:hAnsi="Times New Roman" w:cs="Times New Roman"/>
          <w:sz w:val="24"/>
          <w:szCs w:val="24"/>
        </w:rPr>
        <w:t>Clapa</w:t>
      </w:r>
    </w:p>
    <w:p w14:paraId="432CDF3F" w14:textId="5E0424AC" w:rsidR="00F37B62" w:rsidRPr="00305659" w:rsidRDefault="00F37B6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Student Number:</w:t>
      </w:r>
      <w:r w:rsidR="002D2C89" w:rsidRPr="00305659">
        <w:rPr>
          <w:rFonts w:ascii="Times New Roman" w:hAnsi="Times New Roman" w:cs="Times New Roman"/>
          <w:sz w:val="24"/>
          <w:szCs w:val="24"/>
        </w:rPr>
        <w:t xml:space="preserve"> 2243446</w:t>
      </w:r>
    </w:p>
    <w:p w14:paraId="777CB569" w14:textId="234E14BE" w:rsidR="00F37B62" w:rsidRPr="00305659" w:rsidRDefault="00F37B6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Course Name: </w:t>
      </w:r>
      <w:r w:rsidR="001B7D6B" w:rsidRPr="00305659">
        <w:rPr>
          <w:rFonts w:ascii="Times New Roman" w:hAnsi="Times New Roman" w:cs="Times New Roman"/>
          <w:sz w:val="24"/>
          <w:szCs w:val="24"/>
        </w:rPr>
        <w:t>Entrepreneurship</w:t>
      </w:r>
    </w:p>
    <w:p w14:paraId="10F9AE62" w14:textId="6E3A8A1F" w:rsidR="00642150" w:rsidRPr="00305659" w:rsidRDefault="00642150"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Module code: </w:t>
      </w:r>
      <w:r w:rsidR="001B7D6B" w:rsidRPr="00305659">
        <w:rPr>
          <w:rFonts w:ascii="Times New Roman" w:hAnsi="Times New Roman" w:cs="Times New Roman"/>
          <w:sz w:val="24"/>
          <w:szCs w:val="24"/>
        </w:rPr>
        <w:t>LCBB5013_LON</w:t>
      </w:r>
    </w:p>
    <w:p w14:paraId="07903369" w14:textId="713CE53E" w:rsidR="00FC0ACD" w:rsidRPr="00305659" w:rsidRDefault="00F37B6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Lecturer Name: </w:t>
      </w:r>
      <w:r w:rsidR="00021656" w:rsidRPr="00305659">
        <w:rPr>
          <w:rFonts w:ascii="Times New Roman" w:hAnsi="Times New Roman" w:cs="Times New Roman"/>
          <w:sz w:val="24"/>
          <w:szCs w:val="24"/>
        </w:rPr>
        <w:t>Amer Kareem</w:t>
      </w:r>
    </w:p>
    <w:p w14:paraId="28FD6FE6" w14:textId="0EEEAE42" w:rsidR="00ED2CA6" w:rsidRPr="00305659" w:rsidRDefault="00F37B62" w:rsidP="002B21C0">
      <w:pPr>
        <w:tabs>
          <w:tab w:val="left" w:pos="1348"/>
        </w:tabs>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Session: </w:t>
      </w:r>
      <w:r w:rsidR="001B7D6B" w:rsidRPr="00305659">
        <w:rPr>
          <w:rFonts w:ascii="Times New Roman" w:hAnsi="Times New Roman" w:cs="Times New Roman"/>
          <w:sz w:val="24"/>
          <w:szCs w:val="24"/>
        </w:rPr>
        <w:t>October</w:t>
      </w:r>
      <w:r w:rsidR="00021656" w:rsidRPr="00305659">
        <w:rPr>
          <w:rFonts w:ascii="Times New Roman" w:hAnsi="Times New Roman" w:cs="Times New Roman"/>
          <w:sz w:val="24"/>
          <w:szCs w:val="24"/>
        </w:rPr>
        <w:t xml:space="preserve"> </w:t>
      </w:r>
      <w:r w:rsidR="00923E0B" w:rsidRPr="00305659">
        <w:rPr>
          <w:rFonts w:ascii="Times New Roman" w:hAnsi="Times New Roman" w:cs="Times New Roman"/>
          <w:sz w:val="24"/>
          <w:szCs w:val="24"/>
        </w:rPr>
        <w:t>2025</w:t>
      </w:r>
    </w:p>
    <w:p w14:paraId="1859355F" w14:textId="77777777" w:rsidR="00ED2CA6" w:rsidRPr="00305659" w:rsidRDefault="00ED2CA6" w:rsidP="00410552">
      <w:pPr>
        <w:spacing w:line="360" w:lineRule="auto"/>
        <w:jc w:val="both"/>
        <w:rPr>
          <w:rFonts w:ascii="Times New Roman" w:hAnsi="Times New Roman" w:cs="Times New Roman"/>
          <w:sz w:val="24"/>
          <w:szCs w:val="24"/>
        </w:rPr>
      </w:pPr>
    </w:p>
    <w:p w14:paraId="7AC35302" w14:textId="77777777" w:rsidR="00ED2CA6" w:rsidRPr="00305659" w:rsidRDefault="00ED2CA6" w:rsidP="00410552">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284194449"/>
        <w:docPartObj>
          <w:docPartGallery w:val="Table of Contents"/>
          <w:docPartUnique/>
        </w:docPartObj>
      </w:sdtPr>
      <w:sdtContent>
        <w:p w14:paraId="385D30FF" w14:textId="3C9D3F0B" w:rsidR="005C33DA" w:rsidRPr="00305659" w:rsidRDefault="005C33D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Contents</w:t>
          </w:r>
        </w:p>
        <w:p w14:paraId="0C312F2D" w14:textId="6D0B6B2B" w:rsidR="00957FEC" w:rsidRDefault="005C33DA">
          <w:pPr>
            <w:pStyle w:val="TOC1"/>
            <w:tabs>
              <w:tab w:val="right" w:leader="dot" w:pos="9016"/>
            </w:tabs>
            <w:rPr>
              <w:noProof/>
              <w:kern w:val="2"/>
              <w:sz w:val="24"/>
              <w:szCs w:val="24"/>
              <w:lang w:eastAsia="en-GB"/>
              <w14:ligatures w14:val="standardContextual"/>
            </w:rPr>
          </w:pPr>
          <w:r w:rsidRPr="00305659">
            <w:rPr>
              <w:rFonts w:ascii="Times New Roman" w:hAnsi="Times New Roman" w:cs="Times New Roman"/>
              <w:sz w:val="24"/>
              <w:szCs w:val="24"/>
            </w:rPr>
            <w:fldChar w:fldCharType="begin"/>
          </w:r>
          <w:r w:rsidRPr="00305659">
            <w:rPr>
              <w:rFonts w:ascii="Times New Roman" w:hAnsi="Times New Roman" w:cs="Times New Roman"/>
              <w:sz w:val="24"/>
              <w:szCs w:val="24"/>
            </w:rPr>
            <w:instrText xml:space="preserve"> TOC \o "1-3" \h \z \u </w:instrText>
          </w:r>
          <w:r w:rsidRPr="00305659">
            <w:rPr>
              <w:rFonts w:ascii="Times New Roman" w:hAnsi="Times New Roman" w:cs="Times New Roman"/>
              <w:sz w:val="24"/>
              <w:szCs w:val="24"/>
            </w:rPr>
            <w:fldChar w:fldCharType="separate"/>
          </w:r>
          <w:hyperlink w:anchor="_Toc214794128" w:history="1">
            <w:r w:rsidR="00957FEC" w:rsidRPr="00647D12">
              <w:rPr>
                <w:rStyle w:val="Hyperlink"/>
                <w:rFonts w:ascii="Times New Roman" w:hAnsi="Times New Roman" w:cs="Times New Roman"/>
                <w:b/>
                <w:bCs/>
                <w:noProof/>
              </w:rPr>
              <w:t>Element 1:</w:t>
            </w:r>
            <w:r w:rsidR="00957FEC">
              <w:rPr>
                <w:noProof/>
                <w:webHidden/>
              </w:rPr>
              <w:tab/>
            </w:r>
            <w:r w:rsidR="00957FEC">
              <w:rPr>
                <w:noProof/>
                <w:webHidden/>
              </w:rPr>
              <w:fldChar w:fldCharType="begin"/>
            </w:r>
            <w:r w:rsidR="00957FEC">
              <w:rPr>
                <w:noProof/>
                <w:webHidden/>
              </w:rPr>
              <w:instrText xml:space="preserve"> PAGEREF _Toc214794128 \h </w:instrText>
            </w:r>
            <w:r w:rsidR="00957FEC">
              <w:rPr>
                <w:noProof/>
                <w:webHidden/>
              </w:rPr>
            </w:r>
            <w:r w:rsidR="00957FEC">
              <w:rPr>
                <w:noProof/>
                <w:webHidden/>
              </w:rPr>
              <w:fldChar w:fldCharType="separate"/>
            </w:r>
            <w:r w:rsidR="00957FEC">
              <w:rPr>
                <w:noProof/>
                <w:webHidden/>
              </w:rPr>
              <w:t>3</w:t>
            </w:r>
            <w:r w:rsidR="00957FEC">
              <w:rPr>
                <w:noProof/>
                <w:webHidden/>
              </w:rPr>
              <w:fldChar w:fldCharType="end"/>
            </w:r>
          </w:hyperlink>
        </w:p>
        <w:p w14:paraId="55EB7696" w14:textId="3493E4DA" w:rsidR="00957FEC" w:rsidRDefault="00957FEC">
          <w:pPr>
            <w:pStyle w:val="TOC2"/>
            <w:tabs>
              <w:tab w:val="right" w:leader="dot" w:pos="9016"/>
            </w:tabs>
            <w:rPr>
              <w:noProof/>
              <w:kern w:val="2"/>
              <w:sz w:val="24"/>
              <w:szCs w:val="24"/>
              <w:lang w:eastAsia="en-GB"/>
              <w14:ligatures w14:val="standardContextual"/>
            </w:rPr>
          </w:pPr>
          <w:hyperlink w:anchor="_Toc214794129" w:history="1">
            <w:r w:rsidRPr="00647D12">
              <w:rPr>
                <w:rStyle w:val="Hyperlink"/>
                <w:rFonts w:ascii="Times New Roman" w:hAnsi="Times New Roman" w:cs="Times New Roman"/>
                <w:b/>
                <w:bCs/>
                <w:noProof/>
              </w:rPr>
              <w:t>Business Idea, Products/Services</w:t>
            </w:r>
            <w:r>
              <w:rPr>
                <w:noProof/>
                <w:webHidden/>
              </w:rPr>
              <w:tab/>
            </w:r>
            <w:r>
              <w:rPr>
                <w:noProof/>
                <w:webHidden/>
              </w:rPr>
              <w:fldChar w:fldCharType="begin"/>
            </w:r>
            <w:r>
              <w:rPr>
                <w:noProof/>
                <w:webHidden/>
              </w:rPr>
              <w:instrText xml:space="preserve"> PAGEREF _Toc214794129 \h </w:instrText>
            </w:r>
            <w:r>
              <w:rPr>
                <w:noProof/>
                <w:webHidden/>
              </w:rPr>
            </w:r>
            <w:r>
              <w:rPr>
                <w:noProof/>
                <w:webHidden/>
              </w:rPr>
              <w:fldChar w:fldCharType="separate"/>
            </w:r>
            <w:r>
              <w:rPr>
                <w:noProof/>
                <w:webHidden/>
              </w:rPr>
              <w:t>3</w:t>
            </w:r>
            <w:r>
              <w:rPr>
                <w:noProof/>
                <w:webHidden/>
              </w:rPr>
              <w:fldChar w:fldCharType="end"/>
            </w:r>
          </w:hyperlink>
        </w:p>
        <w:p w14:paraId="45313CE5" w14:textId="4E54B0A0" w:rsidR="00957FEC" w:rsidRDefault="00957FEC">
          <w:pPr>
            <w:pStyle w:val="TOC2"/>
            <w:tabs>
              <w:tab w:val="right" w:leader="dot" w:pos="9016"/>
            </w:tabs>
            <w:rPr>
              <w:noProof/>
              <w:kern w:val="2"/>
              <w:sz w:val="24"/>
              <w:szCs w:val="24"/>
              <w:lang w:eastAsia="en-GB"/>
              <w14:ligatures w14:val="standardContextual"/>
            </w:rPr>
          </w:pPr>
          <w:hyperlink w:anchor="_Toc214794130" w:history="1">
            <w:r w:rsidRPr="00647D12">
              <w:rPr>
                <w:rStyle w:val="Hyperlink"/>
                <w:rFonts w:ascii="Times New Roman" w:hAnsi="Times New Roman" w:cs="Times New Roman"/>
                <w:b/>
                <w:bCs/>
                <w:noProof/>
              </w:rPr>
              <w:t>Objectives</w:t>
            </w:r>
            <w:r>
              <w:rPr>
                <w:noProof/>
                <w:webHidden/>
              </w:rPr>
              <w:tab/>
            </w:r>
            <w:r>
              <w:rPr>
                <w:noProof/>
                <w:webHidden/>
              </w:rPr>
              <w:fldChar w:fldCharType="begin"/>
            </w:r>
            <w:r>
              <w:rPr>
                <w:noProof/>
                <w:webHidden/>
              </w:rPr>
              <w:instrText xml:space="preserve"> PAGEREF _Toc214794130 \h </w:instrText>
            </w:r>
            <w:r>
              <w:rPr>
                <w:noProof/>
                <w:webHidden/>
              </w:rPr>
            </w:r>
            <w:r>
              <w:rPr>
                <w:noProof/>
                <w:webHidden/>
              </w:rPr>
              <w:fldChar w:fldCharType="separate"/>
            </w:r>
            <w:r>
              <w:rPr>
                <w:noProof/>
                <w:webHidden/>
              </w:rPr>
              <w:t>4</w:t>
            </w:r>
            <w:r>
              <w:rPr>
                <w:noProof/>
                <w:webHidden/>
              </w:rPr>
              <w:fldChar w:fldCharType="end"/>
            </w:r>
          </w:hyperlink>
        </w:p>
        <w:p w14:paraId="0CFA0652" w14:textId="446F969E" w:rsidR="00957FEC" w:rsidRDefault="00957FEC">
          <w:pPr>
            <w:pStyle w:val="TOC2"/>
            <w:tabs>
              <w:tab w:val="right" w:leader="dot" w:pos="9016"/>
            </w:tabs>
            <w:rPr>
              <w:noProof/>
              <w:kern w:val="2"/>
              <w:sz w:val="24"/>
              <w:szCs w:val="24"/>
              <w:lang w:eastAsia="en-GB"/>
              <w14:ligatures w14:val="standardContextual"/>
            </w:rPr>
          </w:pPr>
          <w:hyperlink w:anchor="_Toc214794131" w:history="1">
            <w:r w:rsidRPr="00647D12">
              <w:rPr>
                <w:rStyle w:val="Hyperlink"/>
                <w:rFonts w:ascii="Times New Roman" w:hAnsi="Times New Roman" w:cs="Times New Roman"/>
                <w:b/>
                <w:bCs/>
                <w:noProof/>
              </w:rPr>
              <w:t>Unique Selling Proposition</w:t>
            </w:r>
            <w:r>
              <w:rPr>
                <w:noProof/>
                <w:webHidden/>
              </w:rPr>
              <w:tab/>
            </w:r>
            <w:r>
              <w:rPr>
                <w:noProof/>
                <w:webHidden/>
              </w:rPr>
              <w:fldChar w:fldCharType="begin"/>
            </w:r>
            <w:r>
              <w:rPr>
                <w:noProof/>
                <w:webHidden/>
              </w:rPr>
              <w:instrText xml:space="preserve"> PAGEREF _Toc214794131 \h </w:instrText>
            </w:r>
            <w:r>
              <w:rPr>
                <w:noProof/>
                <w:webHidden/>
              </w:rPr>
            </w:r>
            <w:r>
              <w:rPr>
                <w:noProof/>
                <w:webHidden/>
              </w:rPr>
              <w:fldChar w:fldCharType="separate"/>
            </w:r>
            <w:r>
              <w:rPr>
                <w:noProof/>
                <w:webHidden/>
              </w:rPr>
              <w:t>5</w:t>
            </w:r>
            <w:r>
              <w:rPr>
                <w:noProof/>
                <w:webHidden/>
              </w:rPr>
              <w:fldChar w:fldCharType="end"/>
            </w:r>
          </w:hyperlink>
        </w:p>
        <w:p w14:paraId="6ED12531" w14:textId="6D7A4767" w:rsidR="00957FEC" w:rsidRDefault="00957FEC">
          <w:pPr>
            <w:pStyle w:val="TOC1"/>
            <w:tabs>
              <w:tab w:val="right" w:leader="dot" w:pos="9016"/>
            </w:tabs>
            <w:rPr>
              <w:noProof/>
              <w:kern w:val="2"/>
              <w:sz w:val="24"/>
              <w:szCs w:val="24"/>
              <w:lang w:eastAsia="en-GB"/>
              <w14:ligatures w14:val="standardContextual"/>
            </w:rPr>
          </w:pPr>
          <w:hyperlink w:anchor="_Toc214794132" w:history="1">
            <w:r w:rsidRPr="00647D12">
              <w:rPr>
                <w:rStyle w:val="Hyperlink"/>
                <w:rFonts w:ascii="Times New Roman" w:hAnsi="Times New Roman" w:cs="Times New Roman"/>
                <w:b/>
                <w:bCs/>
                <w:noProof/>
              </w:rPr>
              <w:t>Element 2: Business Environment and Competitor Analysis</w:t>
            </w:r>
            <w:r>
              <w:rPr>
                <w:noProof/>
                <w:webHidden/>
              </w:rPr>
              <w:tab/>
            </w:r>
            <w:r>
              <w:rPr>
                <w:noProof/>
                <w:webHidden/>
              </w:rPr>
              <w:fldChar w:fldCharType="begin"/>
            </w:r>
            <w:r>
              <w:rPr>
                <w:noProof/>
                <w:webHidden/>
              </w:rPr>
              <w:instrText xml:space="preserve"> PAGEREF _Toc214794132 \h </w:instrText>
            </w:r>
            <w:r>
              <w:rPr>
                <w:noProof/>
                <w:webHidden/>
              </w:rPr>
            </w:r>
            <w:r>
              <w:rPr>
                <w:noProof/>
                <w:webHidden/>
              </w:rPr>
              <w:fldChar w:fldCharType="separate"/>
            </w:r>
            <w:r>
              <w:rPr>
                <w:noProof/>
                <w:webHidden/>
              </w:rPr>
              <w:t>5</w:t>
            </w:r>
            <w:r>
              <w:rPr>
                <w:noProof/>
                <w:webHidden/>
              </w:rPr>
              <w:fldChar w:fldCharType="end"/>
            </w:r>
          </w:hyperlink>
        </w:p>
        <w:p w14:paraId="688CCBD9" w14:textId="60B61F10" w:rsidR="00957FEC" w:rsidRDefault="00957FEC">
          <w:pPr>
            <w:pStyle w:val="TOC2"/>
            <w:tabs>
              <w:tab w:val="right" w:leader="dot" w:pos="9016"/>
            </w:tabs>
            <w:rPr>
              <w:noProof/>
              <w:kern w:val="2"/>
              <w:sz w:val="24"/>
              <w:szCs w:val="24"/>
              <w:lang w:eastAsia="en-GB"/>
              <w14:ligatures w14:val="standardContextual"/>
            </w:rPr>
          </w:pPr>
          <w:hyperlink w:anchor="_Toc214794133" w:history="1">
            <w:r w:rsidRPr="00647D12">
              <w:rPr>
                <w:rStyle w:val="Hyperlink"/>
                <w:rFonts w:ascii="Times New Roman" w:hAnsi="Times New Roman" w:cs="Times New Roman"/>
                <w:b/>
                <w:bCs/>
                <w:noProof/>
              </w:rPr>
              <w:t>PESTEL Analysis</w:t>
            </w:r>
            <w:r>
              <w:rPr>
                <w:noProof/>
                <w:webHidden/>
              </w:rPr>
              <w:tab/>
            </w:r>
            <w:r>
              <w:rPr>
                <w:noProof/>
                <w:webHidden/>
              </w:rPr>
              <w:fldChar w:fldCharType="begin"/>
            </w:r>
            <w:r>
              <w:rPr>
                <w:noProof/>
                <w:webHidden/>
              </w:rPr>
              <w:instrText xml:space="preserve"> PAGEREF _Toc214794133 \h </w:instrText>
            </w:r>
            <w:r>
              <w:rPr>
                <w:noProof/>
                <w:webHidden/>
              </w:rPr>
            </w:r>
            <w:r>
              <w:rPr>
                <w:noProof/>
                <w:webHidden/>
              </w:rPr>
              <w:fldChar w:fldCharType="separate"/>
            </w:r>
            <w:r>
              <w:rPr>
                <w:noProof/>
                <w:webHidden/>
              </w:rPr>
              <w:t>5</w:t>
            </w:r>
            <w:r>
              <w:rPr>
                <w:noProof/>
                <w:webHidden/>
              </w:rPr>
              <w:fldChar w:fldCharType="end"/>
            </w:r>
          </w:hyperlink>
        </w:p>
        <w:p w14:paraId="7C753831" w14:textId="39CB1CBE" w:rsidR="00957FEC" w:rsidRDefault="00957FEC">
          <w:pPr>
            <w:pStyle w:val="TOC2"/>
            <w:tabs>
              <w:tab w:val="right" w:leader="dot" w:pos="9016"/>
            </w:tabs>
            <w:rPr>
              <w:noProof/>
              <w:kern w:val="2"/>
              <w:sz w:val="24"/>
              <w:szCs w:val="24"/>
              <w:lang w:eastAsia="en-GB"/>
              <w14:ligatures w14:val="standardContextual"/>
            </w:rPr>
          </w:pPr>
          <w:hyperlink w:anchor="_Toc214794134" w:history="1">
            <w:r w:rsidRPr="00647D12">
              <w:rPr>
                <w:rStyle w:val="Hyperlink"/>
                <w:rFonts w:ascii="Times New Roman" w:hAnsi="Times New Roman" w:cs="Times New Roman"/>
                <w:b/>
                <w:bCs/>
                <w:noProof/>
              </w:rPr>
              <w:t>SWOT Analysis</w:t>
            </w:r>
            <w:r>
              <w:rPr>
                <w:noProof/>
                <w:webHidden/>
              </w:rPr>
              <w:tab/>
            </w:r>
            <w:r>
              <w:rPr>
                <w:noProof/>
                <w:webHidden/>
              </w:rPr>
              <w:fldChar w:fldCharType="begin"/>
            </w:r>
            <w:r>
              <w:rPr>
                <w:noProof/>
                <w:webHidden/>
              </w:rPr>
              <w:instrText xml:space="preserve"> PAGEREF _Toc214794134 \h </w:instrText>
            </w:r>
            <w:r>
              <w:rPr>
                <w:noProof/>
                <w:webHidden/>
              </w:rPr>
            </w:r>
            <w:r>
              <w:rPr>
                <w:noProof/>
                <w:webHidden/>
              </w:rPr>
              <w:fldChar w:fldCharType="separate"/>
            </w:r>
            <w:r>
              <w:rPr>
                <w:noProof/>
                <w:webHidden/>
              </w:rPr>
              <w:t>7</w:t>
            </w:r>
            <w:r>
              <w:rPr>
                <w:noProof/>
                <w:webHidden/>
              </w:rPr>
              <w:fldChar w:fldCharType="end"/>
            </w:r>
          </w:hyperlink>
        </w:p>
        <w:p w14:paraId="37F9B360" w14:textId="53C992B9" w:rsidR="00957FEC" w:rsidRDefault="00957FEC">
          <w:pPr>
            <w:pStyle w:val="TOC2"/>
            <w:tabs>
              <w:tab w:val="right" w:leader="dot" w:pos="9016"/>
            </w:tabs>
            <w:rPr>
              <w:noProof/>
              <w:kern w:val="2"/>
              <w:sz w:val="24"/>
              <w:szCs w:val="24"/>
              <w:lang w:eastAsia="en-GB"/>
              <w14:ligatures w14:val="standardContextual"/>
            </w:rPr>
          </w:pPr>
          <w:hyperlink w:anchor="_Toc214794135" w:history="1">
            <w:r w:rsidRPr="00647D12">
              <w:rPr>
                <w:rStyle w:val="Hyperlink"/>
                <w:rFonts w:ascii="Times New Roman" w:hAnsi="Times New Roman" w:cs="Times New Roman"/>
                <w:b/>
                <w:bCs/>
                <w:noProof/>
              </w:rPr>
              <w:t>Porter’s Five Forces Analysis</w:t>
            </w:r>
            <w:r>
              <w:rPr>
                <w:noProof/>
                <w:webHidden/>
              </w:rPr>
              <w:tab/>
            </w:r>
            <w:r>
              <w:rPr>
                <w:noProof/>
                <w:webHidden/>
              </w:rPr>
              <w:fldChar w:fldCharType="begin"/>
            </w:r>
            <w:r>
              <w:rPr>
                <w:noProof/>
                <w:webHidden/>
              </w:rPr>
              <w:instrText xml:space="preserve"> PAGEREF _Toc214794135 \h </w:instrText>
            </w:r>
            <w:r>
              <w:rPr>
                <w:noProof/>
                <w:webHidden/>
              </w:rPr>
            </w:r>
            <w:r>
              <w:rPr>
                <w:noProof/>
                <w:webHidden/>
              </w:rPr>
              <w:fldChar w:fldCharType="separate"/>
            </w:r>
            <w:r>
              <w:rPr>
                <w:noProof/>
                <w:webHidden/>
              </w:rPr>
              <w:t>8</w:t>
            </w:r>
            <w:r>
              <w:rPr>
                <w:noProof/>
                <w:webHidden/>
              </w:rPr>
              <w:fldChar w:fldCharType="end"/>
            </w:r>
          </w:hyperlink>
        </w:p>
        <w:p w14:paraId="01634238" w14:textId="086932FD" w:rsidR="00957FEC" w:rsidRDefault="00957FEC">
          <w:pPr>
            <w:pStyle w:val="TOC1"/>
            <w:tabs>
              <w:tab w:val="right" w:leader="dot" w:pos="9016"/>
            </w:tabs>
            <w:rPr>
              <w:noProof/>
              <w:kern w:val="2"/>
              <w:sz w:val="24"/>
              <w:szCs w:val="24"/>
              <w:lang w:eastAsia="en-GB"/>
              <w14:ligatures w14:val="standardContextual"/>
            </w:rPr>
          </w:pPr>
          <w:hyperlink w:anchor="_Toc214794136" w:history="1">
            <w:r w:rsidRPr="00647D12">
              <w:rPr>
                <w:rStyle w:val="Hyperlink"/>
                <w:rFonts w:ascii="Times New Roman" w:hAnsi="Times New Roman" w:cs="Times New Roman"/>
                <w:b/>
                <w:bCs/>
                <w:noProof/>
              </w:rPr>
              <w:t>Element 3: Market Segmentation, the 4Ps, and Marketing Strategies</w:t>
            </w:r>
            <w:r>
              <w:rPr>
                <w:noProof/>
                <w:webHidden/>
              </w:rPr>
              <w:tab/>
            </w:r>
            <w:r>
              <w:rPr>
                <w:noProof/>
                <w:webHidden/>
              </w:rPr>
              <w:fldChar w:fldCharType="begin"/>
            </w:r>
            <w:r>
              <w:rPr>
                <w:noProof/>
                <w:webHidden/>
              </w:rPr>
              <w:instrText xml:space="preserve"> PAGEREF _Toc214794136 \h </w:instrText>
            </w:r>
            <w:r>
              <w:rPr>
                <w:noProof/>
                <w:webHidden/>
              </w:rPr>
            </w:r>
            <w:r>
              <w:rPr>
                <w:noProof/>
                <w:webHidden/>
              </w:rPr>
              <w:fldChar w:fldCharType="separate"/>
            </w:r>
            <w:r>
              <w:rPr>
                <w:noProof/>
                <w:webHidden/>
              </w:rPr>
              <w:t>9</w:t>
            </w:r>
            <w:r>
              <w:rPr>
                <w:noProof/>
                <w:webHidden/>
              </w:rPr>
              <w:fldChar w:fldCharType="end"/>
            </w:r>
          </w:hyperlink>
        </w:p>
        <w:p w14:paraId="57F017BD" w14:textId="14431C23" w:rsidR="00957FEC" w:rsidRDefault="00957FEC">
          <w:pPr>
            <w:pStyle w:val="TOC2"/>
            <w:tabs>
              <w:tab w:val="right" w:leader="dot" w:pos="9016"/>
            </w:tabs>
            <w:rPr>
              <w:noProof/>
              <w:kern w:val="2"/>
              <w:sz w:val="24"/>
              <w:szCs w:val="24"/>
              <w:lang w:eastAsia="en-GB"/>
              <w14:ligatures w14:val="standardContextual"/>
            </w:rPr>
          </w:pPr>
          <w:hyperlink w:anchor="_Toc214794137" w:history="1">
            <w:r w:rsidRPr="00647D12">
              <w:rPr>
                <w:rStyle w:val="Hyperlink"/>
                <w:rFonts w:ascii="Times New Roman" w:hAnsi="Times New Roman" w:cs="Times New Roman"/>
                <w:b/>
                <w:bCs/>
                <w:noProof/>
              </w:rPr>
              <w:t>Market Segmentation and Target Customers</w:t>
            </w:r>
            <w:r>
              <w:rPr>
                <w:noProof/>
                <w:webHidden/>
              </w:rPr>
              <w:tab/>
            </w:r>
            <w:r>
              <w:rPr>
                <w:noProof/>
                <w:webHidden/>
              </w:rPr>
              <w:fldChar w:fldCharType="begin"/>
            </w:r>
            <w:r>
              <w:rPr>
                <w:noProof/>
                <w:webHidden/>
              </w:rPr>
              <w:instrText xml:space="preserve"> PAGEREF _Toc214794137 \h </w:instrText>
            </w:r>
            <w:r>
              <w:rPr>
                <w:noProof/>
                <w:webHidden/>
              </w:rPr>
            </w:r>
            <w:r>
              <w:rPr>
                <w:noProof/>
                <w:webHidden/>
              </w:rPr>
              <w:fldChar w:fldCharType="separate"/>
            </w:r>
            <w:r>
              <w:rPr>
                <w:noProof/>
                <w:webHidden/>
              </w:rPr>
              <w:t>9</w:t>
            </w:r>
            <w:r>
              <w:rPr>
                <w:noProof/>
                <w:webHidden/>
              </w:rPr>
              <w:fldChar w:fldCharType="end"/>
            </w:r>
          </w:hyperlink>
        </w:p>
        <w:p w14:paraId="30CB8CBF" w14:textId="7496FBD0" w:rsidR="00957FEC" w:rsidRDefault="00957FEC">
          <w:pPr>
            <w:pStyle w:val="TOC3"/>
            <w:tabs>
              <w:tab w:val="right" w:leader="dot" w:pos="9016"/>
            </w:tabs>
            <w:rPr>
              <w:noProof/>
              <w:kern w:val="2"/>
              <w:sz w:val="24"/>
              <w:szCs w:val="24"/>
              <w:lang w:eastAsia="en-GB"/>
              <w14:ligatures w14:val="standardContextual"/>
            </w:rPr>
          </w:pPr>
          <w:hyperlink w:anchor="_Toc214794138" w:history="1">
            <w:r w:rsidRPr="00647D12">
              <w:rPr>
                <w:rStyle w:val="Hyperlink"/>
                <w:rFonts w:ascii="Times New Roman" w:hAnsi="Times New Roman" w:cs="Times New Roman"/>
                <w:b/>
                <w:bCs/>
                <w:noProof/>
              </w:rPr>
              <w:t>The Four Ps of Marketing</w:t>
            </w:r>
            <w:r>
              <w:rPr>
                <w:noProof/>
                <w:webHidden/>
              </w:rPr>
              <w:tab/>
            </w:r>
            <w:r>
              <w:rPr>
                <w:noProof/>
                <w:webHidden/>
              </w:rPr>
              <w:fldChar w:fldCharType="begin"/>
            </w:r>
            <w:r>
              <w:rPr>
                <w:noProof/>
                <w:webHidden/>
              </w:rPr>
              <w:instrText xml:space="preserve"> PAGEREF _Toc214794138 \h </w:instrText>
            </w:r>
            <w:r>
              <w:rPr>
                <w:noProof/>
                <w:webHidden/>
              </w:rPr>
            </w:r>
            <w:r>
              <w:rPr>
                <w:noProof/>
                <w:webHidden/>
              </w:rPr>
              <w:fldChar w:fldCharType="separate"/>
            </w:r>
            <w:r>
              <w:rPr>
                <w:noProof/>
                <w:webHidden/>
              </w:rPr>
              <w:t>9</w:t>
            </w:r>
            <w:r>
              <w:rPr>
                <w:noProof/>
                <w:webHidden/>
              </w:rPr>
              <w:fldChar w:fldCharType="end"/>
            </w:r>
          </w:hyperlink>
        </w:p>
        <w:p w14:paraId="0BE34D96" w14:textId="4D837932" w:rsidR="00957FEC" w:rsidRDefault="00957FEC">
          <w:pPr>
            <w:pStyle w:val="TOC1"/>
            <w:tabs>
              <w:tab w:val="right" w:leader="dot" w:pos="9016"/>
            </w:tabs>
            <w:rPr>
              <w:noProof/>
              <w:kern w:val="2"/>
              <w:sz w:val="24"/>
              <w:szCs w:val="24"/>
              <w:lang w:eastAsia="en-GB"/>
              <w14:ligatures w14:val="standardContextual"/>
            </w:rPr>
          </w:pPr>
          <w:hyperlink w:anchor="_Toc214794139" w:history="1">
            <w:r w:rsidRPr="00647D12">
              <w:rPr>
                <w:rStyle w:val="Hyperlink"/>
                <w:rFonts w:ascii="Times New Roman" w:hAnsi="Times New Roman" w:cs="Times New Roman"/>
                <w:b/>
                <w:bCs/>
                <w:noProof/>
              </w:rPr>
              <w:t>Element 4: Legal, Management, and Financial Planning</w:t>
            </w:r>
            <w:r>
              <w:rPr>
                <w:noProof/>
                <w:webHidden/>
              </w:rPr>
              <w:tab/>
            </w:r>
            <w:r>
              <w:rPr>
                <w:noProof/>
                <w:webHidden/>
              </w:rPr>
              <w:fldChar w:fldCharType="begin"/>
            </w:r>
            <w:r>
              <w:rPr>
                <w:noProof/>
                <w:webHidden/>
              </w:rPr>
              <w:instrText xml:space="preserve"> PAGEREF _Toc214794139 \h </w:instrText>
            </w:r>
            <w:r>
              <w:rPr>
                <w:noProof/>
                <w:webHidden/>
              </w:rPr>
            </w:r>
            <w:r>
              <w:rPr>
                <w:noProof/>
                <w:webHidden/>
              </w:rPr>
              <w:fldChar w:fldCharType="separate"/>
            </w:r>
            <w:r>
              <w:rPr>
                <w:noProof/>
                <w:webHidden/>
              </w:rPr>
              <w:t>11</w:t>
            </w:r>
            <w:r>
              <w:rPr>
                <w:noProof/>
                <w:webHidden/>
              </w:rPr>
              <w:fldChar w:fldCharType="end"/>
            </w:r>
          </w:hyperlink>
        </w:p>
        <w:p w14:paraId="2A2430EF" w14:textId="2807A872" w:rsidR="00957FEC" w:rsidRDefault="00957FEC">
          <w:pPr>
            <w:pStyle w:val="TOC2"/>
            <w:tabs>
              <w:tab w:val="right" w:leader="dot" w:pos="9016"/>
            </w:tabs>
            <w:rPr>
              <w:noProof/>
              <w:kern w:val="2"/>
              <w:sz w:val="24"/>
              <w:szCs w:val="24"/>
              <w:lang w:eastAsia="en-GB"/>
              <w14:ligatures w14:val="standardContextual"/>
            </w:rPr>
          </w:pPr>
          <w:hyperlink w:anchor="_Toc214794140" w:history="1">
            <w:r w:rsidRPr="00647D12">
              <w:rPr>
                <w:rStyle w:val="Hyperlink"/>
                <w:rFonts w:ascii="Times New Roman" w:hAnsi="Times New Roman" w:cs="Times New Roman"/>
                <w:b/>
                <w:bCs/>
                <w:noProof/>
              </w:rPr>
              <w:t>Legal Framework</w:t>
            </w:r>
            <w:r>
              <w:rPr>
                <w:noProof/>
                <w:webHidden/>
              </w:rPr>
              <w:tab/>
            </w:r>
            <w:r>
              <w:rPr>
                <w:noProof/>
                <w:webHidden/>
              </w:rPr>
              <w:fldChar w:fldCharType="begin"/>
            </w:r>
            <w:r>
              <w:rPr>
                <w:noProof/>
                <w:webHidden/>
              </w:rPr>
              <w:instrText xml:space="preserve"> PAGEREF _Toc214794140 \h </w:instrText>
            </w:r>
            <w:r>
              <w:rPr>
                <w:noProof/>
                <w:webHidden/>
              </w:rPr>
            </w:r>
            <w:r>
              <w:rPr>
                <w:noProof/>
                <w:webHidden/>
              </w:rPr>
              <w:fldChar w:fldCharType="separate"/>
            </w:r>
            <w:r>
              <w:rPr>
                <w:noProof/>
                <w:webHidden/>
              </w:rPr>
              <w:t>11</w:t>
            </w:r>
            <w:r>
              <w:rPr>
                <w:noProof/>
                <w:webHidden/>
              </w:rPr>
              <w:fldChar w:fldCharType="end"/>
            </w:r>
          </w:hyperlink>
        </w:p>
        <w:p w14:paraId="49761891" w14:textId="5036CFEB" w:rsidR="00957FEC" w:rsidRDefault="00957FEC">
          <w:pPr>
            <w:pStyle w:val="TOC3"/>
            <w:tabs>
              <w:tab w:val="right" w:leader="dot" w:pos="9016"/>
            </w:tabs>
            <w:rPr>
              <w:noProof/>
              <w:kern w:val="2"/>
              <w:sz w:val="24"/>
              <w:szCs w:val="24"/>
              <w:lang w:eastAsia="en-GB"/>
              <w14:ligatures w14:val="standardContextual"/>
            </w:rPr>
          </w:pPr>
          <w:hyperlink w:anchor="_Toc214794141" w:history="1">
            <w:r w:rsidRPr="00647D12">
              <w:rPr>
                <w:rStyle w:val="Hyperlink"/>
                <w:rFonts w:ascii="Times New Roman" w:hAnsi="Times New Roman" w:cs="Times New Roman"/>
                <w:b/>
                <w:bCs/>
                <w:noProof/>
              </w:rPr>
              <w:t>Financial Planning</w:t>
            </w:r>
            <w:r>
              <w:rPr>
                <w:noProof/>
                <w:webHidden/>
              </w:rPr>
              <w:tab/>
            </w:r>
            <w:r>
              <w:rPr>
                <w:noProof/>
                <w:webHidden/>
              </w:rPr>
              <w:fldChar w:fldCharType="begin"/>
            </w:r>
            <w:r>
              <w:rPr>
                <w:noProof/>
                <w:webHidden/>
              </w:rPr>
              <w:instrText xml:space="preserve"> PAGEREF _Toc214794141 \h </w:instrText>
            </w:r>
            <w:r>
              <w:rPr>
                <w:noProof/>
                <w:webHidden/>
              </w:rPr>
            </w:r>
            <w:r>
              <w:rPr>
                <w:noProof/>
                <w:webHidden/>
              </w:rPr>
              <w:fldChar w:fldCharType="separate"/>
            </w:r>
            <w:r>
              <w:rPr>
                <w:noProof/>
                <w:webHidden/>
              </w:rPr>
              <w:t>12</w:t>
            </w:r>
            <w:r>
              <w:rPr>
                <w:noProof/>
                <w:webHidden/>
              </w:rPr>
              <w:fldChar w:fldCharType="end"/>
            </w:r>
          </w:hyperlink>
        </w:p>
        <w:p w14:paraId="5299410D" w14:textId="0259ACDE" w:rsidR="00957FEC" w:rsidRDefault="00957FEC">
          <w:pPr>
            <w:pStyle w:val="TOC1"/>
            <w:tabs>
              <w:tab w:val="right" w:leader="dot" w:pos="9016"/>
            </w:tabs>
            <w:rPr>
              <w:noProof/>
              <w:kern w:val="2"/>
              <w:sz w:val="24"/>
              <w:szCs w:val="24"/>
              <w:lang w:eastAsia="en-GB"/>
              <w14:ligatures w14:val="standardContextual"/>
            </w:rPr>
          </w:pPr>
          <w:hyperlink w:anchor="_Toc214794142" w:history="1">
            <w:r w:rsidRPr="00647D1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_Toc214794142 \h </w:instrText>
            </w:r>
            <w:r>
              <w:rPr>
                <w:noProof/>
                <w:webHidden/>
              </w:rPr>
            </w:r>
            <w:r>
              <w:rPr>
                <w:noProof/>
                <w:webHidden/>
              </w:rPr>
              <w:fldChar w:fldCharType="separate"/>
            </w:r>
            <w:r>
              <w:rPr>
                <w:noProof/>
                <w:webHidden/>
              </w:rPr>
              <w:t>16</w:t>
            </w:r>
            <w:r>
              <w:rPr>
                <w:noProof/>
                <w:webHidden/>
              </w:rPr>
              <w:fldChar w:fldCharType="end"/>
            </w:r>
          </w:hyperlink>
        </w:p>
        <w:p w14:paraId="6A2D6EA4" w14:textId="5C616969" w:rsidR="005C33DA" w:rsidRPr="00305659" w:rsidRDefault="005C33D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fldChar w:fldCharType="end"/>
          </w:r>
        </w:p>
      </w:sdtContent>
    </w:sdt>
    <w:p w14:paraId="664566C4" w14:textId="77777777" w:rsidR="002A1CA3" w:rsidRPr="00305659" w:rsidRDefault="002A1CA3" w:rsidP="00410552">
      <w:pPr>
        <w:spacing w:line="360" w:lineRule="auto"/>
        <w:jc w:val="both"/>
        <w:rPr>
          <w:rFonts w:ascii="Times New Roman" w:hAnsi="Times New Roman" w:cs="Times New Roman"/>
          <w:sz w:val="24"/>
          <w:szCs w:val="24"/>
        </w:rPr>
      </w:pPr>
    </w:p>
    <w:p w14:paraId="5F5C08B9" w14:textId="77777777" w:rsidR="00DE135B" w:rsidRPr="00305659" w:rsidRDefault="00DE135B" w:rsidP="00410552">
      <w:pPr>
        <w:spacing w:line="360" w:lineRule="auto"/>
        <w:jc w:val="both"/>
        <w:rPr>
          <w:rFonts w:ascii="Times New Roman" w:hAnsi="Times New Roman" w:cs="Times New Roman"/>
          <w:sz w:val="24"/>
          <w:szCs w:val="24"/>
        </w:rPr>
      </w:pPr>
    </w:p>
    <w:p w14:paraId="563BB08A" w14:textId="77777777" w:rsidR="00545AC9" w:rsidRPr="00305659" w:rsidRDefault="00545AC9" w:rsidP="00410552">
      <w:pPr>
        <w:spacing w:line="360" w:lineRule="auto"/>
        <w:jc w:val="both"/>
        <w:rPr>
          <w:rFonts w:ascii="Times New Roman" w:hAnsi="Times New Roman" w:cs="Times New Roman"/>
          <w:sz w:val="24"/>
          <w:szCs w:val="24"/>
        </w:rPr>
      </w:pPr>
    </w:p>
    <w:p w14:paraId="04E42C65" w14:textId="77777777" w:rsidR="00545AC9" w:rsidRPr="00305659" w:rsidRDefault="00545AC9" w:rsidP="00410552">
      <w:pPr>
        <w:spacing w:line="360" w:lineRule="auto"/>
        <w:jc w:val="both"/>
        <w:rPr>
          <w:rFonts w:ascii="Times New Roman" w:hAnsi="Times New Roman" w:cs="Times New Roman"/>
          <w:sz w:val="24"/>
          <w:szCs w:val="24"/>
        </w:rPr>
      </w:pPr>
    </w:p>
    <w:p w14:paraId="2FE46C59" w14:textId="77777777" w:rsidR="00826995" w:rsidRPr="00305659" w:rsidRDefault="00826995" w:rsidP="00410552">
      <w:pPr>
        <w:spacing w:line="360" w:lineRule="auto"/>
        <w:jc w:val="both"/>
        <w:rPr>
          <w:rFonts w:ascii="Times New Roman" w:hAnsi="Times New Roman" w:cs="Times New Roman"/>
          <w:sz w:val="24"/>
          <w:szCs w:val="24"/>
        </w:rPr>
      </w:pPr>
    </w:p>
    <w:p w14:paraId="29611EEF" w14:textId="77777777" w:rsidR="00826995" w:rsidRPr="00305659" w:rsidRDefault="00826995" w:rsidP="00410552">
      <w:pPr>
        <w:spacing w:line="360" w:lineRule="auto"/>
        <w:jc w:val="both"/>
        <w:rPr>
          <w:rFonts w:ascii="Times New Roman" w:hAnsi="Times New Roman" w:cs="Times New Roman"/>
          <w:sz w:val="24"/>
          <w:szCs w:val="24"/>
        </w:rPr>
      </w:pPr>
    </w:p>
    <w:p w14:paraId="44070301" w14:textId="77777777" w:rsidR="00826995" w:rsidRPr="00305659" w:rsidRDefault="00826995" w:rsidP="00410552">
      <w:pPr>
        <w:spacing w:line="360" w:lineRule="auto"/>
        <w:jc w:val="both"/>
        <w:rPr>
          <w:rFonts w:ascii="Times New Roman" w:hAnsi="Times New Roman" w:cs="Times New Roman"/>
          <w:sz w:val="24"/>
          <w:szCs w:val="24"/>
        </w:rPr>
      </w:pPr>
    </w:p>
    <w:p w14:paraId="2FB700E0" w14:textId="77777777" w:rsidR="00826995" w:rsidRPr="00305659" w:rsidRDefault="00826995" w:rsidP="00410552">
      <w:pPr>
        <w:spacing w:line="360" w:lineRule="auto"/>
        <w:jc w:val="both"/>
        <w:rPr>
          <w:rFonts w:ascii="Times New Roman" w:hAnsi="Times New Roman" w:cs="Times New Roman"/>
          <w:sz w:val="24"/>
          <w:szCs w:val="24"/>
        </w:rPr>
      </w:pPr>
    </w:p>
    <w:p w14:paraId="6EEAC104" w14:textId="77777777" w:rsidR="00826995" w:rsidRPr="00305659" w:rsidRDefault="00826995" w:rsidP="00410552">
      <w:pPr>
        <w:spacing w:line="360" w:lineRule="auto"/>
        <w:jc w:val="both"/>
        <w:rPr>
          <w:rFonts w:ascii="Times New Roman" w:hAnsi="Times New Roman" w:cs="Times New Roman"/>
          <w:sz w:val="24"/>
          <w:szCs w:val="24"/>
        </w:rPr>
      </w:pPr>
    </w:p>
    <w:p w14:paraId="553FCEF5" w14:textId="77777777" w:rsidR="00826995" w:rsidRPr="00305659" w:rsidRDefault="00826995" w:rsidP="00410552">
      <w:pPr>
        <w:spacing w:line="360" w:lineRule="auto"/>
        <w:jc w:val="both"/>
        <w:rPr>
          <w:rFonts w:ascii="Times New Roman" w:hAnsi="Times New Roman" w:cs="Times New Roman"/>
          <w:sz w:val="24"/>
          <w:szCs w:val="24"/>
        </w:rPr>
      </w:pPr>
    </w:p>
    <w:p w14:paraId="12DFE81A" w14:textId="77777777" w:rsidR="00826995" w:rsidRPr="00305659" w:rsidRDefault="00826995" w:rsidP="00410552">
      <w:pPr>
        <w:spacing w:line="360" w:lineRule="auto"/>
        <w:jc w:val="both"/>
        <w:rPr>
          <w:rFonts w:ascii="Times New Roman" w:hAnsi="Times New Roman" w:cs="Times New Roman"/>
          <w:sz w:val="24"/>
          <w:szCs w:val="24"/>
        </w:rPr>
      </w:pPr>
    </w:p>
    <w:p w14:paraId="205ADE35" w14:textId="77777777" w:rsidR="00826995" w:rsidRPr="00305659" w:rsidRDefault="00826995" w:rsidP="00410552">
      <w:pPr>
        <w:spacing w:line="360" w:lineRule="auto"/>
        <w:jc w:val="both"/>
        <w:rPr>
          <w:rFonts w:ascii="Times New Roman" w:hAnsi="Times New Roman" w:cs="Times New Roman"/>
          <w:sz w:val="24"/>
          <w:szCs w:val="24"/>
        </w:rPr>
      </w:pPr>
    </w:p>
    <w:p w14:paraId="78164E0A" w14:textId="77777777" w:rsidR="00826995" w:rsidRPr="00305659" w:rsidRDefault="00826995" w:rsidP="00410552">
      <w:pPr>
        <w:spacing w:line="360" w:lineRule="auto"/>
        <w:jc w:val="both"/>
        <w:rPr>
          <w:rFonts w:ascii="Times New Roman" w:hAnsi="Times New Roman" w:cs="Times New Roman"/>
          <w:sz w:val="24"/>
          <w:szCs w:val="24"/>
        </w:rPr>
      </w:pPr>
    </w:p>
    <w:p w14:paraId="35CDDCE7" w14:textId="77777777" w:rsidR="00B4397F" w:rsidRDefault="00C518AB" w:rsidP="00410552">
      <w:pPr>
        <w:pStyle w:val="Heading1"/>
        <w:spacing w:line="360" w:lineRule="auto"/>
        <w:jc w:val="both"/>
        <w:rPr>
          <w:rFonts w:ascii="Times New Roman" w:hAnsi="Times New Roman" w:cs="Times New Roman"/>
          <w:b/>
          <w:bCs/>
          <w:sz w:val="24"/>
          <w:szCs w:val="24"/>
        </w:rPr>
      </w:pPr>
      <w:bookmarkStart w:id="0" w:name="_Toc214794128"/>
      <w:r w:rsidRPr="00305659">
        <w:rPr>
          <w:rFonts w:ascii="Times New Roman" w:hAnsi="Times New Roman" w:cs="Times New Roman"/>
          <w:b/>
          <w:bCs/>
          <w:sz w:val="24"/>
          <w:szCs w:val="24"/>
        </w:rPr>
        <w:t>Element 1:</w:t>
      </w:r>
      <w:bookmarkEnd w:id="0"/>
      <w:r w:rsidRPr="00305659">
        <w:rPr>
          <w:rFonts w:ascii="Times New Roman" w:hAnsi="Times New Roman" w:cs="Times New Roman"/>
          <w:b/>
          <w:bCs/>
          <w:sz w:val="24"/>
          <w:szCs w:val="24"/>
        </w:rPr>
        <w:t xml:space="preserve"> </w:t>
      </w:r>
    </w:p>
    <w:p w14:paraId="774E1ECE" w14:textId="339F0A94" w:rsidR="00BE29EE" w:rsidRPr="00957FEC" w:rsidRDefault="00C518AB" w:rsidP="00957FEC">
      <w:pPr>
        <w:pStyle w:val="Heading2"/>
        <w:rPr>
          <w:rFonts w:ascii="Times New Roman" w:hAnsi="Times New Roman" w:cs="Times New Roman"/>
          <w:b/>
          <w:bCs/>
          <w:sz w:val="24"/>
          <w:szCs w:val="24"/>
        </w:rPr>
      </w:pPr>
      <w:bookmarkStart w:id="1" w:name="_Toc214794129"/>
      <w:r w:rsidRPr="00957FEC">
        <w:rPr>
          <w:rFonts w:ascii="Times New Roman" w:hAnsi="Times New Roman" w:cs="Times New Roman"/>
          <w:b/>
          <w:bCs/>
          <w:sz w:val="24"/>
          <w:szCs w:val="24"/>
        </w:rPr>
        <w:t>Business Idea, Products/Services</w:t>
      </w:r>
      <w:bookmarkEnd w:id="1"/>
    </w:p>
    <w:p w14:paraId="394C2CD2" w14:textId="77777777" w:rsidR="0087707A" w:rsidRPr="00305659" w:rsidRDefault="0087707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ReLeaf Project is a social-entrepreneurial venture dedicated to reclaiming and reviving plants considered “dead” or unwanted from residential, commercial, and horticultural waste streams. Once restored, these plants are reintroduced into public, private, and institutional spaces to promote urban greening and improve air quality, which according to BBC (2025) has recently shown a 35 percent reduction in nitrogen dioxide levels and 30 percent fewer fine particles in the atmosphere. Although these developments are encouraging, the United Kingdom remains at risk of returning to pollution-limit thresholds, posing a potential health threat to the population as noted by the Department for Environment, Food and Rural Affairs (2017). The mission of the organisation—Rescue-Revive-Replant—aims to transform plant waste into valuable ecological assets. By intervening in traditional linear systems of disposal, ReLeaf converts discarded vegetation into living resources that generate environmental and social benefits.</w:t>
      </w:r>
    </w:p>
    <w:p w14:paraId="3A60357A" w14:textId="77777777" w:rsidR="0087707A" w:rsidRPr="00305659" w:rsidRDefault="0087707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initiative’s philosophy extends beyond commercial plant sales, reframing plant waste management as an opportunity for environmental restoration and community participation. Through this approach, the ReLeaf Project aligns with global sustainability goals that promote the integration of green infrastructure within urban landscapes. The enterprise seeks to create measurable improvements in air quality, biodiversity, and public wellbeing while encouraging civic responsibility and sustainable behaviour among individuals and organisations. Its activities are designed to generate environmental impact while strengthening community engagement and awareness.</w:t>
      </w:r>
    </w:p>
    <w:p w14:paraId="17F06436" w14:textId="77777777" w:rsidR="0087707A" w:rsidRPr="00305659" w:rsidRDefault="0087707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ReLeaf Project delivers value through three integrated service categories that collectively address environmental, educational, and economic objectives. The Plant Rescue and Propagation Service focuses on sourcing discarded plants at minimal cost and restoring them using horticultural techniques such as layering, cutting, and repotting. Once revived, the plants are nurtured in greenhouses or propagation facilities until they are suitable for reinstallation. This service reduces horticultural waste and ensures a cost-effective and sustainable supply chain that supports the project’s broader ecological aims.</w:t>
      </w:r>
    </w:p>
    <w:p w14:paraId="7C412BC1" w14:textId="77777777" w:rsidR="0087707A" w:rsidRPr="00305659" w:rsidRDefault="0087707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The second category, the Green Installation and Maintenance Service, involves partnerships with public authorities, corporate offices, and educational institutions. Revived plants are </w:t>
      </w:r>
      <w:r w:rsidRPr="00305659">
        <w:rPr>
          <w:rFonts w:ascii="Times New Roman" w:hAnsi="Times New Roman" w:cs="Times New Roman"/>
          <w:sz w:val="24"/>
          <w:szCs w:val="24"/>
        </w:rPr>
        <w:lastRenderedPageBreak/>
        <w:t>installed in indoor or outdoor environments under maintenance contracts that ensure plant survival and track air quality improvements. These installations deliver aesthetic and ecological benefits and support clients seeking to strengthen their environmental profiles. The inclusion of monitoring and ongoing care also provides measurable environmental outcomes, enhancing the organisation’s credibility within the sustainability sector.</w:t>
      </w:r>
    </w:p>
    <w:p w14:paraId="6B387788" w14:textId="77777777" w:rsidR="0087707A" w:rsidRDefault="0087707A" w:rsidP="00B4397F">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third category, Education, Sponsorship, and Retail Services, promotes community involvement and behavioural change. ReLeaf offers workshops and seminars on plant care and propagation, along with an “Adopt-a-Plant” sponsorship programme that allows individuals and organisations to fund the placement of restored plants in public areas. A small online store complements this service by offering affordable propagated plants and do-it-yourself propagation kits. Collectively, these initiatives promote environmental awareness and empower communities to engage directly in sustainable practices.</w:t>
      </w:r>
    </w:p>
    <w:p w14:paraId="63065355" w14:textId="14362427" w:rsidR="00B4397F" w:rsidRPr="00957FEC" w:rsidRDefault="00B4397F" w:rsidP="00957FEC">
      <w:pPr>
        <w:pStyle w:val="Heading2"/>
        <w:spacing w:line="360" w:lineRule="auto"/>
        <w:rPr>
          <w:rFonts w:ascii="Times New Roman" w:hAnsi="Times New Roman" w:cs="Times New Roman"/>
          <w:b/>
          <w:bCs/>
          <w:sz w:val="24"/>
          <w:szCs w:val="24"/>
        </w:rPr>
      </w:pPr>
      <w:bookmarkStart w:id="2" w:name="_Toc214794130"/>
      <w:r w:rsidRPr="00957FEC">
        <w:rPr>
          <w:rFonts w:ascii="Times New Roman" w:hAnsi="Times New Roman" w:cs="Times New Roman"/>
          <w:b/>
          <w:bCs/>
          <w:sz w:val="24"/>
          <w:szCs w:val="24"/>
        </w:rPr>
        <w:t>Objectives</w:t>
      </w:r>
      <w:bookmarkEnd w:id="2"/>
    </w:p>
    <w:p w14:paraId="704E9650" w14:textId="77777777" w:rsidR="0087707A" w:rsidRPr="00305659" w:rsidRDefault="0087707A" w:rsidP="00B4397F">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ReLeaf Project’s objectives are structured around short-term operational goals and long-term strategic ambitions. Within its first year, the enterprise aims to establish a pilot operation in a metropolitan region such as Greater London and secure at least five partnerships with local councils, schools, or corporate offices. The organisation plans to rescue and propagate a minimum of 1,000 plants in the first twelve months, replanting at least half in public or commercial spaces. It also intends to launch the Adopt-a-Plant programme and achieve a minimum of 200 participants to generate community engagement. By the end of its first year, ReLeaf expects to reach operational stability and achieve financial break-even.</w:t>
      </w:r>
    </w:p>
    <w:p w14:paraId="11E96949" w14:textId="77777777" w:rsidR="0087707A" w:rsidRPr="00305659" w:rsidRDefault="0087707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In the long term, over a three-to-five-year period, the organisation plans to expand into additional cities and regions, establishing multiple propagation hubs capable of restoring and planting over 10,000 plants per year. ReLeaf also aims to secure long-term maintenance contracts with major corporate and public-sector clients to create consistent revenue streams. Furthermore, it will develop a comprehensive retail and online distribution channel for propagated plants and educational kits, positioning itself as a national leader in sustainable plant recovery and urban greening. Ultimately, the organisation seeks recognition as a model of circular economy practice, which according to </w:t>
      </w:r>
      <w:proofErr w:type="spellStart"/>
      <w:r w:rsidRPr="00305659">
        <w:rPr>
          <w:rFonts w:ascii="Times New Roman" w:hAnsi="Times New Roman" w:cs="Times New Roman"/>
          <w:sz w:val="24"/>
          <w:szCs w:val="24"/>
        </w:rPr>
        <w:t>UKGBC</w:t>
      </w:r>
      <w:proofErr w:type="spellEnd"/>
      <w:r w:rsidRPr="00305659">
        <w:rPr>
          <w:rFonts w:ascii="Times New Roman" w:hAnsi="Times New Roman" w:cs="Times New Roman"/>
          <w:sz w:val="24"/>
          <w:szCs w:val="24"/>
        </w:rPr>
        <w:t xml:space="preserve"> (2024) reduces reliance on finite resources by reusing materials, minimising waste, and promoting sustainable practices that regenerate nature and produce long-term environmental benefits, including improved air quality and increased urban biodiversity.</w:t>
      </w:r>
    </w:p>
    <w:p w14:paraId="0F5CB130" w14:textId="77777777" w:rsidR="00957FEC" w:rsidRPr="00957FEC" w:rsidRDefault="00957FEC" w:rsidP="00957FEC">
      <w:pPr>
        <w:pStyle w:val="Heading2"/>
        <w:spacing w:line="360" w:lineRule="auto"/>
        <w:rPr>
          <w:rFonts w:ascii="Times New Roman" w:hAnsi="Times New Roman" w:cs="Times New Roman"/>
          <w:b/>
          <w:bCs/>
          <w:sz w:val="24"/>
          <w:szCs w:val="24"/>
        </w:rPr>
      </w:pPr>
    </w:p>
    <w:p w14:paraId="71348102" w14:textId="11F4C449" w:rsidR="00957FEC" w:rsidRPr="00957FEC" w:rsidRDefault="00957FEC" w:rsidP="00957FEC">
      <w:pPr>
        <w:pStyle w:val="Heading2"/>
        <w:spacing w:line="360" w:lineRule="auto"/>
        <w:rPr>
          <w:rFonts w:ascii="Times New Roman" w:hAnsi="Times New Roman" w:cs="Times New Roman"/>
          <w:b/>
          <w:bCs/>
          <w:sz w:val="24"/>
          <w:szCs w:val="24"/>
        </w:rPr>
      </w:pPr>
      <w:bookmarkStart w:id="3" w:name="_Toc214794131"/>
      <w:r w:rsidRPr="00957FEC">
        <w:rPr>
          <w:rFonts w:ascii="Times New Roman" w:hAnsi="Times New Roman" w:cs="Times New Roman"/>
          <w:b/>
          <w:bCs/>
          <w:sz w:val="24"/>
          <w:szCs w:val="24"/>
        </w:rPr>
        <w:t>Unique Selling Proposition</w:t>
      </w:r>
      <w:bookmarkEnd w:id="3"/>
    </w:p>
    <w:p w14:paraId="20E76820" w14:textId="720627DF" w:rsidR="0088665C" w:rsidRPr="00305659" w:rsidRDefault="0087707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ReLeaf Project’s unique selling proposition lies in its ability to integrate plant rescue, propagation, and green installation within a circular economy framework. Unlike conventional plant suppliers that purchase new stock from nurseries, ReLeaf utilises unwanted or discarded plants as its main resource, significantly reducing operational costs and horticultural waste while promoting environmental responsibility. Clients benefit from an end-to-end service including collection, restoration, installation, maintenance, and environmental impact assessment. Each installation represents a practical and symbolic contribution to sustainability, allowing individuals and organisations to demonstrate environmental commitment. By combining ecological restoration with measurable improvements in wellbeing and air quality, the ReLeaf Project distinguishes itself as an innovative and socially responsible enterprise. Its holistic model provides aesthetic value and measurable contributions to greener, healthier urban environments.</w:t>
      </w:r>
    </w:p>
    <w:p w14:paraId="68BCC4FD" w14:textId="250A8D9C" w:rsidR="00604286" w:rsidRPr="00305659" w:rsidRDefault="00604286" w:rsidP="00410552">
      <w:pPr>
        <w:pStyle w:val="Heading1"/>
        <w:spacing w:line="360" w:lineRule="auto"/>
        <w:jc w:val="both"/>
        <w:rPr>
          <w:rFonts w:ascii="Times New Roman" w:hAnsi="Times New Roman" w:cs="Times New Roman"/>
          <w:b/>
          <w:bCs/>
          <w:sz w:val="24"/>
          <w:szCs w:val="24"/>
        </w:rPr>
      </w:pPr>
      <w:bookmarkStart w:id="4" w:name="_Toc214794132"/>
      <w:r w:rsidRPr="00305659">
        <w:rPr>
          <w:rFonts w:ascii="Times New Roman" w:hAnsi="Times New Roman" w:cs="Times New Roman"/>
          <w:b/>
          <w:bCs/>
          <w:sz w:val="24"/>
          <w:szCs w:val="24"/>
        </w:rPr>
        <w:t>Element 2: Business Environment and Competitor Analysis</w:t>
      </w:r>
      <w:bookmarkEnd w:id="4"/>
    </w:p>
    <w:p w14:paraId="2CDE1233" w14:textId="28BF662D" w:rsidR="00604286" w:rsidRPr="00305659" w:rsidRDefault="00604286" w:rsidP="00410552">
      <w:pPr>
        <w:pStyle w:val="Heading2"/>
        <w:spacing w:line="360" w:lineRule="auto"/>
        <w:jc w:val="both"/>
        <w:rPr>
          <w:rFonts w:ascii="Times New Roman" w:hAnsi="Times New Roman" w:cs="Times New Roman"/>
          <w:b/>
          <w:bCs/>
          <w:sz w:val="24"/>
          <w:szCs w:val="24"/>
        </w:rPr>
      </w:pPr>
      <w:bookmarkStart w:id="5" w:name="_Toc214794133"/>
      <w:r w:rsidRPr="00305659">
        <w:rPr>
          <w:rFonts w:ascii="Times New Roman" w:hAnsi="Times New Roman" w:cs="Times New Roman"/>
          <w:b/>
          <w:bCs/>
          <w:sz w:val="24"/>
          <w:szCs w:val="24"/>
        </w:rPr>
        <w:t>PESTEL Analysis</w:t>
      </w:r>
      <w:bookmarkEnd w:id="5"/>
    </w:p>
    <w:p w14:paraId="5C36E855" w14:textId="3F1C74D4" w:rsidR="00281ABC" w:rsidRPr="00305659" w:rsidRDefault="00281ABC"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Political</w:t>
      </w:r>
    </w:p>
    <w:p w14:paraId="4ECD6E13" w14:textId="75E1D50E" w:rsidR="00A0554C" w:rsidRPr="00305659" w:rsidRDefault="00A0554C"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political climate in the United Kingdom is increasingly favourable to enterprises promoting environmental restoration and urban sustainability. Government initiatives such as the UK 25-Year Environment Plan (GOV, 2018) and the Net Zero Strategy (GOV, 2021) explicitly encourage urban greening, enhanced air quality, and biodiversity protection, creating a supportive policy environment for the ReLeaf Project. The Greater London Authority’s Urban Greening Factor (2021) further obliges developers to integrate green infrastructure into urban schemes, offering ReLeaf opportunities to collaborate with councils, obtain funding for ecological interventions, and align its mission with national environmental priorities. Such governmental emphasis on sustainability strengthens ReLeaf’s legitimacy and operational potential.</w:t>
      </w:r>
    </w:p>
    <w:p w14:paraId="6C138BB9" w14:textId="358E1236" w:rsidR="00C90614" w:rsidRPr="00305659" w:rsidRDefault="00C90614"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Economic</w:t>
      </w:r>
    </w:p>
    <w:p w14:paraId="62E0CF21" w14:textId="22D23FE0" w:rsidR="00A0554C" w:rsidRPr="00305659" w:rsidRDefault="00A0554C"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Economically, the ReLeaf Project benefits from operating within a rapidly expanding green economy, valued at £83.1 billion in gross value added in 2024 (Environmental Audit Committee, 2024). Its reliance on donated or abandoned plants significantly lowers material costs, enabling competitive pricing and healthy margins. Nonetheless, inflation, rising labour </w:t>
      </w:r>
      <w:r w:rsidRPr="00305659">
        <w:rPr>
          <w:rFonts w:ascii="Times New Roman" w:hAnsi="Times New Roman" w:cs="Times New Roman"/>
          <w:sz w:val="24"/>
          <w:szCs w:val="24"/>
        </w:rPr>
        <w:lastRenderedPageBreak/>
        <w:t>costs, and fluctuating council budgets may affect demand for urban-greening and maintenance services. Although macroeconomic trends favour sustainable business models, ReLeaf’s long-term financial resilience will depend on diversifying revenue streams through partnerships with private firms, public institutions, and community initiatives.</w:t>
      </w:r>
    </w:p>
    <w:p w14:paraId="25F05175" w14:textId="77777777" w:rsidR="00C90614" w:rsidRPr="00305659" w:rsidRDefault="00C90614"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Social</w:t>
      </w:r>
    </w:p>
    <w:p w14:paraId="23AD1F13" w14:textId="7B34716D" w:rsidR="00A0554C" w:rsidRPr="00305659" w:rsidRDefault="00A0554C"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Social awareness of environmental deterioration, air pollution, and mental health has increased dramatically. Research from Natural England, referenced by Allen (2025), reveals that 85 percent of UK residents consider access to green spaces vital for physical and emotional wellbeing. ReLeaf’s mission aligns with these societal preferences by installing greenery in community and public spaces and offering workshops and sponsorship programmes that encourage environmental care and social cohesion. However, the company must address misconceptions regarding the ability of indoor plants to significantly reduce air pollution, as research such as Faulstick (2019) indicates minimal effects in controlled indoor contexts. To manage this challenge, ReLeaf can emphasise its broader ecological contributions, including biodiversity enhancement, waste reduction, and mental health benefits.</w:t>
      </w:r>
    </w:p>
    <w:p w14:paraId="7EA706D3" w14:textId="17F66787" w:rsidR="0081065B" w:rsidRPr="00305659" w:rsidRDefault="0081065B"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Technological</w:t>
      </w:r>
    </w:p>
    <w:p w14:paraId="3495942D" w14:textId="3CF972C4" w:rsidR="00A0554C" w:rsidRPr="00305659" w:rsidRDefault="00A0554C"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Technological innovation also presents opportunities to strengthen ReLeaf’s operational efficiency and public transparency. Smart devices and Internet-of-Things systems (IBM, 2023) allow real-time monitoring of plant health, soil conditions, and air-quality metrics, generating evidence-based reports on environmental impact. Digital platforms can support plant-collection logistics, donor engagement, and participation in the “Adopt-a-Plant” initiative. In addition, social media, virtual workshops, and digital storytelling can deepen community involvement and showcase the revival process. Through strategic use of technology, ReLeaf can strengthen its identity as an innovative, data-informed green-service provider.</w:t>
      </w:r>
    </w:p>
    <w:p w14:paraId="4A516BB7" w14:textId="309E17C2" w:rsidR="0081065B" w:rsidRPr="00305659" w:rsidRDefault="0081065B"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Environmental</w:t>
      </w:r>
    </w:p>
    <w:p w14:paraId="7B3B68D8" w14:textId="59E431B6" w:rsidR="00A0554C" w:rsidRPr="00305659" w:rsidRDefault="00A0554C"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Environmental factors sit at the core of ReLeaf’s mission. The United Kingdom continues to struggle with air pollution, contributing to approximately 28,000 premature deaths annually (gov.uk, 2022). Research by Junior, Bueno and da Silva (2022) demonstrates that urban vegetation can reduce particulate matter (PM10 and PM2.5) and nitrogen dioxide levels, improving urban health outcomes. By returning revived plants to dense urban areas, ReLeaf directly supports national goals for cleaner air and climate resilience. Simultaneously, its recovery of discarded plants reduces landfill pressure and promotes circular-economy practices. </w:t>
      </w:r>
      <w:r w:rsidRPr="00305659">
        <w:rPr>
          <w:rFonts w:ascii="Times New Roman" w:hAnsi="Times New Roman" w:cs="Times New Roman"/>
          <w:sz w:val="24"/>
          <w:szCs w:val="24"/>
        </w:rPr>
        <w:lastRenderedPageBreak/>
        <w:t>As climate adaptation becomes a national priority, ReLeaf’s activities align strongly with environmental policy and societal expectations for sustainable development.</w:t>
      </w:r>
    </w:p>
    <w:p w14:paraId="25CE802C" w14:textId="0C3ADDB9" w:rsidR="0081065B" w:rsidRPr="00305659" w:rsidRDefault="0081065B"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Legal</w:t>
      </w:r>
    </w:p>
    <w:p w14:paraId="685C3056" w14:textId="41B08566" w:rsidR="00A0554C" w:rsidRPr="00305659" w:rsidRDefault="00A0554C"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From a legal standpoint, ReLeaf must comply with multiple regulatory frameworks, including the Environmental Protection Act 1990 for waste handling, the Health and Safety at Work Act 1974 for public installations, and biosecurity requirements under the Plant Health Regulations 2020 (UK Government, 2025). Adherence ensures operational legitimacy, public safety, and credibility when securing municipal or private-sector contracts. Although compliance incurs cost, it protects the organisation and strengthens its professional reputation, improving eligibility for environmental awards and public procurement opportunities.</w:t>
      </w:r>
    </w:p>
    <w:p w14:paraId="16CD5ED8" w14:textId="0B2F20D3" w:rsidR="00A0554C" w:rsidRPr="00305659" w:rsidRDefault="00A0554C" w:rsidP="00410552">
      <w:pPr>
        <w:pStyle w:val="Heading2"/>
        <w:spacing w:line="360" w:lineRule="auto"/>
        <w:jc w:val="both"/>
        <w:rPr>
          <w:rFonts w:ascii="Times New Roman" w:hAnsi="Times New Roman" w:cs="Times New Roman"/>
          <w:b/>
          <w:bCs/>
          <w:sz w:val="24"/>
          <w:szCs w:val="24"/>
        </w:rPr>
      </w:pPr>
      <w:bookmarkStart w:id="6" w:name="_Toc214794134"/>
      <w:r w:rsidRPr="00305659">
        <w:rPr>
          <w:rFonts w:ascii="Times New Roman" w:hAnsi="Times New Roman" w:cs="Times New Roman"/>
          <w:b/>
          <w:bCs/>
          <w:sz w:val="24"/>
          <w:szCs w:val="24"/>
        </w:rPr>
        <w:t>SWOT Analysis</w:t>
      </w:r>
      <w:bookmarkEnd w:id="6"/>
    </w:p>
    <w:p w14:paraId="39A5C2CC" w14:textId="7617CA26" w:rsidR="00C13CDA" w:rsidRPr="00305659" w:rsidRDefault="00C13CD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A key strength of the ReLeaf Project is its integration of plant rescue, propagation, and green installation within a circular-economy model. This reduces material costs while addressing environmental waste and social sustainability. Its full-service offer</w:t>
      </w:r>
      <w:r w:rsidR="00301601" w:rsidRPr="00305659">
        <w:rPr>
          <w:rFonts w:ascii="Times New Roman" w:hAnsi="Times New Roman" w:cs="Times New Roman"/>
          <w:sz w:val="24"/>
          <w:szCs w:val="24"/>
        </w:rPr>
        <w:t xml:space="preserve"> </w:t>
      </w:r>
      <w:r w:rsidRPr="00305659">
        <w:rPr>
          <w:rFonts w:ascii="Times New Roman" w:hAnsi="Times New Roman" w:cs="Times New Roman"/>
          <w:sz w:val="24"/>
          <w:szCs w:val="24"/>
        </w:rPr>
        <w:t>collection, restoration, installation, maintenance, and environmental monitoring</w:t>
      </w:r>
      <w:r w:rsidR="00301601" w:rsidRPr="00305659">
        <w:rPr>
          <w:rFonts w:ascii="Times New Roman" w:hAnsi="Times New Roman" w:cs="Times New Roman"/>
          <w:sz w:val="24"/>
          <w:szCs w:val="24"/>
        </w:rPr>
        <w:t xml:space="preserve"> </w:t>
      </w:r>
      <w:proofErr w:type="gramStart"/>
      <w:r w:rsidRPr="00305659">
        <w:rPr>
          <w:rFonts w:ascii="Times New Roman" w:hAnsi="Times New Roman" w:cs="Times New Roman"/>
          <w:sz w:val="24"/>
          <w:szCs w:val="24"/>
        </w:rPr>
        <w:t>provides</w:t>
      </w:r>
      <w:proofErr w:type="gramEnd"/>
      <w:r w:rsidRPr="00305659">
        <w:rPr>
          <w:rFonts w:ascii="Times New Roman" w:hAnsi="Times New Roman" w:cs="Times New Roman"/>
          <w:sz w:val="24"/>
          <w:szCs w:val="24"/>
        </w:rPr>
        <w:t xml:space="preserve"> convenience and measurable ecological value. As a social enterprise, it also appeals to ethically driven consumers and institutional stakeholders.</w:t>
      </w:r>
    </w:p>
    <w:p w14:paraId="4C60D6A6" w14:textId="5028E00F" w:rsidR="00C13CDA" w:rsidRPr="00305659" w:rsidRDefault="00C13CD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However, several internal weaknesses exist. Plants sourced from waste streams may have lower survival rates than newly purchased stock, creating reputational risks. Logistical issues involving storage, transport, and monitoring add operational complexity. Communicating measurable air-quality improvements may also be challenging due to mixed scientific evidence. These weaknesses highlight the need for transparency, strong reporting, and improved propagation practices.</w:t>
      </w:r>
    </w:p>
    <w:p w14:paraId="31AB1224" w14:textId="7B61C843" w:rsidR="00C13CDA" w:rsidRPr="00305659" w:rsidRDefault="00C13CD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ReLeaf faces substantial opportunities within a growing sustainability market. Increasing corporate demand for demonstrable environmental performance and expanding government support for green infrastructure create favourable conditions for growth. Potential developments include regional hubs, partnerships with horticultural colleges, and new eco-products such as recycled pots or compost. Digital engagement tools could also scale educational and community initiatives.</w:t>
      </w:r>
    </w:p>
    <w:p w14:paraId="4481F4D1" w14:textId="556AE3A8" w:rsidR="00C13CDA" w:rsidRPr="00305659" w:rsidRDefault="00C13CDA"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External threats remain. Competition from established green-infrastructure firms may limit market share, while economic downturns could reduce sustainability spending. Overstating </w:t>
      </w:r>
      <w:r w:rsidRPr="00305659">
        <w:rPr>
          <w:rFonts w:ascii="Times New Roman" w:hAnsi="Times New Roman" w:cs="Times New Roman"/>
          <w:sz w:val="24"/>
          <w:szCs w:val="24"/>
        </w:rPr>
        <w:lastRenderedPageBreak/>
        <w:t>environmental benefits may lead to accusations of greenwashing (United Nations, 2025), making transparent communication essential.</w:t>
      </w:r>
    </w:p>
    <w:p w14:paraId="4DED3837" w14:textId="67735C7E" w:rsidR="00A0554C" w:rsidRPr="00305659" w:rsidRDefault="00A0554C" w:rsidP="00410552">
      <w:pPr>
        <w:pStyle w:val="Heading2"/>
        <w:spacing w:line="360" w:lineRule="auto"/>
        <w:jc w:val="both"/>
        <w:rPr>
          <w:rFonts w:ascii="Times New Roman" w:hAnsi="Times New Roman" w:cs="Times New Roman"/>
          <w:b/>
          <w:bCs/>
          <w:sz w:val="24"/>
          <w:szCs w:val="24"/>
        </w:rPr>
      </w:pPr>
      <w:bookmarkStart w:id="7" w:name="_Toc214794135"/>
      <w:r w:rsidRPr="00305659">
        <w:rPr>
          <w:rFonts w:ascii="Times New Roman" w:hAnsi="Times New Roman" w:cs="Times New Roman"/>
          <w:b/>
          <w:bCs/>
          <w:sz w:val="24"/>
          <w:szCs w:val="24"/>
        </w:rPr>
        <w:t>Porter’s Five Forces Analysis</w:t>
      </w:r>
      <w:bookmarkEnd w:id="7"/>
    </w:p>
    <w:p w14:paraId="02D87DB7" w14:textId="7587AA13" w:rsidR="00E00557" w:rsidRPr="00305659" w:rsidRDefault="00E00557"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threat of new entrants is moderate. Although start-up costs are relatively low (Nixon, 2001), developing expertise, reputation, and stakeholder relationships takes time (Walters, 2025). ReLeaf’s plant-rescue model offers differentiation that may deter direct imitation, though profitable elements could still be copied. Protecting branding and intellectual property will therefore be essential.</w:t>
      </w:r>
    </w:p>
    <w:p w14:paraId="3EB386EC" w14:textId="4D27860B" w:rsidR="00E00557" w:rsidRPr="00305659" w:rsidRDefault="00E00557"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Supplier bargaining power is extremely low because ReLeaf obtains plants through donations or low-cost collections, while materials such as soil and compost remain inexpensive</w:t>
      </w:r>
      <w:r w:rsidR="00301601" w:rsidRPr="00305659">
        <w:rPr>
          <w:rFonts w:ascii="Times New Roman" w:hAnsi="Times New Roman" w:cs="Times New Roman"/>
          <w:sz w:val="24"/>
          <w:szCs w:val="24"/>
        </w:rPr>
        <w:t xml:space="preserve"> </w:t>
      </w:r>
      <w:r w:rsidRPr="00305659">
        <w:rPr>
          <w:rFonts w:ascii="Times New Roman" w:hAnsi="Times New Roman" w:cs="Times New Roman"/>
          <w:sz w:val="24"/>
          <w:szCs w:val="24"/>
        </w:rPr>
        <w:t>for example, 30–50 litre compost bags cost £3.50–£6.00 (Morrisons PLC, 2022). This ensures strong cost control and reliable access to supplies, with potential partnerships further reinforcing this position.</w:t>
      </w:r>
    </w:p>
    <w:p w14:paraId="6311E5CE" w14:textId="5F056629" w:rsidR="00E00557" w:rsidRPr="00305659" w:rsidRDefault="00E00557"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Buyer bargaining power is moderate, as customers can compare suppliers on price, quality, and environmental impact (Cook, 2024). ReLeaf can reduce buyer power by promoting its sustainability narrative, transparent impact reporting, and community value.</w:t>
      </w:r>
    </w:p>
    <w:p w14:paraId="5402E629" w14:textId="31ADC3A4" w:rsidR="00E00557" w:rsidRPr="00305659" w:rsidRDefault="00E00557"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threat of substitutes is moderate to high. Options such as artificial plants, vertical gardens, or conventional landscaping provide predictable outcomes and lower maintenance (</w:t>
      </w:r>
      <w:proofErr w:type="spellStart"/>
      <w:r w:rsidRPr="00305659">
        <w:rPr>
          <w:rFonts w:ascii="Times New Roman" w:hAnsi="Times New Roman" w:cs="Times New Roman"/>
          <w:sz w:val="24"/>
          <w:szCs w:val="24"/>
        </w:rPr>
        <w:t>Saygrass</w:t>
      </w:r>
      <w:proofErr w:type="spellEnd"/>
      <w:r w:rsidRPr="00305659">
        <w:rPr>
          <w:rFonts w:ascii="Times New Roman" w:hAnsi="Times New Roman" w:cs="Times New Roman"/>
          <w:sz w:val="24"/>
          <w:szCs w:val="24"/>
        </w:rPr>
        <w:t>, 2025). However, these alternatives lack ReLeaf’s circularity and social impact, which remain key differentiators.</w:t>
      </w:r>
    </w:p>
    <w:p w14:paraId="51420F97" w14:textId="7BC84E58" w:rsidR="00B568AC" w:rsidRPr="00646361" w:rsidRDefault="00E00557"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Competitive rivalry is significant. The UK had 22,123 landscaping businesses in 2023 (</w:t>
      </w:r>
      <w:proofErr w:type="spellStart"/>
      <w:r w:rsidRPr="00305659">
        <w:rPr>
          <w:rFonts w:ascii="Times New Roman" w:hAnsi="Times New Roman" w:cs="Times New Roman"/>
          <w:sz w:val="24"/>
          <w:szCs w:val="24"/>
        </w:rPr>
        <w:t>IBISworld</w:t>
      </w:r>
      <w:proofErr w:type="spellEnd"/>
      <w:r w:rsidRPr="00305659">
        <w:rPr>
          <w:rFonts w:ascii="Times New Roman" w:hAnsi="Times New Roman" w:cs="Times New Roman"/>
          <w:sz w:val="24"/>
          <w:szCs w:val="24"/>
        </w:rPr>
        <w:t xml:space="preserve">, 2024), and firms like A Greener London Ltd (Plummer, 2023) and </w:t>
      </w:r>
      <w:proofErr w:type="spellStart"/>
      <w:r w:rsidRPr="00305659">
        <w:rPr>
          <w:rFonts w:ascii="Times New Roman" w:hAnsi="Times New Roman" w:cs="Times New Roman"/>
          <w:sz w:val="24"/>
          <w:szCs w:val="24"/>
        </w:rPr>
        <w:t>Scotscape</w:t>
      </w:r>
      <w:proofErr w:type="spellEnd"/>
      <w:r w:rsidRPr="00305659">
        <w:rPr>
          <w:rFonts w:ascii="Times New Roman" w:hAnsi="Times New Roman" w:cs="Times New Roman"/>
          <w:sz w:val="24"/>
          <w:szCs w:val="24"/>
        </w:rPr>
        <w:t xml:space="preserve"> Group Ltd (</w:t>
      </w:r>
      <w:proofErr w:type="spellStart"/>
      <w:r w:rsidRPr="00305659">
        <w:rPr>
          <w:rFonts w:ascii="Times New Roman" w:hAnsi="Times New Roman" w:cs="Times New Roman"/>
          <w:sz w:val="24"/>
          <w:szCs w:val="24"/>
        </w:rPr>
        <w:t>Scotscape</w:t>
      </w:r>
      <w:proofErr w:type="spellEnd"/>
      <w:r w:rsidRPr="00305659">
        <w:rPr>
          <w:rFonts w:ascii="Times New Roman" w:hAnsi="Times New Roman" w:cs="Times New Roman"/>
          <w:sz w:val="24"/>
          <w:szCs w:val="24"/>
        </w:rPr>
        <w:t xml:space="preserve"> Group, 2025) offer advanced services but not a rescue-based model. ReLeaf’s niche approach and potential alliances can strengthen its competitive position</w:t>
      </w:r>
    </w:p>
    <w:tbl>
      <w:tblPr>
        <w:tblStyle w:val="TableGrid"/>
        <w:tblW w:w="0" w:type="auto"/>
        <w:tblLook w:val="04A0" w:firstRow="1" w:lastRow="0" w:firstColumn="1" w:lastColumn="0" w:noHBand="0" w:noVBand="1"/>
      </w:tblPr>
      <w:tblGrid>
        <w:gridCol w:w="4508"/>
        <w:gridCol w:w="4508"/>
      </w:tblGrid>
      <w:tr w:rsidR="00F002CF" w14:paraId="57780FEA" w14:textId="77777777" w:rsidTr="00646361">
        <w:tc>
          <w:tcPr>
            <w:tcW w:w="4508" w:type="dxa"/>
            <w:shd w:val="clear" w:color="auto" w:fill="C1F0C7" w:themeFill="accent3" w:themeFillTint="33"/>
          </w:tcPr>
          <w:p w14:paraId="5EB5441A" w14:textId="241C583B" w:rsidR="00F002CF" w:rsidRPr="00646361" w:rsidRDefault="00F002CF" w:rsidP="00646361">
            <w:pPr>
              <w:spacing w:line="360" w:lineRule="auto"/>
              <w:jc w:val="both"/>
              <w:rPr>
                <w:rFonts w:ascii="Times New Roman" w:hAnsi="Times New Roman" w:cs="Times New Roman"/>
                <w:b/>
                <w:bCs/>
                <w:sz w:val="24"/>
                <w:szCs w:val="24"/>
              </w:rPr>
            </w:pPr>
            <w:r w:rsidRPr="00646361">
              <w:rPr>
                <w:rFonts w:ascii="Times New Roman" w:hAnsi="Times New Roman" w:cs="Times New Roman"/>
                <w:b/>
                <w:bCs/>
                <w:sz w:val="24"/>
                <w:szCs w:val="24"/>
              </w:rPr>
              <w:t>Force</w:t>
            </w:r>
          </w:p>
        </w:tc>
        <w:tc>
          <w:tcPr>
            <w:tcW w:w="4508" w:type="dxa"/>
            <w:shd w:val="clear" w:color="auto" w:fill="C1F0C7" w:themeFill="accent3" w:themeFillTint="33"/>
          </w:tcPr>
          <w:p w14:paraId="6B026F63" w14:textId="0D16AC51" w:rsidR="00F002CF" w:rsidRPr="00646361" w:rsidRDefault="00F002CF" w:rsidP="00646361">
            <w:pPr>
              <w:spacing w:line="360" w:lineRule="auto"/>
              <w:jc w:val="both"/>
              <w:rPr>
                <w:rFonts w:ascii="Times New Roman" w:hAnsi="Times New Roman" w:cs="Times New Roman"/>
                <w:b/>
                <w:bCs/>
                <w:sz w:val="24"/>
                <w:szCs w:val="24"/>
              </w:rPr>
            </w:pPr>
            <w:r w:rsidRPr="00646361">
              <w:rPr>
                <w:rFonts w:ascii="Times New Roman" w:hAnsi="Times New Roman" w:cs="Times New Roman"/>
                <w:b/>
                <w:bCs/>
                <w:sz w:val="24"/>
                <w:szCs w:val="24"/>
              </w:rPr>
              <w:t>Impact</w:t>
            </w:r>
          </w:p>
        </w:tc>
      </w:tr>
      <w:tr w:rsidR="00F002CF" w14:paraId="6337E0E3" w14:textId="77777777" w:rsidTr="00F002CF">
        <w:tc>
          <w:tcPr>
            <w:tcW w:w="4508" w:type="dxa"/>
          </w:tcPr>
          <w:p w14:paraId="34077407" w14:textId="3CD5CA8C" w:rsidR="00F002CF" w:rsidRPr="00646361" w:rsidRDefault="00F002CF"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Threat of new Entrance</w:t>
            </w:r>
          </w:p>
        </w:tc>
        <w:tc>
          <w:tcPr>
            <w:tcW w:w="4508" w:type="dxa"/>
          </w:tcPr>
          <w:p w14:paraId="1CFAF93A" w14:textId="6E1A4F59" w:rsidR="00F002CF" w:rsidRPr="00646361" w:rsidRDefault="00646361"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 xml:space="preserve">Moderate </w:t>
            </w:r>
          </w:p>
        </w:tc>
      </w:tr>
      <w:tr w:rsidR="00F002CF" w14:paraId="09D48F49" w14:textId="77777777" w:rsidTr="00F002CF">
        <w:tc>
          <w:tcPr>
            <w:tcW w:w="4508" w:type="dxa"/>
          </w:tcPr>
          <w:p w14:paraId="71BB54DB" w14:textId="1EB272EB" w:rsidR="00F002CF" w:rsidRPr="00646361" w:rsidRDefault="00F002CF"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Supplier Bargaining Power</w:t>
            </w:r>
          </w:p>
        </w:tc>
        <w:tc>
          <w:tcPr>
            <w:tcW w:w="4508" w:type="dxa"/>
          </w:tcPr>
          <w:p w14:paraId="3AB34115" w14:textId="6677CAAB" w:rsidR="00F002CF" w:rsidRPr="00646361" w:rsidRDefault="00646361"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Extremely Low</w:t>
            </w:r>
          </w:p>
        </w:tc>
      </w:tr>
      <w:tr w:rsidR="00F002CF" w14:paraId="7402E641" w14:textId="77777777" w:rsidTr="00F002CF">
        <w:tc>
          <w:tcPr>
            <w:tcW w:w="4508" w:type="dxa"/>
          </w:tcPr>
          <w:p w14:paraId="3A899007" w14:textId="2A90CF44" w:rsidR="00F002CF" w:rsidRPr="00646361" w:rsidRDefault="00F002CF"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 xml:space="preserve">Buyer </w:t>
            </w:r>
            <w:r w:rsidRPr="00646361">
              <w:rPr>
                <w:rFonts w:ascii="Times New Roman" w:hAnsi="Times New Roman" w:cs="Times New Roman"/>
                <w:sz w:val="24"/>
                <w:szCs w:val="24"/>
              </w:rPr>
              <w:t>Bargaining Power</w:t>
            </w:r>
          </w:p>
        </w:tc>
        <w:tc>
          <w:tcPr>
            <w:tcW w:w="4508" w:type="dxa"/>
          </w:tcPr>
          <w:p w14:paraId="4A673256" w14:textId="06A0ACAC" w:rsidR="00F002CF" w:rsidRPr="00646361" w:rsidRDefault="00646361"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Moderate</w:t>
            </w:r>
          </w:p>
        </w:tc>
      </w:tr>
      <w:tr w:rsidR="00F002CF" w14:paraId="2CCE94A7" w14:textId="77777777" w:rsidTr="00F002CF">
        <w:tc>
          <w:tcPr>
            <w:tcW w:w="4508" w:type="dxa"/>
          </w:tcPr>
          <w:p w14:paraId="2E4843BA" w14:textId="62F2C2F2" w:rsidR="00F002CF" w:rsidRPr="00646361" w:rsidRDefault="00F002CF"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 xml:space="preserve">Threat of Substitute </w:t>
            </w:r>
          </w:p>
        </w:tc>
        <w:tc>
          <w:tcPr>
            <w:tcW w:w="4508" w:type="dxa"/>
          </w:tcPr>
          <w:p w14:paraId="255AF0A4" w14:textId="789E8273" w:rsidR="00F002CF" w:rsidRPr="00646361" w:rsidRDefault="00646361"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Moderate to High</w:t>
            </w:r>
          </w:p>
        </w:tc>
      </w:tr>
      <w:tr w:rsidR="00F002CF" w14:paraId="62823EF7" w14:textId="77777777" w:rsidTr="00F002CF">
        <w:tc>
          <w:tcPr>
            <w:tcW w:w="4508" w:type="dxa"/>
          </w:tcPr>
          <w:p w14:paraId="0C2992AD" w14:textId="06D1106F" w:rsidR="00F002CF" w:rsidRPr="00646361" w:rsidRDefault="00F002CF"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 xml:space="preserve">Competitive </w:t>
            </w:r>
            <w:r w:rsidR="00646361" w:rsidRPr="00646361">
              <w:rPr>
                <w:rFonts w:ascii="Times New Roman" w:hAnsi="Times New Roman" w:cs="Times New Roman"/>
                <w:sz w:val="24"/>
                <w:szCs w:val="24"/>
              </w:rPr>
              <w:t>Rivalry</w:t>
            </w:r>
          </w:p>
        </w:tc>
        <w:tc>
          <w:tcPr>
            <w:tcW w:w="4508" w:type="dxa"/>
          </w:tcPr>
          <w:p w14:paraId="31ECBFAE" w14:textId="3191C343" w:rsidR="00F002CF" w:rsidRPr="00646361" w:rsidRDefault="00646361" w:rsidP="00646361">
            <w:pPr>
              <w:spacing w:line="360" w:lineRule="auto"/>
              <w:jc w:val="both"/>
              <w:rPr>
                <w:rFonts w:ascii="Times New Roman" w:hAnsi="Times New Roman" w:cs="Times New Roman"/>
                <w:sz w:val="24"/>
                <w:szCs w:val="24"/>
              </w:rPr>
            </w:pPr>
            <w:r w:rsidRPr="00646361">
              <w:rPr>
                <w:rFonts w:ascii="Times New Roman" w:hAnsi="Times New Roman" w:cs="Times New Roman"/>
                <w:sz w:val="24"/>
                <w:szCs w:val="24"/>
              </w:rPr>
              <w:t>High</w:t>
            </w:r>
          </w:p>
        </w:tc>
      </w:tr>
    </w:tbl>
    <w:p w14:paraId="40B61315" w14:textId="183672E4" w:rsidR="00F002CF" w:rsidRPr="00305659" w:rsidRDefault="00646361" w:rsidP="00646361">
      <w:pPr>
        <w:spacing w:line="360" w:lineRule="auto"/>
        <w:jc w:val="both"/>
        <w:rPr>
          <w:rFonts w:ascii="Times New Roman" w:hAnsi="Times New Roman" w:cs="Times New Roman"/>
          <w:b/>
          <w:bCs/>
          <w:sz w:val="18"/>
          <w:szCs w:val="18"/>
        </w:rPr>
      </w:pPr>
      <w:r>
        <w:rPr>
          <w:rFonts w:ascii="Times New Roman" w:hAnsi="Times New Roman" w:cs="Times New Roman"/>
          <w:b/>
          <w:bCs/>
          <w:sz w:val="18"/>
          <w:szCs w:val="18"/>
        </w:rPr>
        <w:t>Table 1</w:t>
      </w:r>
      <w:r w:rsidRPr="00305659">
        <w:rPr>
          <w:rFonts w:ascii="Times New Roman" w:hAnsi="Times New Roman" w:cs="Times New Roman"/>
          <w:b/>
          <w:bCs/>
          <w:sz w:val="18"/>
          <w:szCs w:val="18"/>
        </w:rPr>
        <w:t xml:space="preserve">: Porter’s 5 Forces and its impact </w:t>
      </w:r>
    </w:p>
    <w:p w14:paraId="0A070C8B" w14:textId="6D3AEA8D" w:rsidR="008369F8" w:rsidRPr="00305659" w:rsidRDefault="008369F8" w:rsidP="00410552">
      <w:pPr>
        <w:pStyle w:val="Heading1"/>
        <w:spacing w:line="360" w:lineRule="auto"/>
        <w:jc w:val="both"/>
        <w:rPr>
          <w:rFonts w:ascii="Times New Roman" w:hAnsi="Times New Roman" w:cs="Times New Roman"/>
          <w:b/>
          <w:bCs/>
          <w:sz w:val="24"/>
          <w:szCs w:val="24"/>
        </w:rPr>
      </w:pPr>
      <w:bookmarkStart w:id="8" w:name="_Toc214794136"/>
      <w:r w:rsidRPr="00305659">
        <w:rPr>
          <w:rFonts w:ascii="Times New Roman" w:hAnsi="Times New Roman" w:cs="Times New Roman"/>
          <w:b/>
          <w:bCs/>
          <w:sz w:val="24"/>
          <w:szCs w:val="24"/>
        </w:rPr>
        <w:lastRenderedPageBreak/>
        <w:t>Element 3: Market Segmentation, the 4Ps, and Marketing Strategies</w:t>
      </w:r>
      <w:bookmarkEnd w:id="8"/>
    </w:p>
    <w:p w14:paraId="40404FDA" w14:textId="413DFAE2" w:rsidR="002A0D18" w:rsidRPr="00305659" w:rsidRDefault="00FB241B" w:rsidP="00410552">
      <w:pPr>
        <w:pStyle w:val="Heading2"/>
        <w:spacing w:line="360" w:lineRule="auto"/>
        <w:jc w:val="both"/>
        <w:rPr>
          <w:rFonts w:ascii="Times New Roman" w:hAnsi="Times New Roman" w:cs="Times New Roman"/>
          <w:b/>
          <w:bCs/>
          <w:sz w:val="24"/>
          <w:szCs w:val="24"/>
        </w:rPr>
      </w:pPr>
      <w:bookmarkStart w:id="9" w:name="_Toc214794137"/>
      <w:r w:rsidRPr="00305659">
        <w:rPr>
          <w:rFonts w:ascii="Times New Roman" w:hAnsi="Times New Roman" w:cs="Times New Roman"/>
          <w:b/>
          <w:bCs/>
          <w:sz w:val="24"/>
          <w:szCs w:val="24"/>
        </w:rPr>
        <w:t>Market Segmentation and Target Customers</w:t>
      </w:r>
      <w:bookmarkEnd w:id="9"/>
    </w:p>
    <w:p w14:paraId="3A6C01C6" w14:textId="50CE47F1" w:rsidR="00F71082" w:rsidRPr="00305659" w:rsidRDefault="00F7108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Market segmentation enables firms to identify specific client groups and tailor their offerings accordingly (Tynan and Drayton, 1987). In the ReLeaf Project, segmentation is based on demographic, psychographic, and behavioural factors, reflecting the varied interests of institutional and individual clients. The first major segment consists of public-sector bodies and educational institutions, including councils, schools, and universities. These organisations increasingly pursue sustainability goals through biodiversity and air-quality initiatives. The UK Department for Environment, Food and Rural Affairs urges local authorities to implement green-infrastructure projects to mitigate pollution and climate effects (Gov.uk, 2025), making this segment highly attractive to ReLeaf due to its stable funding and potential for long-term partnerships.</w:t>
      </w:r>
    </w:p>
    <w:p w14:paraId="24012FF2" w14:textId="68B13B8A" w:rsidR="00F71082" w:rsidRPr="00305659" w:rsidRDefault="00F7108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second segment includes corporate customers such as business parks, retail centres, and offices seeking to improve workplace wellbeing and fulfil Environmental, Social, and Governance commitments. According to the 2023 Deloitte Sustainability Report (Deloitte, 2023) and the research by Gergely (2025), 62% of UK companies have adopted internal sustainability policies, demonstrating significant demand for transparent, nature-based initiatives. ReLeaf can appeal to this group by positioning its services as a Corporate Social Responsibility solution that enhances environmental performance while supporting employee welfare.</w:t>
      </w:r>
    </w:p>
    <w:p w14:paraId="7B71B379" w14:textId="3A9FA1B0" w:rsidR="00F71082" w:rsidRPr="00305659" w:rsidRDefault="00F71082"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The third segment comprises environmentally conscious individuals and community organisations motivated by ecological responsibility and lifestyle choices. These consumers participate in plant-adoption schemes, workshops, and retail purchases, forming a socially aware audience willing to support sustainability through frequent, small-scale contributions. A fourth emerging segment includes hospitality and healthcare providers</w:t>
      </w:r>
      <w:r w:rsidR="00F41EAA" w:rsidRPr="00305659">
        <w:rPr>
          <w:rFonts w:ascii="Times New Roman" w:hAnsi="Times New Roman" w:cs="Times New Roman"/>
          <w:sz w:val="24"/>
          <w:szCs w:val="24"/>
        </w:rPr>
        <w:t xml:space="preserve"> </w:t>
      </w:r>
      <w:r w:rsidRPr="00305659">
        <w:rPr>
          <w:rFonts w:ascii="Times New Roman" w:hAnsi="Times New Roman" w:cs="Times New Roman"/>
          <w:sz w:val="24"/>
          <w:szCs w:val="24"/>
        </w:rPr>
        <w:t>hotels, restaurants, and clinics</w:t>
      </w:r>
      <w:r w:rsidR="00F41EAA" w:rsidRPr="00305659">
        <w:rPr>
          <w:rFonts w:ascii="Times New Roman" w:hAnsi="Times New Roman" w:cs="Times New Roman"/>
          <w:sz w:val="24"/>
          <w:szCs w:val="24"/>
        </w:rPr>
        <w:t xml:space="preserve"> </w:t>
      </w:r>
      <w:r w:rsidRPr="00305659">
        <w:rPr>
          <w:rFonts w:ascii="Times New Roman" w:hAnsi="Times New Roman" w:cs="Times New Roman"/>
          <w:sz w:val="24"/>
          <w:szCs w:val="24"/>
        </w:rPr>
        <w:t>seeking plants to enhance ambience and reduce stress, offering growth potential for decorative and wellbeing-driven installations. ReLeaf prioritises institutional and corporate clients due to their financial stability and scalability, while the smaller consumer-focused segments contribute to brand visibility and social impact.</w:t>
      </w:r>
    </w:p>
    <w:p w14:paraId="41AACB55" w14:textId="77777777" w:rsidR="0094042D" w:rsidRPr="00305659" w:rsidRDefault="0094042D" w:rsidP="00410552">
      <w:pPr>
        <w:pStyle w:val="Heading3"/>
        <w:spacing w:line="360" w:lineRule="auto"/>
        <w:jc w:val="both"/>
        <w:rPr>
          <w:rFonts w:ascii="Times New Roman" w:hAnsi="Times New Roman" w:cs="Times New Roman"/>
          <w:b/>
          <w:bCs/>
        </w:rPr>
      </w:pPr>
      <w:bookmarkStart w:id="10" w:name="_Toc214794138"/>
      <w:r w:rsidRPr="00305659">
        <w:rPr>
          <w:rFonts w:ascii="Times New Roman" w:hAnsi="Times New Roman" w:cs="Times New Roman"/>
          <w:b/>
          <w:bCs/>
        </w:rPr>
        <w:t>The Four Ps of Marketing</w:t>
      </w:r>
      <w:bookmarkEnd w:id="10"/>
    </w:p>
    <w:p w14:paraId="50474E00" w14:textId="6D7F0F13" w:rsidR="0094042D" w:rsidRPr="0094042D" w:rsidRDefault="0094042D" w:rsidP="00410552">
      <w:pPr>
        <w:spacing w:line="360" w:lineRule="auto"/>
        <w:jc w:val="both"/>
        <w:rPr>
          <w:rFonts w:ascii="Times New Roman" w:hAnsi="Times New Roman" w:cs="Times New Roman"/>
          <w:sz w:val="24"/>
          <w:szCs w:val="24"/>
        </w:rPr>
      </w:pPr>
      <w:r w:rsidRPr="0094042D">
        <w:rPr>
          <w:rFonts w:ascii="Times New Roman" w:hAnsi="Times New Roman" w:cs="Times New Roman"/>
          <w:sz w:val="24"/>
          <w:szCs w:val="24"/>
        </w:rPr>
        <w:t>According to Coursera (2023), the four Ps</w:t>
      </w:r>
      <w:r w:rsidR="00F41EAA" w:rsidRPr="00305659">
        <w:rPr>
          <w:rFonts w:ascii="Times New Roman" w:hAnsi="Times New Roman" w:cs="Times New Roman"/>
          <w:sz w:val="24"/>
          <w:szCs w:val="24"/>
        </w:rPr>
        <w:t xml:space="preserve">: </w:t>
      </w:r>
      <w:r w:rsidRPr="0094042D">
        <w:rPr>
          <w:rFonts w:ascii="Times New Roman" w:hAnsi="Times New Roman" w:cs="Times New Roman"/>
          <w:sz w:val="24"/>
          <w:szCs w:val="24"/>
        </w:rPr>
        <w:t>product, price, place, and promotion</w:t>
      </w:r>
      <w:r w:rsidR="00F41EAA" w:rsidRPr="00305659">
        <w:rPr>
          <w:rFonts w:ascii="Times New Roman" w:hAnsi="Times New Roman" w:cs="Times New Roman"/>
          <w:sz w:val="24"/>
          <w:szCs w:val="24"/>
        </w:rPr>
        <w:t xml:space="preserve">, </w:t>
      </w:r>
      <w:r w:rsidRPr="0094042D">
        <w:rPr>
          <w:rFonts w:ascii="Times New Roman" w:hAnsi="Times New Roman" w:cs="Times New Roman"/>
          <w:sz w:val="24"/>
          <w:szCs w:val="24"/>
        </w:rPr>
        <w:t>form the basis of marketing strategy, shaping how organisations design and deliver value.</w:t>
      </w:r>
    </w:p>
    <w:p w14:paraId="5A8832D6" w14:textId="77777777" w:rsidR="0094042D" w:rsidRPr="00305659" w:rsidRDefault="0094042D"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lastRenderedPageBreak/>
        <w:t>Product</w:t>
      </w:r>
    </w:p>
    <w:p w14:paraId="3613179B" w14:textId="77777777" w:rsidR="0094042D" w:rsidRPr="0094042D" w:rsidRDefault="0094042D" w:rsidP="00410552">
      <w:pPr>
        <w:spacing w:line="360" w:lineRule="auto"/>
        <w:jc w:val="both"/>
        <w:rPr>
          <w:rFonts w:ascii="Times New Roman" w:hAnsi="Times New Roman" w:cs="Times New Roman"/>
          <w:sz w:val="24"/>
          <w:szCs w:val="24"/>
        </w:rPr>
      </w:pPr>
      <w:r w:rsidRPr="0094042D">
        <w:rPr>
          <w:rFonts w:ascii="Times New Roman" w:hAnsi="Times New Roman" w:cs="Times New Roman"/>
          <w:sz w:val="24"/>
          <w:szCs w:val="24"/>
        </w:rPr>
        <w:t>ReLeaf provides a hybrid product–service model that integrates plant rescue, propagation, installation, and maintenance, creating both functional and experiential value. While the tangible output is the restored plant, the wider value proposition centres on sustainability and participation in a circular economy. Installations improve air quality, reduce waste, and enhance aesthetics, while meeting emotional expectations for environmental responsibility. Quality is supported through a “plant vitality guarantee,” scheduled maintenance, and a retail line that includes revived plants, propagation kits, and educational tools. This blend of ecological impact and emotional significance transforms conventional plant care into an innovative sustainability solution.</w:t>
      </w:r>
    </w:p>
    <w:p w14:paraId="157D6350" w14:textId="77777777" w:rsidR="0094042D" w:rsidRPr="00305659" w:rsidRDefault="0094042D"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Price</w:t>
      </w:r>
    </w:p>
    <w:p w14:paraId="0657AAEA" w14:textId="77777777" w:rsidR="0094042D" w:rsidRPr="0094042D" w:rsidRDefault="0094042D" w:rsidP="00410552">
      <w:pPr>
        <w:spacing w:line="360" w:lineRule="auto"/>
        <w:jc w:val="both"/>
        <w:rPr>
          <w:rFonts w:ascii="Times New Roman" w:hAnsi="Times New Roman" w:cs="Times New Roman"/>
          <w:sz w:val="24"/>
          <w:szCs w:val="24"/>
        </w:rPr>
      </w:pPr>
      <w:r w:rsidRPr="0094042D">
        <w:rPr>
          <w:rFonts w:ascii="Times New Roman" w:hAnsi="Times New Roman" w:cs="Times New Roman"/>
          <w:sz w:val="24"/>
          <w:szCs w:val="24"/>
        </w:rPr>
        <w:t>ReLeaf uses a value-based pricing strategy reflecting the ecological and social benefits provided. Large installations typically cost £1,500–£3,000 depending on scale, species, and maintenance length. This positions ReLeaf competitively alongside firms such as Biotecture Ltd (NBS Source, 2025) and The Urban Greening Company Ltd (The Urban Greening Company, 2022), which offer comparable services without a rescue component. Retail prices for rejuvenated plants range from £10–£30, while propagation kits and sponsorship programmes cost £20–£50, ensuring affordability for individuals. Discounted packages for public institutions and long-term maintenance contracts encourage loyalty. These flexible and socially aligned pricing practices balance financial sustainability with inclusivity.</w:t>
      </w:r>
    </w:p>
    <w:p w14:paraId="6C4484FC" w14:textId="77777777" w:rsidR="0094042D" w:rsidRPr="00305659" w:rsidRDefault="0094042D"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Place</w:t>
      </w:r>
    </w:p>
    <w:p w14:paraId="1BAE974F" w14:textId="77777777" w:rsidR="0094042D" w:rsidRPr="0094042D" w:rsidRDefault="0094042D" w:rsidP="00410552">
      <w:pPr>
        <w:spacing w:line="360" w:lineRule="auto"/>
        <w:jc w:val="both"/>
        <w:rPr>
          <w:rFonts w:ascii="Times New Roman" w:hAnsi="Times New Roman" w:cs="Times New Roman"/>
          <w:sz w:val="24"/>
          <w:szCs w:val="24"/>
        </w:rPr>
      </w:pPr>
      <w:r w:rsidRPr="0094042D">
        <w:rPr>
          <w:rFonts w:ascii="Times New Roman" w:hAnsi="Times New Roman" w:cs="Times New Roman"/>
          <w:sz w:val="24"/>
          <w:szCs w:val="24"/>
        </w:rPr>
        <w:t>Effective distribution is central to ensuring accessibility across customer groups. ReLeaf employs a multi-channel approach that combines direct installations, community outreach, and digital platforms. Institutional clients receive onsite installations supported by tailored consultations. Planned regional propagation hubs aim to cut emissions and improve local availability. The website doubles as an educational and retail platform, allowing users to adopt plants, donate, book workshops, and engage with ReLeaf’s mission. Pop-up stalls at markets and sustainability events increase visibility. This integrated “click-and-connect” model strengthens convenience while supporting environmental responsibility and community involvement.</w:t>
      </w:r>
    </w:p>
    <w:p w14:paraId="13EF6A93" w14:textId="77777777" w:rsidR="0094042D" w:rsidRPr="00305659" w:rsidRDefault="0094042D"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lastRenderedPageBreak/>
        <w:t>Promotion</w:t>
      </w:r>
    </w:p>
    <w:p w14:paraId="62D837B5" w14:textId="3E653948" w:rsidR="0094042D" w:rsidRPr="0094042D" w:rsidRDefault="0094042D" w:rsidP="00410552">
      <w:pPr>
        <w:spacing w:line="360" w:lineRule="auto"/>
        <w:jc w:val="both"/>
        <w:rPr>
          <w:rFonts w:ascii="Times New Roman" w:hAnsi="Times New Roman" w:cs="Times New Roman"/>
          <w:sz w:val="24"/>
          <w:szCs w:val="24"/>
        </w:rPr>
      </w:pPr>
      <w:r w:rsidRPr="0094042D">
        <w:rPr>
          <w:rFonts w:ascii="Times New Roman" w:hAnsi="Times New Roman" w:cs="Times New Roman"/>
          <w:sz w:val="24"/>
          <w:szCs w:val="24"/>
        </w:rPr>
        <w:t>ReLeaf’s promotional strategy emphasises authenticity, education, and environmental awareness. Its promotional mix incorporates digital marketing, PR, and community events. The website acts as the main information hub, featuring impact metrics, case studies, and visual storytelling. Social media platforms serve targeted purposes: Instagram and TikTok highlight plant rescues and community work, while LinkedIn engages institutional audiences. Content marketing</w:t>
      </w:r>
      <w:r w:rsidR="0036320B" w:rsidRPr="00305659">
        <w:rPr>
          <w:rFonts w:ascii="Times New Roman" w:hAnsi="Times New Roman" w:cs="Times New Roman"/>
          <w:sz w:val="24"/>
          <w:szCs w:val="24"/>
        </w:rPr>
        <w:t xml:space="preserve">: </w:t>
      </w:r>
      <w:r w:rsidRPr="0094042D">
        <w:rPr>
          <w:rFonts w:ascii="Times New Roman" w:hAnsi="Times New Roman" w:cs="Times New Roman"/>
          <w:sz w:val="24"/>
          <w:szCs w:val="24"/>
        </w:rPr>
        <w:t>blogs, newsletters, and short educational videos</w:t>
      </w:r>
      <w:r w:rsidR="0036320B" w:rsidRPr="00305659">
        <w:rPr>
          <w:rFonts w:ascii="Times New Roman" w:hAnsi="Times New Roman" w:cs="Times New Roman"/>
          <w:sz w:val="24"/>
          <w:szCs w:val="24"/>
        </w:rPr>
        <w:t xml:space="preserve"> </w:t>
      </w:r>
      <w:r w:rsidRPr="0094042D">
        <w:rPr>
          <w:rFonts w:ascii="Times New Roman" w:hAnsi="Times New Roman" w:cs="Times New Roman"/>
          <w:sz w:val="24"/>
          <w:szCs w:val="24"/>
        </w:rPr>
        <w:t>positions ReLeaf as a sustainability leader. PR partnerships with councils, universities, and eco-influencers build credibility. Events such as “Green Days” and QR-coded installations deepen emotional engagement through transparent storytelling.</w:t>
      </w:r>
    </w:p>
    <w:p w14:paraId="1BDDFE56" w14:textId="77777777" w:rsidR="0094042D" w:rsidRPr="00305659" w:rsidRDefault="0094042D" w:rsidP="00410552">
      <w:pPr>
        <w:pStyle w:val="Heading4"/>
        <w:spacing w:line="360" w:lineRule="auto"/>
        <w:jc w:val="both"/>
        <w:rPr>
          <w:rFonts w:ascii="Times New Roman" w:hAnsi="Times New Roman" w:cs="Times New Roman"/>
          <w:b/>
          <w:bCs/>
          <w:i w:val="0"/>
          <w:iCs w:val="0"/>
          <w:sz w:val="24"/>
          <w:szCs w:val="24"/>
        </w:rPr>
      </w:pPr>
      <w:r w:rsidRPr="00305659">
        <w:rPr>
          <w:rFonts w:ascii="Times New Roman" w:hAnsi="Times New Roman" w:cs="Times New Roman"/>
          <w:b/>
          <w:bCs/>
          <w:i w:val="0"/>
          <w:iCs w:val="0"/>
          <w:sz w:val="24"/>
          <w:szCs w:val="24"/>
        </w:rPr>
        <w:t>Online Marketing Strategies</w:t>
      </w:r>
    </w:p>
    <w:p w14:paraId="29CAC799" w14:textId="7E88DA43" w:rsidR="002B21C0" w:rsidRDefault="0094042D" w:rsidP="00410552">
      <w:pPr>
        <w:spacing w:line="360" w:lineRule="auto"/>
        <w:jc w:val="both"/>
        <w:rPr>
          <w:rFonts w:ascii="Times New Roman" w:hAnsi="Times New Roman" w:cs="Times New Roman"/>
          <w:sz w:val="24"/>
          <w:szCs w:val="24"/>
        </w:rPr>
      </w:pPr>
      <w:r w:rsidRPr="0094042D">
        <w:rPr>
          <w:rFonts w:ascii="Times New Roman" w:hAnsi="Times New Roman" w:cs="Times New Roman"/>
          <w:sz w:val="24"/>
          <w:szCs w:val="24"/>
        </w:rPr>
        <w:t>ReLeaf’s digital strategy is data-driven and designed to enhance reach and retention. SEO based on terms such as urban greening United Kingdom and plant rescue service, combined with targeted paid search, strengthens visibility (</w:t>
      </w:r>
      <w:proofErr w:type="spellStart"/>
      <w:r w:rsidRPr="0094042D">
        <w:rPr>
          <w:rFonts w:ascii="Times New Roman" w:hAnsi="Times New Roman" w:cs="Times New Roman"/>
          <w:sz w:val="24"/>
          <w:szCs w:val="24"/>
        </w:rPr>
        <w:t>Braghetta</w:t>
      </w:r>
      <w:proofErr w:type="spellEnd"/>
      <w:r w:rsidRPr="0094042D">
        <w:rPr>
          <w:rFonts w:ascii="Times New Roman" w:hAnsi="Times New Roman" w:cs="Times New Roman"/>
          <w:sz w:val="24"/>
          <w:szCs w:val="24"/>
        </w:rPr>
        <w:t>, 2025). Social media analytics guide content choices, while email newsletters support long-term relationships with corporate partners. CRM systems manage leads, personalise communication, and monitor satisfaction. Storytelling is central: each rescued plant’s “story” is shared through QR codes and social media, aligning with consumer preferences</w:t>
      </w:r>
      <w:r w:rsidR="0036320B" w:rsidRPr="00305659">
        <w:rPr>
          <w:rFonts w:ascii="Times New Roman" w:hAnsi="Times New Roman" w:cs="Times New Roman"/>
          <w:sz w:val="24"/>
          <w:szCs w:val="24"/>
        </w:rPr>
        <w:t xml:space="preserve"> </w:t>
      </w:r>
      <w:r w:rsidRPr="0094042D">
        <w:rPr>
          <w:rFonts w:ascii="Times New Roman" w:hAnsi="Times New Roman" w:cs="Times New Roman"/>
          <w:sz w:val="24"/>
          <w:szCs w:val="24"/>
        </w:rPr>
        <w:t>34% dislike excessive self-promotion and 56% favour personable brands (Hootsuite Inc., 2024). Retention strategies such as loyalty rewards, referrals, and exclusive workshops create a continuous feedback loop that informs product development and enhances customer satisfaction, reinforcing ReLeaf’s mission-driven identity.</w:t>
      </w:r>
    </w:p>
    <w:p w14:paraId="63C9700A" w14:textId="77777777" w:rsidR="00957FEC" w:rsidRPr="00305659" w:rsidRDefault="00957FEC" w:rsidP="00410552">
      <w:pPr>
        <w:spacing w:line="360" w:lineRule="auto"/>
        <w:jc w:val="both"/>
        <w:rPr>
          <w:rFonts w:ascii="Times New Roman" w:hAnsi="Times New Roman" w:cs="Times New Roman"/>
          <w:sz w:val="24"/>
          <w:szCs w:val="24"/>
        </w:rPr>
      </w:pPr>
    </w:p>
    <w:p w14:paraId="055893F6" w14:textId="77777777" w:rsidR="0024269F" w:rsidRPr="00305659" w:rsidRDefault="004B6685" w:rsidP="00410552">
      <w:pPr>
        <w:spacing w:line="360" w:lineRule="auto"/>
        <w:jc w:val="both"/>
        <w:rPr>
          <w:rStyle w:val="Heading1Char"/>
          <w:rFonts w:ascii="Times New Roman" w:hAnsi="Times New Roman" w:cs="Times New Roman"/>
          <w:b/>
          <w:bCs/>
          <w:sz w:val="24"/>
          <w:szCs w:val="24"/>
        </w:rPr>
      </w:pPr>
      <w:bookmarkStart w:id="11" w:name="_Toc214794139"/>
      <w:r w:rsidRPr="004B6685">
        <w:rPr>
          <w:rStyle w:val="Heading1Char"/>
          <w:rFonts w:ascii="Times New Roman" w:hAnsi="Times New Roman" w:cs="Times New Roman"/>
          <w:b/>
          <w:bCs/>
          <w:sz w:val="24"/>
          <w:szCs w:val="24"/>
        </w:rPr>
        <w:t>Element 4: Legal, Management, and Financial Planning</w:t>
      </w:r>
      <w:bookmarkEnd w:id="11"/>
      <w:r w:rsidRPr="004B6685">
        <w:rPr>
          <w:rStyle w:val="Heading1Char"/>
          <w:rFonts w:ascii="Times New Roman" w:hAnsi="Times New Roman" w:cs="Times New Roman"/>
          <w:b/>
          <w:bCs/>
          <w:sz w:val="24"/>
          <w:szCs w:val="24"/>
        </w:rPr>
        <w:t xml:space="preserve"> </w:t>
      </w:r>
    </w:p>
    <w:p w14:paraId="2FBE5526" w14:textId="0F26B243" w:rsidR="0036320B" w:rsidRPr="00305659" w:rsidRDefault="004B6685" w:rsidP="00410552">
      <w:pPr>
        <w:spacing w:line="360" w:lineRule="auto"/>
        <w:jc w:val="both"/>
        <w:rPr>
          <w:rFonts w:ascii="Times New Roman" w:hAnsi="Times New Roman" w:cs="Times New Roman"/>
          <w:sz w:val="24"/>
          <w:szCs w:val="24"/>
        </w:rPr>
      </w:pPr>
      <w:bookmarkStart w:id="12" w:name="_Toc214794140"/>
      <w:r w:rsidRPr="004B6685">
        <w:rPr>
          <w:rStyle w:val="Heading2Char"/>
          <w:rFonts w:ascii="Times New Roman" w:hAnsi="Times New Roman" w:cs="Times New Roman"/>
          <w:b/>
          <w:bCs/>
          <w:sz w:val="24"/>
          <w:szCs w:val="24"/>
        </w:rPr>
        <w:t>Legal Framework</w:t>
      </w:r>
      <w:bookmarkEnd w:id="12"/>
    </w:p>
    <w:p w14:paraId="1C3498F2" w14:textId="4D1FB64D" w:rsidR="0036320B" w:rsidRPr="00305659" w:rsidRDefault="0036320B" w:rsidP="00410552">
      <w:pPr>
        <w:spacing w:line="360" w:lineRule="auto"/>
        <w:jc w:val="both"/>
        <w:rPr>
          <w:rFonts w:ascii="Times New Roman" w:hAnsi="Times New Roman" w:cs="Times New Roman"/>
          <w:sz w:val="24"/>
          <w:szCs w:val="24"/>
        </w:rPr>
      </w:pPr>
      <w:r w:rsidRPr="00305659">
        <w:rPr>
          <w:rFonts w:ascii="Times New Roman" w:hAnsi="Times New Roman" w:cs="Times New Roman"/>
          <w:sz w:val="24"/>
          <w:szCs w:val="24"/>
        </w:rPr>
        <w:t xml:space="preserve">The most suitable legal structure for the ReLeaf Project is a Private Limited Company (Ltd), established under the Companies Act 2006 (GOV.UK, 2006). This form provides limited liability, protecting founders’ personal assets while enabling the organisation to operate as a profit-generating entity in the sustainability and environmental services sector. Compared with charity or CIC models, </w:t>
      </w:r>
      <w:r w:rsidR="00957FEC" w:rsidRPr="00305659">
        <w:rPr>
          <w:rFonts w:ascii="Times New Roman" w:hAnsi="Times New Roman" w:cs="Times New Roman"/>
          <w:sz w:val="24"/>
          <w:szCs w:val="24"/>
        </w:rPr>
        <w:t>a</w:t>
      </w:r>
      <w:r w:rsidRPr="00305659">
        <w:rPr>
          <w:rFonts w:ascii="Times New Roman" w:hAnsi="Times New Roman" w:cs="Times New Roman"/>
          <w:sz w:val="24"/>
          <w:szCs w:val="24"/>
        </w:rPr>
        <w:t xml:space="preserve"> Ltd offers greater flexibility in decision-making, investment, and commercial partnerships, supporting long-term scalability and reinvestment into urban greening services, digital tools, and propagation facilities. Although </w:t>
      </w:r>
      <w:r w:rsidR="00957FEC" w:rsidRPr="00305659">
        <w:rPr>
          <w:rFonts w:ascii="Times New Roman" w:hAnsi="Times New Roman" w:cs="Times New Roman"/>
          <w:sz w:val="24"/>
          <w:szCs w:val="24"/>
        </w:rPr>
        <w:t>a</w:t>
      </w:r>
      <w:r w:rsidRPr="00305659">
        <w:rPr>
          <w:rFonts w:ascii="Times New Roman" w:hAnsi="Times New Roman" w:cs="Times New Roman"/>
          <w:sz w:val="24"/>
          <w:szCs w:val="24"/>
        </w:rPr>
        <w:t xml:space="preserve"> Ltd lacks the statutory “asset lock” of a CIC (</w:t>
      </w:r>
      <w:proofErr w:type="spellStart"/>
      <w:r w:rsidRPr="00305659">
        <w:rPr>
          <w:rFonts w:ascii="Times New Roman" w:hAnsi="Times New Roman" w:cs="Times New Roman"/>
          <w:sz w:val="24"/>
          <w:szCs w:val="24"/>
        </w:rPr>
        <w:t>DTNI</w:t>
      </w:r>
      <w:proofErr w:type="spellEnd"/>
      <w:r w:rsidRPr="00305659">
        <w:rPr>
          <w:rFonts w:ascii="Times New Roman" w:hAnsi="Times New Roman" w:cs="Times New Roman"/>
          <w:sz w:val="24"/>
          <w:szCs w:val="24"/>
        </w:rPr>
        <w:t xml:space="preserve"> Team, 2024), ReLeaf can still demonstrate environmental </w:t>
      </w:r>
      <w:r w:rsidRPr="00305659">
        <w:rPr>
          <w:rFonts w:ascii="Times New Roman" w:hAnsi="Times New Roman" w:cs="Times New Roman"/>
          <w:sz w:val="24"/>
          <w:szCs w:val="24"/>
        </w:rPr>
        <w:lastRenderedPageBreak/>
        <w:t xml:space="preserve">integrity through voluntary transparency, sustainability reporting, and alignment with </w:t>
      </w:r>
      <w:proofErr w:type="spellStart"/>
      <w:r w:rsidRPr="00305659">
        <w:rPr>
          <w:rFonts w:ascii="Times New Roman" w:hAnsi="Times New Roman" w:cs="Times New Roman"/>
          <w:sz w:val="24"/>
          <w:szCs w:val="24"/>
        </w:rPr>
        <w:t>ESG</w:t>
      </w:r>
      <w:proofErr w:type="spellEnd"/>
      <w:r w:rsidRPr="00305659">
        <w:rPr>
          <w:rFonts w:ascii="Times New Roman" w:hAnsi="Times New Roman" w:cs="Times New Roman"/>
          <w:sz w:val="24"/>
          <w:szCs w:val="24"/>
        </w:rPr>
        <w:t xml:space="preserve"> principles</w:t>
      </w:r>
      <w:r w:rsidR="00140406" w:rsidRPr="00305659">
        <w:rPr>
          <w:rFonts w:ascii="Times New Roman" w:hAnsi="Times New Roman" w:cs="Times New Roman"/>
          <w:sz w:val="24"/>
          <w:szCs w:val="24"/>
        </w:rPr>
        <w:t xml:space="preserve"> </w:t>
      </w:r>
      <w:r w:rsidRPr="00305659">
        <w:rPr>
          <w:rFonts w:ascii="Times New Roman" w:hAnsi="Times New Roman" w:cs="Times New Roman"/>
          <w:sz w:val="24"/>
          <w:szCs w:val="24"/>
        </w:rPr>
        <w:t>strengthening its appeal to public bodies and corporate clients seeking credible suppliers.</w:t>
      </w:r>
    </w:p>
    <w:p w14:paraId="02EF0611" w14:textId="2E842032" w:rsidR="00BA5CA9" w:rsidRDefault="00BA5CA9" w:rsidP="00305659">
      <w:pPr>
        <w:spacing w:line="360" w:lineRule="auto"/>
        <w:jc w:val="both"/>
        <w:rPr>
          <w:rFonts w:ascii="Times New Roman" w:hAnsi="Times New Roman" w:cs="Times New Roman"/>
          <w:sz w:val="24"/>
          <w:szCs w:val="24"/>
        </w:rPr>
      </w:pPr>
      <w:r w:rsidRPr="00305659">
        <w:rPr>
          <w:rFonts w:ascii="Times New Roman" w:hAnsi="Times New Roman" w:cs="Times New Roman"/>
          <w:noProof/>
          <w:sz w:val="24"/>
          <w:szCs w:val="24"/>
        </w:rPr>
        <w:drawing>
          <wp:anchor distT="0" distB="0" distL="114300" distR="114300" simplePos="0" relativeHeight="251832832" behindDoc="0" locked="0" layoutInCell="1" allowOverlap="1" wp14:anchorId="3CFFE568" wp14:editId="32750B1F">
            <wp:simplePos x="0" y="0"/>
            <wp:positionH relativeFrom="margin">
              <wp:posOffset>-36830</wp:posOffset>
            </wp:positionH>
            <wp:positionV relativeFrom="paragraph">
              <wp:posOffset>2165350</wp:posOffset>
            </wp:positionV>
            <wp:extent cx="3230880" cy="1731010"/>
            <wp:effectExtent l="190500" t="190500" r="198120" b="193040"/>
            <wp:wrapNone/>
            <wp:docPr id="15900679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0880" cy="17310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36320B" w:rsidRPr="00305659">
        <w:rPr>
          <w:rFonts w:ascii="Times New Roman" w:hAnsi="Times New Roman" w:cs="Times New Roman"/>
          <w:sz w:val="24"/>
          <w:szCs w:val="24"/>
        </w:rPr>
        <w:t>ReLeaf will implement a functional hierarchical structure, as recommended for early-stage service organisations (Indeed Editorial Team, 2021). Staff are grouped by specialism operations, partnerships and sales, and marketing ensuring that propagation, installation, engagement, and communication tasks are performed by appropriately skilled teams. A clear vertical chain of command enhances accountability, communication, and quality oversight by the Managing Director, which is critical for maintaining standards, budget control, and regulatory compliance. This structure also streamlines workflows and provides a scalable organisational foundation as ReLeaf expands.</w:t>
      </w:r>
    </w:p>
    <w:p w14:paraId="12B52490" w14:textId="71503EBF" w:rsidR="00BA5CA9" w:rsidRDefault="00BA5CA9" w:rsidP="00305659">
      <w:pPr>
        <w:spacing w:line="360" w:lineRule="auto"/>
        <w:jc w:val="both"/>
        <w:rPr>
          <w:rFonts w:ascii="Times New Roman" w:hAnsi="Times New Roman" w:cs="Times New Roman"/>
          <w:sz w:val="24"/>
          <w:szCs w:val="24"/>
        </w:rPr>
      </w:pPr>
    </w:p>
    <w:p w14:paraId="4575C429" w14:textId="77777777" w:rsidR="00BA5CA9" w:rsidRDefault="00BA5CA9" w:rsidP="00305659">
      <w:pPr>
        <w:spacing w:line="360" w:lineRule="auto"/>
        <w:jc w:val="both"/>
        <w:rPr>
          <w:rFonts w:ascii="Times New Roman" w:hAnsi="Times New Roman" w:cs="Times New Roman"/>
          <w:sz w:val="24"/>
          <w:szCs w:val="24"/>
        </w:rPr>
      </w:pPr>
    </w:p>
    <w:p w14:paraId="77A98217" w14:textId="77777777" w:rsidR="00BA5CA9" w:rsidRDefault="00BA5CA9" w:rsidP="00305659">
      <w:pPr>
        <w:spacing w:line="360" w:lineRule="auto"/>
        <w:jc w:val="both"/>
        <w:rPr>
          <w:rFonts w:ascii="Times New Roman" w:hAnsi="Times New Roman" w:cs="Times New Roman"/>
          <w:sz w:val="24"/>
          <w:szCs w:val="24"/>
        </w:rPr>
      </w:pPr>
    </w:p>
    <w:p w14:paraId="764CD063" w14:textId="77777777" w:rsidR="00BA5CA9" w:rsidRDefault="00BA5CA9" w:rsidP="00305659">
      <w:pPr>
        <w:spacing w:line="360" w:lineRule="auto"/>
        <w:jc w:val="both"/>
        <w:rPr>
          <w:rFonts w:ascii="Times New Roman" w:hAnsi="Times New Roman" w:cs="Times New Roman"/>
          <w:sz w:val="24"/>
          <w:szCs w:val="24"/>
        </w:rPr>
      </w:pPr>
    </w:p>
    <w:p w14:paraId="5A219BFD" w14:textId="77777777" w:rsidR="00BA5CA9" w:rsidRPr="00BA5CA9" w:rsidRDefault="00BA5CA9" w:rsidP="00305659">
      <w:pPr>
        <w:spacing w:line="360" w:lineRule="auto"/>
        <w:jc w:val="both"/>
        <w:rPr>
          <w:rFonts w:ascii="Times New Roman" w:hAnsi="Times New Roman" w:cs="Times New Roman"/>
          <w:sz w:val="24"/>
          <w:szCs w:val="24"/>
        </w:rPr>
      </w:pPr>
    </w:p>
    <w:p w14:paraId="72824D12" w14:textId="4CEDF41B" w:rsidR="00BA5CA9" w:rsidRPr="00BA5CA9" w:rsidRDefault="00BA3E30" w:rsidP="00305659">
      <w:pPr>
        <w:spacing w:line="360" w:lineRule="auto"/>
        <w:jc w:val="both"/>
        <w:rPr>
          <w:rFonts w:ascii="Times New Roman" w:hAnsi="Times New Roman" w:cs="Times New Roman"/>
          <w:b/>
          <w:bCs/>
          <w:sz w:val="20"/>
          <w:szCs w:val="20"/>
        </w:rPr>
      </w:pPr>
      <w:r w:rsidRPr="00BA5CA9">
        <w:rPr>
          <w:rFonts w:ascii="Times New Roman" w:hAnsi="Times New Roman" w:cs="Times New Roman"/>
          <w:b/>
          <w:bCs/>
          <w:sz w:val="20"/>
          <w:szCs w:val="20"/>
        </w:rPr>
        <w:t>Fig</w:t>
      </w:r>
      <w:r w:rsidR="00BA5CA9" w:rsidRPr="00BA5CA9">
        <w:rPr>
          <w:rFonts w:ascii="Times New Roman" w:hAnsi="Times New Roman" w:cs="Times New Roman"/>
          <w:b/>
          <w:bCs/>
          <w:sz w:val="20"/>
          <w:szCs w:val="20"/>
        </w:rPr>
        <w:t>ure 1:</w:t>
      </w:r>
      <w:r w:rsidRPr="00BA5CA9">
        <w:rPr>
          <w:rFonts w:ascii="Times New Roman" w:hAnsi="Times New Roman" w:cs="Times New Roman"/>
          <w:b/>
          <w:bCs/>
          <w:sz w:val="20"/>
          <w:szCs w:val="20"/>
        </w:rPr>
        <w:t xml:space="preserve"> </w:t>
      </w:r>
      <w:r w:rsidR="002D11AB" w:rsidRPr="00BA5CA9">
        <w:rPr>
          <w:rFonts w:ascii="Times New Roman" w:hAnsi="Times New Roman" w:cs="Times New Roman"/>
          <w:b/>
          <w:bCs/>
          <w:sz w:val="20"/>
          <w:szCs w:val="20"/>
        </w:rPr>
        <w:t>Organisational chart</w:t>
      </w:r>
    </w:p>
    <w:p w14:paraId="4B396DB4" w14:textId="46A0A819" w:rsidR="001A2090" w:rsidRPr="00C54858" w:rsidRDefault="00264DBC" w:rsidP="00C54858">
      <w:pPr>
        <w:pStyle w:val="Heading3"/>
        <w:spacing w:line="360" w:lineRule="auto"/>
        <w:jc w:val="both"/>
        <w:rPr>
          <w:rFonts w:ascii="Times New Roman" w:hAnsi="Times New Roman" w:cs="Times New Roman"/>
          <w:b/>
          <w:bCs/>
        </w:rPr>
      </w:pPr>
      <w:bookmarkStart w:id="13" w:name="_Toc214794141"/>
      <w:r w:rsidRPr="00305659">
        <w:rPr>
          <w:rFonts w:ascii="Times New Roman" w:hAnsi="Times New Roman" w:cs="Times New Roman"/>
          <w:b/>
          <w:bCs/>
        </w:rPr>
        <w:t>Financial Planning</w:t>
      </w:r>
      <w:bookmarkEnd w:id="13"/>
    </w:p>
    <w:p w14:paraId="73EED084" w14:textId="381B2166" w:rsidR="00F807C0"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t>A comprehensive financial strategy is crucial for ensuring the long-term sustainability of the ReLeaf Project, with the initial start-up needs serving as a fundamental component of this process. The financial planning approach starts with the identification and justification of the required first capital investment for optimal operational launch. The first expense is projected at £33,000, including the necessary resources for plant rescue, propagation, and service provision. This capital expenditure comprises £8,000 for greenhouse and propagation apparatus, £10,000 for a transport vehicle and installation tools, £5,000 for branding and website creation, £7,000 for insurance and employee training, and £3,000 for legal and administrative registration costs. These expenses reflect essential operational infrastructure and regulatory obligations crucial for maintaining functioning and professionalism in the first trading period.</w:t>
      </w:r>
    </w:p>
    <w:p w14:paraId="420B2E37" w14:textId="77777777" w:rsidR="00CB272A" w:rsidRDefault="00CB272A" w:rsidP="00FF1D49">
      <w:pPr>
        <w:spacing w:line="360" w:lineRule="auto"/>
        <w:jc w:val="both"/>
        <w:rPr>
          <w:rFonts w:ascii="Times New Roman" w:hAnsi="Times New Roman" w:cs="Times New Roman"/>
          <w:b/>
          <w:bCs/>
          <w:sz w:val="18"/>
          <w:szCs w:val="18"/>
        </w:rPr>
      </w:pPr>
    </w:p>
    <w:p w14:paraId="0340D28E" w14:textId="374BA92E" w:rsidR="00CB272A" w:rsidRDefault="00CB272A" w:rsidP="00FF1D49">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drawing>
          <wp:anchor distT="0" distB="0" distL="114300" distR="114300" simplePos="0" relativeHeight="251834880" behindDoc="0" locked="0" layoutInCell="1" allowOverlap="1" wp14:anchorId="75681CDF" wp14:editId="58B70465">
            <wp:simplePos x="0" y="0"/>
            <wp:positionH relativeFrom="margin">
              <wp:posOffset>-52070</wp:posOffset>
            </wp:positionH>
            <wp:positionV relativeFrom="paragraph">
              <wp:posOffset>-236963</wp:posOffset>
            </wp:positionV>
            <wp:extent cx="4595508" cy="2872193"/>
            <wp:effectExtent l="190500" t="190500" r="186055" b="194945"/>
            <wp:wrapNone/>
            <wp:docPr id="554237472" name="Picture 16" descr="A graph showing a number of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237472" name="Picture 16" descr="A graph showing a number of column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95508" cy="2872193"/>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19FF9853" w14:textId="77777777" w:rsidR="00CB272A" w:rsidRDefault="00CB272A" w:rsidP="00FF1D49">
      <w:pPr>
        <w:spacing w:line="360" w:lineRule="auto"/>
        <w:jc w:val="both"/>
        <w:rPr>
          <w:rFonts w:ascii="Times New Roman" w:hAnsi="Times New Roman" w:cs="Times New Roman"/>
          <w:noProof/>
          <w:sz w:val="24"/>
          <w:szCs w:val="24"/>
        </w:rPr>
      </w:pPr>
    </w:p>
    <w:p w14:paraId="0280D182" w14:textId="79406ABC" w:rsidR="00CB272A" w:rsidRDefault="00CB272A" w:rsidP="00FF1D49">
      <w:pPr>
        <w:spacing w:line="360" w:lineRule="auto"/>
        <w:jc w:val="both"/>
        <w:rPr>
          <w:rFonts w:ascii="Times New Roman" w:hAnsi="Times New Roman" w:cs="Times New Roman"/>
          <w:b/>
          <w:bCs/>
          <w:sz w:val="18"/>
          <w:szCs w:val="18"/>
        </w:rPr>
      </w:pPr>
    </w:p>
    <w:p w14:paraId="260162BD" w14:textId="77777777" w:rsidR="00CB272A" w:rsidRDefault="00CB272A" w:rsidP="00FF1D49">
      <w:pPr>
        <w:spacing w:line="360" w:lineRule="auto"/>
        <w:jc w:val="both"/>
        <w:rPr>
          <w:rFonts w:ascii="Times New Roman" w:hAnsi="Times New Roman" w:cs="Times New Roman"/>
          <w:b/>
          <w:bCs/>
          <w:sz w:val="18"/>
          <w:szCs w:val="18"/>
        </w:rPr>
      </w:pPr>
    </w:p>
    <w:p w14:paraId="0A950D28" w14:textId="77777777" w:rsidR="00CB272A" w:rsidRDefault="00CB272A" w:rsidP="00FF1D49">
      <w:pPr>
        <w:spacing w:line="360" w:lineRule="auto"/>
        <w:jc w:val="both"/>
        <w:rPr>
          <w:rFonts w:ascii="Times New Roman" w:hAnsi="Times New Roman" w:cs="Times New Roman"/>
          <w:b/>
          <w:bCs/>
          <w:sz w:val="18"/>
          <w:szCs w:val="18"/>
        </w:rPr>
      </w:pPr>
    </w:p>
    <w:p w14:paraId="45A1895A" w14:textId="77777777" w:rsidR="00CB272A" w:rsidRDefault="00CB272A" w:rsidP="00FF1D49">
      <w:pPr>
        <w:spacing w:line="360" w:lineRule="auto"/>
        <w:jc w:val="both"/>
        <w:rPr>
          <w:rFonts w:ascii="Times New Roman" w:hAnsi="Times New Roman" w:cs="Times New Roman"/>
          <w:b/>
          <w:bCs/>
          <w:sz w:val="18"/>
          <w:szCs w:val="18"/>
        </w:rPr>
      </w:pPr>
    </w:p>
    <w:p w14:paraId="03617212" w14:textId="77777777" w:rsidR="00CB272A" w:rsidRDefault="00CB272A" w:rsidP="00FF1D49">
      <w:pPr>
        <w:spacing w:line="360" w:lineRule="auto"/>
        <w:jc w:val="both"/>
        <w:rPr>
          <w:rFonts w:ascii="Times New Roman" w:hAnsi="Times New Roman" w:cs="Times New Roman"/>
          <w:b/>
          <w:bCs/>
          <w:sz w:val="18"/>
          <w:szCs w:val="18"/>
        </w:rPr>
      </w:pPr>
    </w:p>
    <w:p w14:paraId="3A299C14" w14:textId="77777777" w:rsidR="00CB272A" w:rsidRDefault="00CB272A" w:rsidP="00FF1D49">
      <w:pPr>
        <w:spacing w:line="360" w:lineRule="auto"/>
        <w:jc w:val="both"/>
        <w:rPr>
          <w:rFonts w:ascii="Times New Roman" w:hAnsi="Times New Roman" w:cs="Times New Roman"/>
          <w:b/>
          <w:bCs/>
          <w:sz w:val="18"/>
          <w:szCs w:val="18"/>
        </w:rPr>
      </w:pPr>
    </w:p>
    <w:p w14:paraId="0FF47917" w14:textId="77777777" w:rsidR="00CB272A" w:rsidRDefault="00CB272A" w:rsidP="00FF1D49">
      <w:pPr>
        <w:spacing w:line="360" w:lineRule="auto"/>
        <w:jc w:val="both"/>
        <w:rPr>
          <w:rFonts w:ascii="Times New Roman" w:hAnsi="Times New Roman" w:cs="Times New Roman"/>
          <w:b/>
          <w:bCs/>
          <w:sz w:val="18"/>
          <w:szCs w:val="18"/>
        </w:rPr>
      </w:pPr>
    </w:p>
    <w:p w14:paraId="524E77AE" w14:textId="79F06957" w:rsidR="00350F46" w:rsidRPr="0008775F" w:rsidRDefault="00350F46" w:rsidP="00FF1D49">
      <w:pPr>
        <w:spacing w:line="360" w:lineRule="auto"/>
        <w:jc w:val="both"/>
        <w:rPr>
          <w:rFonts w:ascii="Times New Roman" w:hAnsi="Times New Roman" w:cs="Times New Roman"/>
          <w:b/>
          <w:bCs/>
          <w:sz w:val="18"/>
          <w:szCs w:val="18"/>
        </w:rPr>
      </w:pPr>
      <w:r w:rsidRPr="0008775F">
        <w:rPr>
          <w:rFonts w:ascii="Times New Roman" w:hAnsi="Times New Roman" w:cs="Times New Roman"/>
          <w:b/>
          <w:bCs/>
          <w:sz w:val="18"/>
          <w:szCs w:val="18"/>
        </w:rPr>
        <w:t>Fig</w:t>
      </w:r>
      <w:r w:rsidR="00CB272A">
        <w:rPr>
          <w:rFonts w:ascii="Times New Roman" w:hAnsi="Times New Roman" w:cs="Times New Roman"/>
          <w:b/>
          <w:bCs/>
          <w:sz w:val="18"/>
          <w:szCs w:val="18"/>
        </w:rPr>
        <w:t>ure 2:</w:t>
      </w:r>
      <w:r w:rsidRPr="0008775F">
        <w:rPr>
          <w:rFonts w:ascii="Times New Roman" w:hAnsi="Times New Roman" w:cs="Times New Roman"/>
          <w:b/>
          <w:bCs/>
          <w:sz w:val="18"/>
          <w:szCs w:val="18"/>
        </w:rPr>
        <w:t xml:space="preserve"> </w:t>
      </w:r>
      <w:r w:rsidR="0008775F" w:rsidRPr="0008775F">
        <w:rPr>
          <w:rFonts w:ascii="Times New Roman" w:hAnsi="Times New Roman" w:cs="Times New Roman"/>
          <w:b/>
          <w:bCs/>
          <w:sz w:val="18"/>
          <w:szCs w:val="18"/>
        </w:rPr>
        <w:t xml:space="preserve">Start-up cost Chart </w:t>
      </w:r>
    </w:p>
    <w:p w14:paraId="031B6E2C" w14:textId="3855ACD2" w:rsidR="00FD53F3" w:rsidRPr="00FD53F3"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t>The rationale for these expenses is their direct correspondence with ReLeaf’s operating framework. The greenhouse and equipment are essential for the preservation and proliferation of rescued plants, which is the organization's fundamental value offer. The transport truck aids in the gathering and placement of plants, essential for meeting customer contracts and executing public-space interventions. Investment in branding and web development is essential to establish a credible public identity and attract first customers, particularly local authorities and corporate partners. Insurance and training expenses guarantee legal compliance and personnel preparedness, whilst administrative charges establish the company's standing within the regulatory system. These start-up components together provide the structural integrity essential for ReLeaf Ltd to join the urban greening sector competitively and ethically.</w:t>
      </w:r>
    </w:p>
    <w:p w14:paraId="00502F73" w14:textId="787E158C" w:rsidR="00FF1D49" w:rsidRPr="00FF1D49"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t>Identifying suitable financing sources is essential for efficient financial planning. ReLeaf Ltd may pursue assistance via start-up loans provided by the British Business Bank</w:t>
      </w:r>
      <w:r w:rsidR="0035049C">
        <w:rPr>
          <w:rFonts w:ascii="Times New Roman" w:hAnsi="Times New Roman" w:cs="Times New Roman"/>
          <w:sz w:val="24"/>
          <w:szCs w:val="24"/>
        </w:rPr>
        <w:t xml:space="preserve"> (2025)</w:t>
      </w:r>
      <w:r w:rsidRPr="00FF1D49">
        <w:rPr>
          <w:rFonts w:ascii="Times New Roman" w:hAnsi="Times New Roman" w:cs="Times New Roman"/>
          <w:sz w:val="24"/>
          <w:szCs w:val="24"/>
        </w:rPr>
        <w:t>, tailored to help nascent firms throughout their first operating phases. Supplementary financial assistance may be derived via environmental business awards, including those provided by the National Lottery Community Fund</w:t>
      </w:r>
      <w:r w:rsidR="00332820">
        <w:rPr>
          <w:rFonts w:ascii="Times New Roman" w:hAnsi="Times New Roman" w:cs="Times New Roman"/>
          <w:sz w:val="24"/>
          <w:szCs w:val="24"/>
        </w:rPr>
        <w:t xml:space="preserve"> (2019)</w:t>
      </w:r>
      <w:r w:rsidRPr="00FF1D49">
        <w:rPr>
          <w:rFonts w:ascii="Times New Roman" w:hAnsi="Times New Roman" w:cs="Times New Roman"/>
          <w:sz w:val="24"/>
          <w:szCs w:val="24"/>
        </w:rPr>
        <w:t xml:space="preserve"> or local government sustainability programs. The organisation may also use community crowdfunding, capitalising on its socially orientated business model to foster initial public participation and financial support. Revenue from the first installation contracts may also assist in covering initial expenses, so enhancing financial stability from the beginning. This diversified financing strategy alleviates financial risk by diminishing reliance on a single money source.</w:t>
      </w:r>
    </w:p>
    <w:p w14:paraId="1F38EC3A" w14:textId="598B6939" w:rsidR="00FF1D49"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lastRenderedPageBreak/>
        <w:t>Alongside start-up prerequisites, ReLeaf must carefully project its operations revenue and expenses for the first twelve months. The 12-month cash flow projection offers insights into financial performance and highlights potential for expansion. In the first quarter, the company is projected to incur a loss owing to essential startup expenses. During the first three months, income remains minimal while marketing, client acquisition, and outreach efforts continue. From Month 4 onwards, revenue from plant installations, maintenance contracts, plant sponsorship programs, and retail sales is anticipated to rise consistently. The projected annual revenue is £150,000, with total expenditures anticipated to be about £60,000, resulting in a year-end surplus of £90,000 prior to investing.</w:t>
      </w:r>
    </w:p>
    <w:p w14:paraId="5D45C3FB" w14:textId="461880B2" w:rsidR="00CB272A" w:rsidRDefault="00CB272A" w:rsidP="00FF1D4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835904" behindDoc="0" locked="0" layoutInCell="1" allowOverlap="1" wp14:anchorId="2422BBB7" wp14:editId="350E15A4">
            <wp:simplePos x="0" y="0"/>
            <wp:positionH relativeFrom="margin">
              <wp:align>left</wp:align>
            </wp:positionH>
            <wp:positionV relativeFrom="paragraph">
              <wp:posOffset>207131</wp:posOffset>
            </wp:positionV>
            <wp:extent cx="4940120" cy="2744267"/>
            <wp:effectExtent l="190500" t="190500" r="184785" b="189865"/>
            <wp:wrapNone/>
            <wp:docPr id="961169400" name="Picture 18" descr="A graph of a graph showing the amount of cash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169400" name="Picture 18" descr="A graph of a graph showing the amount of cash flow&#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0120" cy="2744267"/>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380B8B39" w14:textId="20A070EA" w:rsidR="00CB272A" w:rsidRDefault="00CB272A" w:rsidP="00FF1D49">
      <w:pPr>
        <w:spacing w:line="360" w:lineRule="auto"/>
        <w:jc w:val="both"/>
        <w:rPr>
          <w:rFonts w:ascii="Times New Roman" w:hAnsi="Times New Roman" w:cs="Times New Roman"/>
          <w:sz w:val="24"/>
          <w:szCs w:val="24"/>
        </w:rPr>
      </w:pPr>
    </w:p>
    <w:p w14:paraId="5B4B9992" w14:textId="7E002E52" w:rsidR="00CB272A" w:rsidRDefault="00CB272A" w:rsidP="00FF1D49">
      <w:pPr>
        <w:spacing w:line="360" w:lineRule="auto"/>
        <w:jc w:val="both"/>
        <w:rPr>
          <w:rFonts w:ascii="Times New Roman" w:hAnsi="Times New Roman" w:cs="Times New Roman"/>
          <w:sz w:val="24"/>
          <w:szCs w:val="24"/>
        </w:rPr>
      </w:pPr>
    </w:p>
    <w:p w14:paraId="47D72CF3" w14:textId="07EE07AA" w:rsidR="00CB272A" w:rsidRDefault="00CB272A" w:rsidP="00FF1D49">
      <w:pPr>
        <w:spacing w:line="360" w:lineRule="auto"/>
        <w:jc w:val="both"/>
        <w:rPr>
          <w:rFonts w:ascii="Times New Roman" w:hAnsi="Times New Roman" w:cs="Times New Roman"/>
          <w:sz w:val="24"/>
          <w:szCs w:val="24"/>
        </w:rPr>
      </w:pPr>
    </w:p>
    <w:p w14:paraId="0E859603" w14:textId="3EAFFF89" w:rsidR="00F4490C" w:rsidRDefault="00F4490C" w:rsidP="00FF1D49">
      <w:pPr>
        <w:spacing w:line="360" w:lineRule="auto"/>
        <w:jc w:val="both"/>
        <w:rPr>
          <w:rFonts w:ascii="Times New Roman" w:hAnsi="Times New Roman" w:cs="Times New Roman"/>
          <w:sz w:val="24"/>
          <w:szCs w:val="24"/>
        </w:rPr>
      </w:pPr>
    </w:p>
    <w:p w14:paraId="6B4FE82D" w14:textId="40642322" w:rsidR="00CB272A" w:rsidRDefault="00CB272A" w:rsidP="00FF1D49">
      <w:pPr>
        <w:spacing w:line="360" w:lineRule="auto"/>
        <w:jc w:val="both"/>
        <w:rPr>
          <w:rFonts w:ascii="Times New Roman" w:hAnsi="Times New Roman" w:cs="Times New Roman"/>
          <w:b/>
          <w:bCs/>
          <w:sz w:val="18"/>
          <w:szCs w:val="18"/>
        </w:rPr>
      </w:pPr>
    </w:p>
    <w:p w14:paraId="35F4B313" w14:textId="77777777" w:rsidR="00CB272A" w:rsidRDefault="00CB272A" w:rsidP="00FF1D49">
      <w:pPr>
        <w:spacing w:line="360" w:lineRule="auto"/>
        <w:jc w:val="both"/>
        <w:rPr>
          <w:rFonts w:ascii="Times New Roman" w:hAnsi="Times New Roman" w:cs="Times New Roman"/>
          <w:b/>
          <w:bCs/>
          <w:sz w:val="18"/>
          <w:szCs w:val="18"/>
        </w:rPr>
      </w:pPr>
    </w:p>
    <w:p w14:paraId="4DC5ABCC" w14:textId="77777777" w:rsidR="00CB272A" w:rsidRDefault="00CB272A" w:rsidP="00FF1D49">
      <w:pPr>
        <w:spacing w:line="360" w:lineRule="auto"/>
        <w:jc w:val="both"/>
        <w:rPr>
          <w:rFonts w:ascii="Times New Roman" w:hAnsi="Times New Roman" w:cs="Times New Roman"/>
          <w:b/>
          <w:bCs/>
          <w:sz w:val="18"/>
          <w:szCs w:val="18"/>
        </w:rPr>
      </w:pPr>
    </w:p>
    <w:p w14:paraId="3B737313" w14:textId="77777777" w:rsidR="00CB272A" w:rsidRDefault="00CB272A" w:rsidP="00FF1D49">
      <w:pPr>
        <w:spacing w:line="360" w:lineRule="auto"/>
        <w:jc w:val="both"/>
        <w:rPr>
          <w:rFonts w:ascii="Times New Roman" w:hAnsi="Times New Roman" w:cs="Times New Roman"/>
          <w:b/>
          <w:bCs/>
          <w:sz w:val="18"/>
          <w:szCs w:val="18"/>
        </w:rPr>
      </w:pPr>
    </w:p>
    <w:p w14:paraId="02EBFFB1" w14:textId="77777777" w:rsidR="00CB272A" w:rsidRDefault="00CB272A" w:rsidP="00FF1D49">
      <w:pPr>
        <w:spacing w:line="360" w:lineRule="auto"/>
        <w:jc w:val="both"/>
        <w:rPr>
          <w:rFonts w:ascii="Times New Roman" w:hAnsi="Times New Roman" w:cs="Times New Roman"/>
          <w:b/>
          <w:bCs/>
          <w:sz w:val="18"/>
          <w:szCs w:val="18"/>
        </w:rPr>
      </w:pPr>
    </w:p>
    <w:p w14:paraId="0EED0542" w14:textId="329AAEB2" w:rsidR="00F002CF" w:rsidRPr="00180E11" w:rsidRDefault="00F4490C" w:rsidP="00FF1D49">
      <w:pPr>
        <w:spacing w:line="360" w:lineRule="auto"/>
        <w:jc w:val="both"/>
        <w:rPr>
          <w:rFonts w:ascii="Times New Roman" w:hAnsi="Times New Roman" w:cs="Times New Roman"/>
          <w:b/>
          <w:bCs/>
          <w:sz w:val="18"/>
          <w:szCs w:val="18"/>
        </w:rPr>
      </w:pPr>
      <w:r w:rsidRPr="00180E11">
        <w:rPr>
          <w:rFonts w:ascii="Times New Roman" w:hAnsi="Times New Roman" w:cs="Times New Roman"/>
          <w:b/>
          <w:bCs/>
          <w:sz w:val="18"/>
          <w:szCs w:val="18"/>
        </w:rPr>
        <w:t>Fig</w:t>
      </w:r>
      <w:r w:rsidR="00F002CF">
        <w:rPr>
          <w:rFonts w:ascii="Times New Roman" w:hAnsi="Times New Roman" w:cs="Times New Roman"/>
          <w:b/>
          <w:bCs/>
          <w:sz w:val="18"/>
          <w:szCs w:val="18"/>
        </w:rPr>
        <w:t xml:space="preserve">ure </w:t>
      </w:r>
      <w:r w:rsidR="00CB272A">
        <w:rPr>
          <w:rFonts w:ascii="Times New Roman" w:hAnsi="Times New Roman" w:cs="Times New Roman"/>
          <w:b/>
          <w:bCs/>
          <w:sz w:val="18"/>
          <w:szCs w:val="18"/>
        </w:rPr>
        <w:t>3</w:t>
      </w:r>
      <w:r w:rsidRPr="00180E11">
        <w:rPr>
          <w:rFonts w:ascii="Times New Roman" w:hAnsi="Times New Roman" w:cs="Times New Roman"/>
          <w:b/>
          <w:bCs/>
          <w:sz w:val="18"/>
          <w:szCs w:val="18"/>
        </w:rPr>
        <w:t>- 12 Month Cash Flow Forecast chart</w:t>
      </w:r>
    </w:p>
    <w:p w14:paraId="65CB2F4E" w14:textId="77777777" w:rsidR="00FF1D49"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t>This financial trajectory signifies the organization's capacity to evolve from initial negative cash flow to enduring profitability. The anticipated surplus suggests that ReLeaf's business strategy may provide significant cash while adhering to ethical standards. This excess may be carefully spent to enhance greenhouse capacity, create new product lines, augment marketing exposure, and upgrade digital infrastructure. Moreover, establishing a cash reserve bolsters resilience by safeguarding the organisation against future uncertainties or seasonal demand swings.</w:t>
      </w:r>
    </w:p>
    <w:p w14:paraId="14EF820F" w14:textId="77777777" w:rsidR="00CB272A" w:rsidRDefault="00CB272A" w:rsidP="00FF1D49">
      <w:pPr>
        <w:spacing w:line="360" w:lineRule="auto"/>
        <w:jc w:val="both"/>
        <w:rPr>
          <w:rFonts w:ascii="Times New Roman" w:hAnsi="Times New Roman" w:cs="Times New Roman"/>
          <w:sz w:val="24"/>
          <w:szCs w:val="24"/>
        </w:rPr>
      </w:pPr>
    </w:p>
    <w:p w14:paraId="5506831B" w14:textId="348651CE" w:rsidR="00091CEA" w:rsidRPr="00B4397F" w:rsidRDefault="00091CEA" w:rsidP="00091CEA">
      <w:pPr>
        <w:rPr>
          <w:rFonts w:ascii="Times New Roman" w:hAnsi="Times New Roman" w:cs="Times New Roman"/>
          <w:b/>
          <w:bCs/>
          <w:sz w:val="24"/>
          <w:szCs w:val="24"/>
          <w:lang w:eastAsia="en-GB"/>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5"/>
        <w:gridCol w:w="1556"/>
        <w:gridCol w:w="1562"/>
        <w:gridCol w:w="1871"/>
      </w:tblGrid>
      <w:tr w:rsidR="00091CEA" w:rsidRPr="00B4397F" w14:paraId="6BD3CCDC" w14:textId="77777777" w:rsidTr="00B4397F">
        <w:trPr>
          <w:tblHeader/>
          <w:tblCellSpacing w:w="15" w:type="dxa"/>
        </w:trPr>
        <w:tc>
          <w:tcPr>
            <w:tcW w:w="1510" w:type="dxa"/>
            <w:vAlign w:val="center"/>
            <w:hideMark/>
          </w:tcPr>
          <w:p w14:paraId="75E0864F" w14:textId="77777777" w:rsidR="00091CEA" w:rsidRPr="00B4397F" w:rsidRDefault="00091CEA" w:rsidP="00091CEA">
            <w:pPr>
              <w:rPr>
                <w:rFonts w:ascii="Times New Roman" w:hAnsi="Times New Roman" w:cs="Times New Roman"/>
                <w:b/>
                <w:bCs/>
                <w:sz w:val="24"/>
                <w:szCs w:val="24"/>
                <w:lang w:eastAsia="en-GB"/>
              </w:rPr>
            </w:pPr>
            <w:r w:rsidRPr="00B4397F">
              <w:rPr>
                <w:rFonts w:ascii="Times New Roman" w:hAnsi="Times New Roman" w:cs="Times New Roman"/>
                <w:b/>
                <w:bCs/>
                <w:sz w:val="24"/>
                <w:szCs w:val="24"/>
                <w:lang w:eastAsia="en-GB"/>
              </w:rPr>
              <w:lastRenderedPageBreak/>
              <w:t>Month</w:t>
            </w:r>
          </w:p>
        </w:tc>
        <w:tc>
          <w:tcPr>
            <w:tcW w:w="1526" w:type="dxa"/>
            <w:vAlign w:val="center"/>
            <w:hideMark/>
          </w:tcPr>
          <w:p w14:paraId="418D8D4B" w14:textId="77777777" w:rsidR="00091CEA" w:rsidRPr="00B4397F" w:rsidRDefault="00091CEA" w:rsidP="00091CEA">
            <w:pPr>
              <w:rPr>
                <w:rFonts w:ascii="Times New Roman" w:hAnsi="Times New Roman" w:cs="Times New Roman"/>
                <w:b/>
                <w:bCs/>
                <w:sz w:val="24"/>
                <w:szCs w:val="24"/>
                <w:lang w:eastAsia="en-GB"/>
              </w:rPr>
            </w:pPr>
            <w:r w:rsidRPr="00B4397F">
              <w:rPr>
                <w:rFonts w:ascii="Times New Roman" w:hAnsi="Times New Roman" w:cs="Times New Roman"/>
                <w:b/>
                <w:bCs/>
                <w:sz w:val="24"/>
                <w:szCs w:val="24"/>
                <w:lang w:eastAsia="en-GB"/>
              </w:rPr>
              <w:t>Income (£)</w:t>
            </w:r>
          </w:p>
        </w:tc>
        <w:tc>
          <w:tcPr>
            <w:tcW w:w="1532" w:type="dxa"/>
            <w:vAlign w:val="center"/>
            <w:hideMark/>
          </w:tcPr>
          <w:p w14:paraId="6E72552D" w14:textId="77777777" w:rsidR="00091CEA" w:rsidRPr="00B4397F" w:rsidRDefault="00091CEA" w:rsidP="00091CEA">
            <w:pPr>
              <w:rPr>
                <w:rFonts w:ascii="Times New Roman" w:hAnsi="Times New Roman" w:cs="Times New Roman"/>
                <w:b/>
                <w:bCs/>
                <w:sz w:val="24"/>
                <w:szCs w:val="24"/>
                <w:lang w:eastAsia="en-GB"/>
              </w:rPr>
            </w:pPr>
            <w:r w:rsidRPr="00B4397F">
              <w:rPr>
                <w:rFonts w:ascii="Times New Roman" w:hAnsi="Times New Roman" w:cs="Times New Roman"/>
                <w:b/>
                <w:bCs/>
                <w:sz w:val="24"/>
                <w:szCs w:val="24"/>
                <w:lang w:eastAsia="en-GB"/>
              </w:rPr>
              <w:t>Expenditure (£)</w:t>
            </w:r>
          </w:p>
        </w:tc>
        <w:tc>
          <w:tcPr>
            <w:tcW w:w="1826" w:type="dxa"/>
            <w:vAlign w:val="center"/>
            <w:hideMark/>
          </w:tcPr>
          <w:p w14:paraId="333AA4DF" w14:textId="77777777" w:rsidR="00091CEA" w:rsidRPr="00B4397F" w:rsidRDefault="00091CEA" w:rsidP="00091CEA">
            <w:pPr>
              <w:rPr>
                <w:rFonts w:ascii="Times New Roman" w:hAnsi="Times New Roman" w:cs="Times New Roman"/>
                <w:b/>
                <w:bCs/>
                <w:sz w:val="24"/>
                <w:szCs w:val="24"/>
                <w:lang w:eastAsia="en-GB"/>
              </w:rPr>
            </w:pPr>
            <w:r w:rsidRPr="00B4397F">
              <w:rPr>
                <w:rFonts w:ascii="Times New Roman" w:hAnsi="Times New Roman" w:cs="Times New Roman"/>
                <w:b/>
                <w:bCs/>
                <w:sz w:val="24"/>
                <w:szCs w:val="24"/>
                <w:lang w:eastAsia="en-GB"/>
              </w:rPr>
              <w:t>Net Cash Flow (£)</w:t>
            </w:r>
          </w:p>
        </w:tc>
      </w:tr>
      <w:tr w:rsidR="00091CEA" w:rsidRPr="00B4397F" w14:paraId="48969E33" w14:textId="77777777" w:rsidTr="00B4397F">
        <w:trPr>
          <w:tblCellSpacing w:w="15" w:type="dxa"/>
        </w:trPr>
        <w:tc>
          <w:tcPr>
            <w:tcW w:w="1510" w:type="dxa"/>
            <w:vAlign w:val="center"/>
            <w:hideMark/>
          </w:tcPr>
          <w:p w14:paraId="3767098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w:t>
            </w:r>
          </w:p>
        </w:tc>
        <w:tc>
          <w:tcPr>
            <w:tcW w:w="1526" w:type="dxa"/>
            <w:vAlign w:val="center"/>
            <w:hideMark/>
          </w:tcPr>
          <w:p w14:paraId="06E693A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0</w:t>
            </w:r>
          </w:p>
        </w:tc>
        <w:tc>
          <w:tcPr>
            <w:tcW w:w="1532" w:type="dxa"/>
            <w:vAlign w:val="center"/>
            <w:hideMark/>
          </w:tcPr>
          <w:p w14:paraId="56BC6728"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5,000</w:t>
            </w:r>
          </w:p>
        </w:tc>
        <w:tc>
          <w:tcPr>
            <w:tcW w:w="1826" w:type="dxa"/>
            <w:vAlign w:val="center"/>
            <w:hideMark/>
          </w:tcPr>
          <w:p w14:paraId="14CE476B"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–5,000</w:t>
            </w:r>
          </w:p>
        </w:tc>
      </w:tr>
      <w:tr w:rsidR="00091CEA" w:rsidRPr="00B4397F" w14:paraId="757054DD" w14:textId="77777777" w:rsidTr="00B4397F">
        <w:trPr>
          <w:tblCellSpacing w:w="15" w:type="dxa"/>
        </w:trPr>
        <w:tc>
          <w:tcPr>
            <w:tcW w:w="1510" w:type="dxa"/>
            <w:vAlign w:val="center"/>
            <w:hideMark/>
          </w:tcPr>
          <w:p w14:paraId="553FEB8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2</w:t>
            </w:r>
          </w:p>
        </w:tc>
        <w:tc>
          <w:tcPr>
            <w:tcW w:w="1526" w:type="dxa"/>
            <w:vAlign w:val="center"/>
            <w:hideMark/>
          </w:tcPr>
          <w:p w14:paraId="103CAF69"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2,000</w:t>
            </w:r>
          </w:p>
        </w:tc>
        <w:tc>
          <w:tcPr>
            <w:tcW w:w="1532" w:type="dxa"/>
            <w:vAlign w:val="center"/>
            <w:hideMark/>
          </w:tcPr>
          <w:p w14:paraId="0321F630"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4,000</w:t>
            </w:r>
          </w:p>
        </w:tc>
        <w:tc>
          <w:tcPr>
            <w:tcW w:w="1826" w:type="dxa"/>
            <w:vAlign w:val="center"/>
            <w:hideMark/>
          </w:tcPr>
          <w:p w14:paraId="48EE34E7"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–2,000</w:t>
            </w:r>
          </w:p>
        </w:tc>
      </w:tr>
      <w:tr w:rsidR="00091CEA" w:rsidRPr="00B4397F" w14:paraId="19545497" w14:textId="77777777" w:rsidTr="00B4397F">
        <w:trPr>
          <w:tblCellSpacing w:w="15" w:type="dxa"/>
        </w:trPr>
        <w:tc>
          <w:tcPr>
            <w:tcW w:w="1510" w:type="dxa"/>
            <w:vAlign w:val="center"/>
            <w:hideMark/>
          </w:tcPr>
          <w:p w14:paraId="7174960C"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3</w:t>
            </w:r>
          </w:p>
        </w:tc>
        <w:tc>
          <w:tcPr>
            <w:tcW w:w="1526" w:type="dxa"/>
            <w:vAlign w:val="center"/>
            <w:hideMark/>
          </w:tcPr>
          <w:p w14:paraId="20AD3CA1"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4,000</w:t>
            </w:r>
          </w:p>
        </w:tc>
        <w:tc>
          <w:tcPr>
            <w:tcW w:w="1532" w:type="dxa"/>
            <w:vAlign w:val="center"/>
            <w:hideMark/>
          </w:tcPr>
          <w:p w14:paraId="30FBA01D"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4,000</w:t>
            </w:r>
          </w:p>
        </w:tc>
        <w:tc>
          <w:tcPr>
            <w:tcW w:w="1826" w:type="dxa"/>
            <w:vAlign w:val="center"/>
            <w:hideMark/>
          </w:tcPr>
          <w:p w14:paraId="403A5825"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0</w:t>
            </w:r>
          </w:p>
        </w:tc>
      </w:tr>
      <w:tr w:rsidR="00091CEA" w:rsidRPr="00B4397F" w14:paraId="2590DF84" w14:textId="77777777" w:rsidTr="00B4397F">
        <w:trPr>
          <w:tblCellSpacing w:w="15" w:type="dxa"/>
        </w:trPr>
        <w:tc>
          <w:tcPr>
            <w:tcW w:w="1510" w:type="dxa"/>
            <w:vAlign w:val="center"/>
            <w:hideMark/>
          </w:tcPr>
          <w:p w14:paraId="533DF3D4"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4</w:t>
            </w:r>
          </w:p>
        </w:tc>
        <w:tc>
          <w:tcPr>
            <w:tcW w:w="1526" w:type="dxa"/>
            <w:vAlign w:val="center"/>
            <w:hideMark/>
          </w:tcPr>
          <w:p w14:paraId="0ABFF717"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8,000</w:t>
            </w:r>
          </w:p>
        </w:tc>
        <w:tc>
          <w:tcPr>
            <w:tcW w:w="1532" w:type="dxa"/>
            <w:vAlign w:val="center"/>
            <w:hideMark/>
          </w:tcPr>
          <w:p w14:paraId="0176F67D"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4,500</w:t>
            </w:r>
          </w:p>
        </w:tc>
        <w:tc>
          <w:tcPr>
            <w:tcW w:w="1826" w:type="dxa"/>
            <w:vAlign w:val="center"/>
            <w:hideMark/>
          </w:tcPr>
          <w:p w14:paraId="4BDAD7AD"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3,500</w:t>
            </w:r>
          </w:p>
        </w:tc>
      </w:tr>
      <w:tr w:rsidR="00091CEA" w:rsidRPr="00B4397F" w14:paraId="6265481C" w14:textId="77777777" w:rsidTr="00B4397F">
        <w:trPr>
          <w:tblCellSpacing w:w="15" w:type="dxa"/>
        </w:trPr>
        <w:tc>
          <w:tcPr>
            <w:tcW w:w="1510" w:type="dxa"/>
            <w:vAlign w:val="center"/>
            <w:hideMark/>
          </w:tcPr>
          <w:p w14:paraId="41DB9DD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w:t>
            </w:r>
          </w:p>
        </w:tc>
        <w:tc>
          <w:tcPr>
            <w:tcW w:w="1526" w:type="dxa"/>
            <w:vAlign w:val="center"/>
            <w:hideMark/>
          </w:tcPr>
          <w:p w14:paraId="21427D7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10,000</w:t>
            </w:r>
          </w:p>
        </w:tc>
        <w:tc>
          <w:tcPr>
            <w:tcW w:w="1532" w:type="dxa"/>
            <w:vAlign w:val="center"/>
            <w:hideMark/>
          </w:tcPr>
          <w:p w14:paraId="0ED3576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5,000</w:t>
            </w:r>
          </w:p>
        </w:tc>
        <w:tc>
          <w:tcPr>
            <w:tcW w:w="1826" w:type="dxa"/>
            <w:vAlign w:val="center"/>
            <w:hideMark/>
          </w:tcPr>
          <w:p w14:paraId="5CCDE8B5"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5,000</w:t>
            </w:r>
          </w:p>
        </w:tc>
      </w:tr>
      <w:tr w:rsidR="00091CEA" w:rsidRPr="00B4397F" w14:paraId="19560B96" w14:textId="77777777" w:rsidTr="00B4397F">
        <w:trPr>
          <w:tblCellSpacing w:w="15" w:type="dxa"/>
        </w:trPr>
        <w:tc>
          <w:tcPr>
            <w:tcW w:w="1510" w:type="dxa"/>
            <w:vAlign w:val="center"/>
            <w:hideMark/>
          </w:tcPr>
          <w:p w14:paraId="628C4AA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6</w:t>
            </w:r>
          </w:p>
        </w:tc>
        <w:tc>
          <w:tcPr>
            <w:tcW w:w="1526" w:type="dxa"/>
            <w:vAlign w:val="center"/>
            <w:hideMark/>
          </w:tcPr>
          <w:p w14:paraId="3B1841B5"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12,000</w:t>
            </w:r>
          </w:p>
        </w:tc>
        <w:tc>
          <w:tcPr>
            <w:tcW w:w="1532" w:type="dxa"/>
            <w:vAlign w:val="center"/>
            <w:hideMark/>
          </w:tcPr>
          <w:p w14:paraId="2C9D8536"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5,000</w:t>
            </w:r>
          </w:p>
        </w:tc>
        <w:tc>
          <w:tcPr>
            <w:tcW w:w="1826" w:type="dxa"/>
            <w:vAlign w:val="center"/>
            <w:hideMark/>
          </w:tcPr>
          <w:p w14:paraId="320C34E5"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7,000</w:t>
            </w:r>
          </w:p>
        </w:tc>
      </w:tr>
      <w:tr w:rsidR="00091CEA" w:rsidRPr="00B4397F" w14:paraId="4221B9B7" w14:textId="77777777" w:rsidTr="00B4397F">
        <w:trPr>
          <w:tblCellSpacing w:w="15" w:type="dxa"/>
        </w:trPr>
        <w:tc>
          <w:tcPr>
            <w:tcW w:w="1510" w:type="dxa"/>
            <w:vAlign w:val="center"/>
            <w:hideMark/>
          </w:tcPr>
          <w:p w14:paraId="15073D88"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7</w:t>
            </w:r>
          </w:p>
        </w:tc>
        <w:tc>
          <w:tcPr>
            <w:tcW w:w="1526" w:type="dxa"/>
            <w:vAlign w:val="center"/>
            <w:hideMark/>
          </w:tcPr>
          <w:p w14:paraId="51D03B2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14,000</w:t>
            </w:r>
          </w:p>
        </w:tc>
        <w:tc>
          <w:tcPr>
            <w:tcW w:w="1532" w:type="dxa"/>
            <w:vAlign w:val="center"/>
            <w:hideMark/>
          </w:tcPr>
          <w:p w14:paraId="3C7B5D6E"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5,500</w:t>
            </w:r>
          </w:p>
        </w:tc>
        <w:tc>
          <w:tcPr>
            <w:tcW w:w="1826" w:type="dxa"/>
            <w:vAlign w:val="center"/>
            <w:hideMark/>
          </w:tcPr>
          <w:p w14:paraId="63BC1941"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8,500</w:t>
            </w:r>
          </w:p>
        </w:tc>
      </w:tr>
      <w:tr w:rsidR="00091CEA" w:rsidRPr="00B4397F" w14:paraId="0ABA0ED7" w14:textId="77777777" w:rsidTr="00B4397F">
        <w:trPr>
          <w:tblCellSpacing w:w="15" w:type="dxa"/>
        </w:trPr>
        <w:tc>
          <w:tcPr>
            <w:tcW w:w="1510" w:type="dxa"/>
            <w:vAlign w:val="center"/>
            <w:hideMark/>
          </w:tcPr>
          <w:p w14:paraId="22DE78ED"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8</w:t>
            </w:r>
          </w:p>
        </w:tc>
        <w:tc>
          <w:tcPr>
            <w:tcW w:w="1526" w:type="dxa"/>
            <w:vAlign w:val="center"/>
            <w:hideMark/>
          </w:tcPr>
          <w:p w14:paraId="4BD1CE99"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16,000</w:t>
            </w:r>
          </w:p>
        </w:tc>
        <w:tc>
          <w:tcPr>
            <w:tcW w:w="1532" w:type="dxa"/>
            <w:vAlign w:val="center"/>
            <w:hideMark/>
          </w:tcPr>
          <w:p w14:paraId="4AEFADC1"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5,500</w:t>
            </w:r>
          </w:p>
        </w:tc>
        <w:tc>
          <w:tcPr>
            <w:tcW w:w="1826" w:type="dxa"/>
            <w:vAlign w:val="center"/>
            <w:hideMark/>
          </w:tcPr>
          <w:p w14:paraId="67E9ADB6"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10,500</w:t>
            </w:r>
          </w:p>
        </w:tc>
      </w:tr>
      <w:tr w:rsidR="00091CEA" w:rsidRPr="00B4397F" w14:paraId="5E85AC80" w14:textId="77777777" w:rsidTr="00B4397F">
        <w:trPr>
          <w:tblCellSpacing w:w="15" w:type="dxa"/>
        </w:trPr>
        <w:tc>
          <w:tcPr>
            <w:tcW w:w="1510" w:type="dxa"/>
            <w:vAlign w:val="center"/>
            <w:hideMark/>
          </w:tcPr>
          <w:p w14:paraId="1ED7FAEA"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9</w:t>
            </w:r>
          </w:p>
        </w:tc>
        <w:tc>
          <w:tcPr>
            <w:tcW w:w="1526" w:type="dxa"/>
            <w:vAlign w:val="center"/>
            <w:hideMark/>
          </w:tcPr>
          <w:p w14:paraId="5EC1AE4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18,000</w:t>
            </w:r>
          </w:p>
        </w:tc>
        <w:tc>
          <w:tcPr>
            <w:tcW w:w="1532" w:type="dxa"/>
            <w:vAlign w:val="center"/>
            <w:hideMark/>
          </w:tcPr>
          <w:p w14:paraId="4748FB98"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6,000</w:t>
            </w:r>
          </w:p>
        </w:tc>
        <w:tc>
          <w:tcPr>
            <w:tcW w:w="1826" w:type="dxa"/>
            <w:vAlign w:val="center"/>
            <w:hideMark/>
          </w:tcPr>
          <w:p w14:paraId="55E8C977"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12,000</w:t>
            </w:r>
          </w:p>
        </w:tc>
      </w:tr>
      <w:tr w:rsidR="00091CEA" w:rsidRPr="00B4397F" w14:paraId="75475BFC" w14:textId="77777777" w:rsidTr="00B4397F">
        <w:trPr>
          <w:tblCellSpacing w:w="15" w:type="dxa"/>
        </w:trPr>
        <w:tc>
          <w:tcPr>
            <w:tcW w:w="1510" w:type="dxa"/>
            <w:vAlign w:val="center"/>
            <w:hideMark/>
          </w:tcPr>
          <w:p w14:paraId="49379546"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10</w:t>
            </w:r>
          </w:p>
        </w:tc>
        <w:tc>
          <w:tcPr>
            <w:tcW w:w="1526" w:type="dxa"/>
            <w:vAlign w:val="center"/>
            <w:hideMark/>
          </w:tcPr>
          <w:p w14:paraId="7466720C"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20,000</w:t>
            </w:r>
          </w:p>
        </w:tc>
        <w:tc>
          <w:tcPr>
            <w:tcW w:w="1532" w:type="dxa"/>
            <w:vAlign w:val="center"/>
            <w:hideMark/>
          </w:tcPr>
          <w:p w14:paraId="19322B7A"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6,000</w:t>
            </w:r>
          </w:p>
        </w:tc>
        <w:tc>
          <w:tcPr>
            <w:tcW w:w="1826" w:type="dxa"/>
            <w:vAlign w:val="center"/>
            <w:hideMark/>
          </w:tcPr>
          <w:p w14:paraId="34BA973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14,000</w:t>
            </w:r>
          </w:p>
        </w:tc>
      </w:tr>
      <w:tr w:rsidR="00091CEA" w:rsidRPr="00B4397F" w14:paraId="5B362EF4" w14:textId="77777777" w:rsidTr="00B4397F">
        <w:trPr>
          <w:tblCellSpacing w:w="15" w:type="dxa"/>
        </w:trPr>
        <w:tc>
          <w:tcPr>
            <w:tcW w:w="1510" w:type="dxa"/>
            <w:vAlign w:val="center"/>
            <w:hideMark/>
          </w:tcPr>
          <w:p w14:paraId="4DA0D84B"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11</w:t>
            </w:r>
          </w:p>
        </w:tc>
        <w:tc>
          <w:tcPr>
            <w:tcW w:w="1526" w:type="dxa"/>
            <w:vAlign w:val="center"/>
            <w:hideMark/>
          </w:tcPr>
          <w:p w14:paraId="2E9697EE"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22,000</w:t>
            </w:r>
          </w:p>
        </w:tc>
        <w:tc>
          <w:tcPr>
            <w:tcW w:w="1532" w:type="dxa"/>
            <w:vAlign w:val="center"/>
            <w:hideMark/>
          </w:tcPr>
          <w:p w14:paraId="624F4167"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6,500</w:t>
            </w:r>
          </w:p>
        </w:tc>
        <w:tc>
          <w:tcPr>
            <w:tcW w:w="1826" w:type="dxa"/>
            <w:vAlign w:val="center"/>
            <w:hideMark/>
          </w:tcPr>
          <w:p w14:paraId="158CF240"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15,500</w:t>
            </w:r>
          </w:p>
        </w:tc>
      </w:tr>
      <w:tr w:rsidR="00091CEA" w:rsidRPr="00B4397F" w14:paraId="66ED3D67" w14:textId="77777777" w:rsidTr="00B4397F">
        <w:trPr>
          <w:tblCellSpacing w:w="15" w:type="dxa"/>
        </w:trPr>
        <w:tc>
          <w:tcPr>
            <w:tcW w:w="1510" w:type="dxa"/>
            <w:vAlign w:val="center"/>
            <w:hideMark/>
          </w:tcPr>
          <w:p w14:paraId="48B43F3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12</w:t>
            </w:r>
          </w:p>
        </w:tc>
        <w:tc>
          <w:tcPr>
            <w:tcW w:w="1526" w:type="dxa"/>
            <w:vAlign w:val="center"/>
            <w:hideMark/>
          </w:tcPr>
          <w:p w14:paraId="45E96B55"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24,000</w:t>
            </w:r>
          </w:p>
        </w:tc>
        <w:tc>
          <w:tcPr>
            <w:tcW w:w="1532" w:type="dxa"/>
            <w:vAlign w:val="center"/>
            <w:hideMark/>
          </w:tcPr>
          <w:p w14:paraId="26C7739F"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7,000</w:t>
            </w:r>
          </w:p>
        </w:tc>
        <w:tc>
          <w:tcPr>
            <w:tcW w:w="1826" w:type="dxa"/>
            <w:vAlign w:val="center"/>
            <w:hideMark/>
          </w:tcPr>
          <w:p w14:paraId="4CAB692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17,000</w:t>
            </w:r>
          </w:p>
        </w:tc>
      </w:tr>
      <w:tr w:rsidR="00091CEA" w:rsidRPr="00B4397F" w14:paraId="33E9B3A7" w14:textId="77777777" w:rsidTr="00B4397F">
        <w:trPr>
          <w:tblCellSpacing w:w="15" w:type="dxa"/>
        </w:trPr>
        <w:tc>
          <w:tcPr>
            <w:tcW w:w="1510" w:type="dxa"/>
            <w:vAlign w:val="center"/>
            <w:hideMark/>
          </w:tcPr>
          <w:p w14:paraId="36598284" w14:textId="77777777" w:rsidR="00091CEA" w:rsidRPr="00B4397F" w:rsidRDefault="00091CEA" w:rsidP="00091CEA">
            <w:pPr>
              <w:rPr>
                <w:rFonts w:ascii="Times New Roman" w:hAnsi="Times New Roman" w:cs="Times New Roman"/>
                <w:b/>
                <w:bCs/>
                <w:sz w:val="24"/>
                <w:szCs w:val="24"/>
                <w:lang w:eastAsia="en-GB"/>
              </w:rPr>
            </w:pPr>
            <w:r w:rsidRPr="00B4397F">
              <w:rPr>
                <w:rFonts w:ascii="Times New Roman" w:hAnsi="Times New Roman" w:cs="Times New Roman"/>
                <w:b/>
                <w:bCs/>
                <w:sz w:val="24"/>
                <w:szCs w:val="24"/>
                <w:lang w:eastAsia="en-GB"/>
              </w:rPr>
              <w:t>Total</w:t>
            </w:r>
          </w:p>
        </w:tc>
        <w:tc>
          <w:tcPr>
            <w:tcW w:w="1526" w:type="dxa"/>
            <w:vAlign w:val="center"/>
            <w:hideMark/>
          </w:tcPr>
          <w:p w14:paraId="22F0E396"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150,000</w:t>
            </w:r>
          </w:p>
        </w:tc>
        <w:tc>
          <w:tcPr>
            <w:tcW w:w="1532" w:type="dxa"/>
            <w:vAlign w:val="center"/>
            <w:hideMark/>
          </w:tcPr>
          <w:p w14:paraId="0E57BEF9"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60,000</w:t>
            </w:r>
          </w:p>
        </w:tc>
        <w:tc>
          <w:tcPr>
            <w:tcW w:w="1826" w:type="dxa"/>
            <w:vAlign w:val="center"/>
            <w:hideMark/>
          </w:tcPr>
          <w:p w14:paraId="574602E3" w14:textId="77777777" w:rsidR="00091CEA" w:rsidRPr="00B4397F" w:rsidRDefault="00091CEA" w:rsidP="00091CEA">
            <w:pPr>
              <w:rPr>
                <w:rFonts w:ascii="Times New Roman" w:hAnsi="Times New Roman" w:cs="Times New Roman"/>
                <w:sz w:val="24"/>
                <w:szCs w:val="24"/>
                <w:lang w:eastAsia="en-GB"/>
              </w:rPr>
            </w:pPr>
            <w:r w:rsidRPr="00B4397F">
              <w:rPr>
                <w:rFonts w:ascii="Times New Roman" w:hAnsi="Times New Roman" w:cs="Times New Roman"/>
                <w:sz w:val="24"/>
                <w:szCs w:val="24"/>
                <w:lang w:eastAsia="en-GB"/>
              </w:rPr>
              <w:t>90,000</w:t>
            </w:r>
          </w:p>
        </w:tc>
      </w:tr>
    </w:tbl>
    <w:p w14:paraId="4F8C7810" w14:textId="77777777" w:rsidR="00CB272A" w:rsidRPr="00FF1D49" w:rsidRDefault="00CB272A" w:rsidP="00091CEA"/>
    <w:p w14:paraId="4E47A7C2" w14:textId="7ABA5B63" w:rsidR="00B4397F" w:rsidRPr="00B4397F" w:rsidRDefault="00B4397F" w:rsidP="00FF1D49">
      <w:pPr>
        <w:spacing w:line="360" w:lineRule="auto"/>
        <w:jc w:val="both"/>
        <w:rPr>
          <w:rFonts w:ascii="Times New Roman" w:hAnsi="Times New Roman" w:cs="Times New Roman"/>
          <w:b/>
          <w:bCs/>
          <w:sz w:val="24"/>
          <w:szCs w:val="24"/>
        </w:rPr>
      </w:pPr>
      <w:r w:rsidRPr="00B4397F">
        <w:rPr>
          <w:rFonts w:ascii="Times New Roman" w:hAnsi="Times New Roman" w:cs="Times New Roman"/>
          <w:b/>
          <w:bCs/>
          <w:sz w:val="24"/>
          <w:szCs w:val="24"/>
        </w:rPr>
        <w:t>Table 2:</w:t>
      </w:r>
      <w:r w:rsidRPr="00B4397F">
        <w:rPr>
          <w:rFonts w:ascii="Times New Roman" w:hAnsi="Times New Roman" w:cs="Times New Roman"/>
          <w:b/>
          <w:bCs/>
          <w:sz w:val="24"/>
          <w:szCs w:val="24"/>
          <w:lang w:eastAsia="en-GB"/>
        </w:rPr>
        <w:t xml:space="preserve"> </w:t>
      </w:r>
      <w:r w:rsidRPr="00B4397F">
        <w:rPr>
          <w:rFonts w:ascii="Times New Roman" w:hAnsi="Times New Roman" w:cs="Times New Roman"/>
          <w:b/>
          <w:bCs/>
          <w:sz w:val="24"/>
          <w:szCs w:val="24"/>
          <w:lang w:eastAsia="en-GB"/>
        </w:rPr>
        <w:t>Twelve-Month Cash-Flow Forecast</w:t>
      </w:r>
    </w:p>
    <w:p w14:paraId="3EE2C171" w14:textId="1FFD2A2C" w:rsidR="00FF1D49" w:rsidRPr="00FF1D49"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t xml:space="preserve">Financial sustainability is contingent upon effective risk management. ReLeaf must anticipate operational risks like plant death, logistical delays, personnel shortages, and unexpected insurance or maintenance expenses. Creating a contingency reserve that amounts to no less than three months of operational expenditures offers protection against unforeseen circumstances. Further risk reduction </w:t>
      </w:r>
      <w:r w:rsidR="00C72A2F" w:rsidRPr="00FF1D49">
        <w:rPr>
          <w:rFonts w:ascii="Times New Roman" w:hAnsi="Times New Roman" w:cs="Times New Roman"/>
          <w:sz w:val="24"/>
          <w:szCs w:val="24"/>
        </w:rPr>
        <w:t>includes</w:t>
      </w:r>
      <w:r w:rsidRPr="00FF1D49">
        <w:rPr>
          <w:rFonts w:ascii="Times New Roman" w:hAnsi="Times New Roman" w:cs="Times New Roman"/>
          <w:sz w:val="24"/>
          <w:szCs w:val="24"/>
        </w:rPr>
        <w:t xml:space="preserve"> employee training, service-level agreements with suppliers, and establishing strategic alliances with companies like The Urban Greening Company Ltd or Biotecture Ltd, enhancing reputation and perhaps fostering joint prospects.</w:t>
      </w:r>
    </w:p>
    <w:p w14:paraId="15C31123" w14:textId="1C23DA6E" w:rsidR="00FF1D49" w:rsidRDefault="00FF1D49" w:rsidP="00FF1D49">
      <w:pPr>
        <w:spacing w:line="360" w:lineRule="auto"/>
        <w:jc w:val="both"/>
        <w:rPr>
          <w:rFonts w:ascii="Times New Roman" w:hAnsi="Times New Roman" w:cs="Times New Roman"/>
          <w:sz w:val="24"/>
          <w:szCs w:val="24"/>
        </w:rPr>
      </w:pPr>
      <w:r w:rsidRPr="00FF1D49">
        <w:rPr>
          <w:rFonts w:ascii="Times New Roman" w:hAnsi="Times New Roman" w:cs="Times New Roman"/>
          <w:sz w:val="24"/>
          <w:szCs w:val="24"/>
        </w:rPr>
        <w:t>The Ltd structure, functional hierarchical management system, and well devised financial strategy together provide a robust basis for the ReLeaf Project’s enduring viability. They guarantee that the organisation functions effectively, transparently, and with the financial strength necessary to achieve significant environmental and social impact.</w:t>
      </w:r>
    </w:p>
    <w:p w14:paraId="2B31B355" w14:textId="52F0B739" w:rsidR="00180E11" w:rsidRDefault="00180E11" w:rsidP="00180E11">
      <w:pPr>
        <w:pStyle w:val="Heading1"/>
        <w:rPr>
          <w:rFonts w:ascii="Times New Roman" w:hAnsi="Times New Roman" w:cs="Times New Roman"/>
          <w:b/>
          <w:bCs/>
          <w:sz w:val="24"/>
          <w:szCs w:val="24"/>
        </w:rPr>
      </w:pPr>
      <w:bookmarkStart w:id="14" w:name="_Toc214794142"/>
      <w:r w:rsidRPr="00180E11">
        <w:rPr>
          <w:rFonts w:ascii="Times New Roman" w:hAnsi="Times New Roman" w:cs="Times New Roman"/>
          <w:b/>
          <w:bCs/>
          <w:sz w:val="24"/>
          <w:szCs w:val="24"/>
        </w:rPr>
        <w:lastRenderedPageBreak/>
        <w:t>References</w:t>
      </w:r>
      <w:bookmarkEnd w:id="14"/>
    </w:p>
    <w:p w14:paraId="3D97EF8D" w14:textId="77777777" w:rsidR="00180E11" w:rsidRDefault="00180E11" w:rsidP="00180E11"/>
    <w:p w14:paraId="073C7C46" w14:textId="0821E995" w:rsidR="00CD1436" w:rsidRDefault="00CD1436" w:rsidP="00F002CF">
      <w:pPr>
        <w:pStyle w:val="NormalWeb"/>
        <w:numPr>
          <w:ilvl w:val="0"/>
          <w:numId w:val="11"/>
        </w:numPr>
        <w:spacing w:before="0" w:beforeAutospacing="0" w:after="240" w:afterAutospacing="0" w:line="360" w:lineRule="auto"/>
      </w:pPr>
      <w:r>
        <w:t xml:space="preserve">Allen, S. (2025). </w:t>
      </w:r>
      <w:r>
        <w:rPr>
          <w:i/>
          <w:iCs/>
        </w:rPr>
        <w:t>Celebrating five years of the People and Nature Surveys: What we’ve learned about England’s love for the outdoors</w:t>
      </w:r>
      <w:r>
        <w:t xml:space="preserve">. [online] Blog.gov.uk. Available at: </w:t>
      </w:r>
      <w:hyperlink r:id="rId12" w:history="1">
        <w:r w:rsidR="00941810" w:rsidRPr="00B41F3E">
          <w:rPr>
            <w:rStyle w:val="Hyperlink"/>
          </w:rPr>
          <w:t>https://naturalengland.blog.gov.uk/2025/09/30/celebrating-five-years-of-the-people-and-nature-surveys-what-weve-learned-about-englands-love-for-the-outdoors/</w:t>
        </w:r>
      </w:hyperlink>
      <w:r w:rsidR="00941810">
        <w:t xml:space="preserve"> </w:t>
      </w:r>
      <w:r>
        <w:t xml:space="preserve"> [Accessed 8 Nov. 2025].</w:t>
      </w:r>
    </w:p>
    <w:p w14:paraId="36783EDB" w14:textId="20B009B4" w:rsidR="00CD1436" w:rsidRDefault="00CD1436" w:rsidP="00F002CF">
      <w:pPr>
        <w:pStyle w:val="NormalWeb"/>
        <w:numPr>
          <w:ilvl w:val="0"/>
          <w:numId w:val="11"/>
        </w:numPr>
        <w:spacing w:before="0" w:beforeAutospacing="0" w:after="240" w:afterAutospacing="0" w:line="360" w:lineRule="auto"/>
      </w:pPr>
      <w:r>
        <w:t xml:space="preserve">B Lab Impact Assessment (2025). </w:t>
      </w:r>
      <w:r>
        <w:rPr>
          <w:i/>
          <w:iCs/>
        </w:rPr>
        <w:t>Understanding Impact Business Models: Supply Chain Poverty Alleviation</w:t>
      </w:r>
      <w:r>
        <w:t xml:space="preserve">. [online] Support Portal. Available at: </w:t>
      </w:r>
      <w:hyperlink r:id="rId13" w:history="1">
        <w:r w:rsidR="00941810" w:rsidRPr="00B41F3E">
          <w:rPr>
            <w:rStyle w:val="Hyperlink"/>
          </w:rPr>
          <w:t>https://kb.bimpactassessment.net/en/support/solutions/articles/43000746292-understanding-impact-business-models-supply-chain-poverty-alleviation</w:t>
        </w:r>
      </w:hyperlink>
      <w:r w:rsidR="00941810">
        <w:t xml:space="preserve"> </w:t>
      </w:r>
      <w:r>
        <w:t xml:space="preserve"> [Accessed 9 Nov. 2025].</w:t>
      </w:r>
    </w:p>
    <w:p w14:paraId="3E101E97" w14:textId="7193F84E" w:rsidR="00CD1436" w:rsidRDefault="00CD1436" w:rsidP="00F002CF">
      <w:pPr>
        <w:pStyle w:val="NormalWeb"/>
        <w:numPr>
          <w:ilvl w:val="0"/>
          <w:numId w:val="11"/>
        </w:numPr>
        <w:spacing w:before="0" w:beforeAutospacing="0" w:after="240" w:afterAutospacing="0" w:line="360" w:lineRule="auto"/>
      </w:pPr>
      <w:r>
        <w:t xml:space="preserve">BBC Newsround (2025). </w:t>
      </w:r>
      <w:r>
        <w:rPr>
          <w:i/>
          <w:iCs/>
        </w:rPr>
        <w:t>Air pollution levels falling in the UK, say scientists</w:t>
      </w:r>
      <w:r>
        <w:t xml:space="preserve">. [online] BBC Newsround. Available at: </w:t>
      </w:r>
      <w:hyperlink r:id="rId14" w:history="1">
        <w:r w:rsidR="00941810" w:rsidRPr="00B41F3E">
          <w:rPr>
            <w:rStyle w:val="Hyperlink"/>
          </w:rPr>
          <w:t>https://www.bbc.co.uk/newsround/articles/c5y2z28r30lo</w:t>
        </w:r>
      </w:hyperlink>
      <w:r w:rsidR="00941810">
        <w:t xml:space="preserve"> </w:t>
      </w:r>
      <w:r>
        <w:t xml:space="preserve"> [Accessed 26 Oct. 2025].</w:t>
      </w:r>
    </w:p>
    <w:p w14:paraId="0B726831" w14:textId="1BD1A337" w:rsidR="00CD1436" w:rsidRDefault="00CD1436" w:rsidP="00F002CF">
      <w:pPr>
        <w:pStyle w:val="NormalWeb"/>
        <w:numPr>
          <w:ilvl w:val="0"/>
          <w:numId w:val="11"/>
        </w:numPr>
        <w:spacing w:before="0" w:beforeAutospacing="0" w:after="240" w:afterAutospacing="0" w:line="360" w:lineRule="auto"/>
      </w:pPr>
      <w:proofErr w:type="spellStart"/>
      <w:r>
        <w:t>Braghetta</w:t>
      </w:r>
      <w:proofErr w:type="spellEnd"/>
      <w:r>
        <w:t xml:space="preserve">, M. (2025). </w:t>
      </w:r>
      <w:r>
        <w:rPr>
          <w:i/>
          <w:iCs/>
        </w:rPr>
        <w:t>MB Adv Agency - 2025</w:t>
      </w:r>
      <w:r>
        <w:t xml:space="preserve">. [online] </w:t>
      </w:r>
      <w:proofErr w:type="spellStart"/>
      <w:r>
        <w:t>Mbadv.agency</w:t>
      </w:r>
      <w:proofErr w:type="spellEnd"/>
      <w:r>
        <w:t xml:space="preserve">. Available at: </w:t>
      </w:r>
      <w:hyperlink r:id="rId15" w:history="1">
        <w:r w:rsidR="00941810" w:rsidRPr="00B41F3E">
          <w:rPr>
            <w:rStyle w:val="Hyperlink"/>
          </w:rPr>
          <w:t>https://www.mbadv.agency/google-ads/discovery-campaigns-in-google-ads-reach-new-audiences</w:t>
        </w:r>
      </w:hyperlink>
      <w:r w:rsidR="00941810">
        <w:t xml:space="preserve"> </w:t>
      </w:r>
      <w:r>
        <w:t xml:space="preserve"> [Accessed 16 Nov. 2025].</w:t>
      </w:r>
    </w:p>
    <w:p w14:paraId="3F13D167" w14:textId="7F368964" w:rsidR="00CD1436" w:rsidRDefault="00CD1436" w:rsidP="00F002CF">
      <w:pPr>
        <w:pStyle w:val="NormalWeb"/>
        <w:numPr>
          <w:ilvl w:val="0"/>
          <w:numId w:val="11"/>
        </w:numPr>
        <w:spacing w:before="0" w:beforeAutospacing="0" w:after="240" w:afterAutospacing="0" w:line="360" w:lineRule="auto"/>
      </w:pPr>
      <w:r>
        <w:t xml:space="preserve">British Business Bank (2025). </w:t>
      </w:r>
      <w:r>
        <w:rPr>
          <w:i/>
          <w:iCs/>
        </w:rPr>
        <w:t>Equity Finance | British Business Bank</w:t>
      </w:r>
      <w:r>
        <w:t xml:space="preserve">. [online] www.british-business-bank.co.uk. Available at: </w:t>
      </w:r>
      <w:hyperlink r:id="rId16" w:history="1">
        <w:r w:rsidR="00941810" w:rsidRPr="00B41F3E">
          <w:rPr>
            <w:rStyle w:val="Hyperlink"/>
          </w:rPr>
          <w:t>https://www.british-business-bank.co.uk/finance-options/equity-finance</w:t>
        </w:r>
      </w:hyperlink>
      <w:r w:rsidR="00941810">
        <w:t xml:space="preserve"> </w:t>
      </w:r>
      <w:r>
        <w:t xml:space="preserve"> [Accessed 23 Nov. 2025].</w:t>
      </w:r>
    </w:p>
    <w:p w14:paraId="76553FB2" w14:textId="14CA6EDB" w:rsidR="00CD1436" w:rsidRDefault="00CD1436" w:rsidP="00F002CF">
      <w:pPr>
        <w:pStyle w:val="NormalWeb"/>
        <w:numPr>
          <w:ilvl w:val="0"/>
          <w:numId w:val="11"/>
        </w:numPr>
        <w:spacing w:before="0" w:beforeAutospacing="0" w:after="240" w:afterAutospacing="0" w:line="360" w:lineRule="auto"/>
      </w:pPr>
      <w:r>
        <w:t xml:space="preserve">Cook, B. (2024). </w:t>
      </w:r>
      <w:r>
        <w:rPr>
          <w:i/>
          <w:iCs/>
        </w:rPr>
        <w:t>Bargaining Power of Buyers: Meaning, Strategies and Examples</w:t>
      </w:r>
      <w:r>
        <w:t xml:space="preserve">. [online] </w:t>
      </w:r>
      <w:proofErr w:type="spellStart"/>
      <w:r>
        <w:t>Tipalti</w:t>
      </w:r>
      <w:proofErr w:type="spellEnd"/>
      <w:r>
        <w:t xml:space="preserve">. Available at: </w:t>
      </w:r>
      <w:hyperlink r:id="rId17" w:history="1">
        <w:r w:rsidR="00941810" w:rsidRPr="00B41F3E">
          <w:rPr>
            <w:rStyle w:val="Hyperlink"/>
          </w:rPr>
          <w:t>https://tipalti.com/resources/learn/bargaining-power-of-buyers /</w:t>
        </w:r>
      </w:hyperlink>
      <w:proofErr w:type="gramStart"/>
      <w:r w:rsidR="00941810">
        <w:t xml:space="preserve">  </w:t>
      </w:r>
      <w:r>
        <w:t xml:space="preserve"> [</w:t>
      </w:r>
      <w:proofErr w:type="gramEnd"/>
      <w:r>
        <w:t>Accessed 9 Nov. 2025].</w:t>
      </w:r>
    </w:p>
    <w:p w14:paraId="3F79835B" w14:textId="41A8DF95" w:rsidR="00CD1436" w:rsidRDefault="00CD1436" w:rsidP="00F002CF">
      <w:pPr>
        <w:pStyle w:val="NormalWeb"/>
        <w:numPr>
          <w:ilvl w:val="0"/>
          <w:numId w:val="11"/>
        </w:numPr>
        <w:spacing w:before="0" w:beforeAutospacing="0" w:after="240" w:afterAutospacing="0" w:line="360" w:lineRule="auto"/>
      </w:pPr>
      <w:r>
        <w:t xml:space="preserve">Coursera (2023). </w:t>
      </w:r>
      <w:r>
        <w:rPr>
          <w:i/>
          <w:iCs/>
        </w:rPr>
        <w:t>The 4 Ps of marketing: What They Are and How to Use Them</w:t>
      </w:r>
      <w:r>
        <w:t xml:space="preserve">. [online] Coursera. Available at: </w:t>
      </w:r>
      <w:hyperlink r:id="rId18" w:history="1">
        <w:r w:rsidR="00941810" w:rsidRPr="00B41F3E">
          <w:rPr>
            <w:rStyle w:val="Hyperlink"/>
          </w:rPr>
          <w:t>https://www.coursera.org/gb/articles/4-ps-of-marketing</w:t>
        </w:r>
      </w:hyperlink>
      <w:proofErr w:type="gramStart"/>
      <w:r w:rsidR="00941810">
        <w:t xml:space="preserve">  </w:t>
      </w:r>
      <w:r>
        <w:t xml:space="preserve"> [</w:t>
      </w:r>
      <w:proofErr w:type="gramEnd"/>
      <w:r>
        <w:t>Accessed 16 Nov. 2025].</w:t>
      </w:r>
    </w:p>
    <w:p w14:paraId="33B0FEEB" w14:textId="4729D638" w:rsidR="00CD1436" w:rsidRDefault="00CD1436" w:rsidP="00F002CF">
      <w:pPr>
        <w:pStyle w:val="NormalWeb"/>
        <w:numPr>
          <w:ilvl w:val="0"/>
          <w:numId w:val="11"/>
        </w:numPr>
        <w:spacing w:before="0" w:beforeAutospacing="0" w:after="240" w:afterAutospacing="0" w:line="360" w:lineRule="auto"/>
      </w:pPr>
      <w:r>
        <w:lastRenderedPageBreak/>
        <w:t xml:space="preserve">DEFRA (2018). </w:t>
      </w:r>
      <w:r>
        <w:rPr>
          <w:i/>
          <w:iCs/>
        </w:rPr>
        <w:t>25 Year Environment Plan</w:t>
      </w:r>
      <w:r>
        <w:t xml:space="preserve">. [online] GOV.UK. Available at: </w:t>
      </w:r>
      <w:hyperlink r:id="rId19" w:history="1">
        <w:r w:rsidR="00941810" w:rsidRPr="00B41F3E">
          <w:rPr>
            <w:rStyle w:val="Hyperlink"/>
          </w:rPr>
          <w:t>https://www.gov.uk/government/publications/25-year-environment-plan</w:t>
        </w:r>
      </w:hyperlink>
      <w:r w:rsidR="00941810">
        <w:t xml:space="preserve"> </w:t>
      </w:r>
      <w:r>
        <w:t xml:space="preserve"> [Accessed 8 Nov. 2025].</w:t>
      </w:r>
    </w:p>
    <w:p w14:paraId="28305471" w14:textId="637C91DD" w:rsidR="00CD1436" w:rsidRDefault="00CD1436" w:rsidP="00F002CF">
      <w:pPr>
        <w:pStyle w:val="NormalWeb"/>
        <w:numPr>
          <w:ilvl w:val="0"/>
          <w:numId w:val="11"/>
        </w:numPr>
        <w:spacing w:before="0" w:beforeAutospacing="0" w:after="240" w:afterAutospacing="0" w:line="360" w:lineRule="auto"/>
      </w:pPr>
      <w:r>
        <w:t xml:space="preserve">Deloitte (2023). </w:t>
      </w:r>
      <w:r>
        <w:rPr>
          <w:i/>
          <w:iCs/>
        </w:rPr>
        <w:t>High prices continue to come at a cost to the planet, but sustainable products are a priority for consumers | Deloitte UK</w:t>
      </w:r>
      <w:r>
        <w:t xml:space="preserve">. [online] Deloitte. Available at: </w:t>
      </w:r>
      <w:hyperlink r:id="rId20" w:history="1">
        <w:r w:rsidR="00941810" w:rsidRPr="00B41F3E">
          <w:rPr>
            <w:rStyle w:val="Hyperlink"/>
          </w:rPr>
          <w:t>https://www.deloitte.com/uk/en/about/press-room/high-prices-continue-to-come-at-a-cost-to-the-planet.html</w:t>
        </w:r>
      </w:hyperlink>
      <w:r w:rsidR="00941810">
        <w:t xml:space="preserve"> </w:t>
      </w:r>
      <w:r>
        <w:t xml:space="preserve"> [Accessed 9 Nov. 2025].</w:t>
      </w:r>
    </w:p>
    <w:p w14:paraId="61242913" w14:textId="0B5F93BB" w:rsidR="00CD1436" w:rsidRDefault="00CD1436" w:rsidP="00F002CF">
      <w:pPr>
        <w:pStyle w:val="NormalWeb"/>
        <w:numPr>
          <w:ilvl w:val="0"/>
          <w:numId w:val="11"/>
        </w:numPr>
        <w:spacing w:before="0" w:beforeAutospacing="0" w:after="240" w:afterAutospacing="0" w:line="360" w:lineRule="auto"/>
      </w:pPr>
      <w:r>
        <w:t xml:space="preserve">Department for Environment, Food &amp; Rural Affairs (2017). </w:t>
      </w:r>
      <w:r>
        <w:rPr>
          <w:i/>
          <w:iCs/>
        </w:rPr>
        <w:t>Effects of Air pollution- Defra, UK</w:t>
      </w:r>
      <w:r>
        <w:t xml:space="preserve">. [online] Defra.gov.uk. Available at: </w:t>
      </w:r>
      <w:hyperlink r:id="rId21" w:history="1">
        <w:r w:rsidR="00130665" w:rsidRPr="00B41F3E">
          <w:rPr>
            <w:rStyle w:val="Hyperlink"/>
          </w:rPr>
          <w:t>https://uk-air.defra.gov.uk/air-pollution/effects</w:t>
        </w:r>
      </w:hyperlink>
      <w:r w:rsidR="00130665">
        <w:t xml:space="preserve"> </w:t>
      </w:r>
      <w:r>
        <w:t xml:space="preserve"> [Accessed 26 Oct. 2025].</w:t>
      </w:r>
    </w:p>
    <w:p w14:paraId="43489651" w14:textId="2AD7F568" w:rsidR="00CD1436" w:rsidRDefault="00CD1436" w:rsidP="00F002CF">
      <w:pPr>
        <w:pStyle w:val="NormalWeb"/>
        <w:numPr>
          <w:ilvl w:val="0"/>
          <w:numId w:val="11"/>
        </w:numPr>
        <w:spacing w:before="0" w:beforeAutospacing="0" w:after="240" w:afterAutospacing="0" w:line="360" w:lineRule="auto"/>
      </w:pPr>
      <w:proofErr w:type="spellStart"/>
      <w:r>
        <w:t>DTNI</w:t>
      </w:r>
      <w:proofErr w:type="spellEnd"/>
      <w:r>
        <w:t xml:space="preserve"> Team (2024). </w:t>
      </w:r>
      <w:r>
        <w:rPr>
          <w:i/>
          <w:iCs/>
        </w:rPr>
        <w:t>What Is an Asset Lock? - Development Trusts NI</w:t>
      </w:r>
      <w:r>
        <w:t xml:space="preserve">. [online] Development Trusts NI. Available at: </w:t>
      </w:r>
      <w:hyperlink r:id="rId22" w:history="1">
        <w:r w:rsidR="00130665" w:rsidRPr="00B41F3E">
          <w:rPr>
            <w:rStyle w:val="Hyperlink"/>
          </w:rPr>
          <w:t>https://www.dtni.org.uk/what-is-an-asset-lock/</w:t>
        </w:r>
      </w:hyperlink>
      <w:r w:rsidR="00130665">
        <w:t xml:space="preserve"> </w:t>
      </w:r>
      <w:r>
        <w:t xml:space="preserve"> [Accessed 16 Nov. 2025].</w:t>
      </w:r>
    </w:p>
    <w:p w14:paraId="52BB8827" w14:textId="450BFADC" w:rsidR="00CD1436" w:rsidRDefault="00CD1436" w:rsidP="00F002CF">
      <w:pPr>
        <w:pStyle w:val="NormalWeb"/>
        <w:numPr>
          <w:ilvl w:val="0"/>
          <w:numId w:val="11"/>
        </w:numPr>
        <w:spacing w:before="0" w:beforeAutospacing="0" w:after="240" w:afterAutospacing="0" w:line="360" w:lineRule="auto"/>
      </w:pPr>
      <w:r>
        <w:t xml:space="preserve">Environmental Audit Committee (2024). </w:t>
      </w:r>
      <w:r>
        <w:rPr>
          <w:i/>
          <w:iCs/>
        </w:rPr>
        <w:t>The role of natural capital in the UK’s green economy</w:t>
      </w:r>
      <w:r>
        <w:t xml:space="preserve">. [online] committees.parliament.uk. Available at: </w:t>
      </w:r>
      <w:hyperlink r:id="rId23" w:history="1">
        <w:r w:rsidR="00130665" w:rsidRPr="00B41F3E">
          <w:rPr>
            <w:rStyle w:val="Hyperlink"/>
          </w:rPr>
          <w:t>https://committees.parliament.uk/publications/47712/documents/249328/default/</w:t>
        </w:r>
      </w:hyperlink>
      <w:r w:rsidR="00130665">
        <w:t xml:space="preserve"> </w:t>
      </w:r>
      <w:r>
        <w:t xml:space="preserve"> [Accessed 8 Nov. 2025].</w:t>
      </w:r>
    </w:p>
    <w:p w14:paraId="7F631B21" w14:textId="791B00C5" w:rsidR="00CD1436" w:rsidRDefault="00CD1436" w:rsidP="00F002CF">
      <w:pPr>
        <w:pStyle w:val="NormalWeb"/>
        <w:numPr>
          <w:ilvl w:val="0"/>
          <w:numId w:val="11"/>
        </w:numPr>
        <w:spacing w:before="0" w:beforeAutospacing="0" w:after="240" w:afterAutospacing="0" w:line="360" w:lineRule="auto"/>
      </w:pPr>
      <w:r>
        <w:t xml:space="preserve">Faulstick, B. (2019). </w:t>
      </w:r>
      <w:r>
        <w:rPr>
          <w:i/>
          <w:iCs/>
        </w:rPr>
        <w:t>Study: Actually, Potted Plants Don’t Improve Air Quality</w:t>
      </w:r>
      <w:r>
        <w:t xml:space="preserve">. [online] drexel.edu. Available at: </w:t>
      </w:r>
      <w:hyperlink r:id="rId24" w:history="1">
        <w:r w:rsidR="00130665" w:rsidRPr="00B41F3E">
          <w:rPr>
            <w:rStyle w:val="Hyperlink"/>
          </w:rPr>
          <w:t>https://drexel.edu/news/archive/2019/november/potted-plants-do-not-improve-air-quality</w:t>
        </w:r>
      </w:hyperlink>
      <w:r w:rsidR="00130665">
        <w:t xml:space="preserve"> </w:t>
      </w:r>
      <w:r>
        <w:t xml:space="preserve"> [Accessed 8 Nov. 2025].</w:t>
      </w:r>
    </w:p>
    <w:p w14:paraId="1814AE76" w14:textId="378113BE" w:rsidR="00CD1436" w:rsidRDefault="00CD1436" w:rsidP="00F002CF">
      <w:pPr>
        <w:pStyle w:val="NormalWeb"/>
        <w:numPr>
          <w:ilvl w:val="0"/>
          <w:numId w:val="11"/>
        </w:numPr>
        <w:spacing w:before="0" w:beforeAutospacing="0" w:after="240" w:afterAutospacing="0" w:line="360" w:lineRule="auto"/>
      </w:pPr>
      <w:r>
        <w:t xml:space="preserve">Gergely, S. (2025). </w:t>
      </w:r>
      <w:r>
        <w:rPr>
          <w:i/>
          <w:iCs/>
        </w:rPr>
        <w:t xml:space="preserve">The Cost of </w:t>
      </w:r>
      <w:proofErr w:type="spellStart"/>
      <w:r>
        <w:rPr>
          <w:i/>
          <w:iCs/>
        </w:rPr>
        <w:t>ESG</w:t>
      </w:r>
      <w:proofErr w:type="spellEnd"/>
      <w:r>
        <w:rPr>
          <w:i/>
          <w:iCs/>
        </w:rPr>
        <w:t xml:space="preserve"> in Procurement and How to Control It</w:t>
      </w:r>
      <w:r>
        <w:t xml:space="preserve">. [online] </w:t>
      </w:r>
      <w:proofErr w:type="spellStart"/>
      <w:r>
        <w:t>Veridion</w:t>
      </w:r>
      <w:proofErr w:type="spellEnd"/>
      <w:r>
        <w:t xml:space="preserve">. Available at: </w:t>
      </w:r>
      <w:hyperlink r:id="rId25" w:history="1">
        <w:r w:rsidR="00130665" w:rsidRPr="00B41F3E">
          <w:rPr>
            <w:rStyle w:val="Hyperlink"/>
          </w:rPr>
          <w:t>https://veridion.com/blog-posts/esg-procurement-cost/</w:t>
        </w:r>
      </w:hyperlink>
      <w:proofErr w:type="gramStart"/>
      <w:r w:rsidR="00130665">
        <w:t xml:space="preserve">  </w:t>
      </w:r>
      <w:r>
        <w:t xml:space="preserve"> [</w:t>
      </w:r>
      <w:proofErr w:type="gramEnd"/>
      <w:r>
        <w:t>Accessed 9 Nov. 2025].</w:t>
      </w:r>
    </w:p>
    <w:p w14:paraId="6C75A6E0" w14:textId="25B2544B" w:rsidR="00CD1436" w:rsidRDefault="00CD1436" w:rsidP="00F002CF">
      <w:pPr>
        <w:pStyle w:val="NormalWeb"/>
        <w:numPr>
          <w:ilvl w:val="0"/>
          <w:numId w:val="11"/>
        </w:numPr>
        <w:spacing w:before="0" w:beforeAutospacing="0" w:after="240" w:afterAutospacing="0" w:line="360" w:lineRule="auto"/>
      </w:pPr>
      <w:r>
        <w:t xml:space="preserve">GOV.UK (2006). </w:t>
      </w:r>
      <w:r>
        <w:rPr>
          <w:i/>
          <w:iCs/>
        </w:rPr>
        <w:t>Companies Act 2006</w:t>
      </w:r>
      <w:r>
        <w:t xml:space="preserve">. [online] Legislation.gov.uk. Available at: </w:t>
      </w:r>
      <w:hyperlink r:id="rId26" w:history="1">
        <w:r w:rsidR="00130665" w:rsidRPr="00B41F3E">
          <w:rPr>
            <w:rStyle w:val="Hyperlink"/>
          </w:rPr>
          <w:t>https://www.legislation.gov.uk/ukpga/2006/46/content</w:t>
        </w:r>
      </w:hyperlink>
      <w:r w:rsidR="00130665">
        <w:t xml:space="preserve"> </w:t>
      </w:r>
      <w:r>
        <w:t xml:space="preserve"> [Accessed 16 Nov. 2025].</w:t>
      </w:r>
    </w:p>
    <w:p w14:paraId="788FE08C" w14:textId="7197494E" w:rsidR="00CD1436" w:rsidRDefault="00CD1436" w:rsidP="00F002CF">
      <w:pPr>
        <w:pStyle w:val="NormalWeb"/>
        <w:numPr>
          <w:ilvl w:val="0"/>
          <w:numId w:val="11"/>
        </w:numPr>
        <w:spacing w:before="0" w:beforeAutospacing="0" w:after="240" w:afterAutospacing="0" w:line="360" w:lineRule="auto"/>
      </w:pPr>
      <w:r>
        <w:t xml:space="preserve">Gov.uk (2025). </w:t>
      </w:r>
      <w:r>
        <w:rPr>
          <w:i/>
          <w:iCs/>
        </w:rPr>
        <w:t>Airborne Allergens and Green Infrastructure</w:t>
      </w:r>
      <w:r>
        <w:t xml:space="preserve">. [online] GOV.UK. Available at: </w:t>
      </w:r>
      <w:hyperlink r:id="rId27" w:history="1">
        <w:r w:rsidR="00130665" w:rsidRPr="00B41F3E">
          <w:rPr>
            <w:rStyle w:val="Hyperlink"/>
          </w:rPr>
          <w:t>https://www.gov.uk/guidance/airborne-allergens-and-green-infrastructure</w:t>
        </w:r>
      </w:hyperlink>
      <w:r w:rsidR="00130665">
        <w:t xml:space="preserve"> </w:t>
      </w:r>
      <w:r>
        <w:t xml:space="preserve"> [Accessed 9 Nov. 2025].</w:t>
      </w:r>
    </w:p>
    <w:p w14:paraId="42A660C2" w14:textId="72E65F7A" w:rsidR="00CD1436" w:rsidRDefault="00CD1436" w:rsidP="00F002CF">
      <w:pPr>
        <w:pStyle w:val="NormalWeb"/>
        <w:numPr>
          <w:ilvl w:val="0"/>
          <w:numId w:val="11"/>
        </w:numPr>
        <w:spacing w:before="0" w:beforeAutospacing="0" w:after="240" w:afterAutospacing="0" w:line="360" w:lineRule="auto"/>
      </w:pPr>
      <w:r>
        <w:lastRenderedPageBreak/>
        <w:t xml:space="preserve">gov.uk (2022). </w:t>
      </w:r>
      <w:r>
        <w:rPr>
          <w:i/>
          <w:iCs/>
        </w:rPr>
        <w:t>Air pollution: applying All Our Health</w:t>
      </w:r>
      <w:r>
        <w:t xml:space="preserve">. [online] GOV.UK. Available at: </w:t>
      </w:r>
      <w:hyperlink r:id="rId28" w:history="1">
        <w:r w:rsidR="00130665" w:rsidRPr="00B41F3E">
          <w:rPr>
            <w:rStyle w:val="Hyperlink"/>
          </w:rPr>
          <w:t>https://www.gov.uk/government/publications/air-pollution-applying-all-our-health/air-pollution-applying-all-our-health</w:t>
        </w:r>
      </w:hyperlink>
      <w:r w:rsidR="00130665">
        <w:t xml:space="preserve"> </w:t>
      </w:r>
      <w:r>
        <w:t xml:space="preserve"> [Accessed 8 Nov. 2025].</w:t>
      </w:r>
    </w:p>
    <w:p w14:paraId="03DABCBC" w14:textId="332EA939" w:rsidR="00CD1436" w:rsidRDefault="00CD1436" w:rsidP="00F002CF">
      <w:pPr>
        <w:pStyle w:val="NormalWeb"/>
        <w:numPr>
          <w:ilvl w:val="0"/>
          <w:numId w:val="11"/>
        </w:numPr>
        <w:spacing w:before="0" w:beforeAutospacing="0" w:after="240" w:afterAutospacing="0" w:line="360" w:lineRule="auto"/>
      </w:pPr>
      <w:r>
        <w:t xml:space="preserve">Greater London Authority (2021). </w:t>
      </w:r>
      <w:r>
        <w:rPr>
          <w:i/>
          <w:iCs/>
        </w:rPr>
        <w:t>Urban Greening Factor</w:t>
      </w:r>
      <w:r>
        <w:t xml:space="preserve">. [online] GLA. Available at: </w:t>
      </w:r>
      <w:hyperlink r:id="rId29" w:history="1">
        <w:r w:rsidR="00130665" w:rsidRPr="00B41F3E">
          <w:rPr>
            <w:rStyle w:val="Hyperlink"/>
          </w:rPr>
          <w:t>https://www.london.gov.uk/publications/urban-greening-factor</w:t>
        </w:r>
      </w:hyperlink>
      <w:r w:rsidR="00130665">
        <w:t xml:space="preserve"> </w:t>
      </w:r>
      <w:r>
        <w:t xml:space="preserve"> [Accessed 8 Nov. 2025].</w:t>
      </w:r>
    </w:p>
    <w:p w14:paraId="79872BFF" w14:textId="613A8717" w:rsidR="00CD1436" w:rsidRDefault="00CD1436" w:rsidP="00F002CF">
      <w:pPr>
        <w:pStyle w:val="NormalWeb"/>
        <w:numPr>
          <w:ilvl w:val="0"/>
          <w:numId w:val="11"/>
        </w:numPr>
        <w:spacing w:before="0" w:beforeAutospacing="0" w:after="240" w:afterAutospacing="0" w:line="360" w:lineRule="auto"/>
      </w:pPr>
      <w:r>
        <w:t xml:space="preserve">Hootsuite Inc (2024). </w:t>
      </w:r>
      <w:r>
        <w:rPr>
          <w:i/>
          <w:iCs/>
        </w:rPr>
        <w:t>Hootsuite Launches Social Media Trends 2024 Report</w:t>
      </w:r>
      <w:r>
        <w:t xml:space="preserve">. [online] Hootsuite Launches </w:t>
      </w:r>
      <w:proofErr w:type="gramStart"/>
      <w:r>
        <w:t>Social Media</w:t>
      </w:r>
      <w:proofErr w:type="gramEnd"/>
      <w:r>
        <w:t xml:space="preserve"> Trends 2024 Report. Available at: </w:t>
      </w:r>
      <w:hyperlink r:id="rId30" w:history="1">
        <w:r w:rsidR="00130665" w:rsidRPr="00B41F3E">
          <w:rPr>
            <w:rStyle w:val="Hyperlink"/>
          </w:rPr>
          <w:t>https://www.hootsuite.com/newsroom/press-releases/hootsuite-unveils-the-trends-that-keep-on-trending-for-social-marketers</w:t>
        </w:r>
      </w:hyperlink>
      <w:r w:rsidR="00130665">
        <w:t xml:space="preserve"> </w:t>
      </w:r>
      <w:r>
        <w:t xml:space="preserve"> [Accessed 16 Nov. 2025].</w:t>
      </w:r>
    </w:p>
    <w:p w14:paraId="51AFBC36" w14:textId="0BF81180" w:rsidR="00CD1436" w:rsidRDefault="00CD1436" w:rsidP="00F002CF">
      <w:pPr>
        <w:pStyle w:val="NormalWeb"/>
        <w:numPr>
          <w:ilvl w:val="0"/>
          <w:numId w:val="11"/>
        </w:numPr>
        <w:spacing w:before="0" w:beforeAutospacing="0" w:after="240" w:afterAutospacing="0" w:line="360" w:lineRule="auto"/>
      </w:pPr>
      <w:proofErr w:type="spellStart"/>
      <w:r>
        <w:t>IBISworld</w:t>
      </w:r>
      <w:proofErr w:type="spellEnd"/>
      <w:r>
        <w:t xml:space="preserve"> (2024). </w:t>
      </w:r>
      <w:r>
        <w:rPr>
          <w:i/>
          <w:iCs/>
        </w:rPr>
        <w:t>IBISWorld - Industry Market Research, Reports, and Statistics</w:t>
      </w:r>
      <w:r>
        <w:t xml:space="preserve">. [online] www.ibisworld.com. Available at: </w:t>
      </w:r>
      <w:hyperlink r:id="rId31" w:history="1">
        <w:r w:rsidR="00130665" w:rsidRPr="00B41F3E">
          <w:rPr>
            <w:rStyle w:val="Hyperlink"/>
          </w:rPr>
          <w:t>https://www.ibisworld.com/united-kingdom/number-of-businesses/landscaping-services/4295/</w:t>
        </w:r>
      </w:hyperlink>
      <w:r w:rsidR="00130665">
        <w:t xml:space="preserve"> </w:t>
      </w:r>
      <w:r>
        <w:t>[Accessed 9 Nov. 2025].</w:t>
      </w:r>
    </w:p>
    <w:p w14:paraId="5DD45715" w14:textId="40AFD272" w:rsidR="00CD1436" w:rsidRDefault="00CD1436" w:rsidP="00F002CF">
      <w:pPr>
        <w:pStyle w:val="NormalWeb"/>
        <w:numPr>
          <w:ilvl w:val="0"/>
          <w:numId w:val="11"/>
        </w:numPr>
        <w:spacing w:before="0" w:beforeAutospacing="0" w:after="240" w:afterAutospacing="0" w:line="360" w:lineRule="auto"/>
      </w:pPr>
      <w:r>
        <w:t xml:space="preserve">IBM (2023). </w:t>
      </w:r>
      <w:r>
        <w:rPr>
          <w:i/>
          <w:iCs/>
        </w:rPr>
        <w:t>What is the Internet of Things (IoT)?</w:t>
      </w:r>
      <w:r>
        <w:t xml:space="preserve"> [online] IBM. Available at: </w:t>
      </w:r>
      <w:hyperlink r:id="rId32" w:history="1">
        <w:r w:rsidR="00130665" w:rsidRPr="00B41F3E">
          <w:rPr>
            <w:rStyle w:val="Hyperlink"/>
          </w:rPr>
          <w:t>https://www.ibm.com/think/topics/internet-of-things</w:t>
        </w:r>
      </w:hyperlink>
      <w:r w:rsidR="00130665">
        <w:t xml:space="preserve"> </w:t>
      </w:r>
      <w:r>
        <w:t xml:space="preserve"> [Accessed 8 Nov. 2025].</w:t>
      </w:r>
    </w:p>
    <w:p w14:paraId="361D96F2" w14:textId="3C9A4975" w:rsidR="00CD1436" w:rsidRDefault="00CD1436" w:rsidP="00F002CF">
      <w:pPr>
        <w:pStyle w:val="NormalWeb"/>
        <w:numPr>
          <w:ilvl w:val="0"/>
          <w:numId w:val="11"/>
        </w:numPr>
        <w:spacing w:before="0" w:beforeAutospacing="0" w:after="240" w:afterAutospacing="0" w:line="360" w:lineRule="auto"/>
      </w:pPr>
      <w:proofErr w:type="gramStart"/>
      <w:r>
        <w:t>Indeed</w:t>
      </w:r>
      <w:proofErr w:type="gramEnd"/>
      <w:r>
        <w:t xml:space="preserve"> Editorial Team (2021). </w:t>
      </w:r>
      <w:r>
        <w:rPr>
          <w:i/>
          <w:iCs/>
        </w:rPr>
        <w:t>A Guide to Functional Structure: Benefits and Disadvantages</w:t>
      </w:r>
      <w:r>
        <w:t xml:space="preserve">. [online] Indeed Career Guide. Available at: </w:t>
      </w:r>
      <w:hyperlink r:id="rId33" w:history="1">
        <w:r w:rsidR="00130665" w:rsidRPr="00B41F3E">
          <w:rPr>
            <w:rStyle w:val="Hyperlink"/>
          </w:rPr>
          <w:t>https://uk.indeed.com/career-advice/career-development/functional-structure-benefits-and-disadvantages</w:t>
        </w:r>
      </w:hyperlink>
      <w:r w:rsidR="00130665">
        <w:t xml:space="preserve"> </w:t>
      </w:r>
      <w:r>
        <w:t xml:space="preserve"> [Accessed 16 Nov. 2025].</w:t>
      </w:r>
    </w:p>
    <w:p w14:paraId="2834A558" w14:textId="78A806BB" w:rsidR="00CD1436" w:rsidRDefault="00CD1436" w:rsidP="00F002CF">
      <w:pPr>
        <w:pStyle w:val="NormalWeb"/>
        <w:numPr>
          <w:ilvl w:val="0"/>
          <w:numId w:val="11"/>
        </w:numPr>
        <w:spacing w:before="0" w:beforeAutospacing="0" w:after="240" w:afterAutospacing="0" w:line="360" w:lineRule="auto"/>
      </w:pPr>
      <w:r>
        <w:t xml:space="preserve">Junior, </w:t>
      </w:r>
      <w:proofErr w:type="spellStart"/>
      <w:r>
        <w:t>D.P.M</w:t>
      </w:r>
      <w:proofErr w:type="spellEnd"/>
      <w:r>
        <w:t xml:space="preserve">., Bueno, C. and da Silva, C.M. (2022). The Effect of Urban Green Spaces on Reduction of Particulate Matter Concentration. </w:t>
      </w:r>
      <w:r>
        <w:rPr>
          <w:i/>
          <w:iCs/>
        </w:rPr>
        <w:t>Bulletin of Environmental Contamination and Toxicology</w:t>
      </w:r>
      <w:r>
        <w:t xml:space="preserve">, 108(6), pp.1104–1110. </w:t>
      </w:r>
      <w:proofErr w:type="spellStart"/>
      <w:proofErr w:type="gramStart"/>
      <w:r>
        <w:t>doi:https</w:t>
      </w:r>
      <w:proofErr w:type="spellEnd"/>
      <w:r>
        <w:t>://doi.org/10.1007/s00128-022-03460-3</w:t>
      </w:r>
      <w:proofErr w:type="gramEnd"/>
      <w:r>
        <w:t>.</w:t>
      </w:r>
      <w:r w:rsidR="00883ACB">
        <w:t xml:space="preserve"> [Accessed 16 Nov. 2025].</w:t>
      </w:r>
    </w:p>
    <w:p w14:paraId="06B7FC3C" w14:textId="739FD87A" w:rsidR="00CD1436" w:rsidRDefault="00CD1436" w:rsidP="00F002CF">
      <w:pPr>
        <w:pStyle w:val="NormalWeb"/>
        <w:numPr>
          <w:ilvl w:val="0"/>
          <w:numId w:val="11"/>
        </w:numPr>
        <w:spacing w:before="0" w:beforeAutospacing="0" w:after="240" w:afterAutospacing="0" w:line="360" w:lineRule="auto"/>
      </w:pPr>
      <w:r>
        <w:t xml:space="preserve">Morrisons PLC (2022). </w:t>
      </w:r>
      <w:r>
        <w:rPr>
          <w:i/>
          <w:iCs/>
        </w:rPr>
        <w:t>Morrisons to switch to 100% peat-free compost</w:t>
      </w:r>
      <w:r>
        <w:t xml:space="preserve">. [online] Morrisons. Available at: </w:t>
      </w:r>
      <w:hyperlink r:id="rId34" w:history="1">
        <w:r w:rsidR="00883ACB" w:rsidRPr="00B41F3E">
          <w:rPr>
            <w:rStyle w:val="Hyperlink"/>
          </w:rPr>
          <w:t>https://www.morrisons-corporate.com/media-centre/corporate-news/morrisons-to-switch-to-100-peat-free-compost/</w:t>
        </w:r>
      </w:hyperlink>
      <w:r w:rsidR="00883ACB">
        <w:t xml:space="preserve"> </w:t>
      </w:r>
      <w:r>
        <w:t xml:space="preserve"> [Accessed 9 Nov. 2025].</w:t>
      </w:r>
    </w:p>
    <w:p w14:paraId="5B54466A" w14:textId="46EB31E4" w:rsidR="00CD1436" w:rsidRDefault="00CD1436" w:rsidP="00F002CF">
      <w:pPr>
        <w:pStyle w:val="NormalWeb"/>
        <w:numPr>
          <w:ilvl w:val="0"/>
          <w:numId w:val="11"/>
        </w:numPr>
        <w:spacing w:before="0" w:beforeAutospacing="0" w:after="240" w:afterAutospacing="0" w:line="360" w:lineRule="auto"/>
      </w:pPr>
      <w:r>
        <w:lastRenderedPageBreak/>
        <w:t xml:space="preserve">NBS Source (2025). </w:t>
      </w:r>
      <w:r>
        <w:rPr>
          <w:i/>
          <w:iCs/>
        </w:rPr>
        <w:t>Biotecture Limited | Case Studies | NBS BIM Library</w:t>
      </w:r>
      <w:r>
        <w:t xml:space="preserve">. [online] Thenbs.com. Available at: </w:t>
      </w:r>
      <w:hyperlink r:id="rId35" w:history="1">
        <w:r w:rsidR="00883ACB" w:rsidRPr="00B41F3E">
          <w:rPr>
            <w:rStyle w:val="Hyperlink"/>
          </w:rPr>
          <w:t>https://source.thenbs.com/manufacturer/biotecture-limited/gvKVTrJonnns9St7zWdRfg/case-studies</w:t>
        </w:r>
      </w:hyperlink>
      <w:r w:rsidR="00883ACB">
        <w:t xml:space="preserve"> </w:t>
      </w:r>
      <w:r>
        <w:t xml:space="preserve"> [Accessed 16 Nov. 2025].</w:t>
      </w:r>
    </w:p>
    <w:p w14:paraId="4B1E2853" w14:textId="26ADEB03" w:rsidR="00CD1436" w:rsidRDefault="00CD1436" w:rsidP="00F002CF">
      <w:pPr>
        <w:pStyle w:val="NormalWeb"/>
        <w:numPr>
          <w:ilvl w:val="0"/>
          <w:numId w:val="11"/>
        </w:numPr>
        <w:spacing w:before="0" w:beforeAutospacing="0" w:after="240" w:afterAutospacing="0" w:line="360" w:lineRule="auto"/>
      </w:pPr>
      <w:r>
        <w:t xml:space="preserve">Nixon, L. (2001). </w:t>
      </w:r>
      <w:r>
        <w:rPr>
          <w:i/>
          <w:iCs/>
        </w:rPr>
        <w:t>How to start a landscaping business</w:t>
      </w:r>
      <w:r>
        <w:t xml:space="preserve">. [online] Startups.co.uk. Available at: </w:t>
      </w:r>
      <w:hyperlink r:id="rId36" w:history="1">
        <w:r w:rsidR="00883ACB" w:rsidRPr="00B41F3E">
          <w:rPr>
            <w:rStyle w:val="Hyperlink"/>
          </w:rPr>
          <w:t>https://startups.co.uk/guides/how-to-start-a-landscaping-business/</w:t>
        </w:r>
      </w:hyperlink>
      <w:r w:rsidR="00883ACB">
        <w:t xml:space="preserve"> </w:t>
      </w:r>
      <w:r>
        <w:t xml:space="preserve"> [Accessed 9 Nov. 2025].</w:t>
      </w:r>
    </w:p>
    <w:p w14:paraId="5EFDCD7E" w14:textId="1FCB4691" w:rsidR="00CD1436" w:rsidRDefault="00CD1436" w:rsidP="00F002CF">
      <w:pPr>
        <w:pStyle w:val="NormalWeb"/>
        <w:numPr>
          <w:ilvl w:val="0"/>
          <w:numId w:val="11"/>
        </w:numPr>
        <w:spacing w:before="0" w:beforeAutospacing="0" w:after="240" w:afterAutospacing="0" w:line="360" w:lineRule="auto"/>
      </w:pPr>
      <w:r>
        <w:t xml:space="preserve">Plummer, M. (2023). </w:t>
      </w:r>
      <w:r>
        <w:rPr>
          <w:i/>
          <w:iCs/>
        </w:rPr>
        <w:t>Sustainable green infrastructure products | A Greener London</w:t>
      </w:r>
      <w:r>
        <w:t xml:space="preserve">. [online] A Greener London. Available at: </w:t>
      </w:r>
      <w:hyperlink r:id="rId37" w:history="1">
        <w:r w:rsidR="00532BF4" w:rsidRPr="00B41F3E">
          <w:rPr>
            <w:rStyle w:val="Hyperlink"/>
          </w:rPr>
          <w:t>https://agreenerlondon.com/products/</w:t>
        </w:r>
      </w:hyperlink>
      <w:r w:rsidR="00532BF4">
        <w:t xml:space="preserve"> </w:t>
      </w:r>
      <w:r>
        <w:t xml:space="preserve"> [Accessed 9 Nov. 2025].</w:t>
      </w:r>
    </w:p>
    <w:p w14:paraId="49C156B4" w14:textId="3902E3EA" w:rsidR="00CD1436" w:rsidRDefault="00CD1436" w:rsidP="00F002CF">
      <w:pPr>
        <w:pStyle w:val="NormalWeb"/>
        <w:numPr>
          <w:ilvl w:val="0"/>
          <w:numId w:val="11"/>
        </w:numPr>
        <w:spacing w:before="0" w:beforeAutospacing="0" w:after="240" w:afterAutospacing="0" w:line="360" w:lineRule="auto"/>
      </w:pPr>
      <w:proofErr w:type="spellStart"/>
      <w:r>
        <w:t>Saygrass</w:t>
      </w:r>
      <w:proofErr w:type="spellEnd"/>
      <w:r>
        <w:t xml:space="preserve"> (2025). </w:t>
      </w:r>
      <w:r>
        <w:rPr>
          <w:i/>
          <w:iCs/>
        </w:rPr>
        <w:t xml:space="preserve">Are Artificial Plants a Sustainable Landscaping Choice? | </w:t>
      </w:r>
      <w:proofErr w:type="spellStart"/>
      <w:r>
        <w:rPr>
          <w:i/>
          <w:iCs/>
        </w:rPr>
        <w:t>Saygrass</w:t>
      </w:r>
      <w:proofErr w:type="spellEnd"/>
      <w:r>
        <w:t xml:space="preserve">. [online] </w:t>
      </w:r>
      <w:proofErr w:type="spellStart"/>
      <w:r>
        <w:t>Saygrass</w:t>
      </w:r>
      <w:proofErr w:type="spellEnd"/>
      <w:r>
        <w:t xml:space="preserve">® - Artificial Grass &amp; Hard Landscaping </w:t>
      </w:r>
      <w:proofErr w:type="gramStart"/>
      <w:r>
        <w:t>In</w:t>
      </w:r>
      <w:proofErr w:type="gramEnd"/>
      <w:r>
        <w:t xml:space="preserve"> London | Artificial grass supply and Installation London. Available at: </w:t>
      </w:r>
      <w:hyperlink r:id="rId38" w:history="1">
        <w:r w:rsidR="00532BF4" w:rsidRPr="00B41F3E">
          <w:rPr>
            <w:rStyle w:val="Hyperlink"/>
          </w:rPr>
          <w:t>https://saygrass.co.uk/sustainable-artificial-plant-choice/</w:t>
        </w:r>
      </w:hyperlink>
      <w:r w:rsidR="00532BF4">
        <w:t xml:space="preserve"> </w:t>
      </w:r>
      <w:r>
        <w:t xml:space="preserve"> [Accessed 9 Nov. 2025].</w:t>
      </w:r>
    </w:p>
    <w:p w14:paraId="192821DE" w14:textId="4AFF25D7" w:rsidR="00CD1436" w:rsidRDefault="00CD1436" w:rsidP="00F002CF">
      <w:pPr>
        <w:pStyle w:val="NormalWeb"/>
        <w:numPr>
          <w:ilvl w:val="0"/>
          <w:numId w:val="11"/>
        </w:numPr>
        <w:spacing w:before="0" w:beforeAutospacing="0" w:after="240" w:afterAutospacing="0" w:line="360" w:lineRule="auto"/>
      </w:pPr>
      <w:proofErr w:type="spellStart"/>
      <w:r>
        <w:t>Scotscape</w:t>
      </w:r>
      <w:proofErr w:type="spellEnd"/>
      <w:r>
        <w:t xml:space="preserve"> Group (2025). </w:t>
      </w:r>
      <w:r>
        <w:rPr>
          <w:i/>
          <w:iCs/>
        </w:rPr>
        <w:t xml:space="preserve">Landscape | </w:t>
      </w:r>
      <w:proofErr w:type="spellStart"/>
      <w:r>
        <w:rPr>
          <w:i/>
          <w:iCs/>
        </w:rPr>
        <w:t>Scotscape</w:t>
      </w:r>
      <w:proofErr w:type="spellEnd"/>
      <w:r>
        <w:t xml:space="preserve">. [online] </w:t>
      </w:r>
      <w:proofErr w:type="spellStart"/>
      <w:r>
        <w:t>Scotscape</w:t>
      </w:r>
      <w:proofErr w:type="spellEnd"/>
      <w:r>
        <w:t xml:space="preserve">. Available at: </w:t>
      </w:r>
      <w:hyperlink r:id="rId39" w:history="1">
        <w:r w:rsidR="00532BF4" w:rsidRPr="00B41F3E">
          <w:rPr>
            <w:rStyle w:val="Hyperlink"/>
          </w:rPr>
          <w:t>https://www.scotscape.co.uk/our-services/landscape-services</w:t>
        </w:r>
      </w:hyperlink>
      <w:r w:rsidR="00532BF4">
        <w:t xml:space="preserve"> </w:t>
      </w:r>
      <w:r>
        <w:t xml:space="preserve"> [Accessed 9 Nov. 2025].</w:t>
      </w:r>
    </w:p>
    <w:p w14:paraId="33A7F965" w14:textId="79B2C1D0" w:rsidR="00CD1436" w:rsidRDefault="00CD1436" w:rsidP="00F002CF">
      <w:pPr>
        <w:pStyle w:val="NormalWeb"/>
        <w:numPr>
          <w:ilvl w:val="0"/>
          <w:numId w:val="11"/>
        </w:numPr>
        <w:spacing w:before="0" w:beforeAutospacing="0" w:after="240" w:afterAutospacing="0" w:line="360" w:lineRule="auto"/>
      </w:pPr>
      <w:r>
        <w:t xml:space="preserve">The National Lottery Community Fund (2019). </w:t>
      </w:r>
      <w:r>
        <w:rPr>
          <w:i/>
          <w:iCs/>
        </w:rPr>
        <w:t>Our Environment Funding | the National Lottery Community Fund</w:t>
      </w:r>
      <w:r>
        <w:t xml:space="preserve">. [online] Tnlcommunityfund.org.uk. Available at: </w:t>
      </w:r>
      <w:hyperlink r:id="rId40" w:history="1">
        <w:r w:rsidR="00532BF4" w:rsidRPr="00B41F3E">
          <w:rPr>
            <w:rStyle w:val="Hyperlink"/>
          </w:rPr>
          <w:t>https://www.tnlcommunityfund.org.uk/about-us/our-strategy/environmental-sustainability/our-environment-funding</w:t>
        </w:r>
      </w:hyperlink>
      <w:r w:rsidR="00532BF4">
        <w:t xml:space="preserve"> </w:t>
      </w:r>
      <w:r>
        <w:t xml:space="preserve"> [Accessed 23 Nov. 2025].</w:t>
      </w:r>
    </w:p>
    <w:p w14:paraId="4E1776ED" w14:textId="2A05C6EB" w:rsidR="00CD1436" w:rsidRDefault="00CD1436" w:rsidP="00F002CF">
      <w:pPr>
        <w:pStyle w:val="NormalWeb"/>
        <w:numPr>
          <w:ilvl w:val="0"/>
          <w:numId w:val="11"/>
        </w:numPr>
        <w:spacing w:before="0" w:beforeAutospacing="0" w:after="240" w:afterAutospacing="0" w:line="360" w:lineRule="auto"/>
      </w:pPr>
      <w:r>
        <w:t xml:space="preserve">The Urban Greening Company (2022). </w:t>
      </w:r>
      <w:r>
        <w:rPr>
          <w:i/>
          <w:iCs/>
        </w:rPr>
        <w:t>Living Walls and Green Walls by the Urban Greening Company</w:t>
      </w:r>
      <w:r>
        <w:t xml:space="preserve">. [online] The Urban Greening Company. Available at: </w:t>
      </w:r>
      <w:hyperlink r:id="rId41" w:history="1">
        <w:r w:rsidR="00532BF4" w:rsidRPr="00B41F3E">
          <w:rPr>
            <w:rStyle w:val="Hyperlink"/>
          </w:rPr>
          <w:t>https://tugc.co.uk/products/living-walls/</w:t>
        </w:r>
      </w:hyperlink>
      <w:r w:rsidR="00532BF4">
        <w:t xml:space="preserve"> </w:t>
      </w:r>
      <w:r>
        <w:t xml:space="preserve"> [Accessed 16 Nov. 2025].</w:t>
      </w:r>
    </w:p>
    <w:p w14:paraId="753A36C4" w14:textId="17E0B5D3" w:rsidR="00CD1436" w:rsidRDefault="00CD1436" w:rsidP="00F002CF">
      <w:pPr>
        <w:pStyle w:val="NormalWeb"/>
        <w:numPr>
          <w:ilvl w:val="0"/>
          <w:numId w:val="11"/>
        </w:numPr>
        <w:spacing w:before="0" w:beforeAutospacing="0" w:after="240" w:afterAutospacing="0" w:line="360" w:lineRule="auto"/>
      </w:pPr>
      <w:r>
        <w:t xml:space="preserve">Tynan, A. and Drayton, J. (1987). Market Segmentation. </w:t>
      </w:r>
      <w:r>
        <w:rPr>
          <w:i/>
          <w:iCs/>
        </w:rPr>
        <w:t>Journal of Marketing Management</w:t>
      </w:r>
      <w:r>
        <w:t xml:space="preserve">, [online] 2(3), pp.301–335. </w:t>
      </w:r>
      <w:proofErr w:type="spellStart"/>
      <w:proofErr w:type="gramStart"/>
      <w:r>
        <w:t>doi:https</w:t>
      </w:r>
      <w:proofErr w:type="spellEnd"/>
      <w:r>
        <w:t>://doi.org/10.1080/0267257X.1987.9964020..</w:t>
      </w:r>
      <w:proofErr w:type="gramEnd"/>
      <w:r w:rsidR="00532BF4" w:rsidRPr="00532BF4">
        <w:t xml:space="preserve"> </w:t>
      </w:r>
      <w:r w:rsidR="00532BF4">
        <w:t>[Accessed 16 Nov. 2025].</w:t>
      </w:r>
    </w:p>
    <w:p w14:paraId="5553E0C8" w14:textId="25EF8078" w:rsidR="00CD1436" w:rsidRDefault="00CD1436" w:rsidP="00F002CF">
      <w:pPr>
        <w:pStyle w:val="NormalWeb"/>
        <w:numPr>
          <w:ilvl w:val="0"/>
          <w:numId w:val="11"/>
        </w:numPr>
        <w:spacing w:before="0" w:beforeAutospacing="0" w:after="240" w:afterAutospacing="0" w:line="360" w:lineRule="auto"/>
      </w:pPr>
      <w:r>
        <w:t xml:space="preserve">UK Government (2021). </w:t>
      </w:r>
      <w:r>
        <w:rPr>
          <w:i/>
          <w:iCs/>
        </w:rPr>
        <w:t>Net Zero Strategy: Build Back Greener</w:t>
      </w:r>
      <w:r>
        <w:t xml:space="preserve">. [online] GOV.UK. Available at: </w:t>
      </w:r>
      <w:hyperlink r:id="rId42" w:history="1">
        <w:r w:rsidR="00532BF4" w:rsidRPr="00B41F3E">
          <w:rPr>
            <w:rStyle w:val="Hyperlink"/>
          </w:rPr>
          <w:t>https://www.gov.uk/government/publications/net-zero-strategy</w:t>
        </w:r>
      </w:hyperlink>
      <w:r w:rsidR="00532BF4">
        <w:t xml:space="preserve"> </w:t>
      </w:r>
      <w:r>
        <w:t xml:space="preserve"> [Accessed 8 Nov. 2025].</w:t>
      </w:r>
    </w:p>
    <w:p w14:paraId="0DE341EF" w14:textId="79BD1ACE" w:rsidR="00CD1436" w:rsidRDefault="00CD1436" w:rsidP="00F002CF">
      <w:pPr>
        <w:pStyle w:val="NormalWeb"/>
        <w:numPr>
          <w:ilvl w:val="0"/>
          <w:numId w:val="11"/>
        </w:numPr>
        <w:spacing w:before="0" w:beforeAutospacing="0" w:after="240" w:afterAutospacing="0" w:line="360" w:lineRule="auto"/>
      </w:pPr>
      <w:r>
        <w:lastRenderedPageBreak/>
        <w:t xml:space="preserve">UK Government (2025). </w:t>
      </w:r>
      <w:r>
        <w:rPr>
          <w:i/>
          <w:iCs/>
        </w:rPr>
        <w:t>Environmental Protection Act 1990</w:t>
      </w:r>
      <w:r>
        <w:t xml:space="preserve">. [online] Legislation.gov.uk. Available at: </w:t>
      </w:r>
      <w:hyperlink r:id="rId43" w:history="1">
        <w:r w:rsidR="00532BF4" w:rsidRPr="00B41F3E">
          <w:rPr>
            <w:rStyle w:val="Hyperlink"/>
          </w:rPr>
          <w:t>https://www.legislation.gov.uk/ukpga/1990/43/contents</w:t>
        </w:r>
      </w:hyperlink>
      <w:r w:rsidR="00532BF4">
        <w:t xml:space="preserve"> </w:t>
      </w:r>
      <w:r>
        <w:t xml:space="preserve"> [Accessed 8 Nov. 2025].</w:t>
      </w:r>
    </w:p>
    <w:p w14:paraId="6265292A" w14:textId="00313141" w:rsidR="00CD1436" w:rsidRDefault="00CD1436" w:rsidP="00F002CF">
      <w:pPr>
        <w:pStyle w:val="NormalWeb"/>
        <w:numPr>
          <w:ilvl w:val="0"/>
          <w:numId w:val="11"/>
        </w:numPr>
        <w:spacing w:before="0" w:beforeAutospacing="0" w:after="240" w:afterAutospacing="0" w:line="360" w:lineRule="auto"/>
      </w:pPr>
      <w:proofErr w:type="spellStart"/>
      <w:r>
        <w:t>UKGBC</w:t>
      </w:r>
      <w:proofErr w:type="spellEnd"/>
      <w:r>
        <w:t xml:space="preserve"> (2024). </w:t>
      </w:r>
      <w:r>
        <w:rPr>
          <w:i/>
          <w:iCs/>
        </w:rPr>
        <w:t>Circular Economy</w:t>
      </w:r>
      <w:r>
        <w:t xml:space="preserve">. [online] </w:t>
      </w:r>
      <w:proofErr w:type="spellStart"/>
      <w:r>
        <w:t>UKGBC</w:t>
      </w:r>
      <w:proofErr w:type="spellEnd"/>
      <w:r>
        <w:t xml:space="preserve">. Available at: </w:t>
      </w:r>
      <w:hyperlink r:id="rId44" w:history="1">
        <w:r w:rsidR="00532BF4" w:rsidRPr="00B41F3E">
          <w:rPr>
            <w:rStyle w:val="Hyperlink"/>
          </w:rPr>
          <w:t>https://ukgbc.org/our-work/topics/circular-economy/</w:t>
        </w:r>
      </w:hyperlink>
      <w:r w:rsidR="00532BF4">
        <w:t xml:space="preserve"> </w:t>
      </w:r>
      <w:r>
        <w:t xml:space="preserve"> [Accessed 8 Nov. 2025].</w:t>
      </w:r>
    </w:p>
    <w:p w14:paraId="5DE92B10" w14:textId="412B11E7" w:rsidR="00CD1436" w:rsidRDefault="00CD1436" w:rsidP="00F002CF">
      <w:pPr>
        <w:pStyle w:val="NormalWeb"/>
        <w:numPr>
          <w:ilvl w:val="0"/>
          <w:numId w:val="11"/>
        </w:numPr>
        <w:spacing w:before="0" w:beforeAutospacing="0" w:after="240" w:afterAutospacing="0" w:line="360" w:lineRule="auto"/>
      </w:pPr>
      <w:r>
        <w:t xml:space="preserve">United Nations (2025). </w:t>
      </w:r>
      <w:r>
        <w:rPr>
          <w:i/>
          <w:iCs/>
        </w:rPr>
        <w:t>Greenwashing – the Deceptive Tactics behind Environmental Claims</w:t>
      </w:r>
      <w:r>
        <w:t xml:space="preserve">. [online] United Nations. Available at: </w:t>
      </w:r>
      <w:hyperlink r:id="rId45" w:history="1">
        <w:r w:rsidR="00532BF4" w:rsidRPr="00B41F3E">
          <w:rPr>
            <w:rStyle w:val="Hyperlink"/>
          </w:rPr>
          <w:t>https://www.un.org/en/climatechange/science/climate-issues/greenwashing</w:t>
        </w:r>
      </w:hyperlink>
      <w:r w:rsidR="00532BF4">
        <w:t xml:space="preserve"> </w:t>
      </w:r>
      <w:r>
        <w:t xml:space="preserve"> [Accessed 8 Nov. 2025].</w:t>
      </w:r>
    </w:p>
    <w:p w14:paraId="5525F9D9" w14:textId="72AB3F21" w:rsidR="00CD1436" w:rsidRDefault="00CD1436" w:rsidP="00F002CF">
      <w:pPr>
        <w:pStyle w:val="NormalWeb"/>
        <w:numPr>
          <w:ilvl w:val="0"/>
          <w:numId w:val="11"/>
        </w:numPr>
        <w:spacing w:before="0" w:beforeAutospacing="0" w:after="240" w:afterAutospacing="0" w:line="360" w:lineRule="auto"/>
      </w:pPr>
      <w:r>
        <w:t xml:space="preserve">Walters, H. (2025). </w:t>
      </w:r>
      <w:r>
        <w:rPr>
          <w:i/>
          <w:iCs/>
        </w:rPr>
        <w:t>12 Landscaping Business Ideas to Start (With Profit Potential)</w:t>
      </w:r>
      <w:r>
        <w:t xml:space="preserve">. [online] Jobber. Available at: </w:t>
      </w:r>
      <w:hyperlink r:id="rId46" w:history="1">
        <w:r w:rsidR="00532BF4" w:rsidRPr="00B41F3E">
          <w:rPr>
            <w:rStyle w:val="Hyperlink"/>
          </w:rPr>
          <w:t>https://www.getjobber.com/academy/landscaping/landscaping-business-ideas/</w:t>
        </w:r>
      </w:hyperlink>
      <w:r w:rsidR="00532BF4">
        <w:t xml:space="preserve"> </w:t>
      </w:r>
      <w:r>
        <w:t xml:space="preserve"> [Accessed 9 Nov. 2025].</w:t>
      </w:r>
    </w:p>
    <w:p w14:paraId="5C4FB77F" w14:textId="77777777" w:rsidR="00180E11" w:rsidRPr="00180E11" w:rsidRDefault="00180E11" w:rsidP="00180E11"/>
    <w:sectPr w:rsidR="00180E11" w:rsidRPr="00180E11">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E124B" w14:textId="77777777" w:rsidR="00234CD9" w:rsidRDefault="00234CD9" w:rsidP="00F37B62">
      <w:pPr>
        <w:spacing w:after="0" w:line="240" w:lineRule="auto"/>
      </w:pPr>
      <w:r>
        <w:separator/>
      </w:r>
    </w:p>
  </w:endnote>
  <w:endnote w:type="continuationSeparator" w:id="0">
    <w:p w14:paraId="1B22D8CD" w14:textId="77777777" w:rsidR="00234CD9" w:rsidRDefault="00234CD9"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607978"/>
      <w:docPartObj>
        <w:docPartGallery w:val="Page Numbers (Bottom of Page)"/>
        <w:docPartUnique/>
      </w:docPartObj>
    </w:sdtPr>
    <w:sdtEndPr>
      <w:rPr>
        <w:color w:val="7F7F7F" w:themeColor="background1" w:themeShade="7F"/>
        <w:spacing w:val="60"/>
      </w:rPr>
    </w:sdtEndPr>
    <w:sdtContent>
      <w:p w14:paraId="057EA9E5" w14:textId="04FB1032" w:rsidR="00B47518" w:rsidRDefault="00B4751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9903BC3" w14:textId="77777777" w:rsidR="00B47518" w:rsidRDefault="00B47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1387B" w14:textId="77777777" w:rsidR="00234CD9" w:rsidRDefault="00234CD9" w:rsidP="00F37B62">
      <w:pPr>
        <w:spacing w:after="0" w:line="240" w:lineRule="auto"/>
      </w:pPr>
      <w:r>
        <w:separator/>
      </w:r>
    </w:p>
  </w:footnote>
  <w:footnote w:type="continuationSeparator" w:id="0">
    <w:p w14:paraId="4BE7998C" w14:textId="77777777" w:rsidR="00234CD9" w:rsidRDefault="00234CD9"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D61AA"/>
    <w:multiLevelType w:val="hybridMultilevel"/>
    <w:tmpl w:val="F8708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A31A6"/>
    <w:multiLevelType w:val="hybridMultilevel"/>
    <w:tmpl w:val="F7E842C2"/>
    <w:lvl w:ilvl="0" w:tplc="20420A5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56565"/>
    <w:multiLevelType w:val="hybridMultilevel"/>
    <w:tmpl w:val="1AC8B6E6"/>
    <w:lvl w:ilvl="0" w:tplc="8E1C3682">
      <w:start w:val="1"/>
      <w:numFmt w:val="decimal"/>
      <w:lvlText w:val="%1."/>
      <w:lvlJc w:val="left"/>
      <w:pPr>
        <w:ind w:left="122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8D2FD4"/>
    <w:multiLevelType w:val="hybridMultilevel"/>
    <w:tmpl w:val="3E56DA1E"/>
    <w:lvl w:ilvl="0" w:tplc="20420A5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F02EC3"/>
    <w:multiLevelType w:val="hybridMultilevel"/>
    <w:tmpl w:val="4462D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00B40"/>
    <w:multiLevelType w:val="hybridMultilevel"/>
    <w:tmpl w:val="7D5EEDDA"/>
    <w:lvl w:ilvl="0" w:tplc="8E1C3682">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6" w15:restartNumberingAfterBreak="0">
    <w:nsid w:val="50DE2B3B"/>
    <w:multiLevelType w:val="hybridMultilevel"/>
    <w:tmpl w:val="729A02E6"/>
    <w:lvl w:ilvl="0" w:tplc="20420A5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615C96"/>
    <w:multiLevelType w:val="hybridMultilevel"/>
    <w:tmpl w:val="1B945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C51AA8"/>
    <w:multiLevelType w:val="hybridMultilevel"/>
    <w:tmpl w:val="46545B4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0C34476"/>
    <w:multiLevelType w:val="hybridMultilevel"/>
    <w:tmpl w:val="FAD2E15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BED05BF"/>
    <w:multiLevelType w:val="hybridMultilevel"/>
    <w:tmpl w:val="367C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40873">
    <w:abstractNumId w:val="7"/>
  </w:num>
  <w:num w:numId="2" w16cid:durableId="122892994">
    <w:abstractNumId w:val="10"/>
  </w:num>
  <w:num w:numId="3" w16cid:durableId="1564826993">
    <w:abstractNumId w:val="3"/>
  </w:num>
  <w:num w:numId="4" w16cid:durableId="949513961">
    <w:abstractNumId w:val="1"/>
  </w:num>
  <w:num w:numId="5" w16cid:durableId="1402026633">
    <w:abstractNumId w:val="6"/>
  </w:num>
  <w:num w:numId="6" w16cid:durableId="915944220">
    <w:abstractNumId w:val="9"/>
  </w:num>
  <w:num w:numId="7" w16cid:durableId="2004963867">
    <w:abstractNumId w:val="0"/>
  </w:num>
  <w:num w:numId="8" w16cid:durableId="1568758684">
    <w:abstractNumId w:val="5"/>
  </w:num>
  <w:num w:numId="9" w16cid:durableId="2024284275">
    <w:abstractNumId w:val="2"/>
  </w:num>
  <w:num w:numId="10" w16cid:durableId="1341616410">
    <w:abstractNumId w:val="4"/>
  </w:num>
  <w:num w:numId="11" w16cid:durableId="12987972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4EFA"/>
    <w:rsid w:val="000058E8"/>
    <w:rsid w:val="00007970"/>
    <w:rsid w:val="0001000F"/>
    <w:rsid w:val="00011B17"/>
    <w:rsid w:val="00014E7F"/>
    <w:rsid w:val="00021461"/>
    <w:rsid w:val="00021656"/>
    <w:rsid w:val="00026393"/>
    <w:rsid w:val="00036553"/>
    <w:rsid w:val="00036C4E"/>
    <w:rsid w:val="00041298"/>
    <w:rsid w:val="00041610"/>
    <w:rsid w:val="00044CA3"/>
    <w:rsid w:val="0004705C"/>
    <w:rsid w:val="00050D01"/>
    <w:rsid w:val="0005161A"/>
    <w:rsid w:val="00052FAE"/>
    <w:rsid w:val="00053014"/>
    <w:rsid w:val="00065587"/>
    <w:rsid w:val="00067F77"/>
    <w:rsid w:val="00076606"/>
    <w:rsid w:val="00084863"/>
    <w:rsid w:val="0008775F"/>
    <w:rsid w:val="00091CEA"/>
    <w:rsid w:val="00093CFC"/>
    <w:rsid w:val="000A0172"/>
    <w:rsid w:val="000A6C27"/>
    <w:rsid w:val="000B1ED5"/>
    <w:rsid w:val="000B3670"/>
    <w:rsid w:val="000B502B"/>
    <w:rsid w:val="000B5C43"/>
    <w:rsid w:val="000C1939"/>
    <w:rsid w:val="000C35AB"/>
    <w:rsid w:val="000D1BD4"/>
    <w:rsid w:val="000D2290"/>
    <w:rsid w:val="000D2CA8"/>
    <w:rsid w:val="000D52DC"/>
    <w:rsid w:val="000E2EF3"/>
    <w:rsid w:val="000F36BA"/>
    <w:rsid w:val="000F5BB8"/>
    <w:rsid w:val="000F61AC"/>
    <w:rsid w:val="0010466D"/>
    <w:rsid w:val="00107708"/>
    <w:rsid w:val="00107E0B"/>
    <w:rsid w:val="00114E49"/>
    <w:rsid w:val="00117C04"/>
    <w:rsid w:val="00126DD6"/>
    <w:rsid w:val="00126ED3"/>
    <w:rsid w:val="00130665"/>
    <w:rsid w:val="00131986"/>
    <w:rsid w:val="00140406"/>
    <w:rsid w:val="00140C18"/>
    <w:rsid w:val="00147B57"/>
    <w:rsid w:val="00156C09"/>
    <w:rsid w:val="00161A9E"/>
    <w:rsid w:val="00161C93"/>
    <w:rsid w:val="00163BE2"/>
    <w:rsid w:val="00166F3F"/>
    <w:rsid w:val="00172CC1"/>
    <w:rsid w:val="00180E11"/>
    <w:rsid w:val="00184143"/>
    <w:rsid w:val="0019001B"/>
    <w:rsid w:val="001937C3"/>
    <w:rsid w:val="0019494B"/>
    <w:rsid w:val="001A2090"/>
    <w:rsid w:val="001A2B1D"/>
    <w:rsid w:val="001A51AD"/>
    <w:rsid w:val="001A6082"/>
    <w:rsid w:val="001B304C"/>
    <w:rsid w:val="001B38B0"/>
    <w:rsid w:val="001B562A"/>
    <w:rsid w:val="001B6663"/>
    <w:rsid w:val="001B71F5"/>
    <w:rsid w:val="001B7D6B"/>
    <w:rsid w:val="001D1A0C"/>
    <w:rsid w:val="001E2DE9"/>
    <w:rsid w:val="001F4C84"/>
    <w:rsid w:val="001F6BC5"/>
    <w:rsid w:val="00200EA1"/>
    <w:rsid w:val="00201949"/>
    <w:rsid w:val="00206738"/>
    <w:rsid w:val="002172E9"/>
    <w:rsid w:val="002222CC"/>
    <w:rsid w:val="002300DC"/>
    <w:rsid w:val="00230983"/>
    <w:rsid w:val="00234CD9"/>
    <w:rsid w:val="00242336"/>
    <w:rsid w:val="0024269F"/>
    <w:rsid w:val="00247E07"/>
    <w:rsid w:val="002503D2"/>
    <w:rsid w:val="00250F1D"/>
    <w:rsid w:val="002517E4"/>
    <w:rsid w:val="00254EA6"/>
    <w:rsid w:val="00255411"/>
    <w:rsid w:val="00264DBC"/>
    <w:rsid w:val="00271A62"/>
    <w:rsid w:val="00273A8F"/>
    <w:rsid w:val="00280EE6"/>
    <w:rsid w:val="00281ABC"/>
    <w:rsid w:val="00282BEF"/>
    <w:rsid w:val="00283EEB"/>
    <w:rsid w:val="00296DF5"/>
    <w:rsid w:val="002A0D18"/>
    <w:rsid w:val="002A0FE0"/>
    <w:rsid w:val="002A1CA3"/>
    <w:rsid w:val="002A21BD"/>
    <w:rsid w:val="002A2CC7"/>
    <w:rsid w:val="002A5533"/>
    <w:rsid w:val="002A7162"/>
    <w:rsid w:val="002B14DE"/>
    <w:rsid w:val="002B21C0"/>
    <w:rsid w:val="002B2CFD"/>
    <w:rsid w:val="002B4FD0"/>
    <w:rsid w:val="002B5B50"/>
    <w:rsid w:val="002B634C"/>
    <w:rsid w:val="002C2C33"/>
    <w:rsid w:val="002C36E6"/>
    <w:rsid w:val="002D08B1"/>
    <w:rsid w:val="002D11AB"/>
    <w:rsid w:val="002D21CB"/>
    <w:rsid w:val="002D2894"/>
    <w:rsid w:val="002D2C89"/>
    <w:rsid w:val="002D4A92"/>
    <w:rsid w:val="002D50E7"/>
    <w:rsid w:val="002E75C0"/>
    <w:rsid w:val="002F1145"/>
    <w:rsid w:val="002F594E"/>
    <w:rsid w:val="002F795F"/>
    <w:rsid w:val="00301601"/>
    <w:rsid w:val="00301E21"/>
    <w:rsid w:val="00302110"/>
    <w:rsid w:val="00305294"/>
    <w:rsid w:val="00305659"/>
    <w:rsid w:val="00307B48"/>
    <w:rsid w:val="00312A79"/>
    <w:rsid w:val="00312C07"/>
    <w:rsid w:val="0031397B"/>
    <w:rsid w:val="0031537A"/>
    <w:rsid w:val="00323B77"/>
    <w:rsid w:val="00325923"/>
    <w:rsid w:val="00330BD4"/>
    <w:rsid w:val="00332820"/>
    <w:rsid w:val="00334AA8"/>
    <w:rsid w:val="003350C6"/>
    <w:rsid w:val="00337C85"/>
    <w:rsid w:val="00342496"/>
    <w:rsid w:val="003475BA"/>
    <w:rsid w:val="0035049C"/>
    <w:rsid w:val="00350F46"/>
    <w:rsid w:val="00352709"/>
    <w:rsid w:val="003532D8"/>
    <w:rsid w:val="00353CA9"/>
    <w:rsid w:val="00354AC8"/>
    <w:rsid w:val="00360405"/>
    <w:rsid w:val="00361C53"/>
    <w:rsid w:val="0036320B"/>
    <w:rsid w:val="00364981"/>
    <w:rsid w:val="00370B53"/>
    <w:rsid w:val="0037314C"/>
    <w:rsid w:val="003758F4"/>
    <w:rsid w:val="00380BE8"/>
    <w:rsid w:val="003824D1"/>
    <w:rsid w:val="00385F45"/>
    <w:rsid w:val="00392EEF"/>
    <w:rsid w:val="0039306D"/>
    <w:rsid w:val="00393404"/>
    <w:rsid w:val="003960AB"/>
    <w:rsid w:val="003965DA"/>
    <w:rsid w:val="003A1950"/>
    <w:rsid w:val="003B1FC4"/>
    <w:rsid w:val="003C0F11"/>
    <w:rsid w:val="003C7154"/>
    <w:rsid w:val="003D07E9"/>
    <w:rsid w:val="003D1E55"/>
    <w:rsid w:val="003D4983"/>
    <w:rsid w:val="003D5C86"/>
    <w:rsid w:val="003E1E44"/>
    <w:rsid w:val="003E56AA"/>
    <w:rsid w:val="003E7345"/>
    <w:rsid w:val="003F1B9F"/>
    <w:rsid w:val="003F1CCB"/>
    <w:rsid w:val="003F3651"/>
    <w:rsid w:val="00401988"/>
    <w:rsid w:val="00401E00"/>
    <w:rsid w:val="00410552"/>
    <w:rsid w:val="00422F3A"/>
    <w:rsid w:val="004317E8"/>
    <w:rsid w:val="00431F14"/>
    <w:rsid w:val="004422B2"/>
    <w:rsid w:val="0044372E"/>
    <w:rsid w:val="004445EA"/>
    <w:rsid w:val="004451E3"/>
    <w:rsid w:val="00455AC6"/>
    <w:rsid w:val="004570BA"/>
    <w:rsid w:val="00457926"/>
    <w:rsid w:val="004601B4"/>
    <w:rsid w:val="004605A9"/>
    <w:rsid w:val="0046470D"/>
    <w:rsid w:val="00465FFF"/>
    <w:rsid w:val="0046764A"/>
    <w:rsid w:val="00470864"/>
    <w:rsid w:val="004854B4"/>
    <w:rsid w:val="004872FD"/>
    <w:rsid w:val="00490696"/>
    <w:rsid w:val="00490BA5"/>
    <w:rsid w:val="00494671"/>
    <w:rsid w:val="004952FD"/>
    <w:rsid w:val="0049708F"/>
    <w:rsid w:val="004A2522"/>
    <w:rsid w:val="004A2708"/>
    <w:rsid w:val="004A5C8F"/>
    <w:rsid w:val="004A6CE1"/>
    <w:rsid w:val="004B082E"/>
    <w:rsid w:val="004B14C5"/>
    <w:rsid w:val="004B2C95"/>
    <w:rsid w:val="004B3BC1"/>
    <w:rsid w:val="004B4547"/>
    <w:rsid w:val="004B6685"/>
    <w:rsid w:val="004B6F04"/>
    <w:rsid w:val="004C0539"/>
    <w:rsid w:val="004C17A0"/>
    <w:rsid w:val="004C1EB9"/>
    <w:rsid w:val="004C227A"/>
    <w:rsid w:val="004C2339"/>
    <w:rsid w:val="004C2C5B"/>
    <w:rsid w:val="004C2C8A"/>
    <w:rsid w:val="004C3B85"/>
    <w:rsid w:val="004C3DA0"/>
    <w:rsid w:val="004D1633"/>
    <w:rsid w:val="004D3140"/>
    <w:rsid w:val="004D3B22"/>
    <w:rsid w:val="004D589D"/>
    <w:rsid w:val="004D7EB2"/>
    <w:rsid w:val="004E7E3E"/>
    <w:rsid w:val="004F3EF3"/>
    <w:rsid w:val="004F6838"/>
    <w:rsid w:val="005013A8"/>
    <w:rsid w:val="00503173"/>
    <w:rsid w:val="00506756"/>
    <w:rsid w:val="00507200"/>
    <w:rsid w:val="00507ABB"/>
    <w:rsid w:val="00513D6F"/>
    <w:rsid w:val="00514EB9"/>
    <w:rsid w:val="00516AF6"/>
    <w:rsid w:val="005218C3"/>
    <w:rsid w:val="00530A9E"/>
    <w:rsid w:val="00532600"/>
    <w:rsid w:val="0053274F"/>
    <w:rsid w:val="00532BF4"/>
    <w:rsid w:val="005343B4"/>
    <w:rsid w:val="00534943"/>
    <w:rsid w:val="00535EDA"/>
    <w:rsid w:val="0054309A"/>
    <w:rsid w:val="00543350"/>
    <w:rsid w:val="00545AC9"/>
    <w:rsid w:val="00546A30"/>
    <w:rsid w:val="005473F9"/>
    <w:rsid w:val="00552318"/>
    <w:rsid w:val="00556AC9"/>
    <w:rsid w:val="00560FD3"/>
    <w:rsid w:val="005672D3"/>
    <w:rsid w:val="005717A8"/>
    <w:rsid w:val="00576A8C"/>
    <w:rsid w:val="00580276"/>
    <w:rsid w:val="00581689"/>
    <w:rsid w:val="005821BE"/>
    <w:rsid w:val="00586999"/>
    <w:rsid w:val="00586FAD"/>
    <w:rsid w:val="00590F3E"/>
    <w:rsid w:val="00595F5A"/>
    <w:rsid w:val="005A434D"/>
    <w:rsid w:val="005A540C"/>
    <w:rsid w:val="005A5FCF"/>
    <w:rsid w:val="005A6D21"/>
    <w:rsid w:val="005B1A7E"/>
    <w:rsid w:val="005C33DA"/>
    <w:rsid w:val="005C6A0A"/>
    <w:rsid w:val="005C6D90"/>
    <w:rsid w:val="005C6D95"/>
    <w:rsid w:val="005D006D"/>
    <w:rsid w:val="005D3BF8"/>
    <w:rsid w:val="005D5A02"/>
    <w:rsid w:val="005D770E"/>
    <w:rsid w:val="005E4536"/>
    <w:rsid w:val="005E47DB"/>
    <w:rsid w:val="005E5594"/>
    <w:rsid w:val="005E5B51"/>
    <w:rsid w:val="005F433D"/>
    <w:rsid w:val="00604286"/>
    <w:rsid w:val="0060547A"/>
    <w:rsid w:val="006110D5"/>
    <w:rsid w:val="0061150E"/>
    <w:rsid w:val="0061206A"/>
    <w:rsid w:val="00612B38"/>
    <w:rsid w:val="00613CBA"/>
    <w:rsid w:val="006140DF"/>
    <w:rsid w:val="00614723"/>
    <w:rsid w:val="00616519"/>
    <w:rsid w:val="006165F0"/>
    <w:rsid w:val="00621249"/>
    <w:rsid w:val="006228E8"/>
    <w:rsid w:val="00623F27"/>
    <w:rsid w:val="00627AD8"/>
    <w:rsid w:val="00635364"/>
    <w:rsid w:val="00637922"/>
    <w:rsid w:val="006405AE"/>
    <w:rsid w:val="00642150"/>
    <w:rsid w:val="006430B3"/>
    <w:rsid w:val="00643BD9"/>
    <w:rsid w:val="00646361"/>
    <w:rsid w:val="00654FE2"/>
    <w:rsid w:val="00667E7C"/>
    <w:rsid w:val="0067154E"/>
    <w:rsid w:val="00675A30"/>
    <w:rsid w:val="00682572"/>
    <w:rsid w:val="006839C1"/>
    <w:rsid w:val="006868FC"/>
    <w:rsid w:val="00690FD4"/>
    <w:rsid w:val="00697793"/>
    <w:rsid w:val="006A1557"/>
    <w:rsid w:val="006A653F"/>
    <w:rsid w:val="006A7C0D"/>
    <w:rsid w:val="006B2A50"/>
    <w:rsid w:val="006B5DF0"/>
    <w:rsid w:val="006B7520"/>
    <w:rsid w:val="006C347C"/>
    <w:rsid w:val="006C493A"/>
    <w:rsid w:val="006C4A4D"/>
    <w:rsid w:val="006D4330"/>
    <w:rsid w:val="006D57CA"/>
    <w:rsid w:val="006D6267"/>
    <w:rsid w:val="006D7763"/>
    <w:rsid w:val="006D7F88"/>
    <w:rsid w:val="006E1616"/>
    <w:rsid w:val="006E3180"/>
    <w:rsid w:val="006F020E"/>
    <w:rsid w:val="006F51FD"/>
    <w:rsid w:val="006F76ED"/>
    <w:rsid w:val="00702BAD"/>
    <w:rsid w:val="00707150"/>
    <w:rsid w:val="00711B76"/>
    <w:rsid w:val="007122BE"/>
    <w:rsid w:val="00714E51"/>
    <w:rsid w:val="00715593"/>
    <w:rsid w:val="00715FE8"/>
    <w:rsid w:val="00716CE3"/>
    <w:rsid w:val="0072322F"/>
    <w:rsid w:val="00730E1A"/>
    <w:rsid w:val="007338F6"/>
    <w:rsid w:val="00735040"/>
    <w:rsid w:val="00736744"/>
    <w:rsid w:val="00741A92"/>
    <w:rsid w:val="00742FF2"/>
    <w:rsid w:val="007553C9"/>
    <w:rsid w:val="007553E2"/>
    <w:rsid w:val="00755F9D"/>
    <w:rsid w:val="007641B9"/>
    <w:rsid w:val="00767387"/>
    <w:rsid w:val="007675A2"/>
    <w:rsid w:val="00767C29"/>
    <w:rsid w:val="0077255D"/>
    <w:rsid w:val="00772572"/>
    <w:rsid w:val="00772D0A"/>
    <w:rsid w:val="00775664"/>
    <w:rsid w:val="00775AC8"/>
    <w:rsid w:val="0077683D"/>
    <w:rsid w:val="007804CC"/>
    <w:rsid w:val="007812E6"/>
    <w:rsid w:val="00783264"/>
    <w:rsid w:val="00791D36"/>
    <w:rsid w:val="00795E13"/>
    <w:rsid w:val="007A0B1E"/>
    <w:rsid w:val="007A3AB0"/>
    <w:rsid w:val="007A7CE8"/>
    <w:rsid w:val="007B1AA2"/>
    <w:rsid w:val="007B7C39"/>
    <w:rsid w:val="007C1FE8"/>
    <w:rsid w:val="007C3708"/>
    <w:rsid w:val="007D442B"/>
    <w:rsid w:val="007D6FA8"/>
    <w:rsid w:val="007E3761"/>
    <w:rsid w:val="007E4856"/>
    <w:rsid w:val="007E4AE0"/>
    <w:rsid w:val="007E7632"/>
    <w:rsid w:val="00800D9A"/>
    <w:rsid w:val="00802B72"/>
    <w:rsid w:val="00804C77"/>
    <w:rsid w:val="00805BAC"/>
    <w:rsid w:val="0081065B"/>
    <w:rsid w:val="00820120"/>
    <w:rsid w:val="008220FD"/>
    <w:rsid w:val="00823C92"/>
    <w:rsid w:val="00823FE7"/>
    <w:rsid w:val="00826995"/>
    <w:rsid w:val="0083282C"/>
    <w:rsid w:val="008369F8"/>
    <w:rsid w:val="00841F36"/>
    <w:rsid w:val="00843E7D"/>
    <w:rsid w:val="008449E2"/>
    <w:rsid w:val="008459A2"/>
    <w:rsid w:val="008506C8"/>
    <w:rsid w:val="00851AA3"/>
    <w:rsid w:val="00852080"/>
    <w:rsid w:val="00856AD9"/>
    <w:rsid w:val="00867890"/>
    <w:rsid w:val="008731A5"/>
    <w:rsid w:val="008757EB"/>
    <w:rsid w:val="0087707A"/>
    <w:rsid w:val="0088076F"/>
    <w:rsid w:val="00882021"/>
    <w:rsid w:val="00882652"/>
    <w:rsid w:val="00883ACB"/>
    <w:rsid w:val="00883F31"/>
    <w:rsid w:val="0088665C"/>
    <w:rsid w:val="00891E3A"/>
    <w:rsid w:val="00897EBC"/>
    <w:rsid w:val="008A1882"/>
    <w:rsid w:val="008A6B8F"/>
    <w:rsid w:val="008B174F"/>
    <w:rsid w:val="008B3A64"/>
    <w:rsid w:val="008B6621"/>
    <w:rsid w:val="008B71D4"/>
    <w:rsid w:val="008C7065"/>
    <w:rsid w:val="008D12EF"/>
    <w:rsid w:val="008D44E8"/>
    <w:rsid w:val="008D5125"/>
    <w:rsid w:val="008E0F44"/>
    <w:rsid w:val="008E4FF9"/>
    <w:rsid w:val="008F4215"/>
    <w:rsid w:val="00906569"/>
    <w:rsid w:val="009107FF"/>
    <w:rsid w:val="00912DA7"/>
    <w:rsid w:val="00912EE6"/>
    <w:rsid w:val="009167BC"/>
    <w:rsid w:val="0092119A"/>
    <w:rsid w:val="00923E0B"/>
    <w:rsid w:val="00924B76"/>
    <w:rsid w:val="00931C9B"/>
    <w:rsid w:val="00937B81"/>
    <w:rsid w:val="0094042D"/>
    <w:rsid w:val="00941810"/>
    <w:rsid w:val="00945D96"/>
    <w:rsid w:val="009466DD"/>
    <w:rsid w:val="009477BF"/>
    <w:rsid w:val="00951514"/>
    <w:rsid w:val="00957252"/>
    <w:rsid w:val="00957FEC"/>
    <w:rsid w:val="00964F35"/>
    <w:rsid w:val="00965EB8"/>
    <w:rsid w:val="00971A13"/>
    <w:rsid w:val="00972FF6"/>
    <w:rsid w:val="0097604B"/>
    <w:rsid w:val="00976E1E"/>
    <w:rsid w:val="00977775"/>
    <w:rsid w:val="00981DB7"/>
    <w:rsid w:val="009925CB"/>
    <w:rsid w:val="0099456A"/>
    <w:rsid w:val="00995E37"/>
    <w:rsid w:val="00996AC4"/>
    <w:rsid w:val="009A1384"/>
    <w:rsid w:val="009A66C5"/>
    <w:rsid w:val="009B4FA1"/>
    <w:rsid w:val="009D272D"/>
    <w:rsid w:val="009D757A"/>
    <w:rsid w:val="009E0FA9"/>
    <w:rsid w:val="009E11E5"/>
    <w:rsid w:val="009E1D62"/>
    <w:rsid w:val="00A0554C"/>
    <w:rsid w:val="00A07201"/>
    <w:rsid w:val="00A102DB"/>
    <w:rsid w:val="00A24899"/>
    <w:rsid w:val="00A40E2F"/>
    <w:rsid w:val="00A41CE8"/>
    <w:rsid w:val="00A432A3"/>
    <w:rsid w:val="00A44DDF"/>
    <w:rsid w:val="00A500F1"/>
    <w:rsid w:val="00A5181A"/>
    <w:rsid w:val="00A56899"/>
    <w:rsid w:val="00A6017A"/>
    <w:rsid w:val="00A63650"/>
    <w:rsid w:val="00A67392"/>
    <w:rsid w:val="00A709D1"/>
    <w:rsid w:val="00A74BC8"/>
    <w:rsid w:val="00A75DB7"/>
    <w:rsid w:val="00A761AC"/>
    <w:rsid w:val="00A77235"/>
    <w:rsid w:val="00A80611"/>
    <w:rsid w:val="00A82C2E"/>
    <w:rsid w:val="00A86FA4"/>
    <w:rsid w:val="00A908D3"/>
    <w:rsid w:val="00A92161"/>
    <w:rsid w:val="00A93B02"/>
    <w:rsid w:val="00AA7148"/>
    <w:rsid w:val="00AB3AB4"/>
    <w:rsid w:val="00AC70E8"/>
    <w:rsid w:val="00AD0220"/>
    <w:rsid w:val="00AD21F9"/>
    <w:rsid w:val="00AE01AE"/>
    <w:rsid w:val="00AE2175"/>
    <w:rsid w:val="00AE6100"/>
    <w:rsid w:val="00AE6814"/>
    <w:rsid w:val="00AF0DD0"/>
    <w:rsid w:val="00AF0FF8"/>
    <w:rsid w:val="00AF5DDA"/>
    <w:rsid w:val="00B00ABB"/>
    <w:rsid w:val="00B00E93"/>
    <w:rsid w:val="00B064D5"/>
    <w:rsid w:val="00B14644"/>
    <w:rsid w:val="00B162AF"/>
    <w:rsid w:val="00B22398"/>
    <w:rsid w:val="00B23C24"/>
    <w:rsid w:val="00B24811"/>
    <w:rsid w:val="00B263B2"/>
    <w:rsid w:val="00B264E9"/>
    <w:rsid w:val="00B27B64"/>
    <w:rsid w:val="00B32A22"/>
    <w:rsid w:val="00B3738A"/>
    <w:rsid w:val="00B4397F"/>
    <w:rsid w:val="00B449AA"/>
    <w:rsid w:val="00B45BC6"/>
    <w:rsid w:val="00B465A0"/>
    <w:rsid w:val="00B46D34"/>
    <w:rsid w:val="00B47518"/>
    <w:rsid w:val="00B568AC"/>
    <w:rsid w:val="00B60649"/>
    <w:rsid w:val="00B6191F"/>
    <w:rsid w:val="00B629B6"/>
    <w:rsid w:val="00B62F50"/>
    <w:rsid w:val="00B673DA"/>
    <w:rsid w:val="00B744B9"/>
    <w:rsid w:val="00B755EE"/>
    <w:rsid w:val="00B801DD"/>
    <w:rsid w:val="00B82B07"/>
    <w:rsid w:val="00B82D9E"/>
    <w:rsid w:val="00B90906"/>
    <w:rsid w:val="00B93AE8"/>
    <w:rsid w:val="00BA34DE"/>
    <w:rsid w:val="00BA3E30"/>
    <w:rsid w:val="00BA47BE"/>
    <w:rsid w:val="00BA5CA9"/>
    <w:rsid w:val="00BB064A"/>
    <w:rsid w:val="00BB0F7D"/>
    <w:rsid w:val="00BB21C1"/>
    <w:rsid w:val="00BB2DFD"/>
    <w:rsid w:val="00BB389F"/>
    <w:rsid w:val="00BB4563"/>
    <w:rsid w:val="00BB4E42"/>
    <w:rsid w:val="00BB7F41"/>
    <w:rsid w:val="00BC0425"/>
    <w:rsid w:val="00BC2F50"/>
    <w:rsid w:val="00BC786E"/>
    <w:rsid w:val="00BD0147"/>
    <w:rsid w:val="00BD59A3"/>
    <w:rsid w:val="00BE29EE"/>
    <w:rsid w:val="00BE4BCF"/>
    <w:rsid w:val="00BE5CDF"/>
    <w:rsid w:val="00BF240B"/>
    <w:rsid w:val="00BF7E17"/>
    <w:rsid w:val="00C01092"/>
    <w:rsid w:val="00C07DE4"/>
    <w:rsid w:val="00C13CDA"/>
    <w:rsid w:val="00C2324C"/>
    <w:rsid w:val="00C261B7"/>
    <w:rsid w:val="00C360BF"/>
    <w:rsid w:val="00C41B9C"/>
    <w:rsid w:val="00C41BB3"/>
    <w:rsid w:val="00C462AF"/>
    <w:rsid w:val="00C507E1"/>
    <w:rsid w:val="00C518AB"/>
    <w:rsid w:val="00C51E07"/>
    <w:rsid w:val="00C5237A"/>
    <w:rsid w:val="00C530DD"/>
    <w:rsid w:val="00C53385"/>
    <w:rsid w:val="00C53426"/>
    <w:rsid w:val="00C54858"/>
    <w:rsid w:val="00C565F2"/>
    <w:rsid w:val="00C60DA8"/>
    <w:rsid w:val="00C6257A"/>
    <w:rsid w:val="00C62EBD"/>
    <w:rsid w:val="00C72A2F"/>
    <w:rsid w:val="00C75673"/>
    <w:rsid w:val="00C8172E"/>
    <w:rsid w:val="00C82FF1"/>
    <w:rsid w:val="00C86BD3"/>
    <w:rsid w:val="00C90614"/>
    <w:rsid w:val="00C909EC"/>
    <w:rsid w:val="00C909FB"/>
    <w:rsid w:val="00C90C36"/>
    <w:rsid w:val="00C912D1"/>
    <w:rsid w:val="00C91C38"/>
    <w:rsid w:val="00C94937"/>
    <w:rsid w:val="00C95348"/>
    <w:rsid w:val="00C97160"/>
    <w:rsid w:val="00CA20FD"/>
    <w:rsid w:val="00CA3E16"/>
    <w:rsid w:val="00CA4BB0"/>
    <w:rsid w:val="00CA6BE8"/>
    <w:rsid w:val="00CB161C"/>
    <w:rsid w:val="00CB272A"/>
    <w:rsid w:val="00CB4183"/>
    <w:rsid w:val="00CB6A4A"/>
    <w:rsid w:val="00CB6CFE"/>
    <w:rsid w:val="00CC4453"/>
    <w:rsid w:val="00CD1436"/>
    <w:rsid w:val="00CD37FF"/>
    <w:rsid w:val="00CD40E9"/>
    <w:rsid w:val="00CD598E"/>
    <w:rsid w:val="00CD6CA8"/>
    <w:rsid w:val="00CE1154"/>
    <w:rsid w:val="00CE429D"/>
    <w:rsid w:val="00CE51B5"/>
    <w:rsid w:val="00CE65C8"/>
    <w:rsid w:val="00CF1FA2"/>
    <w:rsid w:val="00D0031F"/>
    <w:rsid w:val="00D00A3C"/>
    <w:rsid w:val="00D071C9"/>
    <w:rsid w:val="00D11E70"/>
    <w:rsid w:val="00D15160"/>
    <w:rsid w:val="00D15A5C"/>
    <w:rsid w:val="00D167F4"/>
    <w:rsid w:val="00D2589E"/>
    <w:rsid w:val="00D31436"/>
    <w:rsid w:val="00D41808"/>
    <w:rsid w:val="00D41CE9"/>
    <w:rsid w:val="00D421F9"/>
    <w:rsid w:val="00D43EEE"/>
    <w:rsid w:val="00D4446D"/>
    <w:rsid w:val="00D45F80"/>
    <w:rsid w:val="00D47E07"/>
    <w:rsid w:val="00D51BE0"/>
    <w:rsid w:val="00D52DAF"/>
    <w:rsid w:val="00D536FB"/>
    <w:rsid w:val="00D6027F"/>
    <w:rsid w:val="00D66E8B"/>
    <w:rsid w:val="00D67673"/>
    <w:rsid w:val="00D720EA"/>
    <w:rsid w:val="00D72601"/>
    <w:rsid w:val="00D7423F"/>
    <w:rsid w:val="00D81A2F"/>
    <w:rsid w:val="00D823CA"/>
    <w:rsid w:val="00D93E0A"/>
    <w:rsid w:val="00D958E3"/>
    <w:rsid w:val="00DA2D53"/>
    <w:rsid w:val="00DA390B"/>
    <w:rsid w:val="00DA4CDC"/>
    <w:rsid w:val="00DB11D8"/>
    <w:rsid w:val="00DB4E36"/>
    <w:rsid w:val="00DC13AA"/>
    <w:rsid w:val="00DC24A5"/>
    <w:rsid w:val="00DD6FD3"/>
    <w:rsid w:val="00DE135B"/>
    <w:rsid w:val="00DE2EF1"/>
    <w:rsid w:val="00DE4F94"/>
    <w:rsid w:val="00DE67AA"/>
    <w:rsid w:val="00DE7332"/>
    <w:rsid w:val="00DE7F29"/>
    <w:rsid w:val="00DF175F"/>
    <w:rsid w:val="00DF3D73"/>
    <w:rsid w:val="00DF3FE5"/>
    <w:rsid w:val="00E00557"/>
    <w:rsid w:val="00E013AA"/>
    <w:rsid w:val="00E02BD2"/>
    <w:rsid w:val="00E040A7"/>
    <w:rsid w:val="00E0578A"/>
    <w:rsid w:val="00E05C6B"/>
    <w:rsid w:val="00E05D16"/>
    <w:rsid w:val="00E120EE"/>
    <w:rsid w:val="00E12960"/>
    <w:rsid w:val="00E15DC5"/>
    <w:rsid w:val="00E169B8"/>
    <w:rsid w:val="00E23B13"/>
    <w:rsid w:val="00E255EA"/>
    <w:rsid w:val="00E25E9C"/>
    <w:rsid w:val="00E26780"/>
    <w:rsid w:val="00E27653"/>
    <w:rsid w:val="00E3542F"/>
    <w:rsid w:val="00E35B22"/>
    <w:rsid w:val="00E35C5B"/>
    <w:rsid w:val="00E423C2"/>
    <w:rsid w:val="00E425D4"/>
    <w:rsid w:val="00E435E6"/>
    <w:rsid w:val="00E43909"/>
    <w:rsid w:val="00E45A68"/>
    <w:rsid w:val="00E52B59"/>
    <w:rsid w:val="00E55778"/>
    <w:rsid w:val="00E6042D"/>
    <w:rsid w:val="00E65C7F"/>
    <w:rsid w:val="00E6742A"/>
    <w:rsid w:val="00E721C2"/>
    <w:rsid w:val="00E723DC"/>
    <w:rsid w:val="00E81182"/>
    <w:rsid w:val="00E815E5"/>
    <w:rsid w:val="00E85298"/>
    <w:rsid w:val="00E905A9"/>
    <w:rsid w:val="00E956AB"/>
    <w:rsid w:val="00E96552"/>
    <w:rsid w:val="00EA27CA"/>
    <w:rsid w:val="00EB2CFB"/>
    <w:rsid w:val="00EB5B36"/>
    <w:rsid w:val="00EC5AA3"/>
    <w:rsid w:val="00EC7AD2"/>
    <w:rsid w:val="00ED052F"/>
    <w:rsid w:val="00ED2CA6"/>
    <w:rsid w:val="00ED30E3"/>
    <w:rsid w:val="00ED314B"/>
    <w:rsid w:val="00ED38A8"/>
    <w:rsid w:val="00ED3E46"/>
    <w:rsid w:val="00EE322C"/>
    <w:rsid w:val="00EF627A"/>
    <w:rsid w:val="00EF6858"/>
    <w:rsid w:val="00EF7128"/>
    <w:rsid w:val="00EF7ACC"/>
    <w:rsid w:val="00F002CF"/>
    <w:rsid w:val="00F00AB4"/>
    <w:rsid w:val="00F018D4"/>
    <w:rsid w:val="00F02026"/>
    <w:rsid w:val="00F03069"/>
    <w:rsid w:val="00F10251"/>
    <w:rsid w:val="00F11609"/>
    <w:rsid w:val="00F12819"/>
    <w:rsid w:val="00F162DC"/>
    <w:rsid w:val="00F2362B"/>
    <w:rsid w:val="00F244F7"/>
    <w:rsid w:val="00F265EE"/>
    <w:rsid w:val="00F26ACA"/>
    <w:rsid w:val="00F30958"/>
    <w:rsid w:val="00F31E38"/>
    <w:rsid w:val="00F33D32"/>
    <w:rsid w:val="00F34723"/>
    <w:rsid w:val="00F35559"/>
    <w:rsid w:val="00F360B6"/>
    <w:rsid w:val="00F37B62"/>
    <w:rsid w:val="00F405C5"/>
    <w:rsid w:val="00F41EAA"/>
    <w:rsid w:val="00F4490C"/>
    <w:rsid w:val="00F522AC"/>
    <w:rsid w:val="00F54F43"/>
    <w:rsid w:val="00F56B32"/>
    <w:rsid w:val="00F61DCC"/>
    <w:rsid w:val="00F630E9"/>
    <w:rsid w:val="00F67811"/>
    <w:rsid w:val="00F67B8E"/>
    <w:rsid w:val="00F71082"/>
    <w:rsid w:val="00F73F4D"/>
    <w:rsid w:val="00F75A85"/>
    <w:rsid w:val="00F77A2B"/>
    <w:rsid w:val="00F807C0"/>
    <w:rsid w:val="00F847F8"/>
    <w:rsid w:val="00F94E71"/>
    <w:rsid w:val="00F959B9"/>
    <w:rsid w:val="00F96D2F"/>
    <w:rsid w:val="00FA021F"/>
    <w:rsid w:val="00FA15CD"/>
    <w:rsid w:val="00FA3011"/>
    <w:rsid w:val="00FB241B"/>
    <w:rsid w:val="00FB40C3"/>
    <w:rsid w:val="00FB53F1"/>
    <w:rsid w:val="00FC027A"/>
    <w:rsid w:val="00FC0ACD"/>
    <w:rsid w:val="00FC2698"/>
    <w:rsid w:val="00FC3A85"/>
    <w:rsid w:val="00FC52CB"/>
    <w:rsid w:val="00FC56B2"/>
    <w:rsid w:val="00FD38DD"/>
    <w:rsid w:val="00FD53F3"/>
    <w:rsid w:val="00FD76D8"/>
    <w:rsid w:val="00FE45D7"/>
    <w:rsid w:val="00FE62FC"/>
    <w:rsid w:val="00FF1B07"/>
    <w:rsid w:val="00FF1D49"/>
    <w:rsid w:val="00FF2C85"/>
    <w:rsid w:val="00FF5D74"/>
    <w:rsid w:val="01BE37A7"/>
    <w:rsid w:val="0260A227"/>
    <w:rsid w:val="08F8BC97"/>
    <w:rsid w:val="0C4C9EEB"/>
    <w:rsid w:val="11C3AB27"/>
    <w:rsid w:val="19DF5ED4"/>
    <w:rsid w:val="35A33BE4"/>
    <w:rsid w:val="3640ED73"/>
    <w:rsid w:val="4E55ACAF"/>
    <w:rsid w:val="53D01A0C"/>
    <w:rsid w:val="545F6007"/>
    <w:rsid w:val="57976799"/>
    <w:rsid w:val="69B66770"/>
    <w:rsid w:val="69CB67C2"/>
    <w:rsid w:val="6B120950"/>
    <w:rsid w:val="6CA491A4"/>
    <w:rsid w:val="7879A229"/>
    <w:rsid w:val="78C5A0CE"/>
    <w:rsid w:val="79F9EAE0"/>
    <w:rsid w:val="7F5F1E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F1D"/>
  </w:style>
  <w:style w:type="paragraph" w:styleId="Heading1">
    <w:name w:val="heading 1"/>
    <w:basedOn w:val="Normal"/>
    <w:next w:val="Normal"/>
    <w:link w:val="Heading1Char"/>
    <w:uiPriority w:val="9"/>
    <w:qFormat/>
    <w:rsid w:val="00E255E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2362B"/>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052FAE"/>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0F61AC"/>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1Char">
    <w:name w:val="Heading 1 Char"/>
    <w:basedOn w:val="DefaultParagraphFont"/>
    <w:link w:val="Heading1"/>
    <w:uiPriority w:val="9"/>
    <w:rsid w:val="00E255E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E255EA"/>
    <w:pPr>
      <w:outlineLvl w:val="9"/>
    </w:pPr>
    <w:rPr>
      <w:lang w:eastAsia="en-GB"/>
    </w:rPr>
  </w:style>
  <w:style w:type="paragraph" w:styleId="TOC1">
    <w:name w:val="toc 1"/>
    <w:basedOn w:val="Normal"/>
    <w:next w:val="Normal"/>
    <w:autoRedefine/>
    <w:uiPriority w:val="39"/>
    <w:unhideWhenUsed/>
    <w:rsid w:val="00F360B6"/>
    <w:pPr>
      <w:spacing w:after="100"/>
    </w:pPr>
  </w:style>
  <w:style w:type="character" w:styleId="Hyperlink">
    <w:name w:val="Hyperlink"/>
    <w:basedOn w:val="DefaultParagraphFont"/>
    <w:uiPriority w:val="99"/>
    <w:unhideWhenUsed/>
    <w:rsid w:val="00F360B6"/>
    <w:rPr>
      <w:color w:val="467886" w:themeColor="hyperlink"/>
      <w:u w:val="single"/>
    </w:rPr>
  </w:style>
  <w:style w:type="character" w:customStyle="1" w:styleId="Heading2Char">
    <w:name w:val="Heading 2 Char"/>
    <w:basedOn w:val="DefaultParagraphFont"/>
    <w:link w:val="Heading2"/>
    <w:uiPriority w:val="9"/>
    <w:rsid w:val="00F2362B"/>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ED38A8"/>
    <w:pPr>
      <w:spacing w:after="100"/>
      <w:ind w:left="220"/>
    </w:pPr>
  </w:style>
  <w:style w:type="character" w:customStyle="1" w:styleId="Heading3Char">
    <w:name w:val="Heading 3 Char"/>
    <w:basedOn w:val="DefaultParagraphFont"/>
    <w:link w:val="Heading3"/>
    <w:uiPriority w:val="9"/>
    <w:rsid w:val="00052FAE"/>
    <w:rPr>
      <w:rFonts w:asciiTheme="majorHAnsi" w:eastAsiaTheme="majorEastAsia" w:hAnsiTheme="majorHAnsi" w:cstheme="majorBidi"/>
      <w:color w:val="0A2F40" w:themeColor="accent1" w:themeShade="7F"/>
      <w:sz w:val="24"/>
      <w:szCs w:val="24"/>
    </w:rPr>
  </w:style>
  <w:style w:type="paragraph" w:styleId="ListParagraph">
    <w:name w:val="List Paragraph"/>
    <w:basedOn w:val="Normal"/>
    <w:uiPriority w:val="34"/>
    <w:qFormat/>
    <w:rsid w:val="000D52DC"/>
    <w:pPr>
      <w:ind w:left="720"/>
      <w:contextualSpacing/>
    </w:pPr>
  </w:style>
  <w:style w:type="paragraph" w:styleId="TOC3">
    <w:name w:val="toc 3"/>
    <w:basedOn w:val="Normal"/>
    <w:next w:val="Normal"/>
    <w:autoRedefine/>
    <w:uiPriority w:val="39"/>
    <w:unhideWhenUsed/>
    <w:rsid w:val="001F4C84"/>
    <w:pPr>
      <w:spacing w:after="100"/>
      <w:ind w:left="440"/>
    </w:pPr>
  </w:style>
  <w:style w:type="character" w:styleId="UnresolvedMention">
    <w:name w:val="Unresolved Mention"/>
    <w:basedOn w:val="DefaultParagraphFont"/>
    <w:uiPriority w:val="99"/>
    <w:semiHidden/>
    <w:unhideWhenUsed/>
    <w:rsid w:val="006B5DF0"/>
    <w:rPr>
      <w:color w:val="605E5C"/>
      <w:shd w:val="clear" w:color="auto" w:fill="E1DFDD"/>
    </w:rPr>
  </w:style>
  <w:style w:type="table" w:styleId="TableGrid">
    <w:name w:val="Table Grid"/>
    <w:basedOn w:val="TableNormal"/>
    <w:uiPriority w:val="39"/>
    <w:rsid w:val="00E425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8B6621"/>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3">
    <w:name w:val="Grid Table 1 Light Accent 3"/>
    <w:basedOn w:val="TableNormal"/>
    <w:uiPriority w:val="46"/>
    <w:rsid w:val="002D08B1"/>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IntenseQuote">
    <w:name w:val="Intense Quote"/>
    <w:basedOn w:val="Normal"/>
    <w:next w:val="Normal"/>
    <w:link w:val="IntenseQuoteChar"/>
    <w:uiPriority w:val="30"/>
    <w:qFormat/>
    <w:rsid w:val="002A1CA3"/>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2A1CA3"/>
    <w:rPr>
      <w:i/>
      <w:iCs/>
      <w:color w:val="156082" w:themeColor="accent1"/>
    </w:rPr>
  </w:style>
  <w:style w:type="paragraph" w:styleId="Quote">
    <w:name w:val="Quote"/>
    <w:basedOn w:val="Normal"/>
    <w:next w:val="Normal"/>
    <w:link w:val="QuoteChar"/>
    <w:uiPriority w:val="29"/>
    <w:qFormat/>
    <w:rsid w:val="005C33D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C33DA"/>
    <w:rPr>
      <w:i/>
      <w:iCs/>
      <w:color w:val="404040" w:themeColor="text1" w:themeTint="BF"/>
    </w:rPr>
  </w:style>
  <w:style w:type="character" w:customStyle="1" w:styleId="Heading4Char">
    <w:name w:val="Heading 4 Char"/>
    <w:basedOn w:val="DefaultParagraphFont"/>
    <w:link w:val="Heading4"/>
    <w:uiPriority w:val="9"/>
    <w:rsid w:val="000F61AC"/>
    <w:rPr>
      <w:rFonts w:asciiTheme="majorHAnsi" w:eastAsiaTheme="majorEastAsia" w:hAnsiTheme="majorHAnsi" w:cstheme="majorBidi"/>
      <w:i/>
      <w:iCs/>
      <w:color w:val="0F4761" w:themeColor="accent1" w:themeShade="BF"/>
    </w:rPr>
  </w:style>
  <w:style w:type="paragraph" w:styleId="NormalWeb">
    <w:name w:val="Normal (Web)"/>
    <w:basedOn w:val="Normal"/>
    <w:uiPriority w:val="99"/>
    <w:semiHidden/>
    <w:unhideWhenUsed/>
    <w:rsid w:val="00CD143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09757">
      <w:bodyDiv w:val="1"/>
      <w:marLeft w:val="0"/>
      <w:marRight w:val="0"/>
      <w:marTop w:val="0"/>
      <w:marBottom w:val="0"/>
      <w:divBdr>
        <w:top w:val="none" w:sz="0" w:space="0" w:color="auto"/>
        <w:left w:val="none" w:sz="0" w:space="0" w:color="auto"/>
        <w:bottom w:val="none" w:sz="0" w:space="0" w:color="auto"/>
        <w:right w:val="none" w:sz="0" w:space="0" w:color="auto"/>
      </w:divBdr>
    </w:div>
    <w:div w:id="114829924">
      <w:bodyDiv w:val="1"/>
      <w:marLeft w:val="0"/>
      <w:marRight w:val="0"/>
      <w:marTop w:val="0"/>
      <w:marBottom w:val="0"/>
      <w:divBdr>
        <w:top w:val="none" w:sz="0" w:space="0" w:color="auto"/>
        <w:left w:val="none" w:sz="0" w:space="0" w:color="auto"/>
        <w:bottom w:val="none" w:sz="0" w:space="0" w:color="auto"/>
        <w:right w:val="none" w:sz="0" w:space="0" w:color="auto"/>
      </w:divBdr>
    </w:div>
    <w:div w:id="114910144">
      <w:bodyDiv w:val="1"/>
      <w:marLeft w:val="0"/>
      <w:marRight w:val="0"/>
      <w:marTop w:val="0"/>
      <w:marBottom w:val="0"/>
      <w:divBdr>
        <w:top w:val="none" w:sz="0" w:space="0" w:color="auto"/>
        <w:left w:val="none" w:sz="0" w:space="0" w:color="auto"/>
        <w:bottom w:val="none" w:sz="0" w:space="0" w:color="auto"/>
        <w:right w:val="none" w:sz="0" w:space="0" w:color="auto"/>
      </w:divBdr>
    </w:div>
    <w:div w:id="274364509">
      <w:bodyDiv w:val="1"/>
      <w:marLeft w:val="0"/>
      <w:marRight w:val="0"/>
      <w:marTop w:val="0"/>
      <w:marBottom w:val="0"/>
      <w:divBdr>
        <w:top w:val="none" w:sz="0" w:space="0" w:color="auto"/>
        <w:left w:val="none" w:sz="0" w:space="0" w:color="auto"/>
        <w:bottom w:val="none" w:sz="0" w:space="0" w:color="auto"/>
        <w:right w:val="none" w:sz="0" w:space="0" w:color="auto"/>
      </w:divBdr>
    </w:div>
    <w:div w:id="275403847">
      <w:bodyDiv w:val="1"/>
      <w:marLeft w:val="0"/>
      <w:marRight w:val="0"/>
      <w:marTop w:val="0"/>
      <w:marBottom w:val="0"/>
      <w:divBdr>
        <w:top w:val="none" w:sz="0" w:space="0" w:color="auto"/>
        <w:left w:val="none" w:sz="0" w:space="0" w:color="auto"/>
        <w:bottom w:val="none" w:sz="0" w:space="0" w:color="auto"/>
        <w:right w:val="none" w:sz="0" w:space="0" w:color="auto"/>
      </w:divBdr>
    </w:div>
    <w:div w:id="389042078">
      <w:bodyDiv w:val="1"/>
      <w:marLeft w:val="0"/>
      <w:marRight w:val="0"/>
      <w:marTop w:val="0"/>
      <w:marBottom w:val="0"/>
      <w:divBdr>
        <w:top w:val="none" w:sz="0" w:space="0" w:color="auto"/>
        <w:left w:val="none" w:sz="0" w:space="0" w:color="auto"/>
        <w:bottom w:val="none" w:sz="0" w:space="0" w:color="auto"/>
        <w:right w:val="none" w:sz="0" w:space="0" w:color="auto"/>
      </w:divBdr>
    </w:div>
    <w:div w:id="447701542">
      <w:bodyDiv w:val="1"/>
      <w:marLeft w:val="0"/>
      <w:marRight w:val="0"/>
      <w:marTop w:val="0"/>
      <w:marBottom w:val="0"/>
      <w:divBdr>
        <w:top w:val="none" w:sz="0" w:space="0" w:color="auto"/>
        <w:left w:val="none" w:sz="0" w:space="0" w:color="auto"/>
        <w:bottom w:val="none" w:sz="0" w:space="0" w:color="auto"/>
        <w:right w:val="none" w:sz="0" w:space="0" w:color="auto"/>
      </w:divBdr>
    </w:div>
    <w:div w:id="476184844">
      <w:bodyDiv w:val="1"/>
      <w:marLeft w:val="0"/>
      <w:marRight w:val="0"/>
      <w:marTop w:val="0"/>
      <w:marBottom w:val="0"/>
      <w:divBdr>
        <w:top w:val="none" w:sz="0" w:space="0" w:color="auto"/>
        <w:left w:val="none" w:sz="0" w:space="0" w:color="auto"/>
        <w:bottom w:val="none" w:sz="0" w:space="0" w:color="auto"/>
        <w:right w:val="none" w:sz="0" w:space="0" w:color="auto"/>
      </w:divBdr>
    </w:div>
    <w:div w:id="618026524">
      <w:bodyDiv w:val="1"/>
      <w:marLeft w:val="0"/>
      <w:marRight w:val="0"/>
      <w:marTop w:val="0"/>
      <w:marBottom w:val="0"/>
      <w:divBdr>
        <w:top w:val="none" w:sz="0" w:space="0" w:color="auto"/>
        <w:left w:val="none" w:sz="0" w:space="0" w:color="auto"/>
        <w:bottom w:val="none" w:sz="0" w:space="0" w:color="auto"/>
        <w:right w:val="none" w:sz="0" w:space="0" w:color="auto"/>
      </w:divBdr>
    </w:div>
    <w:div w:id="625742620">
      <w:bodyDiv w:val="1"/>
      <w:marLeft w:val="0"/>
      <w:marRight w:val="0"/>
      <w:marTop w:val="0"/>
      <w:marBottom w:val="0"/>
      <w:divBdr>
        <w:top w:val="none" w:sz="0" w:space="0" w:color="auto"/>
        <w:left w:val="none" w:sz="0" w:space="0" w:color="auto"/>
        <w:bottom w:val="none" w:sz="0" w:space="0" w:color="auto"/>
        <w:right w:val="none" w:sz="0" w:space="0" w:color="auto"/>
      </w:divBdr>
    </w:div>
    <w:div w:id="734862586">
      <w:bodyDiv w:val="1"/>
      <w:marLeft w:val="0"/>
      <w:marRight w:val="0"/>
      <w:marTop w:val="0"/>
      <w:marBottom w:val="0"/>
      <w:divBdr>
        <w:top w:val="none" w:sz="0" w:space="0" w:color="auto"/>
        <w:left w:val="none" w:sz="0" w:space="0" w:color="auto"/>
        <w:bottom w:val="none" w:sz="0" w:space="0" w:color="auto"/>
        <w:right w:val="none" w:sz="0" w:space="0" w:color="auto"/>
      </w:divBdr>
    </w:div>
    <w:div w:id="797720093">
      <w:bodyDiv w:val="1"/>
      <w:marLeft w:val="0"/>
      <w:marRight w:val="0"/>
      <w:marTop w:val="0"/>
      <w:marBottom w:val="0"/>
      <w:divBdr>
        <w:top w:val="none" w:sz="0" w:space="0" w:color="auto"/>
        <w:left w:val="none" w:sz="0" w:space="0" w:color="auto"/>
        <w:bottom w:val="none" w:sz="0" w:space="0" w:color="auto"/>
        <w:right w:val="none" w:sz="0" w:space="0" w:color="auto"/>
      </w:divBdr>
    </w:div>
    <w:div w:id="843472913">
      <w:bodyDiv w:val="1"/>
      <w:marLeft w:val="0"/>
      <w:marRight w:val="0"/>
      <w:marTop w:val="0"/>
      <w:marBottom w:val="0"/>
      <w:divBdr>
        <w:top w:val="none" w:sz="0" w:space="0" w:color="auto"/>
        <w:left w:val="none" w:sz="0" w:space="0" w:color="auto"/>
        <w:bottom w:val="none" w:sz="0" w:space="0" w:color="auto"/>
        <w:right w:val="none" w:sz="0" w:space="0" w:color="auto"/>
      </w:divBdr>
    </w:div>
    <w:div w:id="865601142">
      <w:bodyDiv w:val="1"/>
      <w:marLeft w:val="0"/>
      <w:marRight w:val="0"/>
      <w:marTop w:val="0"/>
      <w:marBottom w:val="0"/>
      <w:divBdr>
        <w:top w:val="none" w:sz="0" w:space="0" w:color="auto"/>
        <w:left w:val="none" w:sz="0" w:space="0" w:color="auto"/>
        <w:bottom w:val="none" w:sz="0" w:space="0" w:color="auto"/>
        <w:right w:val="none" w:sz="0" w:space="0" w:color="auto"/>
      </w:divBdr>
    </w:div>
    <w:div w:id="948853656">
      <w:bodyDiv w:val="1"/>
      <w:marLeft w:val="0"/>
      <w:marRight w:val="0"/>
      <w:marTop w:val="0"/>
      <w:marBottom w:val="0"/>
      <w:divBdr>
        <w:top w:val="none" w:sz="0" w:space="0" w:color="auto"/>
        <w:left w:val="none" w:sz="0" w:space="0" w:color="auto"/>
        <w:bottom w:val="none" w:sz="0" w:space="0" w:color="auto"/>
        <w:right w:val="none" w:sz="0" w:space="0" w:color="auto"/>
      </w:divBdr>
    </w:div>
    <w:div w:id="958411034">
      <w:bodyDiv w:val="1"/>
      <w:marLeft w:val="0"/>
      <w:marRight w:val="0"/>
      <w:marTop w:val="0"/>
      <w:marBottom w:val="0"/>
      <w:divBdr>
        <w:top w:val="none" w:sz="0" w:space="0" w:color="auto"/>
        <w:left w:val="none" w:sz="0" w:space="0" w:color="auto"/>
        <w:bottom w:val="none" w:sz="0" w:space="0" w:color="auto"/>
        <w:right w:val="none" w:sz="0" w:space="0" w:color="auto"/>
      </w:divBdr>
    </w:div>
    <w:div w:id="1013458027">
      <w:bodyDiv w:val="1"/>
      <w:marLeft w:val="0"/>
      <w:marRight w:val="0"/>
      <w:marTop w:val="0"/>
      <w:marBottom w:val="0"/>
      <w:divBdr>
        <w:top w:val="none" w:sz="0" w:space="0" w:color="auto"/>
        <w:left w:val="none" w:sz="0" w:space="0" w:color="auto"/>
        <w:bottom w:val="none" w:sz="0" w:space="0" w:color="auto"/>
        <w:right w:val="none" w:sz="0" w:space="0" w:color="auto"/>
      </w:divBdr>
    </w:div>
    <w:div w:id="1020622756">
      <w:bodyDiv w:val="1"/>
      <w:marLeft w:val="0"/>
      <w:marRight w:val="0"/>
      <w:marTop w:val="0"/>
      <w:marBottom w:val="0"/>
      <w:divBdr>
        <w:top w:val="none" w:sz="0" w:space="0" w:color="auto"/>
        <w:left w:val="none" w:sz="0" w:space="0" w:color="auto"/>
        <w:bottom w:val="none" w:sz="0" w:space="0" w:color="auto"/>
        <w:right w:val="none" w:sz="0" w:space="0" w:color="auto"/>
      </w:divBdr>
    </w:div>
    <w:div w:id="1030301488">
      <w:bodyDiv w:val="1"/>
      <w:marLeft w:val="0"/>
      <w:marRight w:val="0"/>
      <w:marTop w:val="0"/>
      <w:marBottom w:val="0"/>
      <w:divBdr>
        <w:top w:val="none" w:sz="0" w:space="0" w:color="auto"/>
        <w:left w:val="none" w:sz="0" w:space="0" w:color="auto"/>
        <w:bottom w:val="none" w:sz="0" w:space="0" w:color="auto"/>
        <w:right w:val="none" w:sz="0" w:space="0" w:color="auto"/>
      </w:divBdr>
      <w:divsChild>
        <w:div w:id="680202256">
          <w:marLeft w:val="0"/>
          <w:marRight w:val="0"/>
          <w:marTop w:val="0"/>
          <w:marBottom w:val="0"/>
          <w:divBdr>
            <w:top w:val="none" w:sz="0" w:space="0" w:color="auto"/>
            <w:left w:val="none" w:sz="0" w:space="0" w:color="auto"/>
            <w:bottom w:val="none" w:sz="0" w:space="0" w:color="auto"/>
            <w:right w:val="none" w:sz="0" w:space="0" w:color="auto"/>
          </w:divBdr>
        </w:div>
      </w:divsChild>
    </w:div>
    <w:div w:id="1129979588">
      <w:bodyDiv w:val="1"/>
      <w:marLeft w:val="0"/>
      <w:marRight w:val="0"/>
      <w:marTop w:val="0"/>
      <w:marBottom w:val="0"/>
      <w:divBdr>
        <w:top w:val="none" w:sz="0" w:space="0" w:color="auto"/>
        <w:left w:val="none" w:sz="0" w:space="0" w:color="auto"/>
        <w:bottom w:val="none" w:sz="0" w:space="0" w:color="auto"/>
        <w:right w:val="none" w:sz="0" w:space="0" w:color="auto"/>
      </w:divBdr>
    </w:div>
    <w:div w:id="1199507343">
      <w:bodyDiv w:val="1"/>
      <w:marLeft w:val="0"/>
      <w:marRight w:val="0"/>
      <w:marTop w:val="0"/>
      <w:marBottom w:val="0"/>
      <w:divBdr>
        <w:top w:val="none" w:sz="0" w:space="0" w:color="auto"/>
        <w:left w:val="none" w:sz="0" w:space="0" w:color="auto"/>
        <w:bottom w:val="none" w:sz="0" w:space="0" w:color="auto"/>
        <w:right w:val="none" w:sz="0" w:space="0" w:color="auto"/>
      </w:divBdr>
      <w:divsChild>
        <w:div w:id="995113840">
          <w:marLeft w:val="0"/>
          <w:marRight w:val="0"/>
          <w:marTop w:val="0"/>
          <w:marBottom w:val="0"/>
          <w:divBdr>
            <w:top w:val="none" w:sz="0" w:space="0" w:color="auto"/>
            <w:left w:val="none" w:sz="0" w:space="0" w:color="auto"/>
            <w:bottom w:val="none" w:sz="0" w:space="0" w:color="auto"/>
            <w:right w:val="none" w:sz="0" w:space="0" w:color="auto"/>
          </w:divBdr>
        </w:div>
      </w:divsChild>
    </w:div>
    <w:div w:id="1240092277">
      <w:bodyDiv w:val="1"/>
      <w:marLeft w:val="0"/>
      <w:marRight w:val="0"/>
      <w:marTop w:val="0"/>
      <w:marBottom w:val="0"/>
      <w:divBdr>
        <w:top w:val="none" w:sz="0" w:space="0" w:color="auto"/>
        <w:left w:val="none" w:sz="0" w:space="0" w:color="auto"/>
        <w:bottom w:val="none" w:sz="0" w:space="0" w:color="auto"/>
        <w:right w:val="none" w:sz="0" w:space="0" w:color="auto"/>
      </w:divBdr>
    </w:div>
    <w:div w:id="1281108134">
      <w:bodyDiv w:val="1"/>
      <w:marLeft w:val="0"/>
      <w:marRight w:val="0"/>
      <w:marTop w:val="0"/>
      <w:marBottom w:val="0"/>
      <w:divBdr>
        <w:top w:val="none" w:sz="0" w:space="0" w:color="auto"/>
        <w:left w:val="none" w:sz="0" w:space="0" w:color="auto"/>
        <w:bottom w:val="none" w:sz="0" w:space="0" w:color="auto"/>
        <w:right w:val="none" w:sz="0" w:space="0" w:color="auto"/>
      </w:divBdr>
    </w:div>
    <w:div w:id="1332837155">
      <w:bodyDiv w:val="1"/>
      <w:marLeft w:val="0"/>
      <w:marRight w:val="0"/>
      <w:marTop w:val="0"/>
      <w:marBottom w:val="0"/>
      <w:divBdr>
        <w:top w:val="none" w:sz="0" w:space="0" w:color="auto"/>
        <w:left w:val="none" w:sz="0" w:space="0" w:color="auto"/>
        <w:bottom w:val="none" w:sz="0" w:space="0" w:color="auto"/>
        <w:right w:val="none" w:sz="0" w:space="0" w:color="auto"/>
      </w:divBdr>
    </w:div>
    <w:div w:id="1366980888">
      <w:bodyDiv w:val="1"/>
      <w:marLeft w:val="0"/>
      <w:marRight w:val="0"/>
      <w:marTop w:val="0"/>
      <w:marBottom w:val="0"/>
      <w:divBdr>
        <w:top w:val="none" w:sz="0" w:space="0" w:color="auto"/>
        <w:left w:val="none" w:sz="0" w:space="0" w:color="auto"/>
        <w:bottom w:val="none" w:sz="0" w:space="0" w:color="auto"/>
        <w:right w:val="none" w:sz="0" w:space="0" w:color="auto"/>
      </w:divBdr>
    </w:div>
    <w:div w:id="1528984498">
      <w:bodyDiv w:val="1"/>
      <w:marLeft w:val="0"/>
      <w:marRight w:val="0"/>
      <w:marTop w:val="0"/>
      <w:marBottom w:val="0"/>
      <w:divBdr>
        <w:top w:val="none" w:sz="0" w:space="0" w:color="auto"/>
        <w:left w:val="none" w:sz="0" w:space="0" w:color="auto"/>
        <w:bottom w:val="none" w:sz="0" w:space="0" w:color="auto"/>
        <w:right w:val="none" w:sz="0" w:space="0" w:color="auto"/>
      </w:divBdr>
    </w:div>
    <w:div w:id="1596203052">
      <w:bodyDiv w:val="1"/>
      <w:marLeft w:val="0"/>
      <w:marRight w:val="0"/>
      <w:marTop w:val="0"/>
      <w:marBottom w:val="0"/>
      <w:divBdr>
        <w:top w:val="none" w:sz="0" w:space="0" w:color="auto"/>
        <w:left w:val="none" w:sz="0" w:space="0" w:color="auto"/>
        <w:bottom w:val="none" w:sz="0" w:space="0" w:color="auto"/>
        <w:right w:val="none" w:sz="0" w:space="0" w:color="auto"/>
      </w:divBdr>
    </w:div>
    <w:div w:id="1608806317">
      <w:bodyDiv w:val="1"/>
      <w:marLeft w:val="0"/>
      <w:marRight w:val="0"/>
      <w:marTop w:val="0"/>
      <w:marBottom w:val="0"/>
      <w:divBdr>
        <w:top w:val="none" w:sz="0" w:space="0" w:color="auto"/>
        <w:left w:val="none" w:sz="0" w:space="0" w:color="auto"/>
        <w:bottom w:val="none" w:sz="0" w:space="0" w:color="auto"/>
        <w:right w:val="none" w:sz="0" w:space="0" w:color="auto"/>
      </w:divBdr>
    </w:div>
    <w:div w:id="1654723871">
      <w:bodyDiv w:val="1"/>
      <w:marLeft w:val="0"/>
      <w:marRight w:val="0"/>
      <w:marTop w:val="0"/>
      <w:marBottom w:val="0"/>
      <w:divBdr>
        <w:top w:val="none" w:sz="0" w:space="0" w:color="auto"/>
        <w:left w:val="none" w:sz="0" w:space="0" w:color="auto"/>
        <w:bottom w:val="none" w:sz="0" w:space="0" w:color="auto"/>
        <w:right w:val="none" w:sz="0" w:space="0" w:color="auto"/>
      </w:divBdr>
    </w:div>
    <w:div w:id="1714310635">
      <w:bodyDiv w:val="1"/>
      <w:marLeft w:val="0"/>
      <w:marRight w:val="0"/>
      <w:marTop w:val="0"/>
      <w:marBottom w:val="0"/>
      <w:divBdr>
        <w:top w:val="none" w:sz="0" w:space="0" w:color="auto"/>
        <w:left w:val="none" w:sz="0" w:space="0" w:color="auto"/>
        <w:bottom w:val="none" w:sz="0" w:space="0" w:color="auto"/>
        <w:right w:val="none" w:sz="0" w:space="0" w:color="auto"/>
      </w:divBdr>
    </w:div>
    <w:div w:id="1758361773">
      <w:bodyDiv w:val="1"/>
      <w:marLeft w:val="0"/>
      <w:marRight w:val="0"/>
      <w:marTop w:val="0"/>
      <w:marBottom w:val="0"/>
      <w:divBdr>
        <w:top w:val="none" w:sz="0" w:space="0" w:color="auto"/>
        <w:left w:val="none" w:sz="0" w:space="0" w:color="auto"/>
        <w:bottom w:val="none" w:sz="0" w:space="0" w:color="auto"/>
        <w:right w:val="none" w:sz="0" w:space="0" w:color="auto"/>
      </w:divBdr>
    </w:div>
    <w:div w:id="1773823021">
      <w:bodyDiv w:val="1"/>
      <w:marLeft w:val="0"/>
      <w:marRight w:val="0"/>
      <w:marTop w:val="0"/>
      <w:marBottom w:val="0"/>
      <w:divBdr>
        <w:top w:val="none" w:sz="0" w:space="0" w:color="auto"/>
        <w:left w:val="none" w:sz="0" w:space="0" w:color="auto"/>
        <w:bottom w:val="none" w:sz="0" w:space="0" w:color="auto"/>
        <w:right w:val="none" w:sz="0" w:space="0" w:color="auto"/>
      </w:divBdr>
    </w:div>
    <w:div w:id="1778795339">
      <w:bodyDiv w:val="1"/>
      <w:marLeft w:val="0"/>
      <w:marRight w:val="0"/>
      <w:marTop w:val="0"/>
      <w:marBottom w:val="0"/>
      <w:divBdr>
        <w:top w:val="none" w:sz="0" w:space="0" w:color="auto"/>
        <w:left w:val="none" w:sz="0" w:space="0" w:color="auto"/>
        <w:bottom w:val="none" w:sz="0" w:space="0" w:color="auto"/>
        <w:right w:val="none" w:sz="0" w:space="0" w:color="auto"/>
      </w:divBdr>
    </w:div>
    <w:div w:id="1850362804">
      <w:bodyDiv w:val="1"/>
      <w:marLeft w:val="0"/>
      <w:marRight w:val="0"/>
      <w:marTop w:val="0"/>
      <w:marBottom w:val="0"/>
      <w:divBdr>
        <w:top w:val="none" w:sz="0" w:space="0" w:color="auto"/>
        <w:left w:val="none" w:sz="0" w:space="0" w:color="auto"/>
        <w:bottom w:val="none" w:sz="0" w:space="0" w:color="auto"/>
        <w:right w:val="none" w:sz="0" w:space="0" w:color="auto"/>
      </w:divBdr>
    </w:div>
    <w:div w:id="1939286072">
      <w:bodyDiv w:val="1"/>
      <w:marLeft w:val="0"/>
      <w:marRight w:val="0"/>
      <w:marTop w:val="0"/>
      <w:marBottom w:val="0"/>
      <w:divBdr>
        <w:top w:val="none" w:sz="0" w:space="0" w:color="auto"/>
        <w:left w:val="none" w:sz="0" w:space="0" w:color="auto"/>
        <w:bottom w:val="none" w:sz="0" w:space="0" w:color="auto"/>
        <w:right w:val="none" w:sz="0" w:space="0" w:color="auto"/>
      </w:divBdr>
    </w:div>
    <w:div w:id="1981761827">
      <w:bodyDiv w:val="1"/>
      <w:marLeft w:val="0"/>
      <w:marRight w:val="0"/>
      <w:marTop w:val="0"/>
      <w:marBottom w:val="0"/>
      <w:divBdr>
        <w:top w:val="none" w:sz="0" w:space="0" w:color="auto"/>
        <w:left w:val="none" w:sz="0" w:space="0" w:color="auto"/>
        <w:bottom w:val="none" w:sz="0" w:space="0" w:color="auto"/>
        <w:right w:val="none" w:sz="0" w:space="0" w:color="auto"/>
      </w:divBdr>
    </w:div>
    <w:div w:id="2051299379">
      <w:bodyDiv w:val="1"/>
      <w:marLeft w:val="0"/>
      <w:marRight w:val="0"/>
      <w:marTop w:val="0"/>
      <w:marBottom w:val="0"/>
      <w:divBdr>
        <w:top w:val="none" w:sz="0" w:space="0" w:color="auto"/>
        <w:left w:val="none" w:sz="0" w:space="0" w:color="auto"/>
        <w:bottom w:val="none" w:sz="0" w:space="0" w:color="auto"/>
        <w:right w:val="none" w:sz="0" w:space="0" w:color="auto"/>
      </w:divBdr>
    </w:div>
    <w:div w:id="205831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b.bimpactassessment.net/en/support/solutions/articles/43000746292-understanding-impact-business-models-supply-chain-poverty-alleviation" TargetMode="External"/><Relationship Id="rId18" Type="http://schemas.openxmlformats.org/officeDocument/2006/relationships/hyperlink" Target="https://www.coursera.org/gb/articles/4-ps-of-marketing" TargetMode="External"/><Relationship Id="rId26" Type="http://schemas.openxmlformats.org/officeDocument/2006/relationships/hyperlink" Target="https://www.legislation.gov.uk/ukpga/2006/46/content" TargetMode="External"/><Relationship Id="rId39" Type="http://schemas.openxmlformats.org/officeDocument/2006/relationships/hyperlink" Target="https://www.scotscape.co.uk/our-services/landscape-services" TargetMode="External"/><Relationship Id="rId21" Type="http://schemas.openxmlformats.org/officeDocument/2006/relationships/hyperlink" Target="https://uk-air.defra.gov.uk/air-pollution/effects" TargetMode="External"/><Relationship Id="rId34" Type="http://schemas.openxmlformats.org/officeDocument/2006/relationships/hyperlink" Target="https://www.morrisons-corporate.com/media-centre/corporate-news/morrisons-to-switch-to-100-peat-free-compost/" TargetMode="External"/><Relationship Id="rId42" Type="http://schemas.openxmlformats.org/officeDocument/2006/relationships/hyperlink" Target="https://www.gov.uk/government/publications/net-zero-strategy"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ritish-business-bank.co.uk/finance-options/equity-finance" TargetMode="External"/><Relationship Id="rId29" Type="http://schemas.openxmlformats.org/officeDocument/2006/relationships/hyperlink" Target="https://www.london.gov.uk/publications/urban-greening-factor" TargetMode="External"/><Relationship Id="rId11" Type="http://schemas.openxmlformats.org/officeDocument/2006/relationships/image" Target="media/image4.png"/><Relationship Id="rId24" Type="http://schemas.openxmlformats.org/officeDocument/2006/relationships/hyperlink" Target="https://drexel.edu/news/archive/2019/november/potted-plants-do-not-improve-air-quality" TargetMode="External"/><Relationship Id="rId32" Type="http://schemas.openxmlformats.org/officeDocument/2006/relationships/hyperlink" Target="https://www.ibm.com/think/topics/internet-of-things" TargetMode="External"/><Relationship Id="rId37" Type="http://schemas.openxmlformats.org/officeDocument/2006/relationships/hyperlink" Target="https://agreenerlondon.com/products/" TargetMode="External"/><Relationship Id="rId40" Type="http://schemas.openxmlformats.org/officeDocument/2006/relationships/hyperlink" Target="https://www.tnlcommunityfund.org.uk/about-us/our-strategy/environmental-sustainability/our-environment-funding" TargetMode="External"/><Relationship Id="rId45" Type="http://schemas.openxmlformats.org/officeDocument/2006/relationships/hyperlink" Target="https://www.un.org/en/climatechange/science/climate-issues/greenwashing" TargetMode="External"/><Relationship Id="rId5" Type="http://schemas.openxmlformats.org/officeDocument/2006/relationships/webSettings" Target="webSettings.xml"/><Relationship Id="rId15" Type="http://schemas.openxmlformats.org/officeDocument/2006/relationships/hyperlink" Target="https://www.mbadv.agency/google-ads/discovery-campaigns-in-google-ads-reach-new-audiences" TargetMode="External"/><Relationship Id="rId23" Type="http://schemas.openxmlformats.org/officeDocument/2006/relationships/hyperlink" Target="https://committees.parliament.uk/publications/47712/documents/249328/default/" TargetMode="External"/><Relationship Id="rId28" Type="http://schemas.openxmlformats.org/officeDocument/2006/relationships/hyperlink" Target="https://www.gov.uk/government/publications/air-pollution-applying-all-our-health/air-pollution-applying-all-our-health" TargetMode="External"/><Relationship Id="rId36" Type="http://schemas.openxmlformats.org/officeDocument/2006/relationships/hyperlink" Target="https://startups.co.uk/guides/how-to-start-a-landscaping-business/"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government/publications/25-year-environment-plan" TargetMode="External"/><Relationship Id="rId31" Type="http://schemas.openxmlformats.org/officeDocument/2006/relationships/hyperlink" Target="https://www.ibisworld.com/united-kingdom/number-of-businesses/landscaping-services/4295/" TargetMode="External"/><Relationship Id="rId44" Type="http://schemas.openxmlformats.org/officeDocument/2006/relationships/hyperlink" Target="https://ukgbc.org/our-work/topics/circular-econom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round/articles/c5y2z28r30lo" TargetMode="External"/><Relationship Id="rId22" Type="http://schemas.openxmlformats.org/officeDocument/2006/relationships/hyperlink" Target="https://www.dtni.org.uk/what-is-an-asset-lock/" TargetMode="External"/><Relationship Id="rId27" Type="http://schemas.openxmlformats.org/officeDocument/2006/relationships/hyperlink" Target="https://www.gov.uk/guidance/airborne-allergens-and-green-infrastructure" TargetMode="External"/><Relationship Id="rId30" Type="http://schemas.openxmlformats.org/officeDocument/2006/relationships/hyperlink" Target="https://www.hootsuite.com/newsroom/press-releases/hootsuite-unveils-the-trends-that-keep-on-trending-for-social-marketers" TargetMode="External"/><Relationship Id="rId35" Type="http://schemas.openxmlformats.org/officeDocument/2006/relationships/hyperlink" Target="https://source.thenbs.com/manufacturer/biotecture-limited/gvKVTrJonnns9St7zWdRfg/case-studies" TargetMode="External"/><Relationship Id="rId43" Type="http://schemas.openxmlformats.org/officeDocument/2006/relationships/hyperlink" Target="https://www.legislation.gov.uk/ukpga/1990/43/contents"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naturalengland.blog.gov.uk/2025/09/30/celebrating-five-years-of-the-people-and-nature-surveys-what-weve-learned-about-englands-love-for-the-outdoors/" TargetMode="External"/><Relationship Id="rId17" Type="http://schemas.openxmlformats.org/officeDocument/2006/relationships/hyperlink" Target="https://tipalti.com/resources/learn/bargaining-power-of-buyers%20/" TargetMode="External"/><Relationship Id="rId25" Type="http://schemas.openxmlformats.org/officeDocument/2006/relationships/hyperlink" Target="https://veridion.com/blog-posts/esg-procurement-cost/" TargetMode="External"/><Relationship Id="rId33" Type="http://schemas.openxmlformats.org/officeDocument/2006/relationships/hyperlink" Target="https://uk.indeed.com/career-advice/career-development/functional-structure-benefits-and-disadvantages" TargetMode="External"/><Relationship Id="rId38" Type="http://schemas.openxmlformats.org/officeDocument/2006/relationships/hyperlink" Target="https://saygrass.co.uk/sustainable-artificial-plant-choice/" TargetMode="External"/><Relationship Id="rId46" Type="http://schemas.openxmlformats.org/officeDocument/2006/relationships/hyperlink" Target="https://www.getjobber.com/academy/landscaping/landscaping-business-ideas/" TargetMode="External"/><Relationship Id="rId20" Type="http://schemas.openxmlformats.org/officeDocument/2006/relationships/hyperlink" Target="https://www.deloitte.com/uk/en/about/press-room/high-prices-continue-to-come-at-a-cost-to-the-planet.html" TargetMode="External"/><Relationship Id="rId41" Type="http://schemas.openxmlformats.org/officeDocument/2006/relationships/hyperlink" Target="https://tugc.co.uk/products/living-wall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7F76C6-BE0F-46A4-B032-099FC74D6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6217</Words>
  <Characters>35439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aanei Alexandra</cp:lastModifiedBy>
  <cp:revision>2</cp:revision>
  <cp:lastPrinted>2025-04-20T08:27:00Z</cp:lastPrinted>
  <dcterms:created xsi:type="dcterms:W3CDTF">2025-11-23T12:42:00Z</dcterms:created>
  <dcterms:modified xsi:type="dcterms:W3CDTF">2025-11-23T12:42:00Z</dcterms:modified>
</cp:coreProperties>
</file>