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2C228" w14:textId="77777777" w:rsidR="002B3C8B" w:rsidRDefault="002B3C8B" w:rsidP="002B3C8B">
      <w:pPr>
        <w:jc w:val="both"/>
        <w:rPr>
          <w:rFonts w:asciiTheme="minorBidi" w:hAnsiTheme="minorBidi"/>
          <w:szCs w:val="24"/>
        </w:rPr>
      </w:pPr>
    </w:p>
    <w:p w14:paraId="438F6E65" w14:textId="4ACDDA84" w:rsidR="002B3C8B" w:rsidRPr="00CD0359" w:rsidRDefault="002B3C8B" w:rsidP="002B3C8B">
      <w:pPr>
        <w:jc w:val="center"/>
        <w:rPr>
          <w:rStyle w:val="Strong"/>
        </w:rPr>
      </w:pPr>
      <w:r>
        <w:rPr>
          <w:rStyle w:val="Strong"/>
          <w:noProof/>
          <w:lang w:val="en-US" w:bidi="hi-IN"/>
        </w:rPr>
        <w:drawing>
          <wp:inline distT="0" distB="0" distL="0" distR="0" wp14:anchorId="05DA642D" wp14:editId="03163D59">
            <wp:extent cx="2667000" cy="159145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82709" cy="1600830"/>
                    </a:xfrm>
                    <a:prstGeom prst="rect">
                      <a:avLst/>
                    </a:prstGeom>
                  </pic:spPr>
                </pic:pic>
              </a:graphicData>
            </a:graphic>
          </wp:inline>
        </w:drawing>
      </w:r>
    </w:p>
    <w:p w14:paraId="23B2BC2B" w14:textId="77777777" w:rsidR="00013451" w:rsidRDefault="00013451" w:rsidP="002B3C8B">
      <w:pPr>
        <w:jc w:val="center"/>
        <w:rPr>
          <w:rStyle w:val="Strong"/>
        </w:rPr>
      </w:pPr>
    </w:p>
    <w:p w14:paraId="0CAF6F33" w14:textId="77777777" w:rsidR="00013451" w:rsidRDefault="00013451" w:rsidP="002B3C8B">
      <w:pPr>
        <w:jc w:val="center"/>
        <w:rPr>
          <w:rStyle w:val="Strong"/>
        </w:rPr>
      </w:pPr>
    </w:p>
    <w:p w14:paraId="708AE7E3" w14:textId="1AE98C13" w:rsidR="002B3C8B" w:rsidRPr="00CD0359" w:rsidRDefault="002B3C8B" w:rsidP="002B3C8B">
      <w:pPr>
        <w:jc w:val="center"/>
        <w:rPr>
          <w:lang w:val="en-IN"/>
        </w:rPr>
      </w:pPr>
      <w:r>
        <w:rPr>
          <w:rStyle w:val="Strong"/>
        </w:rPr>
        <w:t>Master of Business Administration</w:t>
      </w:r>
    </w:p>
    <w:p w14:paraId="4403C216" w14:textId="77777777" w:rsidR="00013451" w:rsidRDefault="00013451" w:rsidP="002B3C8B">
      <w:pPr>
        <w:jc w:val="center"/>
        <w:rPr>
          <w:rStyle w:val="Strong"/>
        </w:rPr>
      </w:pPr>
    </w:p>
    <w:p w14:paraId="1BEEEF72" w14:textId="4149B724" w:rsidR="002B3C8B" w:rsidRPr="00CD0359" w:rsidRDefault="002B3C8B" w:rsidP="002B3C8B">
      <w:pPr>
        <w:jc w:val="center"/>
      </w:pPr>
      <w:r>
        <w:rPr>
          <w:rStyle w:val="Strong"/>
        </w:rPr>
        <w:t>Module: Marketing Management (LCMB7024)</w:t>
      </w:r>
    </w:p>
    <w:p w14:paraId="3E541B78" w14:textId="77777777" w:rsidR="00013451" w:rsidRDefault="00013451" w:rsidP="002B3C8B">
      <w:pPr>
        <w:jc w:val="center"/>
        <w:rPr>
          <w:rStyle w:val="Strong"/>
        </w:rPr>
      </w:pPr>
    </w:p>
    <w:p w14:paraId="3864A52F" w14:textId="5F398FF2" w:rsidR="002B3C8B" w:rsidRPr="00CD0359" w:rsidRDefault="002B3C8B" w:rsidP="002B3C8B">
      <w:pPr>
        <w:jc w:val="center"/>
      </w:pPr>
      <w:r>
        <w:rPr>
          <w:rStyle w:val="Strong"/>
        </w:rPr>
        <w:t>Assignment Title: Sustainable Brand Extension Portfolio — Zico Renew: A Sustainable Packaging Extension Strategy for Coca-Cola's Zico Brand</w:t>
      </w:r>
    </w:p>
    <w:p w14:paraId="348857C6" w14:textId="16EB5D4A" w:rsidR="00013451" w:rsidRPr="00122110" w:rsidRDefault="002B3C8B" w:rsidP="00122110">
      <w:pPr>
        <w:jc w:val="center"/>
        <w:rPr>
          <w:rStyle w:val="Strong"/>
          <w:b w:val="0"/>
          <w:bCs w:val="0"/>
        </w:rPr>
      </w:pPr>
      <w:r>
        <w:rPr>
          <w:rStyle w:val="Strong"/>
        </w:rPr>
        <w:t>Lecturer:</w:t>
      </w:r>
      <w:r w:rsidR="0039021A">
        <w:rPr>
          <w:rStyle w:val="Strong"/>
        </w:rPr>
        <w:t xml:space="preserve"> Tushara Balendran</w:t>
      </w:r>
      <w:r w:rsidR="00122110">
        <w:t>,.</w:t>
      </w:r>
    </w:p>
    <w:p w14:paraId="11219156" w14:textId="12F55388" w:rsidR="002B3C8B" w:rsidRPr="00CD0359" w:rsidRDefault="002B3C8B" w:rsidP="002B3C8B">
      <w:pPr>
        <w:jc w:val="center"/>
        <w:rPr>
          <w:rStyle w:val="Strong"/>
        </w:rPr>
      </w:pPr>
      <w:r>
        <w:rPr>
          <w:rStyle w:val="Strong"/>
        </w:rPr>
        <w:t>Student Name:</w:t>
      </w:r>
      <w:r w:rsidR="00083590">
        <w:rPr>
          <w:rStyle w:val="Strong"/>
        </w:rPr>
        <w:t xml:space="preserve"> Nitin</w:t>
      </w:r>
      <w:r w:rsidR="00224793">
        <w:rPr>
          <w:rStyle w:val="Strong"/>
        </w:rPr>
        <w:t xml:space="preserve"> Surela</w:t>
      </w:r>
    </w:p>
    <w:p w14:paraId="4FD14032" w14:textId="5EA7CCB7" w:rsidR="002B3C8B" w:rsidRPr="00CD0359" w:rsidRDefault="002B3C8B" w:rsidP="002B3C8B">
      <w:pPr>
        <w:jc w:val="center"/>
      </w:pPr>
      <w:r>
        <w:rPr>
          <w:rStyle w:val="Strong"/>
        </w:rPr>
        <w:t>Student ID Number:</w:t>
      </w:r>
      <w:r w:rsidR="00190AEC">
        <w:rPr>
          <w:rStyle w:val="Strong"/>
        </w:rPr>
        <w:t>2536654</w:t>
      </w:r>
      <w:r w:rsidR="00750661">
        <w:rPr>
          <w:rStyle w:val="Strong"/>
        </w:rPr>
        <w:t>@student.</w:t>
      </w:r>
      <w:r w:rsidR="00F82ED8">
        <w:rPr>
          <w:rStyle w:val="Strong"/>
        </w:rPr>
        <w:t>uwtsd</w:t>
      </w:r>
      <w:r w:rsidR="00BC1434">
        <w:rPr>
          <w:rStyle w:val="Strong"/>
        </w:rPr>
        <w:t>.ac.uk</w:t>
      </w:r>
    </w:p>
    <w:p w14:paraId="2998A198" w14:textId="77777777" w:rsidR="002B3C8B" w:rsidRPr="00CD0359" w:rsidRDefault="002B3C8B" w:rsidP="002B3C8B">
      <w:pPr>
        <w:jc w:val="center"/>
      </w:pPr>
    </w:p>
    <w:p w14:paraId="5F7C1F7B" w14:textId="77777777" w:rsidR="002B3C8B" w:rsidRPr="00CD0359" w:rsidRDefault="002B3C8B" w:rsidP="002B3C8B">
      <w:pPr>
        <w:pStyle w:val="Heading3"/>
        <w:jc w:val="both"/>
      </w:pPr>
    </w:p>
    <w:p w14:paraId="37D094AA" w14:textId="77777777" w:rsidR="002B3C8B" w:rsidRPr="00CD0359" w:rsidRDefault="002B3C8B" w:rsidP="002B3C8B">
      <w:pPr>
        <w:pStyle w:val="Heading3"/>
        <w:jc w:val="both"/>
      </w:pPr>
    </w:p>
    <w:p w14:paraId="57E41593" w14:textId="77777777" w:rsidR="002B3C8B" w:rsidRPr="00CD0359" w:rsidRDefault="002B3C8B" w:rsidP="002B3C8B">
      <w:pPr>
        <w:pStyle w:val="Heading3"/>
        <w:jc w:val="both"/>
      </w:pPr>
    </w:p>
    <w:p w14:paraId="641C7DBE" w14:textId="77777777" w:rsidR="002B3C8B" w:rsidRPr="00CD0359" w:rsidRDefault="002B3C8B" w:rsidP="002B3C8B">
      <w:pPr>
        <w:pStyle w:val="Heading3"/>
        <w:jc w:val="both"/>
      </w:pPr>
    </w:p>
    <w:p w14:paraId="3410DDF5" w14:textId="77777777" w:rsidR="002B3C8B" w:rsidRPr="00CD0359" w:rsidRDefault="002B3C8B" w:rsidP="002B3C8B">
      <w:pPr>
        <w:pStyle w:val="Heading3"/>
        <w:jc w:val="both"/>
      </w:pPr>
    </w:p>
    <w:p w14:paraId="061FC41E" w14:textId="77777777" w:rsidR="002B3C8B" w:rsidRPr="00CD0359" w:rsidRDefault="002B3C8B" w:rsidP="002B3C8B">
      <w:pPr>
        <w:pStyle w:val="Heading3"/>
        <w:jc w:val="both"/>
      </w:pPr>
    </w:p>
    <w:p w14:paraId="0BB36AA6" w14:textId="77777777" w:rsidR="002B3C8B" w:rsidRPr="00CD0359" w:rsidRDefault="002B3C8B" w:rsidP="002B3C8B">
      <w:pPr>
        <w:pStyle w:val="Heading3"/>
        <w:jc w:val="both"/>
      </w:pPr>
    </w:p>
    <w:p w14:paraId="7D0F1B2C" w14:textId="77777777" w:rsidR="002B3C8B" w:rsidRPr="00CD0359" w:rsidRDefault="002B3C8B" w:rsidP="002B3C8B">
      <w:pPr>
        <w:pStyle w:val="Heading3"/>
        <w:jc w:val="both"/>
      </w:pPr>
    </w:p>
    <w:p w14:paraId="47926204" w14:textId="77777777" w:rsidR="002B3C8B" w:rsidRPr="00CD0359" w:rsidRDefault="002B3C8B" w:rsidP="002B3C8B">
      <w:pPr>
        <w:pStyle w:val="Heading3"/>
        <w:jc w:val="both"/>
      </w:pPr>
    </w:p>
    <w:p w14:paraId="55C7172F" w14:textId="77777777" w:rsidR="002B3C8B" w:rsidRPr="00CD0359" w:rsidRDefault="002B3C8B" w:rsidP="002B3C8B">
      <w:pPr>
        <w:spacing w:line="259" w:lineRule="auto"/>
        <w:rPr>
          <w:rFonts w:ascii="Times New Roman" w:eastAsia="Times New Roman" w:hAnsi="Times New Roman" w:cs="Times New Roman"/>
          <w:b/>
          <w:bCs/>
          <w:sz w:val="27"/>
          <w:szCs w:val="27"/>
          <w:lang w:val="en-IN" w:eastAsia="en-IN"/>
        </w:rPr>
      </w:pPr>
      <w:r>
        <w:br w:type="page"/>
      </w:r>
    </w:p>
    <w:p w14:paraId="51D136D9" w14:textId="77777777" w:rsidR="002B3C8B" w:rsidRPr="00CD0359" w:rsidRDefault="002B3C8B" w:rsidP="002B3C8B">
      <w:pPr>
        <w:pStyle w:val="Heading3"/>
        <w:jc w:val="both"/>
      </w:pPr>
    </w:p>
    <w:sdt>
      <w:sdtPr>
        <w:rPr>
          <w:rFonts w:ascii="Arial" w:eastAsiaTheme="minorHAnsi" w:hAnsi="Arial" w:cstheme="minorBidi"/>
          <w:color w:val="auto"/>
          <w:sz w:val="24"/>
          <w:szCs w:val="22"/>
          <w:lang w:val="en-GB"/>
        </w:rPr>
        <w:id w:val="-1974969832"/>
        <w:docPartObj>
          <w:docPartGallery w:val="Table of Contents"/>
          <w:docPartUnique/>
        </w:docPartObj>
      </w:sdtPr>
      <w:sdtEndPr>
        <w:rPr>
          <w:b/>
          <w:bCs/>
          <w:noProof/>
        </w:rPr>
      </w:sdtEndPr>
      <w:sdtContent>
        <w:p w14:paraId="6231F554" w14:textId="77777777" w:rsidR="002B3C8B" w:rsidRPr="00CD0359" w:rsidRDefault="002B3C8B" w:rsidP="002B3C8B">
          <w:pPr>
            <w:pStyle w:val="TOCHeading"/>
            <w:jc w:val="center"/>
            <w:rPr>
              <w:rFonts w:asciiTheme="minorBidi" w:hAnsiTheme="minorBidi" w:cstheme="minorBidi"/>
              <w:color w:val="auto"/>
            </w:rPr>
          </w:pPr>
          <w:r>
            <w:rPr>
              <w:rFonts w:asciiTheme="minorBidi" w:hAnsiTheme="minorBidi" w:cstheme="minorBidi"/>
              <w:color w:val="auto"/>
            </w:rPr>
            <w:t>Table of Contents</w:t>
          </w:r>
        </w:p>
        <w:p w14:paraId="319D70D5"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37428426" w:history="1">
            <w:r>
              <w:rPr>
                <w:rStyle w:val="Hyperlink"/>
                <w:noProof/>
              </w:rPr>
              <w:t>Introduction</w:t>
            </w:r>
            <w:r>
              <w:rPr>
                <w:noProof/>
                <w:webHidden/>
              </w:rPr>
              <w:tab/>
            </w:r>
            <w:r>
              <w:rPr>
                <w:noProof/>
                <w:webHidden/>
              </w:rPr>
              <w:fldChar w:fldCharType="begin"/>
            </w:r>
            <w:r>
              <w:rPr>
                <w:noProof/>
                <w:webHidden/>
              </w:rPr>
              <w:instrText xml:space="preserve"> PAGEREF _Toc237428426 \h </w:instrText>
            </w:r>
            <w:r>
              <w:rPr>
                <w:noProof/>
                <w:webHidden/>
              </w:rPr>
            </w:r>
            <w:r>
              <w:rPr>
                <w:noProof/>
                <w:webHidden/>
              </w:rPr>
              <w:fldChar w:fldCharType="separate"/>
            </w:r>
            <w:r>
              <w:rPr>
                <w:noProof/>
                <w:webHidden/>
              </w:rPr>
              <w:t>3</w:t>
            </w:r>
            <w:r>
              <w:rPr>
                <w:noProof/>
                <w:webHidden/>
              </w:rPr>
              <w:fldChar w:fldCharType="end"/>
            </w:r>
          </w:hyperlink>
        </w:p>
        <w:p w14:paraId="7FFE62A2"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27" w:history="1">
            <w:r>
              <w:rPr>
                <w:rStyle w:val="Hyperlink"/>
                <w:noProof/>
              </w:rPr>
              <w:t>Element 1: Sustainable Brand Extension Poster Presentation</w:t>
            </w:r>
            <w:r>
              <w:rPr>
                <w:noProof/>
                <w:webHidden/>
              </w:rPr>
              <w:tab/>
            </w:r>
            <w:r>
              <w:rPr>
                <w:noProof/>
                <w:webHidden/>
              </w:rPr>
              <w:fldChar w:fldCharType="begin"/>
            </w:r>
            <w:r>
              <w:rPr>
                <w:noProof/>
                <w:webHidden/>
              </w:rPr>
              <w:instrText xml:space="preserve"> PAGEREF _Toc237428427 \h </w:instrText>
            </w:r>
            <w:r>
              <w:rPr>
                <w:noProof/>
                <w:webHidden/>
              </w:rPr>
            </w:r>
            <w:r>
              <w:rPr>
                <w:noProof/>
                <w:webHidden/>
              </w:rPr>
              <w:fldChar w:fldCharType="separate"/>
            </w:r>
            <w:r>
              <w:rPr>
                <w:noProof/>
                <w:webHidden/>
              </w:rPr>
              <w:t>4</w:t>
            </w:r>
            <w:r>
              <w:rPr>
                <w:noProof/>
                <w:webHidden/>
              </w:rPr>
              <w:fldChar w:fldCharType="end"/>
            </w:r>
          </w:hyperlink>
        </w:p>
        <w:p w14:paraId="5D1AD716"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28" w:history="1">
            <w:r>
              <w:rPr>
                <w:rStyle w:val="Hyperlink"/>
                <w:noProof/>
              </w:rPr>
              <w:t>Company &amp; Sustainability Need</w:t>
            </w:r>
            <w:r>
              <w:rPr>
                <w:noProof/>
                <w:webHidden/>
              </w:rPr>
              <w:tab/>
            </w:r>
            <w:r>
              <w:rPr>
                <w:noProof/>
                <w:webHidden/>
              </w:rPr>
              <w:fldChar w:fldCharType="begin"/>
            </w:r>
            <w:r>
              <w:rPr>
                <w:noProof/>
                <w:webHidden/>
              </w:rPr>
              <w:instrText xml:space="preserve"> PAGEREF _Toc237428428 \h </w:instrText>
            </w:r>
            <w:r>
              <w:rPr>
                <w:noProof/>
                <w:webHidden/>
              </w:rPr>
            </w:r>
            <w:r>
              <w:rPr>
                <w:noProof/>
                <w:webHidden/>
              </w:rPr>
              <w:fldChar w:fldCharType="separate"/>
            </w:r>
            <w:r>
              <w:rPr>
                <w:noProof/>
                <w:webHidden/>
              </w:rPr>
              <w:t>4</w:t>
            </w:r>
            <w:r>
              <w:rPr>
                <w:noProof/>
                <w:webHidden/>
              </w:rPr>
              <w:fldChar w:fldCharType="end"/>
            </w:r>
          </w:hyperlink>
        </w:p>
        <w:p w14:paraId="69BA591B"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29" w:history="1">
            <w:r>
              <w:rPr>
                <w:rStyle w:val="Hyperlink"/>
                <w:noProof/>
              </w:rPr>
              <w:t>Market Appeal</w:t>
            </w:r>
            <w:r>
              <w:rPr>
                <w:noProof/>
                <w:webHidden/>
              </w:rPr>
              <w:tab/>
            </w:r>
            <w:r>
              <w:rPr>
                <w:noProof/>
                <w:webHidden/>
              </w:rPr>
              <w:fldChar w:fldCharType="begin"/>
            </w:r>
            <w:r>
              <w:rPr>
                <w:noProof/>
                <w:webHidden/>
              </w:rPr>
              <w:instrText xml:space="preserve"> PAGEREF _Toc237428429 \h </w:instrText>
            </w:r>
            <w:r>
              <w:rPr>
                <w:noProof/>
                <w:webHidden/>
              </w:rPr>
            </w:r>
            <w:r>
              <w:rPr>
                <w:noProof/>
                <w:webHidden/>
              </w:rPr>
              <w:fldChar w:fldCharType="separate"/>
            </w:r>
            <w:r>
              <w:rPr>
                <w:noProof/>
                <w:webHidden/>
              </w:rPr>
              <w:t>5</w:t>
            </w:r>
            <w:r>
              <w:rPr>
                <w:noProof/>
                <w:webHidden/>
              </w:rPr>
              <w:fldChar w:fldCharType="end"/>
            </w:r>
          </w:hyperlink>
        </w:p>
        <w:p w14:paraId="2CF95327"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0" w:history="1">
            <w:r>
              <w:rPr>
                <w:rStyle w:val="Hyperlink"/>
                <w:noProof/>
              </w:rPr>
              <w:t>Sustainability Alignment</w:t>
            </w:r>
            <w:r>
              <w:rPr>
                <w:noProof/>
                <w:webHidden/>
              </w:rPr>
              <w:tab/>
            </w:r>
            <w:r>
              <w:rPr>
                <w:noProof/>
                <w:webHidden/>
              </w:rPr>
              <w:fldChar w:fldCharType="begin"/>
            </w:r>
            <w:r>
              <w:rPr>
                <w:noProof/>
                <w:webHidden/>
              </w:rPr>
              <w:instrText xml:space="preserve"> PAGEREF _Toc237428430 \h </w:instrText>
            </w:r>
            <w:r>
              <w:rPr>
                <w:noProof/>
                <w:webHidden/>
              </w:rPr>
            </w:r>
            <w:r>
              <w:rPr>
                <w:noProof/>
                <w:webHidden/>
              </w:rPr>
              <w:fldChar w:fldCharType="separate"/>
            </w:r>
            <w:r>
              <w:rPr>
                <w:noProof/>
                <w:webHidden/>
              </w:rPr>
              <w:t>5</w:t>
            </w:r>
            <w:r>
              <w:rPr>
                <w:noProof/>
                <w:webHidden/>
              </w:rPr>
              <w:fldChar w:fldCharType="end"/>
            </w:r>
          </w:hyperlink>
        </w:p>
        <w:p w14:paraId="73F7B9AF"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31" w:history="1">
            <w:r>
              <w:rPr>
                <w:rStyle w:val="Hyperlink"/>
                <w:noProof/>
              </w:rPr>
              <w:t>Element 2: Develop a Segmentation, Targeting, Differentiation, and Positioning (STDP)</w:t>
            </w:r>
            <w:r>
              <w:rPr>
                <w:noProof/>
                <w:webHidden/>
              </w:rPr>
              <w:tab/>
            </w:r>
            <w:r>
              <w:rPr>
                <w:noProof/>
                <w:webHidden/>
              </w:rPr>
              <w:fldChar w:fldCharType="begin"/>
            </w:r>
            <w:r>
              <w:rPr>
                <w:noProof/>
                <w:webHidden/>
              </w:rPr>
              <w:instrText xml:space="preserve"> PAGEREF _Toc237428431 \h </w:instrText>
            </w:r>
            <w:r>
              <w:rPr>
                <w:noProof/>
                <w:webHidden/>
              </w:rPr>
            </w:r>
            <w:r>
              <w:rPr>
                <w:noProof/>
                <w:webHidden/>
              </w:rPr>
              <w:fldChar w:fldCharType="separate"/>
            </w:r>
            <w:r>
              <w:rPr>
                <w:noProof/>
                <w:webHidden/>
              </w:rPr>
              <w:t>6</w:t>
            </w:r>
            <w:r>
              <w:rPr>
                <w:noProof/>
                <w:webHidden/>
              </w:rPr>
              <w:fldChar w:fldCharType="end"/>
            </w:r>
          </w:hyperlink>
        </w:p>
        <w:p w14:paraId="019B6976"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2" w:history="1">
            <w:r>
              <w:rPr>
                <w:rStyle w:val="Hyperlink"/>
                <w:rFonts w:eastAsia="Times New Roman"/>
                <w:noProof/>
                <w:lang w:val="en-IN" w:eastAsia="en-IN"/>
              </w:rPr>
              <w:t>Segmentation, Targeting, Differentiation, and Positioning Analysis: Zico Renew</w:t>
            </w:r>
            <w:r>
              <w:rPr>
                <w:noProof/>
                <w:webHidden/>
              </w:rPr>
              <w:tab/>
            </w:r>
            <w:r>
              <w:rPr>
                <w:noProof/>
                <w:webHidden/>
              </w:rPr>
              <w:fldChar w:fldCharType="begin"/>
            </w:r>
            <w:r>
              <w:rPr>
                <w:noProof/>
                <w:webHidden/>
              </w:rPr>
              <w:instrText xml:space="preserve"> PAGEREF _Toc237428432 \h </w:instrText>
            </w:r>
            <w:r>
              <w:rPr>
                <w:noProof/>
                <w:webHidden/>
              </w:rPr>
            </w:r>
            <w:r>
              <w:rPr>
                <w:noProof/>
                <w:webHidden/>
              </w:rPr>
              <w:fldChar w:fldCharType="separate"/>
            </w:r>
            <w:r>
              <w:rPr>
                <w:noProof/>
                <w:webHidden/>
              </w:rPr>
              <w:t>6</w:t>
            </w:r>
            <w:r>
              <w:rPr>
                <w:noProof/>
                <w:webHidden/>
              </w:rPr>
              <w:fldChar w:fldCharType="end"/>
            </w:r>
          </w:hyperlink>
        </w:p>
        <w:p w14:paraId="42298326"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3" w:history="1">
            <w:r>
              <w:rPr>
                <w:rStyle w:val="Hyperlink"/>
                <w:noProof/>
                <w:lang w:val="en-IN" w:eastAsia="en-IN"/>
              </w:rPr>
              <w:t>Market Segmentation</w:t>
            </w:r>
            <w:r>
              <w:rPr>
                <w:noProof/>
                <w:webHidden/>
              </w:rPr>
              <w:tab/>
            </w:r>
            <w:r>
              <w:rPr>
                <w:noProof/>
                <w:webHidden/>
              </w:rPr>
              <w:fldChar w:fldCharType="begin"/>
            </w:r>
            <w:r>
              <w:rPr>
                <w:noProof/>
                <w:webHidden/>
              </w:rPr>
              <w:instrText xml:space="preserve"> PAGEREF _Toc237428433 \h </w:instrText>
            </w:r>
            <w:r>
              <w:rPr>
                <w:noProof/>
                <w:webHidden/>
              </w:rPr>
            </w:r>
            <w:r>
              <w:rPr>
                <w:noProof/>
                <w:webHidden/>
              </w:rPr>
              <w:fldChar w:fldCharType="separate"/>
            </w:r>
            <w:r>
              <w:rPr>
                <w:noProof/>
                <w:webHidden/>
              </w:rPr>
              <w:t>6</w:t>
            </w:r>
            <w:r>
              <w:rPr>
                <w:noProof/>
                <w:webHidden/>
              </w:rPr>
              <w:fldChar w:fldCharType="end"/>
            </w:r>
          </w:hyperlink>
        </w:p>
        <w:p w14:paraId="4D9913E2"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4" w:history="1">
            <w:r>
              <w:rPr>
                <w:rStyle w:val="Hyperlink"/>
                <w:noProof/>
                <w:lang w:val="en-IN" w:eastAsia="en-IN"/>
              </w:rPr>
              <w:t>Behavioural Segmentation</w:t>
            </w:r>
            <w:r>
              <w:rPr>
                <w:noProof/>
                <w:webHidden/>
              </w:rPr>
              <w:tab/>
            </w:r>
            <w:r>
              <w:rPr>
                <w:noProof/>
                <w:webHidden/>
              </w:rPr>
              <w:fldChar w:fldCharType="begin"/>
            </w:r>
            <w:r>
              <w:rPr>
                <w:noProof/>
                <w:webHidden/>
              </w:rPr>
              <w:instrText xml:space="preserve"> PAGEREF _Toc237428434 \h </w:instrText>
            </w:r>
            <w:r>
              <w:rPr>
                <w:noProof/>
                <w:webHidden/>
              </w:rPr>
            </w:r>
            <w:r>
              <w:rPr>
                <w:noProof/>
                <w:webHidden/>
              </w:rPr>
              <w:fldChar w:fldCharType="separate"/>
            </w:r>
            <w:r>
              <w:rPr>
                <w:noProof/>
                <w:webHidden/>
              </w:rPr>
              <w:t>7</w:t>
            </w:r>
            <w:r>
              <w:rPr>
                <w:noProof/>
                <w:webHidden/>
              </w:rPr>
              <w:fldChar w:fldCharType="end"/>
            </w:r>
          </w:hyperlink>
        </w:p>
        <w:p w14:paraId="049CAA8F"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5" w:history="1">
            <w:r>
              <w:rPr>
                <w:rStyle w:val="Hyperlink"/>
                <w:rFonts w:eastAsia="Times New Roman"/>
                <w:noProof/>
                <w:lang w:val="en-IN" w:eastAsia="en-IN"/>
              </w:rPr>
              <w:t>Ansoff Matrix</w:t>
            </w:r>
            <w:r>
              <w:rPr>
                <w:noProof/>
                <w:webHidden/>
              </w:rPr>
              <w:tab/>
            </w:r>
            <w:r>
              <w:rPr>
                <w:noProof/>
                <w:webHidden/>
              </w:rPr>
              <w:fldChar w:fldCharType="begin"/>
            </w:r>
            <w:r>
              <w:rPr>
                <w:noProof/>
                <w:webHidden/>
              </w:rPr>
              <w:instrText xml:space="preserve"> PAGEREF _Toc237428435 \h </w:instrText>
            </w:r>
            <w:r>
              <w:rPr>
                <w:noProof/>
                <w:webHidden/>
              </w:rPr>
            </w:r>
            <w:r>
              <w:rPr>
                <w:noProof/>
                <w:webHidden/>
              </w:rPr>
              <w:fldChar w:fldCharType="separate"/>
            </w:r>
            <w:r>
              <w:rPr>
                <w:noProof/>
                <w:webHidden/>
              </w:rPr>
              <w:t>8</w:t>
            </w:r>
            <w:r>
              <w:rPr>
                <w:noProof/>
                <w:webHidden/>
              </w:rPr>
              <w:fldChar w:fldCharType="end"/>
            </w:r>
          </w:hyperlink>
        </w:p>
        <w:p w14:paraId="0947E12E"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6" w:history="1">
            <w:r>
              <w:rPr>
                <w:rStyle w:val="Hyperlink"/>
                <w:noProof/>
                <w:lang w:val="en-IN" w:eastAsia="en-IN"/>
              </w:rPr>
              <w:t>Porter's Generic Strategy</w:t>
            </w:r>
            <w:r>
              <w:rPr>
                <w:noProof/>
                <w:webHidden/>
              </w:rPr>
              <w:tab/>
            </w:r>
            <w:r>
              <w:rPr>
                <w:noProof/>
                <w:webHidden/>
              </w:rPr>
              <w:fldChar w:fldCharType="begin"/>
            </w:r>
            <w:r>
              <w:rPr>
                <w:noProof/>
                <w:webHidden/>
              </w:rPr>
              <w:instrText xml:space="preserve"> PAGEREF _Toc237428436 \h </w:instrText>
            </w:r>
            <w:r>
              <w:rPr>
                <w:noProof/>
                <w:webHidden/>
              </w:rPr>
            </w:r>
            <w:r>
              <w:rPr>
                <w:noProof/>
                <w:webHidden/>
              </w:rPr>
              <w:fldChar w:fldCharType="separate"/>
            </w:r>
            <w:r>
              <w:rPr>
                <w:noProof/>
                <w:webHidden/>
              </w:rPr>
              <w:t>9</w:t>
            </w:r>
            <w:r>
              <w:rPr>
                <w:noProof/>
                <w:webHidden/>
              </w:rPr>
              <w:fldChar w:fldCharType="end"/>
            </w:r>
          </w:hyperlink>
        </w:p>
        <w:p w14:paraId="25966227"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7" w:history="1">
            <w:r>
              <w:rPr>
                <w:rStyle w:val="Hyperlink"/>
                <w:noProof/>
                <w:lang w:val="en-IN" w:eastAsia="en-IN"/>
              </w:rPr>
              <w:t>PESTLE Analysis</w:t>
            </w:r>
            <w:r>
              <w:rPr>
                <w:noProof/>
                <w:webHidden/>
              </w:rPr>
              <w:tab/>
            </w:r>
            <w:r>
              <w:rPr>
                <w:noProof/>
                <w:webHidden/>
              </w:rPr>
              <w:fldChar w:fldCharType="begin"/>
            </w:r>
            <w:r>
              <w:rPr>
                <w:noProof/>
                <w:webHidden/>
              </w:rPr>
              <w:instrText xml:space="preserve"> PAGEREF _Toc237428437 \h </w:instrText>
            </w:r>
            <w:r>
              <w:rPr>
                <w:noProof/>
                <w:webHidden/>
              </w:rPr>
            </w:r>
            <w:r>
              <w:rPr>
                <w:noProof/>
                <w:webHidden/>
              </w:rPr>
              <w:fldChar w:fldCharType="separate"/>
            </w:r>
            <w:r>
              <w:rPr>
                <w:noProof/>
                <w:webHidden/>
              </w:rPr>
              <w:t>9</w:t>
            </w:r>
            <w:r>
              <w:rPr>
                <w:noProof/>
                <w:webHidden/>
              </w:rPr>
              <w:fldChar w:fldCharType="end"/>
            </w:r>
          </w:hyperlink>
        </w:p>
        <w:p w14:paraId="15402DBD"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38" w:history="1">
            <w:r>
              <w:rPr>
                <w:rStyle w:val="Hyperlink"/>
                <w:noProof/>
              </w:rPr>
              <w:t>Element 3: Marketing Mix Strategy for Zico Renew</w:t>
            </w:r>
            <w:r>
              <w:rPr>
                <w:noProof/>
                <w:webHidden/>
              </w:rPr>
              <w:tab/>
            </w:r>
            <w:r>
              <w:rPr>
                <w:noProof/>
                <w:webHidden/>
              </w:rPr>
              <w:fldChar w:fldCharType="begin"/>
            </w:r>
            <w:r>
              <w:rPr>
                <w:noProof/>
                <w:webHidden/>
              </w:rPr>
              <w:instrText xml:space="preserve"> PAGEREF _Toc237428438 \h </w:instrText>
            </w:r>
            <w:r>
              <w:rPr>
                <w:noProof/>
                <w:webHidden/>
              </w:rPr>
            </w:r>
            <w:r>
              <w:rPr>
                <w:noProof/>
                <w:webHidden/>
              </w:rPr>
              <w:fldChar w:fldCharType="separate"/>
            </w:r>
            <w:r>
              <w:rPr>
                <w:noProof/>
                <w:webHidden/>
              </w:rPr>
              <w:t>10</w:t>
            </w:r>
            <w:r>
              <w:rPr>
                <w:noProof/>
                <w:webHidden/>
              </w:rPr>
              <w:fldChar w:fldCharType="end"/>
            </w:r>
          </w:hyperlink>
        </w:p>
        <w:p w14:paraId="5A276EA5"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39" w:history="1">
            <w:r>
              <w:rPr>
                <w:rStyle w:val="Hyperlink"/>
                <w:noProof/>
              </w:rPr>
              <w:t>Rationale for Adopting the Extended Marketing Mix (7Ps)</w:t>
            </w:r>
            <w:r>
              <w:rPr>
                <w:noProof/>
                <w:webHidden/>
              </w:rPr>
              <w:tab/>
            </w:r>
            <w:r>
              <w:rPr>
                <w:noProof/>
                <w:webHidden/>
              </w:rPr>
              <w:fldChar w:fldCharType="begin"/>
            </w:r>
            <w:r>
              <w:rPr>
                <w:noProof/>
                <w:webHidden/>
              </w:rPr>
              <w:instrText xml:space="preserve"> PAGEREF _Toc237428439 \h </w:instrText>
            </w:r>
            <w:r>
              <w:rPr>
                <w:noProof/>
                <w:webHidden/>
              </w:rPr>
            </w:r>
            <w:r>
              <w:rPr>
                <w:noProof/>
                <w:webHidden/>
              </w:rPr>
              <w:fldChar w:fldCharType="separate"/>
            </w:r>
            <w:r>
              <w:rPr>
                <w:noProof/>
                <w:webHidden/>
              </w:rPr>
              <w:t>10</w:t>
            </w:r>
            <w:r>
              <w:rPr>
                <w:noProof/>
                <w:webHidden/>
              </w:rPr>
              <w:fldChar w:fldCharType="end"/>
            </w:r>
          </w:hyperlink>
        </w:p>
        <w:p w14:paraId="35CC989E"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40" w:history="1">
            <w:r>
              <w:rPr>
                <w:rStyle w:val="Hyperlink"/>
                <w:noProof/>
              </w:rPr>
              <w:t>Element 4: Reflection</w:t>
            </w:r>
            <w:r>
              <w:rPr>
                <w:noProof/>
                <w:webHidden/>
              </w:rPr>
              <w:tab/>
            </w:r>
            <w:r>
              <w:rPr>
                <w:noProof/>
                <w:webHidden/>
              </w:rPr>
              <w:fldChar w:fldCharType="begin"/>
            </w:r>
            <w:r>
              <w:rPr>
                <w:noProof/>
                <w:webHidden/>
              </w:rPr>
              <w:instrText xml:space="preserve"> PAGEREF _Toc237428440 \h </w:instrText>
            </w:r>
            <w:r>
              <w:rPr>
                <w:noProof/>
                <w:webHidden/>
              </w:rPr>
            </w:r>
            <w:r>
              <w:rPr>
                <w:noProof/>
                <w:webHidden/>
              </w:rPr>
              <w:fldChar w:fldCharType="separate"/>
            </w:r>
            <w:r>
              <w:rPr>
                <w:noProof/>
                <w:webHidden/>
              </w:rPr>
              <w:t>14</w:t>
            </w:r>
            <w:r>
              <w:rPr>
                <w:noProof/>
                <w:webHidden/>
              </w:rPr>
              <w:fldChar w:fldCharType="end"/>
            </w:r>
          </w:hyperlink>
        </w:p>
        <w:p w14:paraId="0507B5BA"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41" w:history="1">
            <w:r>
              <w:rPr>
                <w:rStyle w:val="Hyperlink"/>
                <w:noProof/>
              </w:rPr>
              <w:t>Conclusion</w:t>
            </w:r>
            <w:r>
              <w:rPr>
                <w:noProof/>
                <w:webHidden/>
              </w:rPr>
              <w:tab/>
            </w:r>
            <w:r>
              <w:rPr>
                <w:noProof/>
                <w:webHidden/>
              </w:rPr>
              <w:fldChar w:fldCharType="begin"/>
            </w:r>
            <w:r>
              <w:rPr>
                <w:noProof/>
                <w:webHidden/>
              </w:rPr>
              <w:instrText xml:space="preserve"> PAGEREF _Toc237428441 \h </w:instrText>
            </w:r>
            <w:r>
              <w:rPr>
                <w:noProof/>
                <w:webHidden/>
              </w:rPr>
            </w:r>
            <w:r>
              <w:rPr>
                <w:noProof/>
                <w:webHidden/>
              </w:rPr>
              <w:fldChar w:fldCharType="separate"/>
            </w:r>
            <w:r>
              <w:rPr>
                <w:noProof/>
                <w:webHidden/>
              </w:rPr>
              <w:t>16</w:t>
            </w:r>
            <w:r>
              <w:rPr>
                <w:noProof/>
                <w:webHidden/>
              </w:rPr>
              <w:fldChar w:fldCharType="end"/>
            </w:r>
          </w:hyperlink>
        </w:p>
        <w:p w14:paraId="13D34942"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42" w:history="1">
            <w:r>
              <w:rPr>
                <w:rStyle w:val="Hyperlink"/>
                <w:noProof/>
                <w:lang w:val="en-IN"/>
              </w:rPr>
              <w:t>References</w:t>
            </w:r>
            <w:r>
              <w:rPr>
                <w:noProof/>
                <w:webHidden/>
              </w:rPr>
              <w:tab/>
            </w:r>
            <w:r>
              <w:rPr>
                <w:noProof/>
                <w:webHidden/>
              </w:rPr>
              <w:fldChar w:fldCharType="begin"/>
            </w:r>
            <w:r>
              <w:rPr>
                <w:noProof/>
                <w:webHidden/>
              </w:rPr>
              <w:instrText xml:space="preserve"> PAGEREF _Toc237428442 \h </w:instrText>
            </w:r>
            <w:r>
              <w:rPr>
                <w:noProof/>
                <w:webHidden/>
              </w:rPr>
            </w:r>
            <w:r>
              <w:rPr>
                <w:noProof/>
                <w:webHidden/>
              </w:rPr>
              <w:fldChar w:fldCharType="separate"/>
            </w:r>
            <w:r>
              <w:rPr>
                <w:noProof/>
                <w:webHidden/>
              </w:rPr>
              <w:t>17</w:t>
            </w:r>
            <w:r>
              <w:rPr>
                <w:noProof/>
                <w:webHidden/>
              </w:rPr>
              <w:fldChar w:fldCharType="end"/>
            </w:r>
          </w:hyperlink>
        </w:p>
        <w:p w14:paraId="2BAE34A8" w14:textId="77777777" w:rsidR="002B3C8B" w:rsidRDefault="002B3C8B" w:rsidP="002B3C8B">
          <w:pPr>
            <w:pStyle w:val="TOC1"/>
            <w:tabs>
              <w:tab w:val="right" w:leader="dot" w:pos="9016"/>
            </w:tabs>
            <w:rPr>
              <w:rFonts w:asciiTheme="minorHAnsi" w:eastAsiaTheme="minorEastAsia" w:hAnsiTheme="minorHAnsi"/>
              <w:noProof/>
              <w:sz w:val="22"/>
              <w:lang w:val="en-IN" w:eastAsia="en-IN"/>
            </w:rPr>
          </w:pPr>
          <w:hyperlink w:anchor="_Toc237428443" w:history="1">
            <w:r>
              <w:rPr>
                <w:rStyle w:val="Hyperlink"/>
                <w:noProof/>
              </w:rPr>
              <w:t>Appendix</w:t>
            </w:r>
            <w:r>
              <w:rPr>
                <w:noProof/>
                <w:webHidden/>
              </w:rPr>
              <w:tab/>
            </w:r>
            <w:r>
              <w:rPr>
                <w:noProof/>
                <w:webHidden/>
              </w:rPr>
              <w:fldChar w:fldCharType="begin"/>
            </w:r>
            <w:r>
              <w:rPr>
                <w:noProof/>
                <w:webHidden/>
              </w:rPr>
              <w:instrText xml:space="preserve"> PAGEREF _Toc237428443 \h </w:instrText>
            </w:r>
            <w:r>
              <w:rPr>
                <w:noProof/>
                <w:webHidden/>
              </w:rPr>
            </w:r>
            <w:r>
              <w:rPr>
                <w:noProof/>
                <w:webHidden/>
              </w:rPr>
              <w:fldChar w:fldCharType="separate"/>
            </w:r>
            <w:r>
              <w:rPr>
                <w:noProof/>
                <w:webHidden/>
              </w:rPr>
              <w:t>20</w:t>
            </w:r>
            <w:r>
              <w:rPr>
                <w:noProof/>
                <w:webHidden/>
              </w:rPr>
              <w:fldChar w:fldCharType="end"/>
            </w:r>
          </w:hyperlink>
        </w:p>
        <w:p w14:paraId="5526D60A" w14:textId="77777777" w:rsidR="002B3C8B" w:rsidRDefault="002B3C8B" w:rsidP="002B3C8B">
          <w:pPr>
            <w:pStyle w:val="TOC2"/>
            <w:tabs>
              <w:tab w:val="right" w:leader="dot" w:pos="9016"/>
            </w:tabs>
            <w:rPr>
              <w:rFonts w:asciiTheme="minorHAnsi" w:eastAsiaTheme="minorEastAsia" w:hAnsiTheme="minorHAnsi"/>
              <w:noProof/>
              <w:sz w:val="22"/>
              <w:lang w:val="en-IN" w:eastAsia="en-IN"/>
            </w:rPr>
          </w:pPr>
          <w:hyperlink w:anchor="_Toc237428444" w:history="1">
            <w:r>
              <w:rPr>
                <w:rStyle w:val="Hyperlink"/>
                <w:noProof/>
              </w:rPr>
              <w:t>Appendix A: Indicative Twelve-Month Implementation Outline for Zico Renew</w:t>
            </w:r>
            <w:r>
              <w:rPr>
                <w:noProof/>
                <w:webHidden/>
              </w:rPr>
              <w:tab/>
            </w:r>
            <w:r>
              <w:rPr>
                <w:noProof/>
                <w:webHidden/>
              </w:rPr>
              <w:fldChar w:fldCharType="begin"/>
            </w:r>
            <w:r>
              <w:rPr>
                <w:noProof/>
                <w:webHidden/>
              </w:rPr>
              <w:instrText xml:space="preserve"> PAGEREF _Toc237428444 \h </w:instrText>
            </w:r>
            <w:r>
              <w:rPr>
                <w:noProof/>
                <w:webHidden/>
              </w:rPr>
            </w:r>
            <w:r>
              <w:rPr>
                <w:noProof/>
                <w:webHidden/>
              </w:rPr>
              <w:fldChar w:fldCharType="separate"/>
            </w:r>
            <w:r>
              <w:rPr>
                <w:noProof/>
                <w:webHidden/>
              </w:rPr>
              <w:t>20</w:t>
            </w:r>
            <w:r>
              <w:rPr>
                <w:noProof/>
                <w:webHidden/>
              </w:rPr>
              <w:fldChar w:fldCharType="end"/>
            </w:r>
          </w:hyperlink>
        </w:p>
        <w:p w14:paraId="4DEE22A3" w14:textId="77777777" w:rsidR="002B3C8B" w:rsidRPr="00CD0359" w:rsidRDefault="002B3C8B" w:rsidP="002B3C8B">
          <w:r>
            <w:rPr>
              <w:b/>
              <w:bCs/>
              <w:noProof/>
            </w:rPr>
            <w:fldChar w:fldCharType="end"/>
          </w:r>
        </w:p>
      </w:sdtContent>
    </w:sdt>
    <w:p w14:paraId="43B39B5C" w14:textId="77777777" w:rsidR="002B3C8B" w:rsidRPr="00CD0359" w:rsidRDefault="002B3C8B" w:rsidP="002B3C8B">
      <w:pPr>
        <w:pStyle w:val="Heading3"/>
        <w:jc w:val="both"/>
      </w:pPr>
    </w:p>
    <w:p w14:paraId="5C5BF196" w14:textId="77777777" w:rsidR="002B3C8B" w:rsidRPr="00CD0359" w:rsidRDefault="002B3C8B" w:rsidP="002B3C8B">
      <w:pPr>
        <w:spacing w:line="259" w:lineRule="auto"/>
        <w:rPr>
          <w:rFonts w:ascii="Times New Roman" w:eastAsia="Times New Roman" w:hAnsi="Times New Roman" w:cs="Times New Roman"/>
          <w:b/>
          <w:bCs/>
          <w:sz w:val="27"/>
          <w:szCs w:val="27"/>
          <w:lang w:val="en-IN" w:eastAsia="en-IN"/>
        </w:rPr>
      </w:pPr>
      <w:r>
        <w:br w:type="page"/>
      </w:r>
    </w:p>
    <w:p w14:paraId="4E4FE72D" w14:textId="77777777" w:rsidR="002B3C8B" w:rsidRPr="00CD0359" w:rsidRDefault="002B3C8B" w:rsidP="002B3C8B">
      <w:pPr>
        <w:pStyle w:val="Heading1"/>
        <w:rPr>
          <w:lang w:val="en-IN"/>
        </w:rPr>
      </w:pPr>
      <w:bookmarkStart w:id="0" w:name="_Toc237428426"/>
      <w:r>
        <w:t>Introduction</w:t>
      </w:r>
      <w:bookmarkEnd w:id="0"/>
    </w:p>
    <w:p w14:paraId="385DD0B1" w14:textId="2504BB8B" w:rsidR="00666C53" w:rsidRDefault="00666C53" w:rsidP="008D7393">
      <w:pPr>
        <w:jc w:val="both"/>
      </w:pPr>
      <w:bookmarkStart w:id="1" w:name="_Toc237428427"/>
      <w:r w:rsidRPr="00666C53">
        <w:t>This Report presents a Marketing Consultancy Analysis of the evaluation of the viability of a Sustainable Brand Extension of the Coca-Cola's Coconut Water brand Zico based on a biodegradable coconut husk fibre packaging in comparison to the plastic and carton formats. It begins with a summary of a poster presentation, and then moves on to segmentation, targeting, differentiation, and positioning (STDP) analysis, assessment of the marketing mix needed to help the new product get to market, and a reflection on the development and presentation process. Call it a packaging innovation rather than a formulation innovation, the innovation extension will feature what is more like a different package for the drink, made of products from the same crop that's used to create the drink—coconut husks. The key idea here is to have a closed loop system within a single supply chain, where the package keeps waste of raw material within itself. This portfolio is about macro-environmental influences on a category, how well the extension fits into the competitive landscape, the pricing potential in terms of sustainability premiums, and learning from the evaluation.</w:t>
      </w:r>
    </w:p>
    <w:p w14:paraId="7C167A13" w14:textId="7AFC33D8" w:rsidR="002B3C8B" w:rsidRPr="00CD0359" w:rsidRDefault="002B3C8B" w:rsidP="002B3C8B">
      <w:pPr>
        <w:pStyle w:val="Heading1"/>
      </w:pPr>
      <w:r>
        <w:t>Element 1: Sustainable Brand Extension Poster Presentation</w:t>
      </w:r>
      <w:bookmarkEnd w:id="1"/>
    </w:p>
    <w:p w14:paraId="055616E1" w14:textId="77777777" w:rsidR="002B3C8B" w:rsidRPr="00CD0359" w:rsidRDefault="002B3C8B" w:rsidP="002B3C8B">
      <w:pPr>
        <w:pStyle w:val="Heading2"/>
      </w:pPr>
      <w:bookmarkStart w:id="2" w:name="_Toc237428428"/>
      <w:r>
        <w:t>Company &amp; Sustainability Need</w:t>
      </w:r>
      <w:bookmarkEnd w:id="2"/>
    </w:p>
    <w:p w14:paraId="5410E8EE" w14:textId="77777777" w:rsidR="00666C53" w:rsidRDefault="00666C53" w:rsidP="008D7393">
      <w:pPr>
        <w:jc w:val="both"/>
      </w:pPr>
      <w:bookmarkStart w:id="3" w:name="_Toc237428429"/>
      <w:r>
        <w:t>Zico, which was bought by Coca-Cola in 2013, is a major part of the company's diversified beverage line. Accommodating its Tetra Pak cartons and plastic bottles, which currently are hard to recycle — posing additional challenges to recycling — and its plastic footprint, placed against the company's ‘World Without Waste’ pledge (The Coca-Cola Company, 2020). Zico Renew's response is by replacing the container with a biodegradable coconut husk fibre container and use coconut waste as packaging material.</w:t>
      </w:r>
    </w:p>
    <w:p w14:paraId="06338578" w14:textId="607A0E24" w:rsidR="002B3C8B" w:rsidRPr="00CD0359" w:rsidRDefault="002B3C8B" w:rsidP="008D7393">
      <w:pPr>
        <w:pStyle w:val="Heading2"/>
        <w:jc w:val="both"/>
      </w:pPr>
      <w:r>
        <w:t>Market Appeal</w:t>
      </w:r>
      <w:bookmarkEnd w:id="3"/>
    </w:p>
    <w:p w14:paraId="016DDDE1" w14:textId="77777777" w:rsidR="00666C53" w:rsidRDefault="00666C53" w:rsidP="008D7393">
      <w:pPr>
        <w:jc w:val="both"/>
      </w:pPr>
      <w:bookmarkStart w:id="4" w:name="_Toc237428430"/>
      <w:r>
        <w:t>The proposal has two commercial driving forces for its long-term sustainability: public worry over plastic waste and the continuous growth of the functional beverage sector. Zico Renew resolves both; a pioneering circular fibre solution for eco-conscious consumers and a model with a low material cost based on the transformation of waste to value (Gojic and Nadiia Petar Bukhonka, 2023).</w:t>
      </w:r>
    </w:p>
    <w:p w14:paraId="258E8751" w14:textId="77777777" w:rsidR="002B3C8B" w:rsidRPr="00CD0359" w:rsidRDefault="002B3C8B" w:rsidP="002B3C8B">
      <w:pPr>
        <w:pStyle w:val="Heading2"/>
      </w:pPr>
      <w:r>
        <w:t>Sustainability Alignment</w:t>
      </w:r>
      <w:bookmarkEnd w:id="4"/>
    </w:p>
    <w:p w14:paraId="67E9F7A1" w14:textId="77777777" w:rsidR="002B3C8B" w:rsidRPr="00CD0359" w:rsidRDefault="002B3C8B" w:rsidP="002B3C8B">
      <w:pPr>
        <w:jc w:val="both"/>
        <w:rPr>
          <w:rFonts w:asciiTheme="minorBidi" w:hAnsiTheme="minorBidi"/>
        </w:rPr>
      </w:pPr>
      <w:r>
        <w:rPr>
          <w:rFonts w:asciiTheme="minorBidi" w:hAnsiTheme="minorBidi"/>
        </w:rPr>
        <w:t>The extension aligns closely with Coca-Cola's packaging and waste reduction objectives. Although 99% of the company's primary packaging was classified as technically recyclable in 2024, only 18% contained recycled content (Rachal, 2025). By drawing upon an existing agricultural by-product rather than virgin fibre or post-consumer plastic, Zico Renew reduces reliance upon non-renewable inputs whilst creating value from a residue otherwise discarded.</w:t>
      </w:r>
    </w:p>
    <w:p w14:paraId="15CDD297" w14:textId="77777777" w:rsidR="002B3C8B" w:rsidRPr="00CD0359" w:rsidRDefault="002B3C8B" w:rsidP="002B3C8B">
      <w:pPr>
        <w:jc w:val="both"/>
        <w:rPr>
          <w:rFonts w:asciiTheme="minorBidi" w:hAnsiTheme="minorBidi"/>
        </w:rPr>
      </w:pPr>
      <w:r>
        <w:rPr>
          <w:rFonts w:asciiTheme="minorBidi" w:hAnsiTheme="minorBidi"/>
        </w:rPr>
        <w:br w:type="page"/>
      </w:r>
    </w:p>
    <w:p w14:paraId="1414A6A7" w14:textId="77777777" w:rsidR="002B3C8B" w:rsidRPr="00CD0359" w:rsidRDefault="002B3C8B" w:rsidP="002B3C8B">
      <w:pPr>
        <w:pStyle w:val="Heading1"/>
        <w:rPr>
          <w:rFonts w:asciiTheme="minorBidi" w:hAnsiTheme="minorBidi" w:cstheme="minorBidi"/>
        </w:rPr>
      </w:pPr>
      <w:bookmarkStart w:id="5" w:name="_Toc237428431"/>
      <w:r>
        <w:t>Element 2: Develop a Segmentation, Targeting, Differentiation, and Positioning (STDP)</w:t>
      </w:r>
      <w:bookmarkEnd w:id="5"/>
    </w:p>
    <w:p w14:paraId="774A0631" w14:textId="77777777" w:rsidR="002B3C8B" w:rsidRPr="00CD0359" w:rsidRDefault="002B3C8B" w:rsidP="002B3C8B">
      <w:pPr>
        <w:pStyle w:val="Heading2"/>
        <w:rPr>
          <w:rFonts w:eastAsia="Times New Roman"/>
          <w:lang w:val="en-IN" w:eastAsia="en-IN"/>
        </w:rPr>
      </w:pPr>
      <w:bookmarkStart w:id="6" w:name="_Toc237428432"/>
      <w:r>
        <w:rPr>
          <w:rFonts w:eastAsia="Times New Roman"/>
          <w:lang w:val="en-IN" w:eastAsia="en-IN"/>
        </w:rPr>
        <w:t>Segmentation, Targeting, Differentiation, and Positioning Analysis: Zico Renew</w:t>
      </w:r>
      <w:bookmarkEnd w:id="6"/>
    </w:p>
    <w:p w14:paraId="6DDC8879" w14:textId="77777777" w:rsidR="002B3C8B" w:rsidRPr="00CD0359" w:rsidRDefault="002B3C8B" w:rsidP="002B3C8B">
      <w:pPr>
        <w:jc w:val="both"/>
        <w:rPr>
          <w:lang w:val="en-IN" w:eastAsia="en-IN"/>
        </w:rPr>
      </w:pPr>
      <w:r>
        <w:rPr>
          <w:lang w:val="en-IN" w:eastAsia="en-IN"/>
        </w:rPr>
        <w:t>The analysis below identifies the market segments relevant to the proposed husk fibre extension and establishes the target audience, differentiation strategy and positioning for the proposition.</w:t>
      </w:r>
    </w:p>
    <w:p w14:paraId="406C81C5" w14:textId="77777777" w:rsidR="002B3C8B" w:rsidRPr="00CD0359" w:rsidRDefault="002B3C8B" w:rsidP="002B3C8B">
      <w:pPr>
        <w:jc w:val="center"/>
        <w:rPr>
          <w:lang w:val="en-IN" w:eastAsia="en-IN"/>
        </w:rPr>
      </w:pPr>
      <w:r>
        <w:rPr>
          <w:rFonts w:ascii="Times New Roman" w:eastAsia="Times New Roman" w:hAnsi="Times New Roman" w:cs="Times New Roman"/>
          <w:noProof/>
          <w:szCs w:val="24"/>
          <w:lang w:val="en-US" w:bidi="hi-IN"/>
        </w:rPr>
        <w:drawing>
          <wp:inline distT="0" distB="0" distL="0" distR="0" wp14:anchorId="41DC5D84" wp14:editId="3DFC7A61">
            <wp:extent cx="5731510" cy="352708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27083"/>
                    </a:xfrm>
                    <a:prstGeom prst="rect">
                      <a:avLst/>
                    </a:prstGeom>
                    <a:noFill/>
                  </pic:spPr>
                </pic:pic>
              </a:graphicData>
            </a:graphic>
          </wp:inline>
        </w:drawing>
      </w:r>
    </w:p>
    <w:p w14:paraId="1DBB2721" w14:textId="77777777" w:rsidR="002B3C8B" w:rsidRPr="00CD0359" w:rsidRDefault="002B3C8B" w:rsidP="002B3C8B">
      <w:pPr>
        <w:jc w:val="center"/>
        <w:rPr>
          <w:b/>
          <w:bCs/>
          <w:lang w:val="en-IN" w:eastAsia="en-IN"/>
        </w:rPr>
      </w:pPr>
      <w:r>
        <w:rPr>
          <w:b/>
          <w:bCs/>
          <w:lang w:val="en-IN" w:eastAsia="en-IN"/>
        </w:rPr>
        <w:t>Figure 2: The global coconut water market.</w:t>
      </w:r>
    </w:p>
    <w:p w14:paraId="2FD8D82F" w14:textId="77777777" w:rsidR="002B3C8B" w:rsidRPr="00CD0359" w:rsidRDefault="002B3C8B" w:rsidP="002B3C8B">
      <w:pPr>
        <w:jc w:val="center"/>
        <w:rPr>
          <w:lang w:val="en-IN" w:eastAsia="en-IN"/>
        </w:rPr>
      </w:pPr>
      <w:r>
        <w:rPr>
          <w:lang w:val="en-IN" w:eastAsia="en-IN"/>
        </w:rPr>
        <w:t>(Source: Future Market Insights, 2026).</w:t>
      </w:r>
    </w:p>
    <w:p w14:paraId="2CEA4995" w14:textId="77777777" w:rsidR="002B3C8B" w:rsidRPr="00CD0359" w:rsidRDefault="002B3C8B" w:rsidP="002B3C8B">
      <w:pPr>
        <w:pStyle w:val="Heading2"/>
        <w:rPr>
          <w:lang w:val="en-IN" w:eastAsia="en-IN"/>
        </w:rPr>
      </w:pPr>
      <w:bookmarkStart w:id="7" w:name="_Toc237428433"/>
      <w:r>
        <w:rPr>
          <w:lang w:val="en-IN" w:eastAsia="en-IN"/>
        </w:rPr>
        <w:t>Market Segmentation</w:t>
      </w:r>
      <w:bookmarkEnd w:id="7"/>
    </w:p>
    <w:p w14:paraId="3315B00C" w14:textId="77777777" w:rsidR="002B3C8B" w:rsidRPr="00CD0359" w:rsidRDefault="002B3C8B" w:rsidP="002B3C8B">
      <w:pPr>
        <w:jc w:val="both"/>
        <w:rPr>
          <w:b/>
          <w:bCs/>
          <w:lang w:val="en-IN" w:eastAsia="en-IN"/>
        </w:rPr>
      </w:pPr>
      <w:r>
        <w:rPr>
          <w:b/>
          <w:bCs/>
          <w:lang w:val="en-IN" w:eastAsia="en-IN"/>
        </w:rPr>
        <w:t>Geographic Segmentation</w:t>
      </w:r>
    </w:p>
    <w:p w14:paraId="60C5B15F" w14:textId="77777777" w:rsidR="00666C53" w:rsidRPr="00666C53" w:rsidRDefault="002B3C8B" w:rsidP="00666C53">
      <w:pPr>
        <w:jc w:val="both"/>
        <w:rPr>
          <w:lang w:val="en-IN" w:eastAsia="en-IN"/>
        </w:rPr>
      </w:pPr>
      <w:r>
        <w:rPr>
          <w:lang w:val="en-IN" w:eastAsia="en-IN"/>
        </w:rPr>
        <w:t xml:space="preserve">The global coconut water market, valued at approximately USD 5.5 billion in 2025, is anticipated to reach USD 14.0 billion by 2034, a compound annual growth rate of 10.35% (IMARC Group, 2026). </w:t>
      </w:r>
      <w:r w:rsidR="00666C53" w:rsidRPr="00666C53">
        <w:rPr>
          <w:lang w:val="en-IN" w:eastAsia="en-IN"/>
        </w:rPr>
        <w:t>North America is the biggest regional market, due to acceptance of functional drinks and well-developed cold-chain network in retail. A secondary focus is given to cities in Western Europe, where recycling systems and knowledge of the environment are well-developed.</w:t>
      </w:r>
    </w:p>
    <w:p w14:paraId="1B327D47" w14:textId="77777777" w:rsidR="00666C53" w:rsidRPr="00666C53" w:rsidRDefault="00666C53" w:rsidP="00666C53">
      <w:pPr>
        <w:jc w:val="both"/>
        <w:rPr>
          <w:b/>
          <w:bCs/>
          <w:lang w:val="en-IN" w:eastAsia="en-IN"/>
        </w:rPr>
      </w:pPr>
      <w:r w:rsidRPr="00666C53">
        <w:rPr>
          <w:b/>
          <w:bCs/>
          <w:lang w:val="en-IN" w:eastAsia="en-IN"/>
        </w:rPr>
        <w:t>Demographic Segmentation</w:t>
      </w:r>
    </w:p>
    <w:p w14:paraId="7AFCD89E" w14:textId="77777777" w:rsidR="00666C53" w:rsidRPr="00666C53" w:rsidRDefault="00666C53" w:rsidP="00666C53">
      <w:pPr>
        <w:jc w:val="both"/>
        <w:rPr>
          <w:lang w:val="en-IN" w:eastAsia="en-IN"/>
        </w:rPr>
      </w:pPr>
      <w:r w:rsidRPr="00666C53">
        <w:rPr>
          <w:lang w:val="en-IN" w:eastAsia="en-IN"/>
        </w:rPr>
        <w:t>From the demographic perspective, Zico Renew addresses adults from the age of eighteen to 40, with the majority of them being Millennials and Generation Z—the groups who have embraced the new concept of sustainability in buying and consuming products the most. These consumers tend to have high or medium degrees of discretionary income, have access to university education and be overrepresented in urban labour markets, are usually professionals and ex post have no dependent children, and thus are more likely to bear an ethical premium.</w:t>
      </w:r>
    </w:p>
    <w:p w14:paraId="510F1EB5" w14:textId="77777777" w:rsidR="00666C53" w:rsidRPr="00666C53" w:rsidRDefault="00666C53" w:rsidP="00666C53">
      <w:pPr>
        <w:jc w:val="both"/>
        <w:rPr>
          <w:b/>
          <w:bCs/>
          <w:lang w:val="en-IN" w:eastAsia="en-IN"/>
        </w:rPr>
      </w:pPr>
      <w:r w:rsidRPr="00666C53">
        <w:rPr>
          <w:b/>
          <w:bCs/>
          <w:lang w:val="en-IN" w:eastAsia="en-IN"/>
        </w:rPr>
        <w:t>Psychographic Segmentation</w:t>
      </w:r>
    </w:p>
    <w:p w14:paraId="4C19E297" w14:textId="77777777" w:rsidR="00666C53" w:rsidRPr="00666C53" w:rsidRDefault="00666C53" w:rsidP="00666C53">
      <w:pPr>
        <w:jc w:val="both"/>
        <w:rPr>
          <w:lang w:val="en-IN" w:eastAsia="en-IN"/>
        </w:rPr>
      </w:pPr>
      <w:r w:rsidRPr="00666C53">
        <w:rPr>
          <w:lang w:val="en-IN" w:eastAsia="en-IN"/>
        </w:rPr>
        <w:t>From a health perspective, the segment is described by their readiness to take care of themselves and the environment, and a positive attitude towards brands regarded as transparent and take responsibility brands (Arizton 2024).  These consumers 'own' the purchase, value a circular approach and are not receptive to performative sustainability communication.</w:t>
      </w:r>
    </w:p>
    <w:p w14:paraId="181696B8" w14:textId="77777777" w:rsidR="00666C53" w:rsidRPr="00666C53" w:rsidRDefault="00666C53" w:rsidP="00666C53">
      <w:pPr>
        <w:jc w:val="both"/>
        <w:rPr>
          <w:b/>
          <w:bCs/>
          <w:lang w:val="en-IN" w:eastAsia="en-IN"/>
        </w:rPr>
      </w:pPr>
      <w:r w:rsidRPr="00666C53">
        <w:rPr>
          <w:b/>
          <w:bCs/>
          <w:lang w:val="en-IN" w:eastAsia="en-IN"/>
        </w:rPr>
        <w:t>Behavioural Segmentation</w:t>
      </w:r>
    </w:p>
    <w:p w14:paraId="35A0DED8" w14:textId="77777777" w:rsidR="00666C53" w:rsidRPr="00666C53" w:rsidRDefault="00666C53" w:rsidP="00666C53">
      <w:pPr>
        <w:jc w:val="both"/>
        <w:rPr>
          <w:lang w:val="en-IN" w:eastAsia="en-IN"/>
        </w:rPr>
      </w:pPr>
      <w:r w:rsidRPr="00666C53">
        <w:rPr>
          <w:lang w:val="en-IN" w:eastAsia="en-IN"/>
        </w:rPr>
        <w:t>Behaviourally the segment expresses high trust = loyalty once gained and is interested in the information provided about the origin (provenance) and even open to a change when a more responsible alternative arises. Close to 52% of the global demand for coconut water packaging comes from carton formats, which is a sign of familiarity with fibre based packaging that will help shorten the adoption curve (IMARC Group, 2026).</w:t>
      </w:r>
    </w:p>
    <w:p w14:paraId="7791E1AD" w14:textId="77777777" w:rsidR="00666C53" w:rsidRPr="00666C53" w:rsidRDefault="00666C53" w:rsidP="00666C53">
      <w:pPr>
        <w:jc w:val="both"/>
        <w:rPr>
          <w:b/>
          <w:bCs/>
          <w:lang w:val="en-IN" w:eastAsia="en-IN"/>
        </w:rPr>
      </w:pPr>
      <w:r w:rsidRPr="00666C53">
        <w:rPr>
          <w:b/>
          <w:bCs/>
          <w:lang w:val="en-IN" w:eastAsia="en-IN"/>
        </w:rPr>
        <w:t>Targeting</w:t>
      </w:r>
    </w:p>
    <w:p w14:paraId="2E25D13B" w14:textId="328BA88D" w:rsidR="002B3C8B" w:rsidRPr="00CD0359" w:rsidRDefault="00666C53" w:rsidP="00666C53">
      <w:pPr>
        <w:jc w:val="both"/>
        <w:rPr>
          <w:lang w:val="en-IN" w:eastAsia="en-IN"/>
        </w:rPr>
      </w:pPr>
      <w:r w:rsidRPr="00666C53">
        <w:rPr>
          <w:lang w:val="en-IN" w:eastAsia="en-IN"/>
        </w:rPr>
        <w:t>Differentiated targeting strategy is suggested. Primary focus is on “environmentally concerned” Millennial and Generation Z consumers in North America and Western Europe with secondary focus on food-service operators, gymnasiums, and other such establishments that purchase direct, representing around 37.6% of sales, thus guaranteeing reliable contract orders (Future Market Insights 2026).</w:t>
      </w:r>
    </w:p>
    <w:p w14:paraId="7BD896C7" w14:textId="77777777" w:rsidR="002B3C8B" w:rsidRDefault="002B3C8B" w:rsidP="002B3C8B"/>
    <w:p w14:paraId="3F1D4209" w14:textId="77777777" w:rsidR="002B3C8B" w:rsidRDefault="002B3C8B" w:rsidP="002B3C8B">
      <w:pPr>
        <w:jc w:val="both"/>
        <w:rPr>
          <w:b/>
          <w:bCs/>
        </w:rPr>
      </w:pPr>
      <w:r>
        <w:rPr>
          <w:b/>
          <w:bCs/>
        </w:rPr>
        <w:t>Targeting Strategy Types</w:t>
      </w:r>
    </w:p>
    <w:p w14:paraId="4A8CF6B1" w14:textId="77777777" w:rsidR="00666C53" w:rsidRDefault="00666C53" w:rsidP="008D7393">
      <w:pPr>
        <w:jc w:val="both"/>
      </w:pPr>
      <w:bookmarkStart w:id="8" w:name="_Toc237428438"/>
      <w:r>
        <w:t>Three targeting approaches are available to Zico Renew. These are all assessed prior to seeking to advance a recommendation.</w:t>
      </w:r>
    </w:p>
    <w:p w14:paraId="1CE0CF13" w14:textId="77777777" w:rsidR="00666C53" w:rsidRDefault="00666C53" w:rsidP="008D7393">
      <w:pPr>
        <w:jc w:val="both"/>
      </w:pPr>
      <w:r>
        <w:t>1. Undifferentiated (Mass) Targeting</w:t>
      </w:r>
    </w:p>
    <w:p w14:paraId="7774DF85" w14:textId="77777777" w:rsidR="00666C53" w:rsidRDefault="00666C53" w:rsidP="008D7393">
      <w:pPr>
        <w:jc w:val="both"/>
      </w:pPr>
      <w:r>
        <w:t>Undifferentiated targeting treats the market as a single homogeneous market, by using one marketing mix for the entire market. This ensures maximum reach and low production complexity, but at the same time, they ignored any real difference in the values and the motives of their consumers (Kotler and Keller, 2016). This is not suitable for Zico Renew as sustainability premium/packaging concepts resonate best with select demographic and defined psychographic audiences among those who buy soft drinks.</w:t>
      </w:r>
    </w:p>
    <w:p w14:paraId="59AFE66E" w14:textId="77777777" w:rsidR="00666C53" w:rsidRDefault="00666C53" w:rsidP="008D7393">
      <w:pPr>
        <w:jc w:val="both"/>
      </w:pPr>
      <w:r>
        <w:t>2. Concentrated (Niche) Targeting</w:t>
      </w:r>
    </w:p>
    <w:p w14:paraId="4C27E034" w14:textId="77777777" w:rsidR="00666C53" w:rsidRDefault="00666C53" w:rsidP="008D7393">
      <w:pPr>
        <w:jc w:val="both"/>
      </w:pPr>
      <w:r>
        <w:t>Concentrated targeting is aimed at one narrow segment, so that there is a deep relevance within the group. It is an effective process when a brand has not yet started extending its product line. However, it is a scope that restricts commercial volume and puts limits upon the revenue necessary in sourcing, certifying and logistics of husk fibre, at scale.</w:t>
      </w:r>
    </w:p>
    <w:p w14:paraId="30D1075A" w14:textId="77777777" w:rsidR="00666C53" w:rsidRDefault="00666C53" w:rsidP="008D7393">
      <w:pPr>
        <w:jc w:val="both"/>
      </w:pPr>
      <w:r>
        <w:t>3. Differentiated Targeting (Recommended)</w:t>
      </w:r>
    </w:p>
    <w:p w14:paraId="5E13E714" w14:textId="77777777" w:rsidR="00666C53" w:rsidRDefault="00666C53" w:rsidP="008D7393">
      <w:pPr>
        <w:jc w:val="both"/>
      </w:pPr>
      <w:r>
        <w:t>Differentiated targeting involves creating a different value proposition for two or more targetable segmentations. Zico Renew's key target market will be “Environmental / Millennial &amp; Gen-Z” consumers in the North American and Western European markets via ecommerce and retail. The secondary segment consists institutional buyers, such as gymnasiums, campus cafeterias and food-service operators, representing around 37.6% of the total sales of coconut water globally as per Future Market Insights, 2026, with the buyers offering predictable contract size. The message and emphasis is delivered differently according to each segment: for those aiming at the consumers, traceability and circular packaging is emphasized; for those focusing on institutions, message is focused on supply reliability and volume pricing. This split strategy is designed to achieve margin in the retail segment while maintaining a level volume in the institutional segment.</w:t>
      </w:r>
    </w:p>
    <w:p w14:paraId="3C94CCDF" w14:textId="77777777" w:rsidR="00666C53" w:rsidRDefault="00666C53" w:rsidP="008D7393">
      <w:pPr>
        <w:jc w:val="both"/>
      </w:pPr>
      <w:r>
        <w:t>Differentiation</w:t>
      </w:r>
    </w:p>
    <w:p w14:paraId="3384625A" w14:textId="77777777" w:rsidR="00666C53" w:rsidRDefault="00666C53" w:rsidP="008D7393">
      <w:pPr>
        <w:jc w:val="both"/>
      </w:pPr>
      <w:r>
        <w:t>Unlike Vita Coco and O.N.E. Coconut Water of PepsiCo, which are looking at reformulating their products for packaging with husk fibre, Zico Renew relies on innovation in packaging to achieve differentiation (Environmental Update Coca Cola, 2024). At core is the difference between recyclability and verified recycled content, however, as Ploumis (2025) shows, even though 18% of Coca-Cola's PET is recyclable, there was none recycled in 2024. Zico Renew directly rectifies this lack of availability by using an upcycled plant residue, highlighting the fact that the consumption of virgin plastics has increased by about 6% since 2019 (Rachal, 2025).</w:t>
      </w:r>
    </w:p>
    <w:p w14:paraId="78BDDA47" w14:textId="77777777" w:rsidR="00666C53" w:rsidRDefault="00666C53" w:rsidP="008D7393">
      <w:pPr>
        <w:jc w:val="both"/>
      </w:pPr>
      <w:r>
        <w:t>Positioning</w:t>
      </w:r>
    </w:p>
    <w:p w14:paraId="266BCFDA" w14:textId="32A819F3" w:rsidR="00666C53" w:rsidRDefault="00666C53" w:rsidP="008D7393">
      <w:pPr>
        <w:jc w:val="both"/>
      </w:pPr>
      <w:r>
        <w:t xml:space="preserve">The positioning should aim to make Zico Renew a credible waste to value proposition, shifting the proposition towards the true coconut hydration and realistically verifiable sustainable packaging. It should be popular among health-conscious and sustainability-focused consumers, who should know that they are not served by a plastic container; its competitors use plastics and/or recycled content claims, which are unproven. The 7% to 20% forecast </w:t>
      </w:r>
      <w:r w:rsidR="005C31C5">
        <w:t>growth represents a</w:t>
      </w:r>
      <w:r>
        <w:t xml:space="preserve"> receptive market (Mordor Intelligence, 2026).</w:t>
      </w:r>
    </w:p>
    <w:p w14:paraId="1111B3FE" w14:textId="77777777" w:rsidR="00666C53" w:rsidRPr="00666C53" w:rsidRDefault="00666C53" w:rsidP="008D7393">
      <w:pPr>
        <w:jc w:val="both"/>
        <w:rPr>
          <w:b/>
          <w:bCs/>
        </w:rPr>
      </w:pPr>
      <w:r w:rsidRPr="00666C53">
        <w:rPr>
          <w:b/>
          <w:bCs/>
        </w:rPr>
        <w:t>Porter's Generic Strategy</w:t>
      </w:r>
    </w:p>
    <w:p w14:paraId="6F32C9EC" w14:textId="77777777" w:rsidR="00666C53" w:rsidRDefault="00666C53" w:rsidP="008D7393">
      <w:pPr>
        <w:jc w:val="both"/>
      </w:pPr>
      <w:r>
        <w:t>According to Porter's generic strategy framework, there are three ways to achieve sustainable competitive advantage: cost leadership, differentiation and focus. If the company doesn't clearly say one thing, the risk of hanging out in the middle insures that no company will have any competitive advantage.</w:t>
      </w:r>
    </w:p>
    <w:p w14:paraId="2939056E" w14:textId="77777777" w:rsidR="00666C53" w:rsidRPr="00666C53" w:rsidRDefault="00666C53" w:rsidP="008D7393">
      <w:pPr>
        <w:jc w:val="both"/>
        <w:rPr>
          <w:b/>
          <w:bCs/>
        </w:rPr>
      </w:pPr>
      <w:r w:rsidRPr="00666C53">
        <w:rPr>
          <w:b/>
          <w:bCs/>
        </w:rPr>
        <w:t>Application to Zico Renew</w:t>
      </w:r>
    </w:p>
    <w:p w14:paraId="66FF0E82" w14:textId="3A3BF529" w:rsidR="00666C53" w:rsidRDefault="00666C53" w:rsidP="008D7393">
      <w:pPr>
        <w:jc w:val="both"/>
      </w:pPr>
      <w:r>
        <w:t>Zico Renew should seek to differentiate more, not to cost more. It isn't a low-cost option, which is already in competition with Vita Coco and O.N.E. Coconut Water – but is an upcycled packaging innovation that can make a positive difference in tackling the credibility issue in Coca-Cola's sustainability story (Ploumis, 2025).</w:t>
      </w:r>
    </w:p>
    <w:p w14:paraId="37AF74C8" w14:textId="6103B9E2" w:rsidR="002B3C8B" w:rsidRPr="00CD0359" w:rsidRDefault="002B3C8B" w:rsidP="002B3C8B">
      <w:pPr>
        <w:pStyle w:val="Heading1"/>
      </w:pPr>
      <w:r>
        <w:t>Element 3: Marketing Mix Strategy for Zico Renew</w:t>
      </w:r>
      <w:bookmarkEnd w:id="8"/>
    </w:p>
    <w:p w14:paraId="611FEDCD" w14:textId="77777777" w:rsidR="002B3C8B" w:rsidRPr="00CD0359" w:rsidRDefault="002B3C8B" w:rsidP="002B3C8B">
      <w:pPr>
        <w:pStyle w:val="Heading2"/>
      </w:pPr>
      <w:bookmarkStart w:id="9" w:name="_Toc237428439"/>
      <w:r>
        <w:t>Rationale for Adopting the Extended Marketing Mix (7Ps)</w:t>
      </w:r>
      <w:bookmarkEnd w:id="9"/>
    </w:p>
    <w:p w14:paraId="7E056FA0" w14:textId="77777777" w:rsidR="00666C53" w:rsidRDefault="00666C53" w:rsidP="002B3C8B">
      <w:pPr>
        <w:jc w:val="both"/>
      </w:pPr>
      <w:r w:rsidRPr="00666C53">
        <w:t>The seven elements of the extended mix are better since this evaluation is more of an offering of product concept than a sustainability claim which is communicated through retail/ institutional channels. When scepticism is high, Nguyen-Viet (2022) say that people, process and physical evidence directly impact perceptions of the credibility of environmental claims.</w:t>
      </w:r>
    </w:p>
    <w:p w14:paraId="1CC1DE46" w14:textId="36628E9A" w:rsidR="002B3C8B" w:rsidRPr="00CD0359" w:rsidRDefault="002B3C8B" w:rsidP="002B3C8B">
      <w:pPr>
        <w:jc w:val="both"/>
        <w:rPr>
          <w:b/>
          <w:bCs/>
        </w:rPr>
      </w:pPr>
      <w:r>
        <w:rPr>
          <w:b/>
          <w:bCs/>
        </w:rPr>
        <w:t>Product</w:t>
      </w:r>
    </w:p>
    <w:p w14:paraId="5478EC8F" w14:textId="77777777" w:rsidR="002B3C8B" w:rsidRPr="00CD0359" w:rsidRDefault="002B3C8B" w:rsidP="002B3C8B">
      <w:pPr>
        <w:jc w:val="both"/>
      </w:pPr>
      <w:r>
        <w:t>The core innovation substitutes a biodegradable coconut husk fibre container for Tetra Pak or PET packaging, leaving the formulation unchanged. The rationale is reinforced by the limited returns from Coca-Cola's investment in recycled plastic, approaching one billion US dollars in 2022 yet without meaningful reduction in its plastic footprint (Oceana, 2025). Mukonza and Swarts (2020) report that green product strategies enhance brand image more reliably when founded upon genuine material innovation.</w:t>
      </w:r>
    </w:p>
    <w:p w14:paraId="3E180E94" w14:textId="77777777" w:rsidR="002B3C8B" w:rsidRPr="00CD0359" w:rsidRDefault="002B3C8B" w:rsidP="002B3C8B">
      <w:pPr>
        <w:jc w:val="both"/>
        <w:rPr>
          <w:b/>
          <w:bCs/>
        </w:rPr>
      </w:pPr>
      <w:r>
        <w:rPr>
          <w:b/>
          <w:bCs/>
        </w:rPr>
        <w:t>Price</w:t>
      </w:r>
    </w:p>
    <w:p w14:paraId="3BF41B6F" w14:textId="77777777" w:rsidR="002B3C8B" w:rsidRPr="00CD0359" w:rsidRDefault="002B3C8B" w:rsidP="002B3C8B">
      <w:pPr>
        <w:jc w:val="both"/>
      </w:pPr>
      <w:r>
        <w:t>Pricing is informed by a bounded tolerance for premiums. PwC (2024) records an average willingness to pay 9.7% more for sustainably produced goods, whilst Simon-Kucher (2024) reports that 54% of consumers now accept such a premium, against 35% in 2022. Nordigarden et al. (2025) caution that only 4% to 7% tolerate premiums substantially above 10%. A moderate premium of approximately 8% to 10% above the standard range is therefore advisable, rather than an aggressive strategy alienating price-sensitive segments.</w:t>
      </w:r>
    </w:p>
    <w:p w14:paraId="1ECD38BC" w14:textId="77777777" w:rsidR="002B3C8B" w:rsidRPr="00CD0359" w:rsidRDefault="002B3C8B" w:rsidP="002B3C8B">
      <w:pPr>
        <w:rPr>
          <w:b/>
          <w:bCs/>
        </w:rPr>
      </w:pPr>
      <w:r>
        <w:rPr>
          <w:b/>
          <w:bCs/>
        </w:rPr>
        <w:t>Place</w:t>
      </w:r>
    </w:p>
    <w:p w14:paraId="42063BBE" w14:textId="77777777" w:rsidR="002B3C8B" w:rsidRPr="00CD0359" w:rsidRDefault="002B3C8B" w:rsidP="002B3C8B">
      <w:pPr>
        <w:jc w:val="both"/>
      </w:pPr>
      <w:r>
        <w:t>Distribution should exploit Coca-Cola's established supermarket and convenience networks whilst prioritising e-commerce, the fastest-growing channel in the category at a projected compound annual growth rate of 20.1% between 2026 and 2033 (Grand View Research, 2026). This matters disproportionately because younger, sustainability-oriented consumers concentrate among online purchasers.</w:t>
      </w:r>
    </w:p>
    <w:p w14:paraId="042ED1C0" w14:textId="77777777" w:rsidR="002B3C8B" w:rsidRPr="005C5B5B" w:rsidRDefault="002B3C8B" w:rsidP="002B3C8B">
      <w:pPr>
        <w:jc w:val="both"/>
        <w:rPr>
          <w:color w:val="000000" w:themeColor="text1"/>
        </w:rPr>
      </w:pPr>
      <w:r w:rsidRPr="005C5B5B">
        <w:rPr>
          <w:color w:val="000000" w:themeColor="text1"/>
        </w:rPr>
        <w:t>The place factor should also include the means by which orders will be placed and booked, considering that the availability of the order interface is critical in determining conversion both in consumers as well as institutional buyers. Three means of achieving this are outlined below. A separate section on the Zico website will enable direct bookings for the deliveries as well as reservations of production volumes per quarter by the food service operators. This will help to stabilize the demand for the material in shortage of supply. There should also be a mobile app that will work together with the already existing Coca-Cola order system in booking repeat orders, tracking and scheduling deliveries to the gymnasiums, cafeterias, and campus outlets.</w:t>
      </w:r>
    </w:p>
    <w:p w14:paraId="1331718B" w14:textId="77777777" w:rsidR="002B3C8B" w:rsidRPr="00CD0359" w:rsidRDefault="002B3C8B" w:rsidP="002B3C8B">
      <w:pPr>
        <w:pStyle w:val="NormalWeb"/>
        <w:spacing w:before="0" w:beforeAutospacing="0" w:after="240" w:afterAutospacing="0" w:line="360" w:lineRule="auto"/>
        <w:jc w:val="both"/>
        <w:rPr>
          <w:rFonts w:asciiTheme="minorBidi" w:hAnsiTheme="minorBidi" w:cstheme="minorBidi"/>
        </w:rPr>
      </w:pPr>
      <w:r>
        <w:rPr>
          <w:rFonts w:asciiTheme="minorBidi" w:hAnsiTheme="minorBidi" w:cstheme="minorBidi"/>
          <w:noProof/>
          <w:lang w:val="en-US" w:eastAsia="en-US" w:bidi="hi-IN"/>
        </w:rPr>
        <w:drawing>
          <wp:inline distT="0" distB="0" distL="0" distR="0" wp14:anchorId="19EFA485" wp14:editId="19874E85">
            <wp:extent cx="5731510" cy="3707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07765"/>
                    </a:xfrm>
                    <a:prstGeom prst="rect">
                      <a:avLst/>
                    </a:prstGeom>
                  </pic:spPr>
                </pic:pic>
              </a:graphicData>
            </a:graphic>
          </wp:inline>
        </w:drawing>
      </w:r>
    </w:p>
    <w:p w14:paraId="6ADD9D36" w14:textId="77777777" w:rsidR="002B3C8B" w:rsidRPr="00CD0359" w:rsidRDefault="002B3C8B" w:rsidP="002B3C8B">
      <w:pPr>
        <w:pStyle w:val="NormalWeb"/>
        <w:spacing w:before="0" w:beforeAutospacing="0" w:after="240" w:afterAutospacing="0" w:line="360" w:lineRule="auto"/>
        <w:jc w:val="center"/>
        <w:rPr>
          <w:rFonts w:asciiTheme="minorBidi" w:hAnsiTheme="minorBidi" w:cstheme="minorBidi"/>
          <w:b/>
          <w:bCs/>
        </w:rPr>
      </w:pPr>
      <w:r>
        <w:rPr>
          <w:rFonts w:asciiTheme="minorBidi" w:hAnsiTheme="minorBidi" w:cstheme="minorBidi"/>
          <w:b/>
          <w:bCs/>
        </w:rPr>
        <w:t>Figure 3: Importance of packaging characteristics while purchasing decisions</w:t>
      </w:r>
    </w:p>
    <w:p w14:paraId="52E517E7" w14:textId="77777777" w:rsidR="002B3C8B" w:rsidRPr="00CD0359" w:rsidRDefault="002B3C8B" w:rsidP="002B3C8B">
      <w:pPr>
        <w:pStyle w:val="NormalWeb"/>
        <w:spacing w:before="0" w:beforeAutospacing="0" w:after="240" w:afterAutospacing="0" w:line="360" w:lineRule="auto"/>
        <w:jc w:val="center"/>
        <w:rPr>
          <w:rFonts w:asciiTheme="minorBidi" w:hAnsiTheme="minorBidi" w:cstheme="minorBidi"/>
        </w:rPr>
      </w:pPr>
      <w:r>
        <w:rPr>
          <w:rFonts w:asciiTheme="minorBidi" w:hAnsiTheme="minorBidi" w:cstheme="minorBidi"/>
        </w:rPr>
        <w:t>(Source: Nordigården, et al. 2025).</w:t>
      </w:r>
    </w:p>
    <w:p w14:paraId="39D2D95A" w14:textId="77777777" w:rsidR="002B3C8B" w:rsidRPr="00CD0359" w:rsidRDefault="002B3C8B" w:rsidP="002B3C8B">
      <w:pPr>
        <w:jc w:val="both"/>
        <w:rPr>
          <w:b/>
          <w:bCs/>
        </w:rPr>
      </w:pPr>
      <w:r>
        <w:rPr>
          <w:b/>
          <w:bCs/>
        </w:rPr>
        <w:t>Promotion</w:t>
      </w:r>
    </w:p>
    <w:p w14:paraId="68E922C4" w14:textId="6AC225CE" w:rsidR="002B3C8B" w:rsidRPr="00CD0359" w:rsidRDefault="002B3C8B" w:rsidP="002B3C8B">
      <w:pPr>
        <w:jc w:val="both"/>
      </w:pPr>
      <w:r>
        <w:t xml:space="preserve">Promotional strategy should privilege verifiable specificity over broad sustainability messaging. Qayyum, Jamil and Sehar (2022) demonstrate that </w:t>
      </w:r>
      <w:r w:rsidR="0031213D">
        <w:t>green washing</w:t>
      </w:r>
      <w:r>
        <w:t xml:space="preserve"> and green confusion damage brand equity where claims cannot be substantiated. Shorr (2025) nevertheless reports that 43% of consumers would pay more for sustainable packaging and 90% are more inclined to purchase from brands adopting such materials.</w:t>
      </w:r>
    </w:p>
    <w:p w14:paraId="52E7A792" w14:textId="77777777" w:rsidR="002B3C8B" w:rsidRPr="005C5B5B" w:rsidRDefault="002B3C8B" w:rsidP="002B3C8B">
      <w:pPr>
        <w:jc w:val="both"/>
        <w:rPr>
          <w:color w:val="000000" w:themeColor="text1"/>
        </w:rPr>
      </w:pPr>
      <w:r w:rsidRPr="005C5B5B">
        <w:rPr>
          <w:color w:val="000000" w:themeColor="text1"/>
        </w:rPr>
        <w:t>Integrated marketing communication (IMC) could be defined as the coordinated use of all promotional tools, including advertisement, public relations, sales promotions, direct marketing, personal selling and digital channels, in such a way that each of them carries the same message and promotes a single brand image. Rehman, Gulzar and Aslam (2022) contend that the integration of social media into the IMC approach has become essential because consumer-generated content contributes to shaping the brand image just as much as brand-generated communication does. For Zico Renew, one indisputable fact about the drink providing both the product itself and its packaging has to be the basis of every channel.</w:t>
      </w:r>
    </w:p>
    <w:p w14:paraId="1C147B3C" w14:textId="77777777" w:rsidR="002B3C8B" w:rsidRPr="005C5B5B" w:rsidRDefault="002B3C8B" w:rsidP="002B3C8B">
      <w:pPr>
        <w:jc w:val="both"/>
        <w:rPr>
          <w:color w:val="000000" w:themeColor="text1"/>
        </w:rPr>
      </w:pPr>
      <w:r w:rsidRPr="005C5B5B">
        <w:rPr>
          <w:color w:val="000000" w:themeColor="text1"/>
        </w:rPr>
        <w:t>Accordingly, the approach of using social media is divided into three stages. First, traceability-based product launch on Instagram and TikTok will use short videos showing the collection of fibers and making of the bottles from the husks, providing evidence rather than making claims. Next, credibility stage will be based on releasing independent testing reports and lifecycle data via LinkedIn and YouTube. Finally, engagement stage will rely on consumer-generated content and discussions, where any criticism has to be answered directly.</w:t>
      </w:r>
    </w:p>
    <w:p w14:paraId="58C8758D" w14:textId="77777777" w:rsidR="002B3C8B" w:rsidRPr="00CD0359" w:rsidRDefault="002B3C8B" w:rsidP="002B3C8B">
      <w:pPr>
        <w:jc w:val="both"/>
        <w:rPr>
          <w:b/>
          <w:bCs/>
        </w:rPr>
      </w:pPr>
      <w:r>
        <w:rPr>
          <w:b/>
          <w:bCs/>
        </w:rPr>
        <w:t>People</w:t>
      </w:r>
    </w:p>
    <w:p w14:paraId="1D528A60" w14:textId="77777777" w:rsidR="002B3C8B" w:rsidRPr="00CD0359" w:rsidRDefault="002B3C8B" w:rsidP="002B3C8B">
      <w:pPr>
        <w:jc w:val="both"/>
      </w:pPr>
      <w:r>
        <w:t>Bottling partners, retail account teams and field staff must be equipped to describe the material accurately, since inconsistent explanation at the point of sale risks converting a credible claim into misinformation, a risk heightened by the scrutiny already directed at Coca-Cola's environmental claims (Oceana, 2025).</w:t>
      </w:r>
    </w:p>
    <w:p w14:paraId="02934ACA" w14:textId="77777777" w:rsidR="002B3C8B" w:rsidRPr="005C5B5B" w:rsidRDefault="002B3C8B" w:rsidP="002B3C8B">
      <w:pPr>
        <w:jc w:val="both"/>
        <w:rPr>
          <w:color w:val="000000" w:themeColor="text1"/>
        </w:rPr>
      </w:pPr>
      <w:r w:rsidRPr="005C5B5B">
        <w:rPr>
          <w:color w:val="000000" w:themeColor="text1"/>
        </w:rPr>
        <w:t>The training that would be needed would be specific as opposed to generic. This will entail the training having a technical section on the composition and compostability criteria and the disposal process of the husk fibre; a claims section on what can be said based on certification and what can’t; and a scenario section where scenarios are practised to deal with consumer scepticism. Incentives are not just about appealing. Yafi, Tehseen and Haider (2021) show that green training affects performance in environmental matters via mediating factors such as competence and motivation, implying that simply training people is not enough unless employees see the personal relevance and competence involved. Appropriate incentives will include including the accuracy of sustainable communication in account team reviews; rewarding verified take-backs and inclusion of employees in reporting material and supply issues.</w:t>
      </w:r>
    </w:p>
    <w:p w14:paraId="67A8C68D" w14:textId="77777777" w:rsidR="002B3C8B" w:rsidRPr="00CD0359" w:rsidRDefault="002B3C8B" w:rsidP="002B3C8B">
      <w:pPr>
        <w:jc w:val="both"/>
        <w:rPr>
          <w:b/>
          <w:bCs/>
        </w:rPr>
      </w:pPr>
      <w:r>
        <w:rPr>
          <w:b/>
          <w:bCs/>
        </w:rPr>
        <w:t>Process</w:t>
      </w:r>
    </w:p>
    <w:p w14:paraId="50D5FEA5" w14:textId="77777777" w:rsidR="002B3C8B" w:rsidRPr="00CD0359" w:rsidRDefault="002B3C8B" w:rsidP="002B3C8B">
      <w:pPr>
        <w:jc w:val="both"/>
      </w:pPr>
      <w:r>
        <w:t>The process element concerns supply chain integrity and consistent sourcing of husk fibre at commercial scale. Reversion to conventional packaging during scarcity would corroborate perceptions of superficial sustainability, reinforcing the transparency in sourcing that Nguyen-Viet (2022) emphasises.</w:t>
      </w:r>
    </w:p>
    <w:p w14:paraId="3C96CE3E" w14:textId="0FC984A9" w:rsidR="002B3C8B" w:rsidRPr="005C5B5B" w:rsidRDefault="002B3C8B" w:rsidP="002B3C8B">
      <w:pPr>
        <w:jc w:val="both"/>
        <w:rPr>
          <w:rFonts w:asciiTheme="minorBidi" w:hAnsiTheme="minorBidi"/>
          <w:color w:val="000000" w:themeColor="text1"/>
        </w:rPr>
      </w:pPr>
      <w:r w:rsidRPr="005C5B5B">
        <w:rPr>
          <w:rFonts w:asciiTheme="minorBidi" w:hAnsiTheme="minorBidi"/>
          <w:color w:val="000000" w:themeColor="text1"/>
        </w:rPr>
        <w:t xml:space="preserve">Customer complaints handling process constitutes the second step in procedure due to the challenges associated with innovations in packaging. The procedure should have four stages. The complaints will be handled using one multi-channel intake process for the website, mobile app, telephone, and social media to ensure that no channel remains an uncontrolled source of public complaints. The acknowledgement will occur within twenty-four hours followed by resolution within five business days. Each complaint will be categorized as either a product complaint, packaging integrity complaint, sustainability complaint or delivery complaint. The complaint on claims will be escalated to the technical reviewer who will provide the certification evidence while those that fail repeatedly will be </w:t>
      </w:r>
      <w:r w:rsidR="005C31C5" w:rsidRPr="005C5B5B">
        <w:rPr>
          <w:rFonts w:asciiTheme="minorBidi" w:hAnsiTheme="minorBidi"/>
          <w:color w:val="000000" w:themeColor="text1"/>
        </w:rPr>
        <w:t>channelled</w:t>
      </w:r>
      <w:r w:rsidRPr="005C5B5B">
        <w:rPr>
          <w:rFonts w:asciiTheme="minorBidi" w:hAnsiTheme="minorBidi"/>
          <w:color w:val="000000" w:themeColor="text1"/>
        </w:rPr>
        <w:t xml:space="preserve"> to the material supplier. Morgeson et al. (2020) state that effective customer complaints handling process helps in converting dissatisfied customers to loyal customers.</w:t>
      </w:r>
    </w:p>
    <w:p w14:paraId="0072F340" w14:textId="77777777" w:rsidR="002B3C8B" w:rsidRPr="00CD0359" w:rsidRDefault="002B3C8B" w:rsidP="002B3C8B">
      <w:pPr>
        <w:jc w:val="both"/>
        <w:rPr>
          <w:b/>
          <w:bCs/>
        </w:rPr>
      </w:pPr>
      <w:r>
        <w:rPr>
          <w:b/>
          <w:bCs/>
        </w:rPr>
        <w:t>Physical Evidence</w:t>
      </w:r>
    </w:p>
    <w:p w14:paraId="54EA7FBE" w14:textId="77777777" w:rsidR="002B3C8B" w:rsidRPr="00CD0359" w:rsidRDefault="002B3C8B" w:rsidP="002B3C8B">
      <w:pPr>
        <w:jc w:val="both"/>
      </w:pPr>
      <w:r>
        <w:t>Packaging, labelling and retail display are decisive in establishing or eroding trust. Nordigarden et al. (2025) recommend clear certification marks rather than unsubstantiated green claims, thereby limiting the green confusion identified by Qayyum, Jamil and Sehar (2022).</w:t>
      </w:r>
    </w:p>
    <w:p w14:paraId="43337D48" w14:textId="77777777" w:rsidR="002B3C8B" w:rsidRPr="005C5B5B" w:rsidRDefault="002B3C8B" w:rsidP="002B3C8B">
      <w:pPr>
        <w:jc w:val="both"/>
        <w:rPr>
          <w:color w:val="000000" w:themeColor="text1"/>
        </w:rPr>
      </w:pPr>
      <w:r w:rsidRPr="005C5B5B">
        <w:rPr>
          <w:color w:val="000000" w:themeColor="text1"/>
        </w:rPr>
        <w:t>Website contents represent the digital equivalent of such physical evidence. There needs to be a website dedicated to the Zico Renew that shows how the source and certification of the fiber are done, the compostability requirements and life cycle of the product compared to that of PET and carton forms, along with an explanation of how the packaging is lacking. According to Fu et al., transparency of environmental information increases trust on the part of the online consumer and through that their purchase behavior, indicating that transparency is used more for business purposes than as a mandate.</w:t>
      </w:r>
    </w:p>
    <w:p w14:paraId="295A0F9F" w14:textId="77777777" w:rsidR="002B3C8B" w:rsidRPr="00CD0359" w:rsidRDefault="002B3C8B" w:rsidP="002B3C8B">
      <w:pPr>
        <w:pStyle w:val="Heading1"/>
      </w:pPr>
      <w:bookmarkStart w:id="10" w:name="_Toc237428440"/>
      <w:r>
        <w:t>Element 4: Reflection</w:t>
      </w:r>
      <w:bookmarkEnd w:id="10"/>
    </w:p>
    <w:p w14:paraId="7F15FFC7" w14:textId="77777777" w:rsidR="002B3C8B" w:rsidRDefault="002B3C8B" w:rsidP="002B3C8B">
      <w:pPr>
        <w:jc w:val="both"/>
        <w:rPr>
          <w:b/>
          <w:bCs/>
        </w:rPr>
      </w:pPr>
      <w:r>
        <w:rPr>
          <w:b/>
          <w:bCs/>
        </w:rPr>
        <w:t>Reflective Framework: Gibbs’ Reflective Cycle</w:t>
      </w:r>
    </w:p>
    <w:p w14:paraId="1CB2ABAE" w14:textId="577E5592" w:rsidR="002B3C8B" w:rsidRDefault="002B3C8B" w:rsidP="00666C53">
      <w:pPr>
        <w:jc w:val="both"/>
      </w:pPr>
      <w:r>
        <w:t>The reflection below applies all six stages of Gibbs’ (1988) reflective cycle to the experience of developing and presenting the Zico Renew brand extension portfolio. The six stages are: Description, Feelings, Evaluation, Analysis, Conclusion, and Action Plan.</w:t>
      </w:r>
    </w:p>
    <w:p w14:paraId="0D70F5CD" w14:textId="77777777" w:rsidR="002B3C8B" w:rsidRDefault="002B3C8B" w:rsidP="002B3C8B">
      <w:pPr>
        <w:jc w:val="both"/>
        <w:rPr>
          <w:b/>
          <w:bCs/>
        </w:rPr>
      </w:pPr>
      <w:r>
        <w:rPr>
          <w:b/>
          <w:bCs/>
        </w:rPr>
        <w:t>Stage 1 – Description: What Happened?</w:t>
      </w:r>
    </w:p>
    <w:p w14:paraId="58AE3C94" w14:textId="675F8BAD" w:rsidR="00666C53" w:rsidRDefault="00666C53" w:rsidP="008D7393">
      <w:pPr>
        <w:jc w:val="both"/>
      </w:pPr>
      <w:r>
        <w:t>The desired goal for this assignment was to develop an extensive Brand Extension portfolio for ZICO, a brand extension of the Coca-Cola family. Three fundamental deliverables were achieved: a poster presentation summarizing the sustainability basis and market interest; a segmentation, targeting, differentiation, and positioning (STDP) analysis and a seven-element marketing mix strategy. The project was carried out over a period of weeks through self-study, framework application and for preparation of presentations. At the end of the process, a live poster presentation was delivered.</w:t>
      </w:r>
    </w:p>
    <w:p w14:paraId="2F56E37E" w14:textId="77777777" w:rsidR="00666C53" w:rsidRPr="00666C53" w:rsidRDefault="00666C53" w:rsidP="008D7393">
      <w:pPr>
        <w:jc w:val="both"/>
        <w:rPr>
          <w:b/>
          <w:bCs/>
        </w:rPr>
      </w:pPr>
      <w:r w:rsidRPr="00666C53">
        <w:rPr>
          <w:b/>
          <w:bCs/>
        </w:rPr>
        <w:t>Stage 2 – Feelings: What Was I Thinking and Feeling?</w:t>
      </w:r>
    </w:p>
    <w:p w14:paraId="552ED165" w14:textId="3B159824" w:rsidR="00666C53" w:rsidRDefault="00666C53" w:rsidP="008D7393">
      <w:pPr>
        <w:jc w:val="both"/>
      </w:pPr>
      <w:r>
        <w:t>In the beginning, I was very motivated by the applied (brief) approach. The dollar value of the opportunities was tangible in the sense that it was justified by a real extension for an existing brand, so it was not just a theoretical exercise. This was strengthened</w:t>
      </w:r>
      <w:r w:rsidR="0031213D">
        <w:t xml:space="preserve"> by research that uncovered the </w:t>
      </w:r>
      <w:r>
        <w:t>disconnect between Coca-Cola's real packaging performance and its self-sustained goals. At the same time I was feeling anxious, as the deadline for the poster presentation was approaching. The condensed version of an in-depth argument that took the shape of a picture that was meant to be displayed to a live crowd was a different type of confidence from that that is required in written arguments, and I wasn't sure if I had enough.</w:t>
      </w:r>
    </w:p>
    <w:p w14:paraId="0023E09E" w14:textId="77777777" w:rsidR="00666C53" w:rsidRPr="00666C53" w:rsidRDefault="00666C53" w:rsidP="008D7393">
      <w:pPr>
        <w:jc w:val="both"/>
        <w:rPr>
          <w:b/>
          <w:bCs/>
        </w:rPr>
      </w:pPr>
      <w:r w:rsidRPr="00666C53">
        <w:rPr>
          <w:b/>
          <w:bCs/>
        </w:rPr>
        <w:t>Stage 3 – Evaluation: What Was Good and Bad About the Experience?</w:t>
      </w:r>
    </w:p>
    <w:p w14:paraId="172D17AC" w14:textId="20213766" w:rsidR="00666C53" w:rsidRDefault="00666C53" w:rsidP="008D7393">
      <w:pPr>
        <w:jc w:val="both"/>
      </w:pPr>
      <w:r>
        <w:t>Being able to seriously analyse, rather than take the word of corporations, regarding their sustainability claims was the most beneficial learning. As shown by independent organisations like Oceana (2025) and Rachal (2025), in 2024, only 18% of Coca-Cola's PET was recyclable, with 99% considered technically recyclable. This discovery formed the analytical foundation of the whole strategy and further gave substance to the waste to value concept of Zico Renew. I feel the poorest aspect of my performance was time organization for preparation. Research for packaging and supply chain was greater than rehearsal, and this had an impact on oral presentation at the poster presentation.</w:t>
      </w:r>
    </w:p>
    <w:p w14:paraId="37F1D184" w14:textId="77777777" w:rsidR="00666C53" w:rsidRPr="00666C53" w:rsidRDefault="00666C53" w:rsidP="00666C53">
      <w:pPr>
        <w:rPr>
          <w:b/>
          <w:bCs/>
        </w:rPr>
      </w:pPr>
      <w:r w:rsidRPr="00666C53">
        <w:rPr>
          <w:b/>
          <w:bCs/>
        </w:rPr>
        <w:t>Stage 4 – Analysis: What Sense Can I Make of the Situation?</w:t>
      </w:r>
    </w:p>
    <w:p w14:paraId="2DD1590E" w14:textId="377F0CF7" w:rsidR="00666C53" w:rsidRDefault="00666C53" w:rsidP="008D7393">
      <w:pPr>
        <w:jc w:val="both"/>
      </w:pPr>
      <w:r>
        <w:t>The difference between the depth of research and the preparation for presentational work is an on-going worry that content is valued above communication. But the structure and pacing are as important as the content for creating an impact on viewers, as pointed out by Sims, Swales and Aitken (2025), which is reinforced by my own research exceeding rehearsal experience. Moreover, it is the practice of Yafi, Tehseen and Haider (2021) that technical competence and knowledge is not always associated with good performance; motivation and self-efficacy are considered mediators between them. My concerns with the live presentation context lowered my self-efficacy, and ultimately negatively impacted my presentation delivery despite a solid construct.</w:t>
      </w:r>
    </w:p>
    <w:p w14:paraId="53522B14" w14:textId="77777777" w:rsidR="00666C53" w:rsidRPr="00666C53" w:rsidRDefault="00666C53" w:rsidP="008D7393">
      <w:pPr>
        <w:jc w:val="both"/>
        <w:rPr>
          <w:b/>
          <w:bCs/>
        </w:rPr>
      </w:pPr>
      <w:r w:rsidRPr="00666C53">
        <w:rPr>
          <w:b/>
          <w:bCs/>
        </w:rPr>
        <w:t>Stage 5 – Conclusion: What Else Could I Have Done?</w:t>
      </w:r>
    </w:p>
    <w:p w14:paraId="7376BF0C" w14:textId="1BA8D84F" w:rsidR="00666C53" w:rsidRPr="00666C53" w:rsidRDefault="00666C53" w:rsidP="008D7393">
      <w:pPr>
        <w:jc w:val="both"/>
      </w:pPr>
      <w:r>
        <w:t>I could have worked out the script's preparation more methodically by preparing the script from the middle rather than the end of the assignment. The imbalance was caused by not setting weekly targets for analysis and practice of your presentation. It would also have given strong feedback, from a peer perspective, on the layout and argument structure of the poster that would have shown that issues were still in the scope of development instead of being overlooked. Moreover, a more strategic application of the consumer behaviour theory (He and Wei 2023), from the beginning, would have helped to clarify the segmentation analysis, by overcoming the overreliance on packaging data.</w:t>
      </w:r>
    </w:p>
    <w:p w14:paraId="2D8C2D2A" w14:textId="77777777" w:rsidR="00666C53" w:rsidRPr="00666C53" w:rsidRDefault="00666C53" w:rsidP="008D7393">
      <w:pPr>
        <w:jc w:val="both"/>
        <w:rPr>
          <w:b/>
          <w:bCs/>
        </w:rPr>
      </w:pPr>
      <w:r w:rsidRPr="00666C53">
        <w:rPr>
          <w:b/>
          <w:bCs/>
        </w:rPr>
        <w:t>Stage 6 - Action Plan: What will I do next time?</w:t>
      </w:r>
    </w:p>
    <w:p w14:paraId="09C2CC71" w14:textId="75AD7D32" w:rsidR="002B3C8B" w:rsidRDefault="00666C53" w:rsidP="008D7393">
      <w:pPr>
        <w:jc w:val="both"/>
      </w:pPr>
      <w:r>
        <w:t>For future research and analysis-discussion assignments, I will devote not more than 60% of the time to conducting research, leaving 40% for preparing and rehearsing how to communicate that analysis. I will provide two set peer feedback sessions prior to submission, one being analytical, and one being presentational. I will also review time allocation weekly to be aware of any imbalances which are causing issues before it gets to that point. Based on He and Wei (2023), I would like to use the concept of consumer behaviour as part of the theoretical foundations at a much more early stage of the segmentation and positioning phase of the analysis, rather than an ad-hoc component at the end of the analysis.</w:t>
      </w:r>
    </w:p>
    <w:p w14:paraId="1129C4C0" w14:textId="77777777" w:rsidR="002B3C8B" w:rsidRDefault="002B3C8B" w:rsidP="008D7393">
      <w:pPr>
        <w:pStyle w:val="Heading1"/>
        <w:jc w:val="both"/>
      </w:pPr>
      <w:r>
        <w:t>Pricing Strategy</w:t>
      </w:r>
    </w:p>
    <w:p w14:paraId="1952584A" w14:textId="77777777" w:rsidR="00EB0DE6" w:rsidRDefault="00EB0DE6" w:rsidP="008D7393">
      <w:pPr>
        <w:jc w:val="both"/>
      </w:pPr>
      <w:r>
        <w:t>This is advanced, and all the elements of the seven element marketing mix are extended, with a consolidated pricing strategy. There are three different solutions evaluated and proposed a dual channel recommendation.</w:t>
      </w:r>
    </w:p>
    <w:p w14:paraId="0711D266" w14:textId="152DBDC3" w:rsidR="00EB0DE6" w:rsidRPr="00EB0DE6" w:rsidRDefault="00EB0DE6" w:rsidP="00EB0DE6">
      <w:pPr>
        <w:jc w:val="both"/>
        <w:rPr>
          <w:b/>
          <w:bCs/>
        </w:rPr>
      </w:pPr>
      <w:r w:rsidRPr="00EB0DE6">
        <w:rPr>
          <w:b/>
          <w:bCs/>
        </w:rPr>
        <w:t>Practice Value-Based Pricing (Recommended – Retail Channel).</w:t>
      </w:r>
    </w:p>
    <w:p w14:paraId="7CC497B5" w14:textId="07F67687" w:rsidR="00EB0DE6" w:rsidRDefault="00EB0DE6" w:rsidP="00EB0DE6">
      <w:pPr>
        <w:jc w:val="both"/>
      </w:pPr>
      <w:r>
        <w:t>Value based pricing is based on the value as perceived by the consumers and not on production costs. Consumer willingness to pay for sustainably produced goods has increased by more than 9% on average (PwC 2024) and Simon-Kucher (2024) confirms that the percentage of consumers willing to pay for sustainably produced goods has risen from 35% in 2022 to 54% today. Ignoring the warning by Nordigarden et al. (2025), however, the level of toleration drops off precipitously once the premium increases beyond 10%, to the range of 4% to 7% acceptance. Thus, Zico Renew should be priced at 8-10% above the standard Zico retail price which would account for the 'sustainability premium' value without crossing (over the) Zico resistance level.</w:t>
      </w:r>
    </w:p>
    <w:p w14:paraId="1CFCF2CB" w14:textId="77777777" w:rsidR="00EB0DE6" w:rsidRPr="00EB0DE6" w:rsidRDefault="00EB0DE6" w:rsidP="00EB0DE6">
      <w:pPr>
        <w:jc w:val="both"/>
        <w:rPr>
          <w:b/>
          <w:bCs/>
        </w:rPr>
      </w:pPr>
      <w:r w:rsidRPr="00EB0DE6">
        <w:rPr>
          <w:b/>
          <w:bCs/>
        </w:rPr>
        <w:t>2. Competitive Pricing (Rejected)</w:t>
      </w:r>
    </w:p>
    <w:p w14:paraId="2EFB08EC" w14:textId="77777777" w:rsidR="00EB0DE6" w:rsidRDefault="00EB0DE6" w:rsidP="00EB0DE6">
      <w:pPr>
        <w:jc w:val="both"/>
      </w:pPr>
      <w:r>
        <w:t>By no means would Zico Renew price be aligned to Vita Coco and O.N.E. Coconut Water options as it would turn the interest into volume instead of interest in the margin. This is commercially unsustainable, given the perspectives as to the increment cost of sourcing on husk fibre, the requirement for certification of compostability and the undertaking of lifecycle analysis which is necessary to substantiate the claim of sustainability. Additionally, it will diminish the high-end positioning crucial to deliver the Zico Renew's differentiated packaging benefits to the target consumer segment.</w:t>
      </w:r>
    </w:p>
    <w:p w14:paraId="6F9221E5" w14:textId="77777777" w:rsidR="00EB0DE6" w:rsidRDefault="00EB0DE6" w:rsidP="00EB0DE6">
      <w:pPr>
        <w:jc w:val="both"/>
      </w:pPr>
    </w:p>
    <w:p w14:paraId="542B3810" w14:textId="77777777" w:rsidR="00EB0DE6" w:rsidRPr="00EB0DE6" w:rsidRDefault="00EB0DE6" w:rsidP="00EB0DE6">
      <w:pPr>
        <w:jc w:val="both"/>
        <w:rPr>
          <w:b/>
          <w:bCs/>
        </w:rPr>
      </w:pPr>
      <w:r w:rsidRPr="00EB0DE6">
        <w:rPr>
          <w:b/>
          <w:bCs/>
        </w:rPr>
        <w:t>3. Tiered Volume Pricing (Recommended – Institutional Channel)</w:t>
      </w:r>
    </w:p>
    <w:p w14:paraId="7D1C47A0" w14:textId="443A3455" w:rsidR="00EB0DE6" w:rsidRDefault="00EB0DE6" w:rsidP="00EB0DE6">
      <w:pPr>
        <w:jc w:val="both"/>
      </w:pPr>
      <w:r>
        <w:t>The share of coconut water sales in the global market by institutional buyers, ranging from gymnasiums to campus food-service operators, is hovering at around 37.6% (Future Market Insights, 2026). These are generally higher price-sensitive customers looking for value in volume and must be convinced to adopt the product. Offering tiered pricing with graduated discounts on volume contracts makes the demand stable during the launch period and lessens the risk to scarce materials as demand decreases. This model very directly contributes to the place strategy of ensuring institutional channels as a predictable and contracted income stream, especially in the initial 12 months of market entry.</w:t>
      </w:r>
    </w:p>
    <w:p w14:paraId="40F4B90A" w14:textId="77777777" w:rsidR="00EB0DE6" w:rsidRPr="00EB0DE6" w:rsidRDefault="00EB0DE6" w:rsidP="00EB0DE6">
      <w:pPr>
        <w:jc w:val="both"/>
        <w:rPr>
          <w:b/>
          <w:bCs/>
        </w:rPr>
      </w:pPr>
      <w:r w:rsidRPr="00EB0DE6">
        <w:rPr>
          <w:b/>
          <w:bCs/>
        </w:rPr>
        <w:t>Conclusion on Pricing</w:t>
      </w:r>
    </w:p>
    <w:p w14:paraId="444589A1" w14:textId="39F34210" w:rsidR="00EB0DE6" w:rsidRDefault="00EB0DE6" w:rsidP="00EB0DE6">
      <w:pPr>
        <w:jc w:val="both"/>
      </w:pPr>
      <w:r>
        <w:t>To support the consumer retail channel, there should be a dual price channel with differential channel pricing that should include price differentials of 8% to 10% above the standard Zico in the consumer retail channel, with a tiered channel pricing scheme applicable to institutional customers based on the volume purchased/required within a given channel quarter for each customer based on their standing in the contract. This structure allows to increase the margin over this sustainability-sensitive segment of retail consumers as well as to ensure the predicted volume of husk fibre sourcing in a commercial scale.</w:t>
      </w:r>
    </w:p>
    <w:p w14:paraId="3ABDBEE1" w14:textId="77777777" w:rsidR="00EB0DE6" w:rsidRDefault="00EB0DE6" w:rsidP="00EB0DE6">
      <w:pPr>
        <w:pStyle w:val="Heading1"/>
      </w:pPr>
      <w:r>
        <w:t>Conclusion</w:t>
      </w:r>
    </w:p>
    <w:p w14:paraId="5D1DBC03" w14:textId="1C508BF7" w:rsidR="002B3C8B" w:rsidRPr="00CD0359" w:rsidRDefault="00EB0DE6" w:rsidP="00EB0DE6">
      <w:pPr>
        <w:jc w:val="both"/>
        <w:rPr>
          <w:rFonts w:ascii="Times New Roman" w:eastAsia="Times New Roman" w:hAnsi="Times New Roman" w:cs="Times New Roman"/>
          <w:szCs w:val="24"/>
          <w:lang w:val="en-IN" w:eastAsia="en-IN"/>
        </w:rPr>
      </w:pPr>
      <w:r>
        <w:t>This portfolio has given Coca-Cola Zico a distinct segmentation, positioning, and a coherent and consistent marketing mix based on market evidence making Zico Renew a viable extension. Considering the well documented gaps between targets and recycled content, it shows there is an economic argument for this, further stoked by the appetite for paying a moderate premium for really sustainable packaging. The reflective part highlighted the need for questioning everything against the facts and use audience-specific communication when developing a convincing brand position.</w:t>
      </w:r>
      <w:r w:rsidR="002B3C8B">
        <w:br w:type="page"/>
      </w:r>
    </w:p>
    <w:p w14:paraId="58C29674" w14:textId="77777777" w:rsidR="002B3C8B" w:rsidRDefault="002B3C8B" w:rsidP="002B3C8B">
      <w:pPr>
        <w:pStyle w:val="Heading1"/>
        <w:rPr>
          <w:lang w:val="en-IN"/>
        </w:rPr>
      </w:pPr>
      <w:bookmarkStart w:id="11" w:name="_Toc237428442"/>
      <w:r>
        <w:rPr>
          <w:lang w:val="en-IN"/>
        </w:rPr>
        <w:t>References</w:t>
      </w:r>
      <w:bookmarkEnd w:id="11"/>
      <w:r>
        <w:rPr>
          <w:lang w:val="en-IN"/>
        </w:rPr>
        <w:t xml:space="preserve"> </w:t>
      </w:r>
    </w:p>
    <w:p w14:paraId="2F6157A3" w14:textId="77777777" w:rsidR="00CE530C" w:rsidRPr="00CE530C" w:rsidRDefault="00CE530C" w:rsidP="00CE530C">
      <w:pPr>
        <w:pStyle w:val="ListParagraph"/>
        <w:numPr>
          <w:ilvl w:val="0"/>
          <w:numId w:val="2"/>
        </w:numPr>
        <w:jc w:val="both"/>
        <w:rPr>
          <w:lang w:val="en-IN"/>
        </w:rPr>
      </w:pPr>
      <w:r>
        <w:t xml:space="preserve">Arizton (2024) </w:t>
      </w:r>
      <w:r w:rsidRPr="00CE530C">
        <w:rPr>
          <w:i/>
          <w:iCs/>
        </w:rPr>
        <w:t>Coconut Water Market Size, Share, Growth Forecast to 2025</w:t>
      </w:r>
      <w:r>
        <w:t xml:space="preserve">, </w:t>
      </w:r>
      <w:r w:rsidRPr="00CE530C">
        <w:rPr>
          <w:i/>
          <w:iCs/>
        </w:rPr>
        <w:t>Arizton Advisory &amp; Intelligence</w:t>
      </w:r>
      <w:r>
        <w:t xml:space="preserve">. Available at: </w:t>
      </w:r>
      <w:hyperlink r:id="rId10" w:history="1">
        <w:r w:rsidRPr="00F55B07">
          <w:rPr>
            <w:rStyle w:val="Hyperlink"/>
          </w:rPr>
          <w:t>https://www.arizton.com/market-reports/coconut-water-market-size-analysis-2025</w:t>
        </w:r>
      </w:hyperlink>
      <w:r>
        <w:t xml:space="preserve">  (Accessed: July 14, 2026).</w:t>
      </w:r>
    </w:p>
    <w:p w14:paraId="446BCBA7" w14:textId="77777777" w:rsidR="00CE530C" w:rsidRPr="00CD0359" w:rsidRDefault="00CE530C" w:rsidP="00CE530C">
      <w:pPr>
        <w:pStyle w:val="ListParagraph"/>
        <w:numPr>
          <w:ilvl w:val="0"/>
          <w:numId w:val="2"/>
        </w:numPr>
        <w:jc w:val="both"/>
      </w:pPr>
      <w:r>
        <w:t xml:space="preserve">Borle, A., Singh, A., Dahihandekar, C., Sathe, S. and Agrawal, M., 2025. An Insight into the Techniques of Learning Gain–A Literature Review. Journal of Datta Meghe Institute of Medical Sciences University, 20(3), pp.476-482. </w:t>
      </w:r>
      <w:hyperlink r:id="rId11" w:history="1">
        <w:r w:rsidRPr="00F55B07">
          <w:rPr>
            <w:rStyle w:val="Hyperlink"/>
          </w:rPr>
          <w:t>https://journals.lww.com/dmms/_layouts/15/oaks.journals/downloadpdf.aspx?an=01394964-202507000-00003</w:t>
        </w:r>
      </w:hyperlink>
      <w:r>
        <w:t xml:space="preserve"> </w:t>
      </w:r>
    </w:p>
    <w:p w14:paraId="767096ED" w14:textId="77777777" w:rsidR="00CE530C" w:rsidRPr="00CD0359" w:rsidRDefault="00CE530C" w:rsidP="00CE530C">
      <w:pPr>
        <w:pStyle w:val="ListParagraph"/>
        <w:numPr>
          <w:ilvl w:val="0"/>
          <w:numId w:val="2"/>
        </w:numPr>
        <w:jc w:val="both"/>
      </w:pPr>
      <w:r>
        <w:t xml:space="preserve">Environmental Update Coca Cola (2024). </w:t>
      </w:r>
      <w:hyperlink r:id="rId12" w:history="1">
        <w:r w:rsidRPr="00F55B07">
          <w:rPr>
            <w:rStyle w:val="Hyperlink"/>
          </w:rPr>
          <w:t>https://www.coca-colacompany.com/content/dam/corporate/us/en/reports/2024-environmental-update/2024-environmental-update.pdf</w:t>
        </w:r>
      </w:hyperlink>
      <w:r>
        <w:t xml:space="preserve"> </w:t>
      </w:r>
    </w:p>
    <w:p w14:paraId="585AEEBE" w14:textId="77777777" w:rsidR="00CE530C" w:rsidRPr="00CD0359" w:rsidRDefault="00CE530C" w:rsidP="00CE530C">
      <w:pPr>
        <w:pStyle w:val="ListParagraph"/>
        <w:numPr>
          <w:ilvl w:val="0"/>
          <w:numId w:val="2"/>
        </w:numPr>
        <w:jc w:val="both"/>
      </w:pPr>
      <w:r>
        <w:t xml:space="preserve">Fu, S., Ma, R., He, G., Chen, Z. and Liu, H. (2023) 'A study on the influence of product environmental information transparency on online consumers' purchasing behavior of green agricultural products', Frontiers in Psychology, 14, 1168214. Available at: </w:t>
      </w:r>
      <w:hyperlink r:id="rId13" w:history="1">
        <w:r>
          <w:rPr>
            <w:rStyle w:val="Hyperlink"/>
          </w:rPr>
          <w:t>https://doi.org/10.3389/fpsyg.2023.1168214</w:t>
        </w:r>
      </w:hyperlink>
      <w:r>
        <w:t xml:space="preserve">  (Accessed: 12 August 2026).</w:t>
      </w:r>
    </w:p>
    <w:p w14:paraId="3385D78D" w14:textId="77777777" w:rsidR="00CE530C" w:rsidRPr="00CD0359" w:rsidRDefault="00CE530C" w:rsidP="00CE530C">
      <w:pPr>
        <w:pStyle w:val="ListParagraph"/>
        <w:numPr>
          <w:ilvl w:val="0"/>
          <w:numId w:val="2"/>
        </w:numPr>
        <w:jc w:val="both"/>
      </w:pPr>
      <w:r>
        <w:t xml:space="preserve">Future Market Insights (2026) </w:t>
      </w:r>
      <w:r w:rsidRPr="00CE530C">
        <w:rPr>
          <w:i/>
          <w:iCs/>
        </w:rPr>
        <w:t>Coconut Water Market</w:t>
      </w:r>
      <w:r>
        <w:t xml:space="preserve">, </w:t>
      </w:r>
      <w:r w:rsidRPr="00CE530C">
        <w:rPr>
          <w:i/>
          <w:iCs/>
        </w:rPr>
        <w:t>Www.futuremarketinsights.com</w:t>
      </w:r>
      <w:r>
        <w:t xml:space="preserve">. Available at: </w:t>
      </w:r>
      <w:hyperlink r:id="rId14" w:history="1">
        <w:r w:rsidRPr="00F55B07">
          <w:rPr>
            <w:rStyle w:val="Hyperlink"/>
          </w:rPr>
          <w:t>https://www.futuremarketinsights.com/reports/coconut-water-market</w:t>
        </w:r>
      </w:hyperlink>
      <w:r>
        <w:t xml:space="preserve">  (Accessed: July 14, 2026).</w:t>
      </w:r>
    </w:p>
    <w:p w14:paraId="30AAFE9C" w14:textId="77777777" w:rsidR="00CE530C" w:rsidRPr="00CD0359" w:rsidRDefault="00CE530C" w:rsidP="00CE530C">
      <w:pPr>
        <w:pStyle w:val="ListParagraph"/>
        <w:numPr>
          <w:ilvl w:val="0"/>
          <w:numId w:val="2"/>
        </w:numPr>
        <w:jc w:val="both"/>
      </w:pPr>
      <w:r>
        <w:t xml:space="preserve">Gojic, A. and Nadiia Petar Bukhonka (2023) </w:t>
      </w:r>
      <w:r w:rsidRPr="00CE530C">
        <w:rPr>
          <w:i/>
          <w:iCs/>
        </w:rPr>
        <w:t>Recycled Textile Fibers and Materials – Current State and Development Perspectives</w:t>
      </w:r>
      <w:r>
        <w:t xml:space="preserve">, </w:t>
      </w:r>
      <w:r w:rsidRPr="00CE530C">
        <w:rPr>
          <w:i/>
          <w:iCs/>
        </w:rPr>
        <w:t>ResearchGate</w:t>
      </w:r>
      <w:r>
        <w:t xml:space="preserve">. unknown. Available at: </w:t>
      </w:r>
      <w:hyperlink r:id="rId15" w:history="1">
        <w:r w:rsidRPr="00F55B07">
          <w:rPr>
            <w:rStyle w:val="Hyperlink"/>
          </w:rPr>
          <w:t>https://www.researchgate.net/publication/373949656_Recycled_Textile_Fibers_and_Materials_-_Current_State_and_Development_Perspectives</w:t>
        </w:r>
      </w:hyperlink>
      <w:r>
        <w:t xml:space="preserve">  (Accessed: July 13, 2026).</w:t>
      </w:r>
    </w:p>
    <w:p w14:paraId="2AF67DF7" w14:textId="77777777" w:rsidR="00CE530C" w:rsidRPr="00CD0359" w:rsidRDefault="00CE530C" w:rsidP="00CE530C">
      <w:pPr>
        <w:pStyle w:val="ListParagraph"/>
        <w:numPr>
          <w:ilvl w:val="0"/>
          <w:numId w:val="2"/>
        </w:numPr>
        <w:jc w:val="both"/>
      </w:pPr>
      <w:r>
        <w:t xml:space="preserve">Grand View Research (2026) </w:t>
      </w:r>
      <w:r w:rsidRPr="00CE530C">
        <w:rPr>
          <w:i/>
          <w:iCs/>
        </w:rPr>
        <w:t>Coconut Water Market Size &amp; Share Report, 2020-2027</w:t>
      </w:r>
      <w:r>
        <w:t xml:space="preserve">, </w:t>
      </w:r>
      <w:r w:rsidRPr="00CE530C">
        <w:rPr>
          <w:i/>
          <w:iCs/>
        </w:rPr>
        <w:t>Www.grandviewresearch.com</w:t>
      </w:r>
      <w:r>
        <w:t xml:space="preserve">. Available at: </w:t>
      </w:r>
      <w:hyperlink r:id="rId16" w:history="1">
        <w:r w:rsidRPr="00F55B07">
          <w:rPr>
            <w:rStyle w:val="Hyperlink"/>
          </w:rPr>
          <w:t>https://www.grandviewresearch.com/industry-analysis/coconut-water-market</w:t>
        </w:r>
      </w:hyperlink>
      <w:r>
        <w:t xml:space="preserve">  (Accessed: July 14, 2026).</w:t>
      </w:r>
    </w:p>
    <w:p w14:paraId="4D4B37A9" w14:textId="77777777" w:rsidR="00CE530C" w:rsidRPr="00CD0359" w:rsidRDefault="00CE530C" w:rsidP="00CE530C">
      <w:pPr>
        <w:pStyle w:val="ListParagraph"/>
        <w:numPr>
          <w:ilvl w:val="0"/>
          <w:numId w:val="2"/>
        </w:numPr>
        <w:jc w:val="both"/>
      </w:pPr>
      <w:r>
        <w:t xml:space="preserve">He, X. and Wei, H., 2023. Biodiversity conservation and ecological value of protected areas: A review of current situation and future prospects. Frontiers in Ecology and Evolution, 11, p.1261265. </w:t>
      </w:r>
      <w:hyperlink r:id="rId17" w:history="1">
        <w:r w:rsidRPr="00CE530C">
          <w:rPr>
            <w:rStyle w:val="Hyperlink"/>
            <w:rFonts w:cs="Arial"/>
          </w:rPr>
          <w:t>https://www.frontiersin.org/journals/ecology-and-evolution/articles/10.3389/fevo.2023.1261265/pdf</w:t>
        </w:r>
      </w:hyperlink>
    </w:p>
    <w:p w14:paraId="59A31A72" w14:textId="77777777" w:rsidR="00CE530C" w:rsidRPr="00CD0359" w:rsidRDefault="00CE530C" w:rsidP="00CE530C">
      <w:pPr>
        <w:pStyle w:val="ListParagraph"/>
        <w:numPr>
          <w:ilvl w:val="0"/>
          <w:numId w:val="2"/>
        </w:numPr>
        <w:jc w:val="both"/>
      </w:pPr>
      <w:r>
        <w:t xml:space="preserve">Hesse, A., Bündgen, K., Claren, S. and Frank, S., 2022. Practices of brand extensions and how consumers respond to FMCG giants’ greening attempts. Journal of brand management, 29(6), p.520. </w:t>
      </w:r>
      <w:hyperlink r:id="rId18" w:history="1">
        <w:r w:rsidRPr="00F55B07">
          <w:rPr>
            <w:rStyle w:val="Hyperlink"/>
          </w:rPr>
          <w:t>https://pmc.ncbi.nlm.nih.gov/articles/PMC8831008/pdf/41262_2022_Article_274.pdf</w:t>
        </w:r>
      </w:hyperlink>
      <w:r>
        <w:t xml:space="preserve"> </w:t>
      </w:r>
    </w:p>
    <w:p w14:paraId="613A6F43" w14:textId="77777777" w:rsidR="00CE530C" w:rsidRPr="00CE530C" w:rsidRDefault="00CE530C" w:rsidP="00CE530C">
      <w:pPr>
        <w:pStyle w:val="ListParagraph"/>
        <w:numPr>
          <w:ilvl w:val="0"/>
          <w:numId w:val="2"/>
        </w:numPr>
        <w:jc w:val="both"/>
        <w:rPr>
          <w:lang w:val="en-IN"/>
        </w:rPr>
      </w:pPr>
      <w:hyperlink r:id="rId19" w:history="1">
        <w:r w:rsidRPr="00CE530C">
          <w:rPr>
            <w:rStyle w:val="Hyperlink"/>
            <w:b/>
            <w:bCs/>
            <w:lang w:val="en-IN"/>
          </w:rPr>
          <w:t>https://doi.org/10.1002/bse.2401Digital Object Identifier (DOI)</w:t>
        </w:r>
      </w:hyperlink>
    </w:p>
    <w:p w14:paraId="19CB541B" w14:textId="77777777" w:rsidR="00CE530C" w:rsidRPr="00CD0359" w:rsidRDefault="00CE530C" w:rsidP="00CE530C">
      <w:pPr>
        <w:pStyle w:val="ListParagraph"/>
        <w:numPr>
          <w:ilvl w:val="0"/>
          <w:numId w:val="2"/>
        </w:numPr>
        <w:jc w:val="both"/>
      </w:pPr>
      <w:r>
        <w:t xml:space="preserve">IMARC Group (2026) </w:t>
      </w:r>
      <w:r w:rsidRPr="00CE530C">
        <w:rPr>
          <w:i/>
          <w:iCs/>
        </w:rPr>
        <w:t>Coconut Water Market Size, Share, Industry Analysis 2022-27</w:t>
      </w:r>
      <w:r>
        <w:t xml:space="preserve">, </w:t>
      </w:r>
      <w:r w:rsidRPr="00CE530C">
        <w:rPr>
          <w:i/>
          <w:iCs/>
        </w:rPr>
        <w:t>Www.imarcgroup.com</w:t>
      </w:r>
      <w:r>
        <w:t xml:space="preserve">. Available at: </w:t>
      </w:r>
      <w:hyperlink r:id="rId20" w:history="1">
        <w:r w:rsidRPr="00F55B07">
          <w:rPr>
            <w:rStyle w:val="Hyperlink"/>
          </w:rPr>
          <w:t>https://www.imarcgroup.com/coconut-water-market</w:t>
        </w:r>
      </w:hyperlink>
      <w:r>
        <w:t xml:space="preserve">  (Accessed: July 14, 2026).</w:t>
      </w:r>
    </w:p>
    <w:p w14:paraId="28663F77" w14:textId="77777777" w:rsidR="00CE530C" w:rsidRPr="00CD0359" w:rsidRDefault="00CE530C" w:rsidP="00CE530C">
      <w:pPr>
        <w:pStyle w:val="ListParagraph"/>
        <w:numPr>
          <w:ilvl w:val="0"/>
          <w:numId w:val="2"/>
        </w:numPr>
        <w:jc w:val="both"/>
      </w:pPr>
      <w:r>
        <w:t xml:space="preserve">Li, Y.F. and Lin, F.S., 2024. Exploring design strategies for cultivating sustainability and enhancing brand image in personal care product brands. Sustainability, 16(6), p.2476. </w:t>
      </w:r>
      <w:hyperlink r:id="rId21" w:history="1">
        <w:r w:rsidRPr="00CE530C">
          <w:rPr>
            <w:rStyle w:val="Hyperlink"/>
            <w:rFonts w:cs="Arial"/>
          </w:rPr>
          <w:t>https://www.mdpi.com/2071-1050/16/6/2476</w:t>
        </w:r>
      </w:hyperlink>
    </w:p>
    <w:p w14:paraId="759D7FC9" w14:textId="77777777" w:rsidR="00CE530C" w:rsidRPr="00CD0359" w:rsidRDefault="00CE530C" w:rsidP="00CE530C">
      <w:pPr>
        <w:pStyle w:val="ListParagraph"/>
        <w:numPr>
          <w:ilvl w:val="0"/>
          <w:numId w:val="2"/>
        </w:numPr>
        <w:jc w:val="both"/>
      </w:pPr>
      <w:r>
        <w:t xml:space="preserve">Mordor Intelligence (2026) </w:t>
      </w:r>
      <w:r w:rsidRPr="00CE530C">
        <w:rPr>
          <w:i/>
          <w:iCs/>
        </w:rPr>
        <w:t>Coconut water Market | 2022 - 27 | Industry Share, Size, Growth - Mordor Intelligence</w:t>
      </w:r>
      <w:r>
        <w:t xml:space="preserve">, </w:t>
      </w:r>
      <w:r w:rsidRPr="00CE530C">
        <w:rPr>
          <w:i/>
          <w:iCs/>
        </w:rPr>
        <w:t>Www.mordorintelligence.com</w:t>
      </w:r>
      <w:r>
        <w:t xml:space="preserve">. Available at: </w:t>
      </w:r>
      <w:hyperlink r:id="rId22" w:history="1">
        <w:r w:rsidRPr="00F55B07">
          <w:rPr>
            <w:rStyle w:val="Hyperlink"/>
          </w:rPr>
          <w:t>https://www.mordorintelligence.com/industry-reports/coconut-water-market</w:t>
        </w:r>
      </w:hyperlink>
      <w:r>
        <w:t xml:space="preserve">  (Accessed: July 14, 2026).</w:t>
      </w:r>
    </w:p>
    <w:p w14:paraId="363C2DC4" w14:textId="77777777" w:rsidR="00CE530C" w:rsidRPr="00CD0359" w:rsidRDefault="00CE530C" w:rsidP="00CE530C">
      <w:pPr>
        <w:pStyle w:val="ListParagraph"/>
        <w:numPr>
          <w:ilvl w:val="0"/>
          <w:numId w:val="2"/>
        </w:numPr>
        <w:jc w:val="both"/>
      </w:pPr>
      <w:r>
        <w:t xml:space="preserve">Morgeson, F.V., Hult, G.T.M., Mithas, S., Keiningham, T. and Fornell, C. (2020) 'Turning complaining customers into loyal customers: moderators of the complaint handling-customer loyalty relationship', Journal of Marketing, 84(5), pp. 79-99. Available at: </w:t>
      </w:r>
      <w:hyperlink r:id="rId23" w:history="1">
        <w:r w:rsidRPr="00F55B07">
          <w:rPr>
            <w:rStyle w:val="Hyperlink"/>
          </w:rPr>
          <w:t>https://eprints.whiterose.ac.uk/id/eprint/163118/3/Turning%20complaining.pdf</w:t>
        </w:r>
      </w:hyperlink>
      <w:r>
        <w:t xml:space="preserve">  (Accessed: 12 August 2026).</w:t>
      </w:r>
    </w:p>
    <w:p w14:paraId="3DB499D6" w14:textId="30A732F9" w:rsidR="00CE530C" w:rsidRPr="00CE530C" w:rsidRDefault="00CE530C" w:rsidP="00710E85">
      <w:pPr>
        <w:pStyle w:val="ListParagraph"/>
        <w:numPr>
          <w:ilvl w:val="0"/>
          <w:numId w:val="2"/>
        </w:numPr>
        <w:jc w:val="both"/>
        <w:rPr>
          <w:lang w:val="en-IN"/>
        </w:rPr>
      </w:pPr>
      <w:r>
        <w:t xml:space="preserve">Mukonza, C. and Swarts, I. (2020) “The influence of green marketing strategies on business performance and corporate image in the retail sector,” </w:t>
      </w:r>
      <w:r w:rsidRPr="00CE530C">
        <w:rPr>
          <w:i/>
          <w:iCs/>
        </w:rPr>
        <w:t>Business Strategy and the Environment</w:t>
      </w:r>
      <w:r>
        <w:t>, 29(3), pp. 838–845</w:t>
      </w:r>
      <w:r w:rsidR="00710E85">
        <w:t xml:space="preserve"> </w:t>
      </w:r>
      <w:hyperlink r:id="rId24" w:history="1">
        <w:r w:rsidR="00710E85" w:rsidRPr="00710E85">
          <w:rPr>
            <w:rStyle w:val="Hyperlink"/>
          </w:rPr>
          <w:t>https://onlinelibrary.wiley.com/doi/abs/10.1002/bse.2401</w:t>
        </w:r>
      </w:hyperlink>
      <w:r>
        <w:t xml:space="preserve">. </w:t>
      </w:r>
      <w:r w:rsidRPr="00CE530C">
        <w:rPr>
          <w:lang w:val="en-IN"/>
        </w:rPr>
        <w:t> </w:t>
      </w:r>
    </w:p>
    <w:p w14:paraId="547E7438" w14:textId="77777777" w:rsidR="00CE530C" w:rsidRPr="00CD0359" w:rsidRDefault="00CE530C" w:rsidP="00CE530C">
      <w:pPr>
        <w:pStyle w:val="ListParagraph"/>
        <w:numPr>
          <w:ilvl w:val="0"/>
          <w:numId w:val="2"/>
        </w:numPr>
        <w:jc w:val="both"/>
      </w:pPr>
      <w:r>
        <w:t xml:space="preserve">Nguyen-Viet, B. (2022) “The impact of green marketing mix elements on green customer based brand equity in an emerging market,” </w:t>
      </w:r>
      <w:r w:rsidRPr="00CE530C">
        <w:rPr>
          <w:i/>
          <w:iCs/>
        </w:rPr>
        <w:t>Asia-Pacific Journal of Business Administration</w:t>
      </w:r>
      <w:r>
        <w:t xml:space="preserve">, 15(1), pp. 96–116. Available at: </w:t>
      </w:r>
      <w:hyperlink r:id="rId25" w:history="1">
        <w:r w:rsidRPr="00CE530C">
          <w:rPr>
            <w:rStyle w:val="Hyperlink"/>
            <w:rFonts w:cs="Arial"/>
          </w:rPr>
          <w:t>https://doi.org/10.1108/apjba-08-2021-0398</w:t>
        </w:r>
      </w:hyperlink>
      <w:r>
        <w:t>.</w:t>
      </w:r>
    </w:p>
    <w:p w14:paraId="123D5B25" w14:textId="77777777" w:rsidR="00CE530C" w:rsidRPr="00CD0359" w:rsidRDefault="00CE530C" w:rsidP="00CE530C">
      <w:pPr>
        <w:pStyle w:val="ListParagraph"/>
        <w:numPr>
          <w:ilvl w:val="0"/>
          <w:numId w:val="2"/>
        </w:numPr>
        <w:jc w:val="both"/>
      </w:pPr>
      <w:r>
        <w:t xml:space="preserve">Nordigården, D. </w:t>
      </w:r>
      <w:r w:rsidRPr="00CE530C">
        <w:rPr>
          <w:i/>
          <w:iCs/>
        </w:rPr>
        <w:t>et al.</w:t>
      </w:r>
      <w:r>
        <w:t xml:space="preserve"> (2025) </w:t>
      </w:r>
      <w:r w:rsidRPr="00CE530C">
        <w:rPr>
          <w:i/>
          <w:iCs/>
        </w:rPr>
        <w:t>Sustainability in packaging 2025: Inside the minds of global consumers</w:t>
      </w:r>
      <w:r>
        <w:t xml:space="preserve">, </w:t>
      </w:r>
      <w:r w:rsidRPr="00CE530C">
        <w:rPr>
          <w:i/>
          <w:iCs/>
        </w:rPr>
        <w:t>McKinsey &amp; Company</w:t>
      </w:r>
      <w:r>
        <w:t xml:space="preserve">. Available at: </w:t>
      </w:r>
      <w:hyperlink r:id="rId26" w:history="1">
        <w:r w:rsidRPr="00F55B07">
          <w:rPr>
            <w:rStyle w:val="Hyperlink"/>
          </w:rPr>
          <w:t>https://www.mckinsey.com/industries/packaging-and-paper/our-insights/sustainability-in-packaging-2025-inside-the-minds-of-global-consumers</w:t>
        </w:r>
      </w:hyperlink>
      <w:r>
        <w:t xml:space="preserve">  (Accessed: July 14, 2026).</w:t>
      </w:r>
    </w:p>
    <w:p w14:paraId="56DE42E7" w14:textId="77777777" w:rsidR="00CE530C" w:rsidRPr="00CD0359" w:rsidRDefault="00CE530C" w:rsidP="00CE530C">
      <w:pPr>
        <w:pStyle w:val="ListParagraph"/>
        <w:numPr>
          <w:ilvl w:val="0"/>
          <w:numId w:val="2"/>
        </w:numPr>
        <w:jc w:val="both"/>
      </w:pPr>
      <w:r>
        <w:t xml:space="preserve">Oceana (2025) </w:t>
      </w:r>
      <w:r w:rsidRPr="00CE530C">
        <w:rPr>
          <w:i/>
          <w:iCs/>
        </w:rPr>
        <w:t>Coca-Cola’s World With Waste | Oceana</w:t>
      </w:r>
      <w:r>
        <w:t xml:space="preserve">, </w:t>
      </w:r>
      <w:r w:rsidRPr="00CE530C">
        <w:rPr>
          <w:i/>
          <w:iCs/>
        </w:rPr>
        <w:t>Oceana</w:t>
      </w:r>
      <w:r>
        <w:t xml:space="preserve">. Available at: </w:t>
      </w:r>
      <w:hyperlink r:id="rId27" w:history="1">
        <w:r w:rsidRPr="00F55B07">
          <w:rPr>
            <w:rStyle w:val="Hyperlink"/>
          </w:rPr>
          <w:t>https://oceana.org/reports/coca-colas-world-with-waste/</w:t>
        </w:r>
      </w:hyperlink>
      <w:r>
        <w:t xml:space="preserve">  (Accessed: July 14, 2026).</w:t>
      </w:r>
    </w:p>
    <w:p w14:paraId="27B9750E" w14:textId="77777777" w:rsidR="00CE530C" w:rsidRPr="00CD0359" w:rsidRDefault="00CE530C" w:rsidP="00CE530C">
      <w:pPr>
        <w:pStyle w:val="ListParagraph"/>
        <w:numPr>
          <w:ilvl w:val="0"/>
          <w:numId w:val="2"/>
        </w:numPr>
        <w:jc w:val="both"/>
      </w:pPr>
      <w:r>
        <w:t xml:space="preserve">Ploumis, P. (2025) </w:t>
      </w:r>
      <w:r w:rsidRPr="00CE530C">
        <w:rPr>
          <w:i/>
          <w:iCs/>
        </w:rPr>
        <w:t>Coca-Cola: 99% Of its Packages Globally were Recyclable in 2024</w:t>
      </w:r>
      <w:r>
        <w:t xml:space="preserve">, </w:t>
      </w:r>
      <w:r w:rsidRPr="00CE530C">
        <w:rPr>
          <w:i/>
          <w:iCs/>
        </w:rPr>
        <w:t>ScrapMonster</w:t>
      </w:r>
      <w:r>
        <w:t xml:space="preserve">. Available at: </w:t>
      </w:r>
      <w:hyperlink r:id="rId28" w:history="1">
        <w:r w:rsidRPr="00F55B07">
          <w:rPr>
            <w:rStyle w:val="Hyperlink"/>
          </w:rPr>
          <w:t>https://www.scrapmonster.com/news/plastic-recycling/coca-cola-packages-recyclable-pollution-plastic-bottle-environmental-update/97414</w:t>
        </w:r>
      </w:hyperlink>
      <w:r>
        <w:t xml:space="preserve">  (Accessed: July 14, 2026).</w:t>
      </w:r>
    </w:p>
    <w:p w14:paraId="10CC6B76" w14:textId="77777777" w:rsidR="00CE530C" w:rsidRPr="00CD0359" w:rsidRDefault="00CE530C" w:rsidP="00CE530C">
      <w:pPr>
        <w:pStyle w:val="ListParagraph"/>
        <w:numPr>
          <w:ilvl w:val="0"/>
          <w:numId w:val="2"/>
        </w:numPr>
        <w:jc w:val="both"/>
      </w:pPr>
      <w:r>
        <w:t xml:space="preserve">PWC (2024) </w:t>
      </w:r>
      <w:r w:rsidRPr="00CE530C">
        <w:rPr>
          <w:i/>
          <w:iCs/>
        </w:rPr>
        <w:t>Consumers willing to pay 9.7% sustainability premium, even as cost-of-living and inflationary concerns weigh: PwC 2024 voice of the consumer survey</w:t>
      </w:r>
      <w:r>
        <w:t xml:space="preserve">, </w:t>
      </w:r>
      <w:r w:rsidRPr="00CE530C">
        <w:rPr>
          <w:i/>
          <w:iCs/>
        </w:rPr>
        <w:t>PwC</w:t>
      </w:r>
      <w:r>
        <w:t xml:space="preserve">. Available at: </w:t>
      </w:r>
      <w:hyperlink r:id="rId29" w:history="1">
        <w:r w:rsidRPr="00F55B07">
          <w:rPr>
            <w:rStyle w:val="Hyperlink"/>
          </w:rPr>
          <w:t>https://www.pwc.com/gx/en/news-room/press-releases/2024/pwc-2024-voice-of-consumer-survey.html</w:t>
        </w:r>
      </w:hyperlink>
      <w:r>
        <w:t xml:space="preserve">  (Accessed: July 14, 2026).</w:t>
      </w:r>
    </w:p>
    <w:p w14:paraId="0D434B63" w14:textId="7916696B" w:rsidR="00CE530C" w:rsidRPr="00CD0359" w:rsidRDefault="00CE530C" w:rsidP="00CE530C">
      <w:pPr>
        <w:pStyle w:val="ListParagraph"/>
        <w:numPr>
          <w:ilvl w:val="0"/>
          <w:numId w:val="2"/>
        </w:numPr>
        <w:jc w:val="both"/>
      </w:pPr>
      <w:r>
        <w:t xml:space="preserve">Qayyum, A., Jamil, R.A. and Sehar, A. (2022) “Impact of green marketing, </w:t>
      </w:r>
      <w:r w:rsidR="0031213D">
        <w:t>green washing</w:t>
      </w:r>
      <w:r>
        <w:t xml:space="preserve"> and green confusion on green brand equity,” </w:t>
      </w:r>
      <w:r w:rsidRPr="00CE530C">
        <w:rPr>
          <w:i/>
          <w:iCs/>
        </w:rPr>
        <w:t>Spanish Journal of Marketing - ESIC</w:t>
      </w:r>
      <w:r>
        <w:t xml:space="preserve">, 27(3). Available at: </w:t>
      </w:r>
      <w:hyperlink r:id="rId30" w:history="1">
        <w:r w:rsidRPr="00F55B07">
          <w:rPr>
            <w:rStyle w:val="Hyperlink"/>
          </w:rPr>
          <w:t>https://doi.org/10.1108/sjme-03-2022-0032</w:t>
        </w:r>
      </w:hyperlink>
      <w:r>
        <w:t>.</w:t>
      </w:r>
    </w:p>
    <w:p w14:paraId="69AFCD4F" w14:textId="77777777" w:rsidR="00CE530C" w:rsidRPr="00CE530C" w:rsidRDefault="00CE530C" w:rsidP="00CE530C">
      <w:pPr>
        <w:pStyle w:val="ListParagraph"/>
        <w:numPr>
          <w:ilvl w:val="0"/>
          <w:numId w:val="2"/>
        </w:numPr>
        <w:jc w:val="both"/>
        <w:rPr>
          <w:szCs w:val="24"/>
          <w:lang w:val="en-IN"/>
        </w:rPr>
      </w:pPr>
      <w:r w:rsidRPr="00CE530C">
        <w:rPr>
          <w:szCs w:val="24"/>
          <w:lang w:val="en-IN"/>
        </w:rPr>
        <w:t xml:space="preserve">Rachal, M. (2025) Coca-Cola reports jump in packaging deemed recyclable, Packaging Dive. Available at: </w:t>
      </w:r>
      <w:hyperlink r:id="rId31" w:history="1">
        <w:r w:rsidRPr="00CE530C">
          <w:rPr>
            <w:rStyle w:val="Hyperlink"/>
            <w:szCs w:val="24"/>
            <w:lang w:val="en-IN"/>
          </w:rPr>
          <w:t>https://www.packagingdive.com/news/coca-cola-2024-environmental-update-packaging/760832/</w:t>
        </w:r>
      </w:hyperlink>
      <w:r w:rsidRPr="00CE530C">
        <w:rPr>
          <w:szCs w:val="24"/>
          <w:lang w:val="en-IN"/>
        </w:rPr>
        <w:t xml:space="preserve">  (Accessed: July 13, 2026).</w:t>
      </w:r>
    </w:p>
    <w:p w14:paraId="18644052" w14:textId="77777777" w:rsidR="00CE530C" w:rsidRPr="00CD0359" w:rsidRDefault="00CE530C" w:rsidP="00CE530C">
      <w:pPr>
        <w:pStyle w:val="ListParagraph"/>
        <w:numPr>
          <w:ilvl w:val="0"/>
          <w:numId w:val="2"/>
        </w:numPr>
        <w:jc w:val="both"/>
      </w:pPr>
      <w:r>
        <w:t xml:space="preserve">Rehman, S.U., Gulzar, R. and Aslam, W. (2022) 'Developing the integrated marketing communication (IMC) through social media (SM): the modern marketing communication approach', SAGE Open, 12(2). Available at: </w:t>
      </w:r>
      <w:hyperlink r:id="rId32" w:history="1">
        <w:r w:rsidRPr="00F55B07">
          <w:rPr>
            <w:rStyle w:val="Hyperlink"/>
          </w:rPr>
          <w:t>https://journals.sagepub.com/doi/pdf/10.1177/21582440221099936</w:t>
        </w:r>
      </w:hyperlink>
      <w:r>
        <w:t xml:space="preserve"> (Accessed: 12 August 2026).</w:t>
      </w:r>
    </w:p>
    <w:p w14:paraId="59043D7D" w14:textId="77777777" w:rsidR="00CE530C" w:rsidRPr="00CD0359" w:rsidRDefault="00CE530C" w:rsidP="00CE530C">
      <w:pPr>
        <w:pStyle w:val="ListParagraph"/>
        <w:numPr>
          <w:ilvl w:val="0"/>
          <w:numId w:val="2"/>
        </w:numPr>
        <w:jc w:val="both"/>
      </w:pPr>
      <w:r>
        <w:t xml:space="preserve">Shorr (2025) </w:t>
      </w:r>
      <w:r w:rsidRPr="00CE530C">
        <w:rPr>
          <w:i/>
          <w:iCs/>
        </w:rPr>
        <w:t>The 2025 Sustainable Packaging Consumer Report | Shorr Packaging</w:t>
      </w:r>
      <w:r>
        <w:t xml:space="preserve">, </w:t>
      </w:r>
      <w:r w:rsidRPr="00CE530C">
        <w:rPr>
          <w:i/>
          <w:iCs/>
        </w:rPr>
        <w:t>Shorr Packaging</w:t>
      </w:r>
      <w:r>
        <w:t xml:space="preserve">. Available at: </w:t>
      </w:r>
      <w:hyperlink r:id="rId33" w:history="1">
        <w:r w:rsidRPr="00F55B07">
          <w:rPr>
            <w:rStyle w:val="Hyperlink"/>
          </w:rPr>
          <w:t>https://www.shorr.com/resources/blog/sustainable-packaging-consumer-report/</w:t>
        </w:r>
      </w:hyperlink>
      <w:r>
        <w:t xml:space="preserve">  (Accessed: July 14, 2026).</w:t>
      </w:r>
    </w:p>
    <w:p w14:paraId="12B7CAFD" w14:textId="77777777" w:rsidR="00CE530C" w:rsidRPr="00CD0359" w:rsidRDefault="00CE530C" w:rsidP="00CE530C">
      <w:pPr>
        <w:pStyle w:val="ListParagraph"/>
        <w:numPr>
          <w:ilvl w:val="0"/>
          <w:numId w:val="2"/>
        </w:numPr>
        <w:jc w:val="both"/>
      </w:pPr>
      <w:r>
        <w:t xml:space="preserve">Simon-Kucher (2024) </w:t>
      </w:r>
      <w:r w:rsidRPr="00CE530C">
        <w:rPr>
          <w:rStyle w:val="Emphasis"/>
          <w:rFonts w:cs="Arial"/>
        </w:rPr>
        <w:t>2024 Global Sustainability Study</w:t>
      </w:r>
      <w:r>
        <w:t xml:space="preserve">. Available at: </w:t>
      </w:r>
      <w:hyperlink r:id="rId34" w:history="1">
        <w:r w:rsidRPr="00CE530C">
          <w:rPr>
            <w:rStyle w:val="Hyperlink"/>
            <w:rFonts w:cs="Arial"/>
          </w:rPr>
          <w:t>https://www.simon-kucher.com/en/who-we-are/newsroom/simon-kucher-unveils-2024-global-sustainability-study-majority-willing-pay-more</w:t>
        </w:r>
      </w:hyperlink>
      <w:r>
        <w:t xml:space="preserve"> (Accessed: 14 July 2026).</w:t>
      </w:r>
    </w:p>
    <w:p w14:paraId="2FF318F0" w14:textId="77777777" w:rsidR="00CE530C" w:rsidRPr="00CD0359" w:rsidRDefault="00CE530C" w:rsidP="00CE530C">
      <w:pPr>
        <w:pStyle w:val="ListParagraph"/>
        <w:numPr>
          <w:ilvl w:val="0"/>
          <w:numId w:val="2"/>
        </w:numPr>
        <w:jc w:val="both"/>
      </w:pPr>
      <w:r>
        <w:t xml:space="preserve">Sims, D., Swales, C. and Aitken, D., 2025. Student poster conferences as a formative, authentic, inclusive and sustainable assessment practice. The clinical teacher, 22(2), p.e70050. </w:t>
      </w:r>
      <w:hyperlink r:id="rId35" w:history="1">
        <w:r w:rsidRPr="00CE530C">
          <w:rPr>
            <w:rStyle w:val="Hyperlink"/>
            <w:rFonts w:cs="Arial"/>
          </w:rPr>
          <w:t>https://asmepublications.onlinelibrary.wiley.com/doi/pdf/10.1111/tct.70050</w:t>
        </w:r>
      </w:hyperlink>
    </w:p>
    <w:p w14:paraId="1C107E8A" w14:textId="77777777" w:rsidR="00CE530C" w:rsidRPr="00CD0359" w:rsidRDefault="00CE530C" w:rsidP="00CE530C">
      <w:pPr>
        <w:pStyle w:val="ListParagraph"/>
        <w:numPr>
          <w:ilvl w:val="0"/>
          <w:numId w:val="2"/>
        </w:numPr>
        <w:jc w:val="both"/>
      </w:pPr>
      <w:r>
        <w:t xml:space="preserve">The Coca-Cola Company (2020) </w:t>
      </w:r>
      <w:r w:rsidRPr="00CE530C">
        <w:rPr>
          <w:i/>
          <w:iCs/>
        </w:rPr>
        <w:t>The Coca-Cola Company</w:t>
      </w:r>
      <w:r>
        <w:t xml:space="preserve">, </w:t>
      </w:r>
      <w:r w:rsidRPr="00CE530C">
        <w:rPr>
          <w:i/>
          <w:iCs/>
        </w:rPr>
        <w:t>The Coca-Cola Company</w:t>
      </w:r>
      <w:r>
        <w:t xml:space="preserve">. Available at: </w:t>
      </w:r>
      <w:hyperlink r:id="rId36" w:history="1">
        <w:r w:rsidRPr="00F55B07">
          <w:rPr>
            <w:rStyle w:val="Hyperlink"/>
          </w:rPr>
          <w:t>https://investors.coca-colacompany.com/news-events/press-releases/detail/630/zicotm-beverages-joins-the-coca-cola-family</w:t>
        </w:r>
      </w:hyperlink>
      <w:r>
        <w:t xml:space="preserve">  (Accessed: July 13, 2026).</w:t>
      </w:r>
    </w:p>
    <w:p w14:paraId="3FD33552" w14:textId="77777777" w:rsidR="00CE530C" w:rsidRPr="00CD0359" w:rsidRDefault="00CE530C" w:rsidP="00CE530C">
      <w:pPr>
        <w:pStyle w:val="ListParagraph"/>
        <w:numPr>
          <w:ilvl w:val="0"/>
          <w:numId w:val="2"/>
        </w:numPr>
        <w:jc w:val="both"/>
      </w:pPr>
      <w:r>
        <w:t xml:space="preserve">Yafi, E., Tehseen, S. and Haider, S.A. (2021) 'Impact of green training on environmental performance through mediating role of competencies and motivation', Sustainability, 13(10), 5624. Available at: </w:t>
      </w:r>
      <w:hyperlink r:id="rId37" w:history="1">
        <w:r>
          <w:rPr>
            <w:rStyle w:val="Hyperlink"/>
          </w:rPr>
          <w:t>https://doi.org/10.3390/su13105624</w:t>
        </w:r>
      </w:hyperlink>
      <w:r>
        <w:t xml:space="preserve">  (Accessed: 12 August 2026).</w:t>
      </w:r>
    </w:p>
    <w:p w14:paraId="2B3466B3" w14:textId="77777777" w:rsidR="002B3C8B" w:rsidRPr="009777A9" w:rsidRDefault="002B3C8B" w:rsidP="002B3C8B">
      <w:pPr>
        <w:pStyle w:val="Heading1"/>
      </w:pPr>
      <w:bookmarkStart w:id="12" w:name="_Toc237428443"/>
      <w:r>
        <w:t>Appendix</w:t>
      </w:r>
      <w:bookmarkEnd w:id="12"/>
    </w:p>
    <w:p w14:paraId="1454A9B6" w14:textId="77777777" w:rsidR="002B3C8B" w:rsidRPr="00CD0359" w:rsidRDefault="002B3C8B" w:rsidP="002B3C8B">
      <w:pPr>
        <w:pStyle w:val="Heading2"/>
      </w:pPr>
      <w:bookmarkStart w:id="13" w:name="_Toc237428444"/>
      <w:r>
        <w:t>Appendix A: Indicative Twelve-Month Implementation Outline for Zico Renew</w:t>
      </w:r>
      <w:bookmarkEnd w:id="13"/>
    </w:p>
    <w:p w14:paraId="0EFF65F0" w14:textId="3CBAA8BE" w:rsidR="002B3C8B" w:rsidRPr="000D7877" w:rsidRDefault="002B3C8B" w:rsidP="002B3C8B">
      <w:pPr>
        <w:jc w:val="both"/>
        <w:rPr>
          <w:rFonts w:asciiTheme="minorBidi" w:hAnsiTheme="minorBidi"/>
          <w:color w:val="000000" w:themeColor="text1"/>
        </w:rPr>
      </w:pPr>
      <w:r w:rsidRPr="000D7877">
        <w:rPr>
          <w:rFonts w:asciiTheme="minorBidi" w:hAnsiTheme="minorBidi"/>
          <w:color w:val="000000" w:themeColor="text1"/>
        </w:rPr>
        <w:t xml:space="preserve">The first to third months would cover material qualification which would entail contracts for husk fiber procurement at processing </w:t>
      </w:r>
      <w:r w:rsidR="00083590" w:rsidRPr="000D7877">
        <w:rPr>
          <w:rFonts w:asciiTheme="minorBidi" w:hAnsiTheme="minorBidi"/>
          <w:color w:val="000000" w:themeColor="text1"/>
        </w:rPr>
        <w:t>centres</w:t>
      </w:r>
      <w:r w:rsidRPr="000D7877">
        <w:rPr>
          <w:rFonts w:asciiTheme="minorBidi" w:hAnsiTheme="minorBidi"/>
          <w:color w:val="000000" w:themeColor="text1"/>
        </w:rPr>
        <w:t xml:space="preserve">, compostability certification, and shelf-life testing relative to current carton products. The fourth to sixth month would focus on channel preparation, such as educating trade accounts, activation of the website and application registration features, as well as implementation of the training modules from the people aspect because competence and motivation both moderate the impact of green training on the environment. The seventh to ninth months would involve conducting a regional pilot in selected urban areas of North America and a few institutions, with complaint analysis being done bi-weekly. The tenth to twelfth months would cover the analysis of pilot results, publication of verified life-cycle analysis, and if materials are available, expand distribution to urban </w:t>
      </w:r>
      <w:r w:rsidR="00083590" w:rsidRPr="000D7877">
        <w:rPr>
          <w:rFonts w:asciiTheme="minorBidi" w:hAnsiTheme="minorBidi"/>
          <w:color w:val="000000" w:themeColor="text1"/>
        </w:rPr>
        <w:t>centres</w:t>
      </w:r>
      <w:r w:rsidRPr="000D7877">
        <w:rPr>
          <w:rFonts w:asciiTheme="minorBidi" w:hAnsiTheme="minorBidi"/>
          <w:color w:val="000000" w:themeColor="text1"/>
        </w:rPr>
        <w:t xml:space="preserve"> of Western Europe. Movement from phase to phase must be based on verified supply chain availability and not date certain.</w:t>
      </w:r>
    </w:p>
    <w:p w14:paraId="76F67237" w14:textId="77777777" w:rsidR="002B3C8B" w:rsidRDefault="002B3C8B" w:rsidP="002B3C8B"/>
    <w:p w14:paraId="67889380" w14:textId="77777777" w:rsidR="002B3C8B" w:rsidRDefault="002B3C8B" w:rsidP="002B3C8B">
      <w:pPr>
        <w:pStyle w:val="Heading2"/>
      </w:pPr>
      <w:r>
        <w:t>Appendix B: Poster Presentation</w:t>
      </w:r>
    </w:p>
    <w:p w14:paraId="7D8F8883" w14:textId="77777777" w:rsidR="002B3C8B" w:rsidRPr="00CD0359" w:rsidRDefault="002B3C8B" w:rsidP="002B3C8B">
      <w:pPr>
        <w:jc w:val="center"/>
      </w:pPr>
      <w:r>
        <w:rPr>
          <w:noProof/>
          <w:lang w:val="en-US" w:bidi="hi-IN"/>
        </w:rPr>
        <w:drawing>
          <wp:inline distT="0" distB="0" distL="0" distR="0" wp14:anchorId="76DC13BD" wp14:editId="73EE282D">
            <wp:extent cx="4375150" cy="4930140"/>
            <wp:effectExtent l="0" t="0" r="635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75150" cy="4930140"/>
                    </a:xfrm>
                    <a:prstGeom prst="rect">
                      <a:avLst/>
                    </a:prstGeom>
                  </pic:spPr>
                </pic:pic>
              </a:graphicData>
            </a:graphic>
          </wp:inline>
        </w:drawing>
      </w:r>
    </w:p>
    <w:p w14:paraId="067502D4" w14:textId="77777777" w:rsidR="002B3C8B" w:rsidRPr="00CD0359" w:rsidRDefault="002B3C8B" w:rsidP="002B3C8B">
      <w:pPr>
        <w:jc w:val="center"/>
        <w:rPr>
          <w:b/>
          <w:bCs/>
        </w:rPr>
      </w:pPr>
      <w:r>
        <w:rPr>
          <w:b/>
          <w:bCs/>
        </w:rPr>
        <w:t>Figure 1: Poster Presentation</w:t>
      </w:r>
    </w:p>
    <w:p w14:paraId="51FA2E98" w14:textId="77777777" w:rsidR="002B3C8B" w:rsidRPr="00CD0359" w:rsidRDefault="002B3C8B" w:rsidP="002B3C8B">
      <w:pPr>
        <w:jc w:val="center"/>
      </w:pPr>
      <w:r>
        <w:t xml:space="preserve">(Source: Self-developed). </w:t>
      </w:r>
    </w:p>
    <w:p w14:paraId="043408D0" w14:textId="19E20C95" w:rsidR="00B91E63" w:rsidRDefault="00B91E63">
      <w:pPr>
        <w:spacing w:line="259" w:lineRule="auto"/>
      </w:pPr>
      <w:r>
        <w:br w:type="page"/>
      </w:r>
    </w:p>
    <w:p w14:paraId="100978D0" w14:textId="31A130F7" w:rsidR="00623034" w:rsidRDefault="00B91E63" w:rsidP="00B91E63">
      <w:pPr>
        <w:pStyle w:val="Heading1"/>
      </w:pPr>
      <w:r>
        <w:t>Appendix c</w:t>
      </w:r>
    </w:p>
    <w:p w14:paraId="337929CA" w14:textId="09A38B95" w:rsidR="00B91E63" w:rsidRPr="00B91E63" w:rsidRDefault="00B91E63" w:rsidP="00B91E63">
      <w:pPr>
        <w:rPr>
          <w:b/>
          <w:bCs/>
        </w:rPr>
      </w:pPr>
      <w:r w:rsidRPr="00B91E63">
        <w:rPr>
          <w:b/>
          <w:bCs/>
        </w:rPr>
        <w:t xml:space="preserve">Gibbs Reflection Model </w:t>
      </w:r>
    </w:p>
    <w:tbl>
      <w:tblPr>
        <w:tblStyle w:val="GridTable5Dark-Accent5"/>
        <w:tblW w:w="0" w:type="auto"/>
        <w:tblLook w:val="04A0" w:firstRow="1" w:lastRow="0" w:firstColumn="1" w:lastColumn="0" w:noHBand="0" w:noVBand="1"/>
      </w:tblPr>
      <w:tblGrid>
        <w:gridCol w:w="1899"/>
        <w:gridCol w:w="7117"/>
      </w:tblGrid>
      <w:tr w:rsidR="00B91E63" w:rsidRPr="00B91E63" w14:paraId="74014FD0" w14:textId="77777777" w:rsidTr="00B91E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BC3D2D" w14:textId="77777777" w:rsidR="00B91E63" w:rsidRPr="00B91E63" w:rsidRDefault="00B91E63" w:rsidP="00B91E63">
            <w:pPr>
              <w:spacing w:after="160"/>
              <w:rPr>
                <w:lang w:val="en-IN"/>
              </w:rPr>
            </w:pPr>
            <w:r w:rsidRPr="00B91E63">
              <w:rPr>
                <w:lang w:val="en-IN"/>
              </w:rPr>
              <w:t>Gibbs' Reflective Cycle Stage</w:t>
            </w:r>
          </w:p>
        </w:tc>
        <w:tc>
          <w:tcPr>
            <w:tcW w:w="0" w:type="auto"/>
            <w:hideMark/>
          </w:tcPr>
          <w:p w14:paraId="6D83CAA0" w14:textId="77777777" w:rsidR="00B91E63" w:rsidRPr="00B91E63" w:rsidRDefault="00B91E63" w:rsidP="00B91E63">
            <w:pPr>
              <w:spacing w:after="160"/>
              <w:cnfStyle w:val="100000000000" w:firstRow="1" w:lastRow="0" w:firstColumn="0" w:lastColumn="0" w:oddVBand="0" w:evenVBand="0" w:oddHBand="0" w:evenHBand="0" w:firstRowFirstColumn="0" w:firstRowLastColumn="0" w:lastRowFirstColumn="0" w:lastRowLastColumn="0"/>
              <w:rPr>
                <w:lang w:val="en-IN"/>
              </w:rPr>
            </w:pPr>
            <w:r w:rsidRPr="00B91E63">
              <w:rPr>
                <w:lang w:val="en-IN"/>
              </w:rPr>
              <w:t>Reflection</w:t>
            </w:r>
          </w:p>
        </w:tc>
      </w:tr>
      <w:tr w:rsidR="00B91E63" w:rsidRPr="00B91E63" w14:paraId="0CCC3754" w14:textId="77777777" w:rsidTr="00B91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5FC9C8" w14:textId="77777777" w:rsidR="00B91E63" w:rsidRPr="00B91E63" w:rsidRDefault="00B91E63" w:rsidP="00B91E63">
            <w:pPr>
              <w:spacing w:after="160"/>
              <w:rPr>
                <w:lang w:val="en-IN"/>
              </w:rPr>
            </w:pPr>
            <w:r w:rsidRPr="00B91E63">
              <w:rPr>
                <w:lang w:val="en-IN"/>
              </w:rPr>
              <w:t>Description</w:t>
            </w:r>
          </w:p>
        </w:tc>
        <w:tc>
          <w:tcPr>
            <w:tcW w:w="0" w:type="auto"/>
            <w:hideMark/>
          </w:tcPr>
          <w:p w14:paraId="02CCFB2A" w14:textId="0896C48F" w:rsidR="00B91E63" w:rsidRPr="00B91E63" w:rsidRDefault="00B91E63" w:rsidP="008D7393">
            <w:pPr>
              <w:spacing w:after="160"/>
              <w:jc w:val="both"/>
              <w:cnfStyle w:val="000000100000" w:firstRow="0" w:lastRow="0" w:firstColumn="0" w:lastColumn="0" w:oddVBand="0" w:evenVBand="0" w:oddHBand="1" w:evenHBand="0" w:firstRowFirstColumn="0" w:firstRowLastColumn="0" w:lastRowFirstColumn="0" w:lastRowLastColumn="0"/>
              <w:rPr>
                <w:lang w:val="en-IN"/>
              </w:rPr>
            </w:pPr>
            <w:r w:rsidRPr="00B91E63">
              <w:t>I designed and presented the Zico Renew sustainable brand extension portfolio including poster presentation, STDP analysis, 7Ps marketing mix strategy on the theme of using 'biodegradable' coconut packaging fibre.</w:t>
            </w:r>
          </w:p>
        </w:tc>
      </w:tr>
      <w:tr w:rsidR="00B91E63" w:rsidRPr="00B91E63" w14:paraId="4573368C" w14:textId="77777777" w:rsidTr="00B91E63">
        <w:tc>
          <w:tcPr>
            <w:cnfStyle w:val="001000000000" w:firstRow="0" w:lastRow="0" w:firstColumn="1" w:lastColumn="0" w:oddVBand="0" w:evenVBand="0" w:oddHBand="0" w:evenHBand="0" w:firstRowFirstColumn="0" w:firstRowLastColumn="0" w:lastRowFirstColumn="0" w:lastRowLastColumn="0"/>
            <w:tcW w:w="0" w:type="auto"/>
            <w:hideMark/>
          </w:tcPr>
          <w:p w14:paraId="1173466C" w14:textId="77777777" w:rsidR="00B91E63" w:rsidRPr="00B91E63" w:rsidRDefault="00B91E63" w:rsidP="00B91E63">
            <w:pPr>
              <w:spacing w:after="160"/>
              <w:rPr>
                <w:lang w:val="en-IN"/>
              </w:rPr>
            </w:pPr>
            <w:r w:rsidRPr="00B91E63">
              <w:rPr>
                <w:lang w:val="en-IN"/>
              </w:rPr>
              <w:t>Feelings</w:t>
            </w:r>
          </w:p>
        </w:tc>
        <w:tc>
          <w:tcPr>
            <w:tcW w:w="0" w:type="auto"/>
            <w:hideMark/>
          </w:tcPr>
          <w:p w14:paraId="0E614A7C" w14:textId="7FF1B885" w:rsidR="00B91E63" w:rsidRPr="00B91E63" w:rsidRDefault="00B91E63" w:rsidP="008D7393">
            <w:pPr>
              <w:spacing w:after="160"/>
              <w:jc w:val="both"/>
              <w:cnfStyle w:val="000000000000" w:firstRow="0" w:lastRow="0" w:firstColumn="0" w:lastColumn="0" w:oddVBand="0" w:evenVBand="0" w:oddHBand="0" w:evenHBand="0" w:firstRowFirstColumn="0" w:firstRowLastColumn="0" w:lastRowFirstColumn="0" w:lastRowLastColumn="0"/>
              <w:rPr>
                <w:lang w:val="en-IN"/>
              </w:rPr>
            </w:pPr>
            <w:r w:rsidRPr="003F5E2A">
              <w:t>The idea of having access to the concept of marketing and how it could be applied to a real sustainability problem inspired me. But for me making it on to such a concise and engaging poster with all the research was also frightening.</w:t>
            </w:r>
          </w:p>
        </w:tc>
      </w:tr>
      <w:tr w:rsidR="00B91E63" w:rsidRPr="00B91E63" w14:paraId="507178D9" w14:textId="77777777" w:rsidTr="00B91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008398" w14:textId="77777777" w:rsidR="00B91E63" w:rsidRPr="00B91E63" w:rsidRDefault="00B91E63" w:rsidP="00B91E63">
            <w:pPr>
              <w:spacing w:after="160"/>
              <w:rPr>
                <w:lang w:val="en-IN"/>
              </w:rPr>
            </w:pPr>
            <w:r w:rsidRPr="00B91E63">
              <w:rPr>
                <w:lang w:val="en-IN"/>
              </w:rPr>
              <w:t>Evaluation</w:t>
            </w:r>
          </w:p>
        </w:tc>
        <w:tc>
          <w:tcPr>
            <w:tcW w:w="0" w:type="auto"/>
            <w:hideMark/>
          </w:tcPr>
          <w:p w14:paraId="5EC54192" w14:textId="67AF467F" w:rsidR="00B91E63" w:rsidRPr="00B91E63" w:rsidRDefault="00B91E63" w:rsidP="008D7393">
            <w:pPr>
              <w:spacing w:after="160"/>
              <w:jc w:val="both"/>
              <w:cnfStyle w:val="000000100000" w:firstRow="0" w:lastRow="0" w:firstColumn="0" w:lastColumn="0" w:oddVBand="0" w:evenVBand="0" w:oddHBand="1" w:evenHBand="0" w:firstRowFirstColumn="0" w:firstRowLastColumn="0" w:lastRowFirstColumn="0" w:lastRowLastColumn="0"/>
              <w:rPr>
                <w:lang w:val="en-IN"/>
              </w:rPr>
            </w:pPr>
            <w:r w:rsidRPr="003F5E2A">
              <w:t xml:space="preserve">One of the main advantages was to critically </w:t>
            </w:r>
            <w:r w:rsidR="005C31C5" w:rsidRPr="003F5E2A">
              <w:t>analyse</w:t>
            </w:r>
            <w:r w:rsidRPr="003F5E2A">
              <w:t xml:space="preserve"> the Prairie View conservation methods that Coca-Cola is using, and provide arguments and proofs for the concept Zico Renew. The weakness was that there wasn't a lot of time allocated for rehearsing the presentation but most of it was dedicated to research.</w:t>
            </w:r>
          </w:p>
        </w:tc>
      </w:tr>
      <w:tr w:rsidR="00B91E63" w:rsidRPr="00B91E63" w14:paraId="1AA89437" w14:textId="77777777" w:rsidTr="00B91E63">
        <w:tc>
          <w:tcPr>
            <w:cnfStyle w:val="001000000000" w:firstRow="0" w:lastRow="0" w:firstColumn="1" w:lastColumn="0" w:oddVBand="0" w:evenVBand="0" w:oddHBand="0" w:evenHBand="0" w:firstRowFirstColumn="0" w:firstRowLastColumn="0" w:lastRowFirstColumn="0" w:lastRowLastColumn="0"/>
            <w:tcW w:w="0" w:type="auto"/>
            <w:hideMark/>
          </w:tcPr>
          <w:p w14:paraId="2C35EB82" w14:textId="77777777" w:rsidR="00B91E63" w:rsidRPr="00B91E63" w:rsidRDefault="00B91E63" w:rsidP="00B91E63">
            <w:pPr>
              <w:spacing w:after="160"/>
              <w:rPr>
                <w:lang w:val="en-IN"/>
              </w:rPr>
            </w:pPr>
            <w:r w:rsidRPr="00B91E63">
              <w:rPr>
                <w:lang w:val="en-IN"/>
              </w:rPr>
              <w:t>Analysis</w:t>
            </w:r>
          </w:p>
        </w:tc>
        <w:tc>
          <w:tcPr>
            <w:tcW w:w="0" w:type="auto"/>
            <w:hideMark/>
          </w:tcPr>
          <w:p w14:paraId="2B98A96D" w14:textId="67982957" w:rsidR="00B91E63" w:rsidRPr="00B91E63" w:rsidRDefault="00B91E63" w:rsidP="008D7393">
            <w:pPr>
              <w:spacing w:after="160"/>
              <w:jc w:val="both"/>
              <w:cnfStyle w:val="000000000000" w:firstRow="0" w:lastRow="0" w:firstColumn="0" w:lastColumn="0" w:oddVBand="0" w:evenVBand="0" w:oddHBand="0" w:evenHBand="0" w:firstRowFirstColumn="0" w:firstRowLastColumn="0" w:lastRowFirstColumn="0" w:lastRowLastColumn="0"/>
              <w:rPr>
                <w:lang w:val="en-IN"/>
              </w:rPr>
            </w:pPr>
            <w:r w:rsidRPr="00B91E63">
              <w:t>This situation demonstrated that research without a strong communication is not enough. Along with content, presentation skills, confidence, and preparation play equal roles in influencing the audience and making a convincing message.</w:t>
            </w:r>
          </w:p>
        </w:tc>
      </w:tr>
      <w:tr w:rsidR="00B91E63" w:rsidRPr="00B91E63" w14:paraId="1DDAB12F" w14:textId="77777777" w:rsidTr="00B91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4ABEBF" w14:textId="77777777" w:rsidR="00B91E63" w:rsidRPr="00B91E63" w:rsidRDefault="00B91E63" w:rsidP="00B91E63">
            <w:pPr>
              <w:spacing w:after="160"/>
              <w:rPr>
                <w:lang w:val="en-IN"/>
              </w:rPr>
            </w:pPr>
            <w:r w:rsidRPr="00B91E63">
              <w:rPr>
                <w:lang w:val="en-IN"/>
              </w:rPr>
              <w:t>Conclusion</w:t>
            </w:r>
          </w:p>
        </w:tc>
        <w:tc>
          <w:tcPr>
            <w:tcW w:w="0" w:type="auto"/>
            <w:hideMark/>
          </w:tcPr>
          <w:p w14:paraId="7479D6AE" w14:textId="77777777" w:rsidR="00B91E63" w:rsidRDefault="00B91E63" w:rsidP="008D7393">
            <w:pPr>
              <w:jc w:val="both"/>
              <w:cnfStyle w:val="000000100000" w:firstRow="0" w:lastRow="0" w:firstColumn="0" w:lastColumn="0" w:oddVBand="0" w:evenVBand="0" w:oddHBand="1" w:evenHBand="0" w:firstRowFirstColumn="0" w:firstRowLastColumn="0" w:lastRowFirstColumn="0" w:lastRowLastColumn="0"/>
            </w:pPr>
            <w:r>
              <w:t>I could have enhanced my performance if I had planned ahead for presentations to practice them earlier in the project, taken feedback from my peers, and incorporated consumer behaviour theory more consistently during the project.</w:t>
            </w:r>
          </w:p>
          <w:p w14:paraId="5E848B23" w14:textId="544392A3" w:rsidR="00B91E63" w:rsidRPr="00B91E63" w:rsidRDefault="00B91E63" w:rsidP="008D7393">
            <w:pPr>
              <w:spacing w:after="160"/>
              <w:jc w:val="both"/>
              <w:cnfStyle w:val="000000100000" w:firstRow="0" w:lastRow="0" w:firstColumn="0" w:lastColumn="0" w:oddVBand="0" w:evenVBand="0" w:oddHBand="1" w:evenHBand="0" w:firstRowFirstColumn="0" w:firstRowLastColumn="0" w:lastRowFirstColumn="0" w:lastRowLastColumn="0"/>
              <w:rPr>
                <w:lang w:val="en-IN"/>
              </w:rPr>
            </w:pPr>
          </w:p>
        </w:tc>
      </w:tr>
      <w:tr w:rsidR="00B91E63" w:rsidRPr="00B91E63" w14:paraId="2BD646B9" w14:textId="77777777" w:rsidTr="00B91E63">
        <w:tc>
          <w:tcPr>
            <w:cnfStyle w:val="001000000000" w:firstRow="0" w:lastRow="0" w:firstColumn="1" w:lastColumn="0" w:oddVBand="0" w:evenVBand="0" w:oddHBand="0" w:evenHBand="0" w:firstRowFirstColumn="0" w:firstRowLastColumn="0" w:lastRowFirstColumn="0" w:lastRowLastColumn="0"/>
            <w:tcW w:w="0" w:type="auto"/>
            <w:hideMark/>
          </w:tcPr>
          <w:p w14:paraId="69CC0807" w14:textId="77777777" w:rsidR="00B91E63" w:rsidRPr="00B91E63" w:rsidRDefault="00B91E63" w:rsidP="00B91E63">
            <w:pPr>
              <w:spacing w:after="160"/>
              <w:rPr>
                <w:lang w:val="en-IN"/>
              </w:rPr>
            </w:pPr>
            <w:r w:rsidRPr="00B91E63">
              <w:rPr>
                <w:lang w:val="en-IN"/>
              </w:rPr>
              <w:t>Action Plan</w:t>
            </w:r>
          </w:p>
        </w:tc>
        <w:tc>
          <w:tcPr>
            <w:tcW w:w="0" w:type="auto"/>
            <w:hideMark/>
          </w:tcPr>
          <w:p w14:paraId="535CD7F9" w14:textId="6C09AC64" w:rsidR="00B91E63" w:rsidRPr="00B91E63" w:rsidRDefault="00B91E63" w:rsidP="008D7393">
            <w:pPr>
              <w:spacing w:after="160"/>
              <w:jc w:val="both"/>
              <w:cnfStyle w:val="000000000000" w:firstRow="0" w:lastRow="0" w:firstColumn="0" w:lastColumn="0" w:oddVBand="0" w:evenVBand="0" w:oddHBand="0" w:evenHBand="0" w:firstRowFirstColumn="0" w:firstRowLastColumn="0" w:lastRowFirstColumn="0" w:lastRowLastColumn="0"/>
              <w:rPr>
                <w:lang w:val="en-IN"/>
              </w:rPr>
            </w:pPr>
            <w:r w:rsidRPr="003F5E2A">
              <w:t xml:space="preserve">In future projects, I will spend my time better </w:t>
            </w:r>
            <w:r>
              <w:t xml:space="preserve">use enough </w:t>
            </w:r>
            <w:r w:rsidR="005C31C5">
              <w:t xml:space="preserve">time </w:t>
            </w:r>
            <w:r w:rsidR="005C31C5" w:rsidRPr="003F5E2A">
              <w:t>on</w:t>
            </w:r>
            <w:r w:rsidRPr="003F5E2A">
              <w:t xml:space="preserve"> research and spend more time preparing presentation. I will also arrange peer reviews and will keep a close check on my own and will work on improving analytical and communication skills.</w:t>
            </w:r>
          </w:p>
        </w:tc>
      </w:tr>
    </w:tbl>
    <w:p w14:paraId="35C44BEE" w14:textId="77777777" w:rsidR="00B91E63" w:rsidRPr="00B91E63" w:rsidRDefault="00B91E63" w:rsidP="00B91E63"/>
    <w:sectPr w:rsidR="00B91E63" w:rsidRPr="00B91E63" w:rsidSect="003061BC">
      <w:footerReference w:type="default" r:id="rId3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F3F54" w14:textId="77777777" w:rsidR="00F05A4B" w:rsidRDefault="00F05A4B">
      <w:pPr>
        <w:spacing w:after="0" w:line="240" w:lineRule="auto"/>
      </w:pPr>
      <w:r>
        <w:separator/>
      </w:r>
    </w:p>
  </w:endnote>
  <w:endnote w:type="continuationSeparator" w:id="0">
    <w:p w14:paraId="42571F3D" w14:textId="77777777" w:rsidR="00F05A4B" w:rsidRDefault="00F05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601119"/>
      <w:docPartObj>
        <w:docPartGallery w:val="Page Numbers (Bottom of Page)"/>
        <w:docPartUnique/>
      </w:docPartObj>
    </w:sdtPr>
    <w:sdtEndPr>
      <w:rPr>
        <w:noProof/>
      </w:rPr>
    </w:sdtEndPr>
    <w:sdtContent>
      <w:p w14:paraId="6062D3FB" w14:textId="77777777" w:rsidR="0032710F" w:rsidRDefault="00C4110B">
        <w:pPr>
          <w:pStyle w:val="Footer"/>
          <w:jc w:val="right"/>
        </w:pPr>
        <w:r>
          <w:fldChar w:fldCharType="begin"/>
        </w:r>
        <w:r>
          <w:instrText xml:space="preserve"> PAGE   \* MERGEFORMAT </w:instrText>
        </w:r>
        <w:r>
          <w:fldChar w:fldCharType="separate"/>
        </w:r>
        <w:r w:rsidR="00710E85">
          <w:rPr>
            <w:noProof/>
          </w:rPr>
          <w:t>23</w:t>
        </w:r>
        <w:r>
          <w:rPr>
            <w:noProof/>
          </w:rPr>
          <w:fldChar w:fldCharType="end"/>
        </w:r>
      </w:p>
    </w:sdtContent>
  </w:sdt>
  <w:p w14:paraId="4A6B1BED" w14:textId="77777777" w:rsidR="0032710F" w:rsidRDefault="00327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FC36A" w14:textId="77777777" w:rsidR="00F05A4B" w:rsidRDefault="00F05A4B">
      <w:pPr>
        <w:spacing w:after="0" w:line="240" w:lineRule="auto"/>
      </w:pPr>
      <w:r>
        <w:separator/>
      </w:r>
    </w:p>
  </w:footnote>
  <w:footnote w:type="continuationSeparator" w:id="0">
    <w:p w14:paraId="5B117C53" w14:textId="77777777" w:rsidR="00F05A4B" w:rsidRDefault="00F05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C4B6E"/>
    <w:multiLevelType w:val="hybridMultilevel"/>
    <w:tmpl w:val="11006C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330E9E"/>
    <w:multiLevelType w:val="hybridMultilevel"/>
    <w:tmpl w:val="EC3072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3127506">
    <w:abstractNumId w:val="0"/>
  </w:num>
  <w:num w:numId="2" w16cid:durableId="78259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10B"/>
    <w:rsid w:val="00013451"/>
    <w:rsid w:val="00083590"/>
    <w:rsid w:val="00084BEE"/>
    <w:rsid w:val="000D7877"/>
    <w:rsid w:val="00122110"/>
    <w:rsid w:val="0018513B"/>
    <w:rsid w:val="00190AEC"/>
    <w:rsid w:val="00224793"/>
    <w:rsid w:val="002B3C8B"/>
    <w:rsid w:val="003061BC"/>
    <w:rsid w:val="0031213D"/>
    <w:rsid w:val="0032710F"/>
    <w:rsid w:val="0039021A"/>
    <w:rsid w:val="003C0582"/>
    <w:rsid w:val="005C31C5"/>
    <w:rsid w:val="005C5B5B"/>
    <w:rsid w:val="00623034"/>
    <w:rsid w:val="00666C53"/>
    <w:rsid w:val="00710E85"/>
    <w:rsid w:val="00750661"/>
    <w:rsid w:val="00831329"/>
    <w:rsid w:val="008B3BAA"/>
    <w:rsid w:val="008D7393"/>
    <w:rsid w:val="009E7D80"/>
    <w:rsid w:val="00B0049B"/>
    <w:rsid w:val="00B91E63"/>
    <w:rsid w:val="00BC1434"/>
    <w:rsid w:val="00C350D8"/>
    <w:rsid w:val="00C4110B"/>
    <w:rsid w:val="00C76B16"/>
    <w:rsid w:val="00CA1090"/>
    <w:rsid w:val="00CE530C"/>
    <w:rsid w:val="00E4299E"/>
    <w:rsid w:val="00EB0DE6"/>
    <w:rsid w:val="00F05A4B"/>
    <w:rsid w:val="00F82ED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A971B"/>
  <w15:chartTrackingRefBased/>
  <w15:docId w15:val="{FF7D2F5B-2685-4A19-9A00-0FBCE54E4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10B"/>
    <w:pPr>
      <w:spacing w:line="360" w:lineRule="auto"/>
    </w:pPr>
    <w:rPr>
      <w:rFonts w:ascii="Arial" w:hAnsi="Arial"/>
      <w:sz w:val="24"/>
      <w:lang w:val="en-GB"/>
    </w:rPr>
  </w:style>
  <w:style w:type="paragraph" w:styleId="Heading1">
    <w:name w:val="heading 1"/>
    <w:basedOn w:val="Normal"/>
    <w:next w:val="Normal"/>
    <w:link w:val="Heading1Char"/>
    <w:uiPriority w:val="9"/>
    <w:qFormat/>
    <w:rsid w:val="00C4110B"/>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4110B"/>
    <w:pPr>
      <w:keepNext/>
      <w:keepLines/>
      <w:spacing w:before="40" w:after="0" w:line="480" w:lineRule="auto"/>
      <w:outlineLvl w:val="1"/>
    </w:pPr>
    <w:rPr>
      <w:rFonts w:eastAsiaTheme="majorEastAsia" w:cstheme="majorBidi"/>
      <w:b/>
      <w:sz w:val="26"/>
      <w:szCs w:val="26"/>
    </w:rPr>
  </w:style>
  <w:style w:type="paragraph" w:styleId="Heading3">
    <w:name w:val="heading 3"/>
    <w:basedOn w:val="Normal"/>
    <w:link w:val="Heading3Char"/>
    <w:uiPriority w:val="9"/>
    <w:qFormat/>
    <w:rsid w:val="00C4110B"/>
    <w:pPr>
      <w:spacing w:before="100" w:beforeAutospacing="1" w:after="100" w:afterAutospacing="1" w:line="240" w:lineRule="auto"/>
      <w:outlineLvl w:val="2"/>
    </w:pPr>
    <w:rPr>
      <w:rFonts w:ascii="Times New Roman" w:eastAsia="Times New Roman" w:hAnsi="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10B"/>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C4110B"/>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C4110B"/>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C4110B"/>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styleId="Strong">
    <w:name w:val="Strong"/>
    <w:basedOn w:val="DefaultParagraphFont"/>
    <w:uiPriority w:val="22"/>
    <w:qFormat/>
    <w:rsid w:val="00C4110B"/>
    <w:rPr>
      <w:b/>
      <w:bCs/>
    </w:rPr>
  </w:style>
  <w:style w:type="character" w:styleId="Hyperlink">
    <w:name w:val="Hyperlink"/>
    <w:basedOn w:val="DefaultParagraphFont"/>
    <w:uiPriority w:val="99"/>
    <w:unhideWhenUsed/>
    <w:rsid w:val="00C4110B"/>
    <w:rPr>
      <w:color w:val="0563C1" w:themeColor="hyperlink"/>
      <w:u w:val="single"/>
    </w:rPr>
  </w:style>
  <w:style w:type="character" w:styleId="Emphasis">
    <w:name w:val="Emphasis"/>
    <w:basedOn w:val="DefaultParagraphFont"/>
    <w:uiPriority w:val="20"/>
    <w:qFormat/>
    <w:rsid w:val="00C4110B"/>
    <w:rPr>
      <w:i/>
      <w:iCs/>
    </w:rPr>
  </w:style>
  <w:style w:type="character" w:customStyle="1" w:styleId="cursor-pointer">
    <w:name w:val="cursor-pointer"/>
    <w:basedOn w:val="DefaultParagraphFont"/>
    <w:rsid w:val="00C4110B"/>
  </w:style>
  <w:style w:type="paragraph" w:styleId="ListParagraph">
    <w:name w:val="List Paragraph"/>
    <w:basedOn w:val="Normal"/>
    <w:uiPriority w:val="34"/>
    <w:qFormat/>
    <w:rsid w:val="00C4110B"/>
    <w:pPr>
      <w:ind w:left="720"/>
      <w:contextualSpacing/>
    </w:pPr>
  </w:style>
  <w:style w:type="paragraph" w:styleId="TOCHeading">
    <w:name w:val="TOC Heading"/>
    <w:basedOn w:val="Heading1"/>
    <w:next w:val="Normal"/>
    <w:uiPriority w:val="39"/>
    <w:unhideWhenUsed/>
    <w:qFormat/>
    <w:rsid w:val="00C4110B"/>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4110B"/>
    <w:pPr>
      <w:spacing w:after="100"/>
    </w:pPr>
  </w:style>
  <w:style w:type="paragraph" w:styleId="TOC2">
    <w:name w:val="toc 2"/>
    <w:basedOn w:val="Normal"/>
    <w:next w:val="Normal"/>
    <w:autoRedefine/>
    <w:uiPriority w:val="39"/>
    <w:unhideWhenUsed/>
    <w:rsid w:val="00C4110B"/>
    <w:pPr>
      <w:spacing w:after="100"/>
      <w:ind w:left="240"/>
    </w:pPr>
  </w:style>
  <w:style w:type="paragraph" w:styleId="Footer">
    <w:name w:val="footer"/>
    <w:basedOn w:val="Normal"/>
    <w:link w:val="FooterChar"/>
    <w:uiPriority w:val="99"/>
    <w:unhideWhenUsed/>
    <w:rsid w:val="00C41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10B"/>
    <w:rPr>
      <w:rFonts w:ascii="Arial" w:hAnsi="Arial"/>
      <w:sz w:val="24"/>
      <w:lang w:val="en-GB"/>
    </w:rPr>
  </w:style>
  <w:style w:type="table" w:styleId="PlainTable1">
    <w:name w:val="Plain Table 1"/>
    <w:basedOn w:val="TableNormal"/>
    <w:uiPriority w:val="41"/>
    <w:rsid w:val="00C4110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C4110B"/>
    <w:rPr>
      <w:color w:val="954F72" w:themeColor="followedHyperlink"/>
      <w:u w:val="single"/>
    </w:rPr>
  </w:style>
  <w:style w:type="character" w:customStyle="1" w:styleId="UnresolvedMention1">
    <w:name w:val="Unresolved Mention1"/>
    <w:basedOn w:val="DefaultParagraphFont"/>
    <w:uiPriority w:val="99"/>
    <w:semiHidden/>
    <w:unhideWhenUsed/>
    <w:rsid w:val="003C0582"/>
    <w:rPr>
      <w:color w:val="605E5C"/>
      <w:shd w:val="clear" w:color="auto" w:fill="E1DFDD"/>
    </w:rPr>
  </w:style>
  <w:style w:type="table" w:styleId="GridTable5Dark-Accent2">
    <w:name w:val="Grid Table 5 Dark Accent 2"/>
    <w:basedOn w:val="TableNormal"/>
    <w:uiPriority w:val="50"/>
    <w:rsid w:val="00B91E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5">
    <w:name w:val="Grid Table 5 Dark Accent 5"/>
    <w:basedOn w:val="TableNormal"/>
    <w:uiPriority w:val="50"/>
    <w:rsid w:val="00B91E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3389/fpsyg.2023.1168214" TargetMode="External" /><Relationship Id="rId18" Type="http://schemas.openxmlformats.org/officeDocument/2006/relationships/hyperlink" Target="https://pmc.ncbi.nlm.nih.gov/articles/PMC8831008/pdf/41262_2022_Article_274.pdf" TargetMode="External" /><Relationship Id="rId26" Type="http://schemas.openxmlformats.org/officeDocument/2006/relationships/hyperlink" Target="https://www.mckinsey.com/industries/packaging-and-paper/our-insights/sustainability-in-packaging-2025-inside-the-minds-of-global-consumers" TargetMode="External" /><Relationship Id="rId39"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mdpi.com/2071-1050/16/6/2476" TargetMode="External" /><Relationship Id="rId34" Type="http://schemas.openxmlformats.org/officeDocument/2006/relationships/hyperlink" Target="https://www.simon-kucher.com/en/who-we-are/newsroom/simon-kucher-unveils-2024-global-sustainability-study-majority-willing-pay-more" TargetMode="External" /><Relationship Id="rId7" Type="http://schemas.openxmlformats.org/officeDocument/2006/relationships/image" Target="media/image1.png" /><Relationship Id="rId12" Type="http://schemas.openxmlformats.org/officeDocument/2006/relationships/hyperlink" Target="https://www.coca-colacompany.com/content/dam/corporate/us/en/reports/2024-environmental-update/2024-environmental-update.pdf" TargetMode="External" /><Relationship Id="rId17" Type="http://schemas.openxmlformats.org/officeDocument/2006/relationships/hyperlink" Target="https://www.frontiersin.org/journals/ecology-and-evolution/articles/10.3389/fevo.2023.1261265/pdf" TargetMode="External" /><Relationship Id="rId25" Type="http://schemas.openxmlformats.org/officeDocument/2006/relationships/hyperlink" Target="https://doi.org/10.1108/apjba-08-2021-0398" TargetMode="External" /><Relationship Id="rId33" Type="http://schemas.openxmlformats.org/officeDocument/2006/relationships/hyperlink" Target="https://www.shorr.com/resources/blog/sustainable-packaging-consumer-report/" TargetMode="External" /><Relationship Id="rId38" Type="http://schemas.openxmlformats.org/officeDocument/2006/relationships/image" Target="media/image4.png" /><Relationship Id="rId2" Type="http://schemas.openxmlformats.org/officeDocument/2006/relationships/styles" Target="styles.xml" /><Relationship Id="rId16" Type="http://schemas.openxmlformats.org/officeDocument/2006/relationships/hyperlink" Target="https://www.grandviewresearch.com/industry-analysis/coconut-water-market" TargetMode="External" /><Relationship Id="rId20" Type="http://schemas.openxmlformats.org/officeDocument/2006/relationships/hyperlink" Target="https://www.imarcgroup.com/coconut-water-market" TargetMode="External" /><Relationship Id="rId29" Type="http://schemas.openxmlformats.org/officeDocument/2006/relationships/hyperlink" Target="https://www.pwc.com/gx/en/news-room/press-releases/2024/pwc-2024-voice-of-consumer-survey.html" TargetMode="External" /><Relationship Id="rId41"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journals.lww.com/dmms/_layouts/15/oaks.journals/downloadpdf.aspx?an=01394964-202507000-00003" TargetMode="External" /><Relationship Id="rId24" Type="http://schemas.openxmlformats.org/officeDocument/2006/relationships/hyperlink" Target="https://onlinelibrary.wiley.com/doi/abs/10.1002/bse.2401" TargetMode="External" /><Relationship Id="rId32" Type="http://schemas.openxmlformats.org/officeDocument/2006/relationships/hyperlink" Target="https://journals.sagepub.com/doi/pdf/10.1177/21582440221099936" TargetMode="External" /><Relationship Id="rId37" Type="http://schemas.openxmlformats.org/officeDocument/2006/relationships/hyperlink" Target="https://doi.org/10.3390/su13105624" TargetMode="External" /><Relationship Id="rId40"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researchgate.net/publication/373949656_Recycled_Textile_Fibers_and_Materials_-_Current_State_and_Development_Perspectives" TargetMode="External" /><Relationship Id="rId23" Type="http://schemas.openxmlformats.org/officeDocument/2006/relationships/hyperlink" Target="https://eprints.whiterose.ac.uk/id/eprint/163118/3/Turning%20complaining.pdf" TargetMode="External" /><Relationship Id="rId28" Type="http://schemas.openxmlformats.org/officeDocument/2006/relationships/hyperlink" Target="https://www.scrapmonster.com/news/plastic-recycling/coca-cola-packages-recyclable-pollution-plastic-bottle-environmental-update/97414" TargetMode="External" /><Relationship Id="rId36" Type="http://schemas.openxmlformats.org/officeDocument/2006/relationships/hyperlink" Target="https://investors.coca-colacompany.com/news-events/press-releases/detail/630/zicotm-beverages-joins-the-coca-cola-family" TargetMode="External" /><Relationship Id="rId10" Type="http://schemas.openxmlformats.org/officeDocument/2006/relationships/hyperlink" Target="https://www.arizton.com/market-reports/coconut-water-market-size-analysis-2025" TargetMode="External" /><Relationship Id="rId19" Type="http://schemas.openxmlformats.org/officeDocument/2006/relationships/hyperlink" Target="https://doi.org/10.1002/bse.2401" TargetMode="External" /><Relationship Id="rId31" Type="http://schemas.openxmlformats.org/officeDocument/2006/relationships/hyperlink" Target="https://www.packagingdive.com/news/coca-cola-2024-environmental-update-packaging/760832/"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futuremarketinsights.com/reports/coconut-water-market" TargetMode="External" /><Relationship Id="rId22" Type="http://schemas.openxmlformats.org/officeDocument/2006/relationships/hyperlink" Target="https://www.mordorintelligence.com/industry-reports/coconut-water-market" TargetMode="External" /><Relationship Id="rId27" Type="http://schemas.openxmlformats.org/officeDocument/2006/relationships/hyperlink" Target="https://oceana.org/reports/coca-colas-world-with-waste/" TargetMode="External" /><Relationship Id="rId30" Type="http://schemas.openxmlformats.org/officeDocument/2006/relationships/hyperlink" Target="https://doi.org/10.1108/sjme-03-2022-0032" TargetMode="External" /><Relationship Id="rId35" Type="http://schemas.openxmlformats.org/officeDocument/2006/relationships/hyperlink" Target="https://asmepublications.onlinelibrary.wiley.com/doi/pdf/10.1111/tct.7005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6029</Words>
  <Characters>34370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Nitin Surela</cp:lastModifiedBy>
  <cp:revision>2</cp:revision>
  <dcterms:created xsi:type="dcterms:W3CDTF">2026-08-14T07:28:00Z</dcterms:created>
  <dcterms:modified xsi:type="dcterms:W3CDTF">2026-08-14T07:28:00Z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37604051-31a6-49bf-9737-fffc66433d72</vt:lpwstr>
  </property>
</Properties>
</file>