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150"/>
        <w:gridCol w:w="7479"/>
        <w:gridCol w:w="2676"/>
        <w:gridCol w:w="2721"/>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15ACE860" w14:textId="77777777" w:rsidR="00152AA0" w:rsidRDefault="00300532" w:rsidP="00C61465">
            <w:pPr>
              <w:rPr>
                <w:sz w:val="28"/>
                <w:szCs w:val="28"/>
              </w:rPr>
            </w:pPr>
            <w:r w:rsidRPr="00300532">
              <w:rPr>
                <w:sz w:val="28"/>
                <w:szCs w:val="28"/>
              </w:rPr>
              <w:t>Journal Article</w:t>
            </w:r>
          </w:p>
          <w:p w14:paraId="266C9E91" w14:textId="3E175408" w:rsidR="009F07E5" w:rsidRPr="009F07E5" w:rsidRDefault="009F07E5" w:rsidP="009F07E5">
            <w:pPr>
              <w:rPr>
                <w:sz w:val="28"/>
                <w:szCs w:val="28"/>
              </w:rPr>
            </w:pPr>
            <w:r w:rsidRPr="009F07E5">
              <w:rPr>
                <w:sz w:val="28"/>
                <w:szCs w:val="28"/>
              </w:rPr>
              <w:t xml:space="preserve">The goal of this study is to examine the </w:t>
            </w:r>
            <w:proofErr w:type="gramStart"/>
            <w:r w:rsidRPr="009F07E5">
              <w:rPr>
                <w:sz w:val="28"/>
                <w:szCs w:val="28"/>
              </w:rPr>
              <w:t>emerging  of</w:t>
            </w:r>
            <w:proofErr w:type="gramEnd"/>
            <w:r w:rsidRPr="009F07E5">
              <w:rPr>
                <w:sz w:val="28"/>
                <w:szCs w:val="28"/>
              </w:rPr>
              <w:t xml:space="preserve"> skills perceived as essential for</w:t>
            </w:r>
          </w:p>
          <w:p w14:paraId="289B6002" w14:textId="57910462" w:rsidR="009F07E5" w:rsidRDefault="009F07E5" w:rsidP="009F07E5">
            <w:pPr>
              <w:rPr>
                <w:sz w:val="28"/>
                <w:szCs w:val="28"/>
              </w:rPr>
            </w:pPr>
            <w:r w:rsidRPr="009F07E5">
              <w:rPr>
                <w:sz w:val="28"/>
                <w:szCs w:val="28"/>
              </w:rPr>
              <w:t xml:space="preserve">the success of agribusiness graduates in the knowledge economy. </w:t>
            </w:r>
          </w:p>
        </w:tc>
        <w:tc>
          <w:tcPr>
            <w:tcW w:w="7860" w:type="dxa"/>
          </w:tcPr>
          <w:p w14:paraId="53B34447" w14:textId="77777777" w:rsidR="006067BA" w:rsidRPr="00FA59DD" w:rsidRDefault="006067BA" w:rsidP="000A1AD2">
            <w:pPr>
              <w:jc w:val="center"/>
              <w:rPr>
                <w:sz w:val="16"/>
                <w:szCs w:val="16"/>
              </w:rPr>
            </w:pPr>
          </w:p>
          <w:p w14:paraId="2DA74351" w14:textId="77777777" w:rsidR="00B46E3C" w:rsidRDefault="00B46E3C" w:rsidP="000A1AD2">
            <w:pPr>
              <w:jc w:val="center"/>
            </w:pPr>
          </w:p>
          <w:p w14:paraId="79081771" w14:textId="77777777" w:rsidR="00B46E3C" w:rsidRDefault="00B46E3C" w:rsidP="000A1AD2">
            <w:pPr>
              <w:jc w:val="center"/>
            </w:pPr>
          </w:p>
          <w:p w14:paraId="10BCA63E" w14:textId="77777777" w:rsidR="00B46E3C" w:rsidRPr="00B46E3C" w:rsidRDefault="00B46E3C" w:rsidP="000A1AD2">
            <w:pPr>
              <w:jc w:val="center"/>
              <w:rPr>
                <w:color w:val="000000" w:themeColor="text1"/>
              </w:rPr>
            </w:pPr>
          </w:p>
          <w:p w14:paraId="3E776B45" w14:textId="467850B2" w:rsidR="00D5429C" w:rsidRDefault="005227BA" w:rsidP="000A1AD2">
            <w:pPr>
              <w:jc w:val="center"/>
              <w:rPr>
                <w:sz w:val="28"/>
                <w:szCs w:val="28"/>
              </w:rPr>
            </w:pPr>
            <w:hyperlink r:id="rId7" w:history="1">
              <w:r w:rsidRPr="00B46E3C">
                <w:rPr>
                  <w:color w:val="000000" w:themeColor="text1"/>
                  <w:u w:val="single"/>
                </w:rPr>
                <w:t>New Age, New Learners, New Skills: What Skills Do Agribusiness Graduates Need to Succeed in the Knowledge Economy?</w:t>
              </w:r>
            </w:hyperlink>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5E33F2DA" w14:textId="77777777" w:rsidR="00ED1907" w:rsidRDefault="00ED1907" w:rsidP="00ED1907">
            <w:pPr>
              <w:jc w:val="center"/>
              <w:rPr>
                <w:b/>
                <w:bCs/>
                <w:sz w:val="28"/>
                <w:szCs w:val="28"/>
              </w:rPr>
            </w:pPr>
            <w:r w:rsidRPr="00D5429C">
              <w:rPr>
                <w:b/>
                <w:bCs/>
                <w:sz w:val="28"/>
                <w:szCs w:val="28"/>
              </w:rPr>
              <w:t>Library</w:t>
            </w:r>
          </w:p>
          <w:p w14:paraId="16D6C39B" w14:textId="22ED395B" w:rsidR="00E91CAA" w:rsidRDefault="00E91CAA" w:rsidP="000A1AD2">
            <w:pPr>
              <w:jc w:val="center"/>
              <w:rPr>
                <w:sz w:val="28"/>
                <w:szCs w:val="28"/>
              </w:rPr>
            </w:pPr>
            <w:r>
              <w:rPr>
                <w:sz w:val="28"/>
                <w:szCs w:val="28"/>
              </w:rPr>
              <w:t xml:space="preserve"> </w:t>
            </w:r>
          </w:p>
        </w:tc>
        <w:tc>
          <w:tcPr>
            <w:tcW w:w="2104" w:type="dxa"/>
          </w:tcPr>
          <w:p w14:paraId="1BC1B255" w14:textId="3B925015" w:rsidR="006067BA" w:rsidRDefault="00FF1BFD" w:rsidP="000A1AD2">
            <w:pPr>
              <w:jc w:val="center"/>
              <w:rPr>
                <w:sz w:val="28"/>
                <w:szCs w:val="28"/>
              </w:rPr>
            </w:pPr>
            <w:hyperlink r:id="rId8" w:history="1">
              <w:r>
                <w:rPr>
                  <w:color w:val="000000" w:themeColor="text1"/>
                </w:rPr>
                <w:t>G</w:t>
              </w:r>
              <w:r w:rsidRPr="00FF1BFD">
                <w:rPr>
                  <w:rFonts w:ascii="Open Sans" w:hAnsi="Open Sans" w:cs="Open Sans"/>
                  <w:color w:val="000000" w:themeColor="text1"/>
                  <w:sz w:val="21"/>
                  <w:szCs w:val="21"/>
                  <w:shd w:val="clear" w:color="auto" w:fill="FFFFFF"/>
                </w:rPr>
                <w:t>raduate skills</w:t>
              </w:r>
            </w:hyperlink>
            <w:r w:rsidRPr="00FF1BFD">
              <w:rPr>
                <w:rFonts w:ascii="Open Sans" w:hAnsi="Open Sans" w:cs="Open Sans"/>
                <w:color w:val="000000" w:themeColor="text1"/>
                <w:sz w:val="21"/>
                <w:szCs w:val="21"/>
                <w:shd w:val="clear" w:color="auto" w:fill="FFFFFF"/>
              </w:rPr>
              <w:t>; </w:t>
            </w:r>
            <w:hyperlink r:id="rId9" w:history="1">
              <w:r w:rsidRPr="00FF1BFD">
                <w:rPr>
                  <w:rFonts w:ascii="Open Sans" w:hAnsi="Open Sans" w:cs="Open Sans"/>
                  <w:color w:val="000000" w:themeColor="text1"/>
                  <w:sz w:val="21"/>
                  <w:szCs w:val="21"/>
                  <w:shd w:val="clear" w:color="auto" w:fill="FFFFFF"/>
                </w:rPr>
                <w:t>creativity</w:t>
              </w:r>
            </w:hyperlink>
            <w:r w:rsidRPr="00FF1BFD">
              <w:rPr>
                <w:rFonts w:ascii="Open Sans" w:hAnsi="Open Sans" w:cs="Open Sans"/>
                <w:color w:val="000000" w:themeColor="text1"/>
                <w:sz w:val="21"/>
                <w:szCs w:val="21"/>
                <w:shd w:val="clear" w:color="auto" w:fill="FFFFFF"/>
              </w:rPr>
              <w:t>; </w:t>
            </w:r>
            <w:hyperlink r:id="rId10" w:history="1">
              <w:r w:rsidRPr="00FF1BFD">
                <w:rPr>
                  <w:rFonts w:ascii="Open Sans" w:hAnsi="Open Sans" w:cs="Open Sans"/>
                  <w:color w:val="000000" w:themeColor="text1"/>
                  <w:sz w:val="21"/>
                  <w:szCs w:val="21"/>
                  <w:shd w:val="clear" w:color="auto" w:fill="FFFFFF"/>
                </w:rPr>
                <w:t>critical thinking</w:t>
              </w:r>
            </w:hyperlink>
            <w:r w:rsidRPr="00FF1BFD">
              <w:rPr>
                <w:rFonts w:ascii="Open Sans" w:hAnsi="Open Sans" w:cs="Open Sans"/>
                <w:color w:val="000000" w:themeColor="text1"/>
                <w:sz w:val="21"/>
                <w:szCs w:val="21"/>
                <w:shd w:val="clear" w:color="auto" w:fill="FFFFFF"/>
              </w:rPr>
              <w:t>; </w:t>
            </w:r>
            <w:hyperlink r:id="rId11" w:history="1">
              <w:r w:rsidRPr="00FF1BFD">
                <w:rPr>
                  <w:rFonts w:ascii="Open Sans" w:hAnsi="Open Sans" w:cs="Open Sans"/>
                  <w:color w:val="000000" w:themeColor="text1"/>
                  <w:sz w:val="21"/>
                  <w:szCs w:val="21"/>
                  <w:shd w:val="clear" w:color="auto" w:fill="FFFFFF"/>
                </w:rPr>
                <w:t>Choice Experiments</w:t>
              </w:r>
            </w:hyperlink>
            <w:r w:rsidRPr="00FF1BFD">
              <w:rPr>
                <w:rFonts w:ascii="Open Sans" w:hAnsi="Open Sans" w:cs="Open Sans"/>
                <w:color w:val="000000" w:themeColor="text1"/>
                <w:sz w:val="21"/>
                <w:szCs w:val="21"/>
                <w:shd w:val="clear" w:color="auto" w:fill="FFFFFF"/>
              </w:rPr>
              <w:t>; </w:t>
            </w:r>
            <w:hyperlink r:id="rId12" w:history="1">
              <w:r w:rsidRPr="00FF1BFD">
                <w:rPr>
                  <w:rFonts w:ascii="Open Sans" w:hAnsi="Open Sans" w:cs="Open Sans"/>
                  <w:color w:val="000000" w:themeColor="text1"/>
                  <w:sz w:val="21"/>
                  <w:szCs w:val="21"/>
                  <w:shd w:val="clear" w:color="auto" w:fill="FFFFFF"/>
                </w:rPr>
                <w:t>Hierarchical Bayesian</w:t>
              </w:r>
            </w:hyperlink>
          </w:p>
        </w:tc>
      </w:tr>
      <w:tr w:rsidR="006067BA" w14:paraId="03EAE282" w14:textId="70E325E4" w:rsidTr="00EC65A1">
        <w:trPr>
          <w:trHeight w:val="85"/>
        </w:trPr>
        <w:tc>
          <w:tcPr>
            <w:tcW w:w="2205" w:type="dxa"/>
          </w:tcPr>
          <w:p w14:paraId="18387A39" w14:textId="77777777" w:rsidR="00D748CB" w:rsidRPr="00D748CB" w:rsidRDefault="00D748CB" w:rsidP="006067BA">
            <w:pPr>
              <w:rPr>
                <w:sz w:val="32"/>
                <w:szCs w:val="32"/>
              </w:rPr>
            </w:pPr>
            <w:r w:rsidRPr="00D748CB">
              <w:rPr>
                <w:rStyle w:val="Strong"/>
                <w:sz w:val="32"/>
                <w:szCs w:val="32"/>
              </w:rPr>
              <w:lastRenderedPageBreak/>
              <w:t>Report:</w:t>
            </w:r>
            <w:r w:rsidRPr="00D748CB">
              <w:rPr>
                <w:sz w:val="32"/>
                <w:szCs w:val="32"/>
              </w:rPr>
              <w:t xml:space="preserve"> </w:t>
            </w:r>
          </w:p>
          <w:p w14:paraId="4777939F" w14:textId="3928E486" w:rsidR="006067BA" w:rsidRDefault="00D748CB" w:rsidP="006067BA">
            <w:pPr>
              <w:rPr>
                <w:sz w:val="28"/>
                <w:szCs w:val="28"/>
              </w:rPr>
            </w:pPr>
            <w:r>
              <w:t xml:space="preserve">CMI report on graduate employability skills. Appropriate because it provides current employer perspectives on the skills </w:t>
            </w:r>
            <w:r>
              <w:t>graduate’s</w:t>
            </w:r>
            <w:r>
              <w:t xml:space="preserve"> need in the workpla</w:t>
            </w:r>
            <w:r>
              <w:t>ce</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D64B6" w:rsidRPr="002D64B6" w14:paraId="24BB1827" w14:textId="77777777">
              <w:trPr>
                <w:tblCellSpacing w:w="15" w:type="dxa"/>
              </w:trPr>
              <w:tc>
                <w:tcPr>
                  <w:tcW w:w="0" w:type="auto"/>
                  <w:vAlign w:val="center"/>
                  <w:hideMark/>
                </w:tcPr>
                <w:p w14:paraId="2380F170" w14:textId="69635468" w:rsidR="002D64B6" w:rsidRPr="002D64B6" w:rsidRDefault="002D64B6" w:rsidP="002D64B6">
                  <w:pPr>
                    <w:spacing w:after="0" w:line="240" w:lineRule="auto"/>
                    <w:jc w:val="center"/>
                    <w:rPr>
                      <w:sz w:val="28"/>
                      <w:szCs w:val="28"/>
                    </w:rPr>
                  </w:pPr>
                </w:p>
              </w:tc>
            </w:tr>
          </w:tbl>
          <w:p w14:paraId="389A4811" w14:textId="77777777" w:rsidR="002D64B6" w:rsidRPr="002D64B6" w:rsidRDefault="002D64B6" w:rsidP="002D64B6">
            <w:pPr>
              <w:jc w:val="center"/>
              <w:rPr>
                <w:vanish/>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63"/>
            </w:tblGrid>
            <w:tr w:rsidR="002D64B6" w:rsidRPr="002D64B6" w14:paraId="4639E1F9" w14:textId="77777777">
              <w:trPr>
                <w:tblCellSpacing w:w="15" w:type="dxa"/>
              </w:trPr>
              <w:tc>
                <w:tcPr>
                  <w:tcW w:w="0" w:type="auto"/>
                  <w:vAlign w:val="center"/>
                  <w:hideMark/>
                </w:tcPr>
                <w:p w14:paraId="11CB7AFC" w14:textId="77777777" w:rsidR="002D64B6" w:rsidRPr="002D64B6" w:rsidRDefault="002D64B6" w:rsidP="002D64B6">
                  <w:pPr>
                    <w:spacing w:after="0" w:line="240" w:lineRule="auto"/>
                    <w:jc w:val="center"/>
                    <w:rPr>
                      <w:sz w:val="28"/>
                      <w:szCs w:val="28"/>
                    </w:rPr>
                  </w:pPr>
                  <w:hyperlink r:id="rId13" w:history="1">
                    <w:r w:rsidRPr="00B46E3C">
                      <w:rPr>
                        <w:rStyle w:val="Hyperlink"/>
                        <w:color w:val="000000" w:themeColor="text1"/>
                        <w:sz w:val="28"/>
                        <w:szCs w:val="28"/>
                      </w:rPr>
                      <w:t>https://www.managers.org.uk/knowledge-and-insights/news/new-report-identifies-key-ready-for-hire-skills-graduates-need-to-boost-employability/</w:t>
                    </w:r>
                  </w:hyperlink>
                </w:p>
              </w:tc>
            </w:tr>
          </w:tbl>
          <w:p w14:paraId="51670D42" w14:textId="77777777" w:rsidR="00D5429C" w:rsidRDefault="00D5429C" w:rsidP="000A1AD2">
            <w:pPr>
              <w:jc w:val="center"/>
              <w:rPr>
                <w:sz w:val="28"/>
                <w:szCs w:val="28"/>
              </w:rPr>
            </w:pPr>
          </w:p>
        </w:tc>
        <w:tc>
          <w:tcPr>
            <w:tcW w:w="2857" w:type="dxa"/>
          </w:tcPr>
          <w:p w14:paraId="7974764A" w14:textId="59D0D094" w:rsidR="006067BA" w:rsidRDefault="00011D69" w:rsidP="000A1AD2">
            <w:pPr>
              <w:jc w:val="center"/>
              <w:rPr>
                <w:sz w:val="28"/>
                <w:szCs w:val="28"/>
              </w:rPr>
            </w:pPr>
            <w:r>
              <w:rPr>
                <w:sz w:val="28"/>
                <w:szCs w:val="28"/>
              </w:rPr>
              <w:t xml:space="preserve">Google </w:t>
            </w:r>
          </w:p>
        </w:tc>
        <w:tc>
          <w:tcPr>
            <w:tcW w:w="2104" w:type="dxa"/>
          </w:tcPr>
          <w:p w14:paraId="553192D0" w14:textId="5FCF0859" w:rsidR="006067BA" w:rsidRDefault="001D10BA" w:rsidP="000A1AD2">
            <w:pPr>
              <w:jc w:val="center"/>
              <w:rPr>
                <w:sz w:val="28"/>
                <w:szCs w:val="28"/>
              </w:rPr>
            </w:pPr>
            <w:r>
              <w:t>graduate employability skills" AND employers AND workplace</w:t>
            </w:r>
          </w:p>
        </w:tc>
      </w:tr>
      <w:tr w:rsidR="006067BA" w14:paraId="30FDEC5A" w14:textId="69DA207C" w:rsidTr="00EC65A1">
        <w:tc>
          <w:tcPr>
            <w:tcW w:w="2205" w:type="dxa"/>
          </w:tcPr>
          <w:p w14:paraId="65003ECF" w14:textId="2FD4BFA3" w:rsidR="006067BA" w:rsidRDefault="001D10BA" w:rsidP="006067BA">
            <w:pPr>
              <w:rPr>
                <w:sz w:val="28"/>
                <w:szCs w:val="28"/>
              </w:rPr>
            </w:pPr>
            <w:r w:rsidRPr="001D10BA">
              <w:rPr>
                <w:b/>
                <w:bCs/>
                <w:sz w:val="36"/>
                <w:szCs w:val="36"/>
              </w:rPr>
              <w:t>Website:</w:t>
            </w:r>
            <w:r w:rsidRPr="001D10BA">
              <w:rPr>
                <w:sz w:val="28"/>
                <w:szCs w:val="28"/>
              </w:rPr>
              <w:t xml:space="preserve"> Prospects Employability Skills Guide. Appropriate because it explains the skills employers seek and how graduates can develop them.</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16D021C" w14:textId="77777777" w:rsidR="00B46E3C" w:rsidRDefault="00B46E3C" w:rsidP="000A1AD2">
            <w:pPr>
              <w:jc w:val="center"/>
              <w:rPr>
                <w:sz w:val="28"/>
                <w:szCs w:val="28"/>
              </w:rPr>
            </w:pPr>
          </w:p>
          <w:p w14:paraId="26D5A644" w14:textId="4452394C" w:rsidR="00D5429C" w:rsidRDefault="003D5B88" w:rsidP="000A1AD2">
            <w:pPr>
              <w:jc w:val="center"/>
              <w:rPr>
                <w:sz w:val="28"/>
                <w:szCs w:val="28"/>
              </w:rPr>
            </w:pPr>
            <w:r w:rsidRPr="003D5B88">
              <w:rPr>
                <w:sz w:val="28"/>
                <w:szCs w:val="28"/>
              </w:rPr>
              <w:t>https</w:t>
            </w:r>
            <w:r w:rsidR="00B46E3C">
              <w:rPr>
                <w:sz w:val="28"/>
                <w:szCs w:val="28"/>
              </w:rPr>
              <w:t>://</w:t>
            </w:r>
            <w:r w:rsidRPr="003D5B88">
              <w:rPr>
                <w:sz w:val="28"/>
                <w:szCs w:val="28"/>
              </w:rPr>
              <w:t>www.prospects.ac.uk/careers-advice/getting-a-job/employability-skills</w:t>
            </w:r>
          </w:p>
          <w:p w14:paraId="55768422" w14:textId="77777777" w:rsidR="00D5429C" w:rsidRDefault="00D5429C" w:rsidP="000A1AD2">
            <w:pPr>
              <w:jc w:val="center"/>
              <w:rPr>
                <w:sz w:val="28"/>
                <w:szCs w:val="28"/>
              </w:rPr>
            </w:pPr>
          </w:p>
        </w:tc>
        <w:tc>
          <w:tcPr>
            <w:tcW w:w="2857" w:type="dxa"/>
          </w:tcPr>
          <w:p w14:paraId="3EB7ECA3" w14:textId="4B8E24D0" w:rsidR="006067BA" w:rsidRDefault="003D5B88" w:rsidP="000A1AD2">
            <w:pPr>
              <w:jc w:val="center"/>
              <w:rPr>
                <w:sz w:val="28"/>
                <w:szCs w:val="28"/>
              </w:rPr>
            </w:pPr>
            <w:r>
              <w:rPr>
                <w:sz w:val="28"/>
                <w:szCs w:val="28"/>
              </w:rPr>
              <w:t>Google</w:t>
            </w:r>
          </w:p>
        </w:tc>
        <w:tc>
          <w:tcPr>
            <w:tcW w:w="2104" w:type="dxa"/>
          </w:tcPr>
          <w:p w14:paraId="701D169A" w14:textId="3AAF74C8" w:rsidR="006067BA" w:rsidRDefault="003D5B88" w:rsidP="000A1AD2">
            <w:pPr>
              <w:jc w:val="center"/>
              <w:rPr>
                <w:sz w:val="28"/>
                <w:szCs w:val="28"/>
              </w:rPr>
            </w:pPr>
            <w:r>
              <w:t>graduate employability skills" AND employers AND workplace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4"/>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5">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6"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Pr="006972AA" w:rsidRDefault="000A1AD2" w:rsidP="000A1AD2">
            <w:pPr>
              <w:rPr>
                <w:b/>
                <w:bCs/>
                <w:sz w:val="44"/>
                <w:szCs w:val="44"/>
              </w:rPr>
            </w:pPr>
            <w:r w:rsidRPr="006972AA">
              <w:rPr>
                <w:b/>
                <w:bCs/>
                <w:sz w:val="44"/>
                <w:szCs w:val="44"/>
              </w:rPr>
              <w:t xml:space="preserve">Currency </w:t>
            </w:r>
          </w:p>
          <w:p w14:paraId="595CCA25" w14:textId="77777777" w:rsidR="000A1AD2" w:rsidRDefault="000A1AD2" w:rsidP="000A1AD2"/>
        </w:tc>
        <w:tc>
          <w:tcPr>
            <w:tcW w:w="4508" w:type="dxa"/>
          </w:tcPr>
          <w:p w14:paraId="57C3C4A8" w14:textId="7EC949C0" w:rsidR="000A1AD2" w:rsidRDefault="007934FE" w:rsidP="000A1AD2">
            <w:r w:rsidRPr="007934FE">
              <w:t xml:space="preserve">The article was published online in </w:t>
            </w:r>
            <w:r w:rsidRPr="007934FE">
              <w:rPr>
                <w:b/>
                <w:bCs/>
              </w:rPr>
              <w:t>2023</w:t>
            </w:r>
            <w:r w:rsidR="009604F5">
              <w:rPr>
                <w:b/>
                <w:bCs/>
              </w:rPr>
              <w:t>.</w:t>
            </w:r>
            <w:r w:rsidRPr="007934FE">
              <w:t xml:space="preserve"> This makes it current and suitable for research on contemporary higher education issues, particularly if </w:t>
            </w:r>
            <w:r w:rsidR="00D1198C">
              <w:t xml:space="preserve">this </w:t>
            </w:r>
            <w:r w:rsidRPr="007934FE">
              <w:t>topic relates to recent educational practices or developments.</w:t>
            </w:r>
          </w:p>
        </w:tc>
      </w:tr>
      <w:tr w:rsidR="000A1AD2" w14:paraId="715A8690" w14:textId="77777777" w:rsidTr="000A1AD2">
        <w:trPr>
          <w:trHeight w:val="2586"/>
        </w:trPr>
        <w:tc>
          <w:tcPr>
            <w:tcW w:w="4508" w:type="dxa"/>
          </w:tcPr>
          <w:p w14:paraId="6A84FED0" w14:textId="77777777" w:rsidR="000A1AD2" w:rsidRPr="006972AA" w:rsidRDefault="000A1AD2" w:rsidP="000A1AD2">
            <w:pPr>
              <w:rPr>
                <w:b/>
                <w:bCs/>
                <w:sz w:val="44"/>
                <w:szCs w:val="44"/>
              </w:rPr>
            </w:pPr>
            <w:r w:rsidRPr="006972AA">
              <w:rPr>
                <w:b/>
                <w:bCs/>
                <w:sz w:val="44"/>
                <w:szCs w:val="44"/>
              </w:rPr>
              <w:t xml:space="preserve">Relevance </w:t>
            </w:r>
          </w:p>
          <w:p w14:paraId="4BC3B23B" w14:textId="77777777" w:rsidR="000A1AD2" w:rsidRDefault="000A1AD2" w:rsidP="000A1AD2"/>
        </w:tc>
        <w:tc>
          <w:tcPr>
            <w:tcW w:w="4508" w:type="dxa"/>
          </w:tcPr>
          <w:p w14:paraId="2D9968E9" w14:textId="3FAC7EFC" w:rsidR="000A1AD2" w:rsidRDefault="001F755C" w:rsidP="000A1AD2">
            <w:r>
              <w:t xml:space="preserve">The article appears in </w:t>
            </w:r>
            <w:r>
              <w:rPr>
                <w:rStyle w:val="Emphasis"/>
              </w:rPr>
              <w:t>Higher Education Pedagogies</w:t>
            </w:r>
            <w:r>
              <w:t xml:space="preserve">, a scholarly journal focusing on teaching, learning, and educational practice in higher education. It is likely relevant </w:t>
            </w:r>
            <w:r w:rsidR="00D1198C">
              <w:t xml:space="preserve">to the </w:t>
            </w:r>
            <w:r>
              <w:t>higher education, pedagogy, teaching strategies, student learning, or educational development.</w:t>
            </w:r>
          </w:p>
        </w:tc>
      </w:tr>
      <w:tr w:rsidR="00CA7C73" w14:paraId="605CF9DF" w14:textId="77777777" w:rsidTr="000A1AD2">
        <w:trPr>
          <w:trHeight w:val="3070"/>
        </w:trPr>
        <w:tc>
          <w:tcPr>
            <w:tcW w:w="4508" w:type="dxa"/>
          </w:tcPr>
          <w:p w14:paraId="38E92CF0" w14:textId="36990454" w:rsidR="00CA7C73" w:rsidRPr="006972AA" w:rsidRDefault="00CA7C73" w:rsidP="00CA7C73">
            <w:pPr>
              <w:rPr>
                <w:b/>
                <w:bCs/>
              </w:rPr>
            </w:pPr>
            <w:r w:rsidRPr="006972AA">
              <w:rPr>
                <w:b/>
                <w:bCs/>
                <w:sz w:val="48"/>
                <w:szCs w:val="48"/>
              </w:rPr>
              <w:t>Authority</w:t>
            </w:r>
          </w:p>
        </w:tc>
        <w:tc>
          <w:tcPr>
            <w:tcW w:w="4508" w:type="dxa"/>
          </w:tcPr>
          <w:p w14:paraId="646DB8F2" w14:textId="570BDE3C" w:rsidR="00CA7C73" w:rsidRDefault="00CA7C73" w:rsidP="00CA7C73">
            <w:r>
              <w:t>Th</w:t>
            </w:r>
            <w:r w:rsidR="005175BB">
              <w:t xml:space="preserve">is </w:t>
            </w:r>
            <w:r>
              <w:t xml:space="preserve">source is published by </w:t>
            </w:r>
            <w:r>
              <w:rPr>
                <w:rStyle w:val="Strong"/>
              </w:rPr>
              <w:t>Taylor &amp; Francis</w:t>
            </w:r>
            <w:r>
              <w:t>, a well-established academic publisher. The journal is peer-reviewed, meaning experts in the field evaluated the article before publication, which strengthens its credibility and authority.</w:t>
            </w:r>
          </w:p>
        </w:tc>
      </w:tr>
      <w:tr w:rsidR="00CA7C73" w14:paraId="27750B86" w14:textId="77777777" w:rsidTr="000A1AD2">
        <w:trPr>
          <w:trHeight w:val="2831"/>
        </w:trPr>
        <w:tc>
          <w:tcPr>
            <w:tcW w:w="4508" w:type="dxa"/>
          </w:tcPr>
          <w:p w14:paraId="69EAD7AC" w14:textId="26F18216" w:rsidR="00CA7C73" w:rsidRPr="006972AA" w:rsidRDefault="00CA7C73" w:rsidP="00CA7C73">
            <w:pPr>
              <w:rPr>
                <w:b/>
                <w:bCs/>
              </w:rPr>
            </w:pPr>
            <w:r w:rsidRPr="006972AA">
              <w:rPr>
                <w:b/>
                <w:bCs/>
                <w:sz w:val="40"/>
                <w:szCs w:val="40"/>
              </w:rPr>
              <w:t>Accuracy</w:t>
            </w:r>
          </w:p>
        </w:tc>
        <w:tc>
          <w:tcPr>
            <w:tcW w:w="4508" w:type="dxa"/>
          </w:tcPr>
          <w:p w14:paraId="7160BE65" w14:textId="4DF8A0BD" w:rsidR="00CA7C73" w:rsidRDefault="005175BB" w:rsidP="00CA7C73">
            <w:r>
              <w:t>However,</w:t>
            </w:r>
            <w:r w:rsidR="0098625E">
              <w:t xml:space="preserve"> t</w:t>
            </w:r>
            <w:r w:rsidR="00623406">
              <w:t xml:space="preserve">he article is peer-reviewed, the research methods, </w:t>
            </w:r>
            <w:r w:rsidR="0098625E">
              <w:t xml:space="preserve">the </w:t>
            </w:r>
            <w:r w:rsidR="00623406">
              <w:t>evidence, and conclusions have undergone scholarly scrutiny. Academic journal articles generally include references, data, and a clear methodology, which supports reliability and accuracy.</w:t>
            </w:r>
          </w:p>
        </w:tc>
      </w:tr>
      <w:tr w:rsidR="00CA7C73" w14:paraId="75948A7A" w14:textId="77777777" w:rsidTr="000A1AD2">
        <w:trPr>
          <w:trHeight w:val="2673"/>
        </w:trPr>
        <w:tc>
          <w:tcPr>
            <w:tcW w:w="4508" w:type="dxa"/>
          </w:tcPr>
          <w:p w14:paraId="5047DDA2" w14:textId="0A8B7E77" w:rsidR="00CA7C73" w:rsidRPr="006972AA" w:rsidRDefault="00CA7C73" w:rsidP="00CA7C73">
            <w:pPr>
              <w:rPr>
                <w:b/>
                <w:bCs/>
              </w:rPr>
            </w:pPr>
            <w:r w:rsidRPr="006972AA">
              <w:rPr>
                <w:b/>
                <w:bCs/>
                <w:sz w:val="40"/>
                <w:szCs w:val="40"/>
              </w:rPr>
              <w:lastRenderedPageBreak/>
              <w:t>Purpose</w:t>
            </w:r>
          </w:p>
        </w:tc>
        <w:tc>
          <w:tcPr>
            <w:tcW w:w="4508" w:type="dxa"/>
          </w:tcPr>
          <w:p w14:paraId="700E7467" w14:textId="237D0E38" w:rsidR="00CA7C73" w:rsidRDefault="00B31699" w:rsidP="00CA7C73">
            <w:r>
              <w:t>The purpose of the article is likely to educate,</w:t>
            </w:r>
            <w:r w:rsidR="00A639C3">
              <w:t xml:space="preserve"> informed,</w:t>
            </w:r>
            <w:r>
              <w:t xml:space="preserve"> and </w:t>
            </w:r>
            <w:r w:rsidR="003B2081">
              <w:t>participate to</w:t>
            </w:r>
            <w:r>
              <w:t xml:space="preserve"> academic knowledge rather than to </w:t>
            </w:r>
            <w:r w:rsidR="005F092D">
              <w:t>promote</w:t>
            </w:r>
            <w:r w:rsidR="00D04BDB">
              <w:t xml:space="preserve"> a particular agenda </w:t>
            </w:r>
            <w:r w:rsidR="005F092D">
              <w:t xml:space="preserve">or selling the </w:t>
            </w:r>
            <w:r>
              <w:t>products</w:t>
            </w:r>
            <w:r w:rsidR="005F092D">
              <w:t>,</w:t>
            </w:r>
            <w:r>
              <w:t xml:space="preserve"> Scholarly journal articles are typically written for researchers, educators, and students.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7">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8"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CFA938C" w14:textId="04629502" w:rsidR="00FE3831" w:rsidRPr="00A566B2" w:rsidRDefault="00FE3831" w:rsidP="00A566B2">
      <w:pPr>
        <w:spacing w:after="0" w:line="360" w:lineRule="auto"/>
        <w:rPr>
          <w:rFonts w:asciiTheme="minorBidi" w:hAnsiTheme="minorBidi"/>
        </w:rPr>
      </w:pPr>
      <w:r w:rsidRPr="00FE3831">
        <w:rPr>
          <w:rFonts w:ascii="Times New Roman" w:eastAsia="Times New Roman" w:hAnsi="Times New Roman" w:cs="Times New Roman"/>
          <w:b/>
          <w:bCs/>
          <w:kern w:val="36"/>
          <w:sz w:val="48"/>
          <w:szCs w:val="48"/>
          <w:lang w:eastAsia="en-GB"/>
          <w14:ligatures w14:val="none"/>
        </w:rPr>
        <w:t>Source Analysis</w:t>
      </w:r>
    </w:p>
    <w:p w14:paraId="53FB1855" w14:textId="77777777" w:rsidR="00FE3831" w:rsidRPr="00FE3831" w:rsidRDefault="00FE3831" w:rsidP="00FE38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3831">
        <w:rPr>
          <w:rFonts w:ascii="Times New Roman" w:eastAsia="Times New Roman" w:hAnsi="Times New Roman" w:cs="Times New Roman"/>
          <w:b/>
          <w:bCs/>
          <w:kern w:val="0"/>
          <w:lang w:eastAsia="en-GB"/>
          <w14:ligatures w14:val="none"/>
        </w:rPr>
        <w:t>Source:</w:t>
      </w:r>
      <w:r w:rsidRPr="00FE3831">
        <w:rPr>
          <w:rFonts w:ascii="Times New Roman" w:eastAsia="Times New Roman" w:hAnsi="Times New Roman" w:cs="Times New Roman"/>
          <w:kern w:val="0"/>
          <w:lang w:eastAsia="en-GB"/>
          <w14:ligatures w14:val="none"/>
        </w:rPr>
        <w:t xml:space="preserve"> </w:t>
      </w:r>
      <w:hyperlink r:id="rId20" w:history="1">
        <w:r w:rsidRPr="00FE3831">
          <w:rPr>
            <w:rFonts w:ascii="Times New Roman" w:eastAsia="Times New Roman" w:hAnsi="Times New Roman" w:cs="Times New Roman"/>
            <w:color w:val="0000FF"/>
            <w:kern w:val="0"/>
            <w:u w:val="single"/>
            <w:lang w:eastAsia="en-GB"/>
            <w14:ligatures w14:val="none"/>
          </w:rPr>
          <w:t>https://www.theguardian.com/m</w:t>
        </w:r>
        <w:r w:rsidRPr="00FE3831">
          <w:rPr>
            <w:rFonts w:ascii="Times New Roman" w:eastAsia="Times New Roman" w:hAnsi="Times New Roman" w:cs="Times New Roman"/>
            <w:color w:val="0000FF"/>
            <w:kern w:val="0"/>
            <w:u w:val="single"/>
            <w:lang w:eastAsia="en-GB"/>
            <w14:ligatures w14:val="none"/>
          </w:rPr>
          <w:t>o</w:t>
        </w:r>
        <w:r w:rsidRPr="00FE3831">
          <w:rPr>
            <w:rFonts w:ascii="Times New Roman" w:eastAsia="Times New Roman" w:hAnsi="Times New Roman" w:cs="Times New Roman"/>
            <w:color w:val="0000FF"/>
            <w:kern w:val="0"/>
            <w:u w:val="single"/>
            <w:lang w:eastAsia="en-GB"/>
            <w14:ligatures w14:val="none"/>
          </w:rPr>
          <w:t>ney/2012/jun/08/graduate-careers-employability-skills</w:t>
        </w:r>
      </w:hyperlink>
    </w:p>
    <w:p w14:paraId="62E150BD" w14:textId="77777777" w:rsidR="00FE3831" w:rsidRPr="00FE3831" w:rsidRDefault="00FE3831" w:rsidP="00FE383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E3831">
        <w:rPr>
          <w:rFonts w:ascii="Times New Roman" w:eastAsia="Times New Roman" w:hAnsi="Times New Roman" w:cs="Times New Roman"/>
          <w:b/>
          <w:bCs/>
          <w:kern w:val="0"/>
          <w:sz w:val="27"/>
          <w:szCs w:val="27"/>
          <w:lang w:eastAsia="en-GB"/>
          <w14:ligatures w14:val="none"/>
        </w:rPr>
        <w:t>Strength of the Source</w:t>
      </w:r>
    </w:p>
    <w:p w14:paraId="78E35705" w14:textId="0FFCED27" w:rsidR="00FE3831" w:rsidRPr="00FE3831" w:rsidRDefault="005F092D" w:rsidP="00FE38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3831">
        <w:rPr>
          <w:rFonts w:ascii="Times New Roman" w:eastAsia="Times New Roman" w:hAnsi="Times New Roman" w:cs="Times New Roman"/>
          <w:kern w:val="0"/>
          <w:lang w:eastAsia="en-GB"/>
          <w14:ligatures w14:val="none"/>
        </w:rPr>
        <w:t>Th</w:t>
      </w:r>
      <w:r>
        <w:rPr>
          <w:rFonts w:ascii="Times New Roman" w:eastAsia="Times New Roman" w:hAnsi="Times New Roman" w:cs="Times New Roman"/>
          <w:kern w:val="0"/>
          <w:lang w:eastAsia="en-GB"/>
          <w14:ligatures w14:val="none"/>
        </w:rPr>
        <w:t>is</w:t>
      </w:r>
      <w:r w:rsidR="00FE3831" w:rsidRPr="00FE3831">
        <w:rPr>
          <w:rFonts w:ascii="Times New Roman" w:eastAsia="Times New Roman" w:hAnsi="Times New Roman" w:cs="Times New Roman"/>
          <w:kern w:val="0"/>
          <w:lang w:eastAsia="en-GB"/>
          <w14:ligatures w14:val="none"/>
        </w:rPr>
        <w:t xml:space="preserve"> article is published by The Guardian, a</w:t>
      </w:r>
      <w:r>
        <w:rPr>
          <w:rFonts w:ascii="Times New Roman" w:eastAsia="Times New Roman" w:hAnsi="Times New Roman" w:cs="Times New Roman"/>
          <w:kern w:val="0"/>
          <w:lang w:eastAsia="en-GB"/>
          <w14:ligatures w14:val="none"/>
        </w:rPr>
        <w:t xml:space="preserve"> </w:t>
      </w:r>
      <w:r w:rsidR="00FE3831" w:rsidRPr="00FE3831">
        <w:rPr>
          <w:rFonts w:ascii="Times New Roman" w:eastAsia="Times New Roman" w:hAnsi="Times New Roman" w:cs="Times New Roman"/>
          <w:kern w:val="0"/>
          <w:lang w:eastAsia="en-GB"/>
          <w14:ligatures w14:val="none"/>
        </w:rPr>
        <w:t>reputable newspaper</w:t>
      </w:r>
      <w:r>
        <w:rPr>
          <w:rFonts w:ascii="Times New Roman" w:eastAsia="Times New Roman" w:hAnsi="Times New Roman" w:cs="Times New Roman"/>
          <w:kern w:val="0"/>
          <w:lang w:eastAsia="en-GB"/>
          <w14:ligatures w14:val="none"/>
        </w:rPr>
        <w:t xml:space="preserve"> in the UK</w:t>
      </w:r>
      <w:r w:rsidR="00FE3831" w:rsidRPr="00FE3831">
        <w:rPr>
          <w:rFonts w:ascii="Times New Roman" w:eastAsia="Times New Roman" w:hAnsi="Times New Roman" w:cs="Times New Roman"/>
          <w:kern w:val="0"/>
          <w:lang w:eastAsia="en-GB"/>
          <w14:ligatures w14:val="none"/>
        </w:rPr>
        <w:t>. It includes views from employers and discusses the employability skills that graduates need in the workplace.</w:t>
      </w:r>
    </w:p>
    <w:p w14:paraId="448E5E64" w14:textId="600C149E" w:rsidR="00FE3831" w:rsidRPr="00FE3831" w:rsidRDefault="00FE3831" w:rsidP="00FE38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3831">
        <w:rPr>
          <w:rFonts w:ascii="Times New Roman" w:eastAsia="Times New Roman" w:hAnsi="Times New Roman" w:cs="Times New Roman"/>
          <w:b/>
          <w:bCs/>
          <w:kern w:val="0"/>
          <w:lang w:eastAsia="en-GB"/>
          <w14:ligatures w14:val="none"/>
        </w:rPr>
        <w:t>Explanation:</w:t>
      </w:r>
      <w:r w:rsidRPr="00FE3831">
        <w:rPr>
          <w:rFonts w:ascii="Times New Roman" w:eastAsia="Times New Roman" w:hAnsi="Times New Roman" w:cs="Times New Roman"/>
          <w:kern w:val="0"/>
          <w:lang w:eastAsia="en-GB"/>
          <w14:ligatures w14:val="none"/>
        </w:rPr>
        <w:br/>
      </w:r>
      <w:r w:rsidR="005F092D">
        <w:rPr>
          <w:rFonts w:ascii="Times New Roman" w:eastAsia="Times New Roman" w:hAnsi="Times New Roman" w:cs="Times New Roman"/>
          <w:kern w:val="0"/>
          <w:lang w:eastAsia="en-GB"/>
          <w14:ligatures w14:val="none"/>
        </w:rPr>
        <w:t>S</w:t>
      </w:r>
      <w:r w:rsidRPr="00FE3831">
        <w:rPr>
          <w:rFonts w:ascii="Times New Roman" w:eastAsia="Times New Roman" w:hAnsi="Times New Roman" w:cs="Times New Roman"/>
          <w:kern w:val="0"/>
          <w:lang w:eastAsia="en-GB"/>
          <w14:ligatures w14:val="none"/>
        </w:rPr>
        <w:t>ource provides practical insights from industry and employers, making it useful for understanding real-world expectations of graduates. It is also easy to read and accessible to a wide audience.</w:t>
      </w:r>
    </w:p>
    <w:p w14:paraId="24C7FAAC" w14:textId="77777777" w:rsidR="00FE3831" w:rsidRPr="00FE3831" w:rsidRDefault="00FE3831" w:rsidP="00FE383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FE3831">
        <w:rPr>
          <w:rFonts w:ascii="Times New Roman" w:eastAsia="Times New Roman" w:hAnsi="Times New Roman" w:cs="Times New Roman"/>
          <w:b/>
          <w:bCs/>
          <w:kern w:val="0"/>
          <w:sz w:val="27"/>
          <w:szCs w:val="27"/>
          <w:lang w:eastAsia="en-GB"/>
          <w14:ligatures w14:val="none"/>
        </w:rPr>
        <w:t>Weakness of the Source</w:t>
      </w:r>
    </w:p>
    <w:p w14:paraId="26E851E2" w14:textId="573658D2" w:rsidR="00FE3831" w:rsidRPr="00FE3831" w:rsidRDefault="00FE3831" w:rsidP="00FE38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3831">
        <w:rPr>
          <w:rFonts w:ascii="Times New Roman" w:eastAsia="Times New Roman" w:hAnsi="Times New Roman" w:cs="Times New Roman"/>
          <w:kern w:val="0"/>
          <w:lang w:eastAsia="en-GB"/>
          <w14:ligatures w14:val="none"/>
        </w:rPr>
        <w:t>Th</w:t>
      </w:r>
      <w:r w:rsidR="005F092D">
        <w:rPr>
          <w:rFonts w:ascii="Times New Roman" w:eastAsia="Times New Roman" w:hAnsi="Times New Roman" w:cs="Times New Roman"/>
          <w:kern w:val="0"/>
          <w:lang w:eastAsia="en-GB"/>
          <w14:ligatures w14:val="none"/>
        </w:rPr>
        <w:t xml:space="preserve">is </w:t>
      </w:r>
      <w:r w:rsidRPr="00FE3831">
        <w:rPr>
          <w:rFonts w:ascii="Times New Roman" w:eastAsia="Times New Roman" w:hAnsi="Times New Roman" w:cs="Times New Roman"/>
          <w:kern w:val="0"/>
          <w:lang w:eastAsia="en-GB"/>
          <w14:ligatures w14:val="none"/>
        </w:rPr>
        <w:t>article was published in 2012, which means some of the information may be outdated.</w:t>
      </w:r>
    </w:p>
    <w:p w14:paraId="399A03D3" w14:textId="1F902046" w:rsidR="00FE3831" w:rsidRPr="00FE3831" w:rsidRDefault="00FE3831" w:rsidP="00FE38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3831">
        <w:rPr>
          <w:rFonts w:ascii="Times New Roman" w:eastAsia="Times New Roman" w:hAnsi="Times New Roman" w:cs="Times New Roman"/>
          <w:b/>
          <w:bCs/>
          <w:kern w:val="0"/>
          <w:lang w:eastAsia="en-GB"/>
          <w14:ligatures w14:val="none"/>
        </w:rPr>
        <w:t>Explanation:</w:t>
      </w:r>
      <w:r w:rsidRPr="00FE3831">
        <w:rPr>
          <w:rFonts w:ascii="Times New Roman" w:eastAsia="Times New Roman" w:hAnsi="Times New Roman" w:cs="Times New Roman"/>
          <w:kern w:val="0"/>
          <w:lang w:eastAsia="en-GB"/>
          <w14:ligatures w14:val="none"/>
        </w:rPr>
        <w:br/>
        <w:t xml:space="preserve">Employer expectations and workplace requirements have changed significantly over time, particularly with the growth of digital technology and remote working. More recent sources should be used alongside this article to ensure the information is current and </w:t>
      </w:r>
      <w:r w:rsidR="005F092D">
        <w:rPr>
          <w:rFonts w:ascii="Times New Roman" w:eastAsia="Times New Roman" w:hAnsi="Times New Roman" w:cs="Times New Roman"/>
          <w:kern w:val="0"/>
          <w:lang w:eastAsia="en-GB"/>
          <w14:ligatures w14:val="none"/>
        </w:rPr>
        <w:t>relevant.</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14C56" w14:textId="77777777" w:rsidR="005819AE" w:rsidRDefault="005819AE" w:rsidP="00770C4C">
      <w:pPr>
        <w:spacing w:after="0" w:line="240" w:lineRule="auto"/>
      </w:pPr>
      <w:r>
        <w:separator/>
      </w:r>
    </w:p>
  </w:endnote>
  <w:endnote w:type="continuationSeparator" w:id="0">
    <w:p w14:paraId="1AD41CA8" w14:textId="77777777" w:rsidR="005819AE" w:rsidRDefault="005819A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729C9" w14:textId="77777777" w:rsidR="005819AE" w:rsidRDefault="005819AE" w:rsidP="00770C4C">
      <w:pPr>
        <w:spacing w:after="0" w:line="240" w:lineRule="auto"/>
      </w:pPr>
      <w:r>
        <w:separator/>
      </w:r>
    </w:p>
  </w:footnote>
  <w:footnote w:type="continuationSeparator" w:id="0">
    <w:p w14:paraId="0AD7CA40" w14:textId="77777777" w:rsidR="005819AE" w:rsidRDefault="005819A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11D69"/>
    <w:rsid w:val="0003583A"/>
    <w:rsid w:val="000A1AD2"/>
    <w:rsid w:val="000F32AD"/>
    <w:rsid w:val="00152AA0"/>
    <w:rsid w:val="001534EF"/>
    <w:rsid w:val="0016377A"/>
    <w:rsid w:val="001D10BA"/>
    <w:rsid w:val="001F755C"/>
    <w:rsid w:val="002C3316"/>
    <w:rsid w:val="002C6C88"/>
    <w:rsid w:val="002D64B6"/>
    <w:rsid w:val="002E4841"/>
    <w:rsid w:val="00300532"/>
    <w:rsid w:val="0037429E"/>
    <w:rsid w:val="00394C23"/>
    <w:rsid w:val="003B2081"/>
    <w:rsid w:val="003C5882"/>
    <w:rsid w:val="003D5B88"/>
    <w:rsid w:val="004A0E18"/>
    <w:rsid w:val="005001A9"/>
    <w:rsid w:val="005175BB"/>
    <w:rsid w:val="0051789F"/>
    <w:rsid w:val="005227BA"/>
    <w:rsid w:val="00556BCE"/>
    <w:rsid w:val="005819AE"/>
    <w:rsid w:val="00586D04"/>
    <w:rsid w:val="00591828"/>
    <w:rsid w:val="005A0921"/>
    <w:rsid w:val="005A7132"/>
    <w:rsid w:val="005F092D"/>
    <w:rsid w:val="006067BA"/>
    <w:rsid w:val="00623406"/>
    <w:rsid w:val="0065773B"/>
    <w:rsid w:val="0068791E"/>
    <w:rsid w:val="006972AA"/>
    <w:rsid w:val="006D68F9"/>
    <w:rsid w:val="00726A92"/>
    <w:rsid w:val="00770C4C"/>
    <w:rsid w:val="007934FE"/>
    <w:rsid w:val="008116C9"/>
    <w:rsid w:val="00841662"/>
    <w:rsid w:val="00915E33"/>
    <w:rsid w:val="009604F5"/>
    <w:rsid w:val="0098625E"/>
    <w:rsid w:val="00995682"/>
    <w:rsid w:val="009F07E5"/>
    <w:rsid w:val="00A01DD6"/>
    <w:rsid w:val="00A31EC5"/>
    <w:rsid w:val="00A566B2"/>
    <w:rsid w:val="00A639C3"/>
    <w:rsid w:val="00AE675F"/>
    <w:rsid w:val="00B31699"/>
    <w:rsid w:val="00B46E3C"/>
    <w:rsid w:val="00B51F0A"/>
    <w:rsid w:val="00BC259F"/>
    <w:rsid w:val="00BF4C33"/>
    <w:rsid w:val="00C61465"/>
    <w:rsid w:val="00CA7C73"/>
    <w:rsid w:val="00D04BDB"/>
    <w:rsid w:val="00D10D3A"/>
    <w:rsid w:val="00D1198C"/>
    <w:rsid w:val="00D46EE6"/>
    <w:rsid w:val="00D5429C"/>
    <w:rsid w:val="00D748CB"/>
    <w:rsid w:val="00D8490C"/>
    <w:rsid w:val="00DE2C42"/>
    <w:rsid w:val="00DF7025"/>
    <w:rsid w:val="00E233DE"/>
    <w:rsid w:val="00E60084"/>
    <w:rsid w:val="00E91CAA"/>
    <w:rsid w:val="00EC65A1"/>
    <w:rsid w:val="00ED1907"/>
    <w:rsid w:val="00F2094F"/>
    <w:rsid w:val="00F53A05"/>
    <w:rsid w:val="00F645CC"/>
    <w:rsid w:val="00FA0006"/>
    <w:rsid w:val="00FA59DD"/>
    <w:rsid w:val="00FB52C4"/>
    <w:rsid w:val="00FE3831"/>
    <w:rsid w:val="00FF1BFD"/>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Strong">
    <w:name w:val="Strong"/>
    <w:basedOn w:val="DefaultParagraphFont"/>
    <w:uiPriority w:val="22"/>
    <w:qFormat/>
    <w:rsid w:val="00D748CB"/>
    <w:rPr>
      <w:b/>
      <w:bCs/>
    </w:rPr>
  </w:style>
  <w:style w:type="character" w:styleId="FollowedHyperlink">
    <w:name w:val="FollowedHyperlink"/>
    <w:basedOn w:val="DefaultParagraphFont"/>
    <w:uiPriority w:val="99"/>
    <w:semiHidden/>
    <w:unhideWhenUsed/>
    <w:rsid w:val="007934FE"/>
    <w:rPr>
      <w:color w:val="96607D" w:themeColor="followedHyperlink"/>
      <w:u w:val="single"/>
    </w:rPr>
  </w:style>
  <w:style w:type="character" w:styleId="Emphasis">
    <w:name w:val="Emphasis"/>
    <w:basedOn w:val="DefaultParagraphFont"/>
    <w:uiPriority w:val="20"/>
    <w:qFormat/>
    <w:rsid w:val="001F75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econsearch.umn.edu/search?f1=keyword&amp;as=1&amp;sf=title&amp;so=a&amp;rm=&amp;m1=p&amp;p1=graduate%20skills&amp;ln=en" TargetMode="External"/><Relationship Id="rId13" Type="http://schemas.openxmlformats.org/officeDocument/2006/relationships/hyperlink" Target="https://www.managers.org.uk/knowledge-and-insights/news/new-report-identifies-key-ready-for-hire-skills-graduates-need-to-boost-employability/" TargetMode="External"/><Relationship Id="rId18" Type="http://schemas.openxmlformats.org/officeDocument/2006/relationships/hyperlink" Target="https://www.theguardian.com/money/2012/jun/08/graduate-careers-employability-skill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geconsearch.umn.edu/record/156423/?v=pdf" TargetMode="External"/><Relationship Id="rId12" Type="http://schemas.openxmlformats.org/officeDocument/2006/relationships/hyperlink" Target="https://ageconsearch.umn.edu/search?f1=keyword&amp;as=1&amp;sf=title&amp;so=a&amp;rm=&amp;m1=p&amp;p1=Hierarchical%20Bayesian&amp;ln=en"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tandfonline.com/doi/full/10.1080/14703297.2022.2049851" TargetMode="External"/><Relationship Id="rId20" Type="http://schemas.openxmlformats.org/officeDocument/2006/relationships/hyperlink" Target="https://www.theguardian.com/money/2012/jun/08/graduate-careers-employability-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geconsearch.umn.edu/search?f1=keyword&amp;as=1&amp;sf=title&amp;so=a&amp;rm=&amp;m1=p&amp;p1=Choice%20Experiments&amp;ln=en"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ageconsearch.umn.edu/search?f1=keyword&amp;as=1&amp;sf=title&amp;so=a&amp;rm=&amp;m1=p&amp;p1=critical%20thinking&amp;ln=en"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ageconsearch.umn.edu/search?f1=keyword&amp;as=1&amp;sf=title&amp;so=a&amp;rm=&amp;m1=p&amp;p1=creativity&amp;ln=en" TargetMode="Externa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8</Pages>
  <Words>848</Words>
  <Characters>4839</Characters>
  <Application>Microsoft Office Word</Application>
  <DocSecurity>0</DocSecurity>
  <Lines>40</Lines>
  <Paragraphs>11</Paragraphs>
  <ScaleCrop>false</ScaleCrop>
  <Company>University of Wales Trinity Saint David</Company>
  <LinksUpToDate>false</LinksUpToDate>
  <CharactersWithSpaces>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Muhammad Irfan Badar (2541356)</cp:lastModifiedBy>
  <cp:revision>40</cp:revision>
  <dcterms:created xsi:type="dcterms:W3CDTF">2026-06-10T09:58:00Z</dcterms:created>
  <dcterms:modified xsi:type="dcterms:W3CDTF">2026-06-10T10:38:00Z</dcterms:modified>
</cp:coreProperties>
</file>