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4C506" w14:textId="014BFD99" w:rsidR="009069D4" w:rsidRPr="0039015F" w:rsidRDefault="0039015F">
      <w:pPr>
        <w:rPr>
          <w:u w:val="single"/>
        </w:rPr>
      </w:pPr>
      <w:bookmarkStart w:id="0" w:name="_GoBack"/>
      <w:bookmarkEnd w:id="0"/>
      <w:r w:rsidRPr="0039015F">
        <w:rPr>
          <w:u w:val="single"/>
        </w:rPr>
        <w:t>Research Methodology – Assignment 4</w:t>
      </w:r>
      <w:r w:rsidR="00331682">
        <w:rPr>
          <w:u w:val="single"/>
        </w:rPr>
        <w:t>: The Lordship of Gwynedd to 1282</w:t>
      </w:r>
    </w:p>
    <w:p w14:paraId="5DA75E81" w14:textId="77777777" w:rsidR="0039015F" w:rsidRDefault="0039015F"/>
    <w:p w14:paraId="78E16735" w14:textId="0C0007C3" w:rsidR="0039015F" w:rsidRPr="009E35A0" w:rsidRDefault="009E35A0">
      <w:pPr>
        <w:rPr>
          <w:u w:val="single"/>
        </w:rPr>
      </w:pPr>
      <w:r w:rsidRPr="009E35A0">
        <w:rPr>
          <w:u w:val="single"/>
        </w:rPr>
        <w:t>Introduction</w:t>
      </w:r>
    </w:p>
    <w:p w14:paraId="7A414F1E" w14:textId="77777777" w:rsidR="0039015F" w:rsidRDefault="0039015F"/>
    <w:p w14:paraId="4F04ABDD" w14:textId="0E8166C7" w:rsidR="00551C14" w:rsidRDefault="00331682">
      <w:r>
        <w:t xml:space="preserve">Gwynedd, in the hands of the </w:t>
      </w:r>
      <w:proofErr w:type="spellStart"/>
      <w:r>
        <w:t>Aberffraw</w:t>
      </w:r>
      <w:proofErr w:type="spellEnd"/>
      <w:r>
        <w:t xml:space="preserve"> </w:t>
      </w:r>
      <w:r w:rsidR="00340413">
        <w:rPr>
          <w:rFonts w:hint="eastAsia"/>
        </w:rPr>
        <w:t>family</w:t>
      </w:r>
      <w:r>
        <w:t xml:space="preserve">, became the most powerful of </w:t>
      </w:r>
      <w:r w:rsidR="009E4576">
        <w:t>the native Welsh states in the H</w:t>
      </w:r>
      <w:r>
        <w:t xml:space="preserve">igh </w:t>
      </w:r>
      <w:r w:rsidR="009E4576">
        <w:t>Middle Ages</w:t>
      </w:r>
      <w:r>
        <w:t>.</w:t>
      </w:r>
      <w:r w:rsidR="00340413">
        <w:t xml:space="preserve"> As such, it had numerous relationships and dealings with a plethora of individuals and groups.</w:t>
      </w:r>
      <w:r>
        <w:t xml:space="preserve"> The printed primary sources for the topic cover a wide variety of subjects, ranging from property deeds and poetry to law tracts and more. Most of the sources listed below were found by search</w:t>
      </w:r>
      <w:r w:rsidR="009E4576">
        <w:t>ing the UWTSD library catalogue.</w:t>
      </w:r>
      <w:r>
        <w:t xml:space="preserve"> </w:t>
      </w:r>
      <w:r w:rsidR="009E4576">
        <w:t>However,</w:t>
      </w:r>
      <w:r>
        <w:t xml:space="preserve"> the British Library and the National </w:t>
      </w:r>
      <w:r w:rsidR="009E4576">
        <w:t xml:space="preserve">Archives also proved useful, as well as </w:t>
      </w:r>
      <w:r w:rsidR="00340413">
        <w:t xml:space="preserve">other national and </w:t>
      </w:r>
      <w:r w:rsidR="009E4576">
        <w:t xml:space="preserve">local archive websites, such as </w:t>
      </w:r>
      <w:r w:rsidR="00340413">
        <w:t xml:space="preserve">those of the National Library of Wales and </w:t>
      </w:r>
      <w:r w:rsidR="009E4576">
        <w:t>the Caernarvon Public Record Office.</w:t>
      </w:r>
    </w:p>
    <w:p w14:paraId="121F2D56" w14:textId="77777777" w:rsidR="009E4576" w:rsidRDefault="009E4576"/>
    <w:p w14:paraId="135F6104" w14:textId="3461C460" w:rsidR="009E4576" w:rsidRDefault="009E4576">
      <w:r>
        <w:t>The history of the period is complex, particularly with regards to tracing the attitudes and intentions of the native Welsh princes in Gwynedd. Although there was a strong urge for independence, the sources also show a high degree of intercultural mixing and interaction between native Welsh and various ‘others’, particularly the English kings and the marcher lords. Careful study of the disparate sources available is essential in order to illuminate the lives of Welsh people in the Gwynedd of those times.</w:t>
      </w:r>
    </w:p>
    <w:p w14:paraId="36851D46" w14:textId="77777777" w:rsidR="0039015F" w:rsidRDefault="0039015F"/>
    <w:p w14:paraId="2BC0C525" w14:textId="77777777" w:rsidR="0039015F" w:rsidRPr="0039015F" w:rsidRDefault="0039015F">
      <w:pPr>
        <w:rPr>
          <w:u w:val="single"/>
        </w:rPr>
      </w:pPr>
      <w:r w:rsidRPr="0039015F">
        <w:rPr>
          <w:u w:val="single"/>
        </w:rPr>
        <w:t>List of sources</w:t>
      </w:r>
    </w:p>
    <w:p w14:paraId="2DCEDCBE" w14:textId="77777777" w:rsidR="008634C0" w:rsidRDefault="008634C0" w:rsidP="003A7A4C"/>
    <w:p w14:paraId="73F7229D" w14:textId="77777777" w:rsidR="008634C0" w:rsidRDefault="008634C0" w:rsidP="003A7A4C">
      <w:bookmarkStart w:id="1" w:name="_Hlk535660055"/>
      <w:r>
        <w:t xml:space="preserve">Barraclough, G., ed., </w:t>
      </w:r>
      <w:r w:rsidRPr="001A17DC">
        <w:rPr>
          <w:i/>
        </w:rPr>
        <w:t>The Charters of the Anglo-Norman Earls of Chester, c. 1071-1237</w:t>
      </w:r>
      <w:r w:rsidRPr="00B37728">
        <w:t xml:space="preserve"> (</w:t>
      </w:r>
      <w:r>
        <w:t xml:space="preserve">Chester: </w:t>
      </w:r>
      <w:r w:rsidRPr="00B37728">
        <w:t>Record Society of Lancashire and Cheshire, 1988).</w:t>
      </w:r>
    </w:p>
    <w:bookmarkEnd w:id="1"/>
    <w:p w14:paraId="340D7141" w14:textId="77777777" w:rsidR="00547751" w:rsidRDefault="00547751" w:rsidP="003A7A4C"/>
    <w:p w14:paraId="1510AB86" w14:textId="4170D6E2" w:rsidR="005008B2" w:rsidRPr="0078547A" w:rsidRDefault="0078547A" w:rsidP="003A7A4C">
      <w:pPr>
        <w:rPr>
          <w:rFonts w:ascii="Arial" w:hAnsi="Arial" w:cs="Arial"/>
          <w:sz w:val="22"/>
        </w:rPr>
      </w:pPr>
      <w:r w:rsidRPr="0078547A">
        <w:rPr>
          <w:rFonts w:ascii="Arial" w:hAnsi="Arial" w:cs="Arial"/>
          <w:sz w:val="22"/>
        </w:rPr>
        <w:t xml:space="preserve">This </w:t>
      </w:r>
      <w:r>
        <w:rPr>
          <w:rFonts w:ascii="Arial" w:hAnsi="Arial" w:cs="Arial"/>
          <w:sz w:val="22"/>
        </w:rPr>
        <w:t xml:space="preserve">collection of charters issued by the Earls of Chester is useful for providing documentary material relating to medieval Wales during the era of </w:t>
      </w:r>
      <w:r w:rsidR="00485933">
        <w:rPr>
          <w:rFonts w:ascii="Arial" w:hAnsi="Arial" w:cs="Arial"/>
          <w:sz w:val="22"/>
        </w:rPr>
        <w:t xml:space="preserve">the </w:t>
      </w:r>
      <w:r>
        <w:rPr>
          <w:rFonts w:ascii="Arial" w:hAnsi="Arial" w:cs="Arial"/>
          <w:sz w:val="22"/>
        </w:rPr>
        <w:t xml:space="preserve">rise of Gwynedd to preeminence, particularly in terms of the </w:t>
      </w:r>
      <w:r w:rsidR="00547751">
        <w:rPr>
          <w:rFonts w:ascii="Arial" w:hAnsi="Arial" w:cs="Arial"/>
          <w:sz w:val="22"/>
        </w:rPr>
        <w:t xml:space="preserve">relationship between Pura </w:t>
      </w:r>
      <w:proofErr w:type="spellStart"/>
      <w:r w:rsidR="00547751">
        <w:rPr>
          <w:rFonts w:ascii="Arial" w:hAnsi="Arial" w:cs="Arial"/>
          <w:sz w:val="22"/>
        </w:rPr>
        <w:t>Wallia</w:t>
      </w:r>
      <w:proofErr w:type="spellEnd"/>
      <w:r w:rsidR="00547751">
        <w:rPr>
          <w:rFonts w:ascii="Arial" w:hAnsi="Arial" w:cs="Arial"/>
          <w:sz w:val="22"/>
        </w:rPr>
        <w:t xml:space="preserve"> and</w:t>
      </w:r>
      <w:r>
        <w:rPr>
          <w:rFonts w:ascii="Arial" w:hAnsi="Arial" w:cs="Arial"/>
          <w:sz w:val="22"/>
        </w:rPr>
        <w:t xml:space="preserve"> </w:t>
      </w:r>
      <w:proofErr w:type="spellStart"/>
      <w:r>
        <w:rPr>
          <w:rFonts w:ascii="Arial" w:hAnsi="Arial" w:cs="Arial"/>
          <w:sz w:val="22"/>
        </w:rPr>
        <w:t>Marchia</w:t>
      </w:r>
      <w:proofErr w:type="spellEnd"/>
      <w:r w:rsidR="00547751">
        <w:rPr>
          <w:rFonts w:ascii="Arial" w:hAnsi="Arial" w:cs="Arial"/>
          <w:sz w:val="22"/>
        </w:rPr>
        <w:t xml:space="preserve"> </w:t>
      </w:r>
      <w:proofErr w:type="spellStart"/>
      <w:r w:rsidR="00547751">
        <w:rPr>
          <w:rFonts w:ascii="Arial" w:hAnsi="Arial" w:cs="Arial"/>
          <w:sz w:val="22"/>
        </w:rPr>
        <w:t>Wallia</w:t>
      </w:r>
      <w:proofErr w:type="spellEnd"/>
      <w:r>
        <w:rPr>
          <w:rFonts w:ascii="Arial" w:hAnsi="Arial" w:cs="Arial"/>
          <w:sz w:val="22"/>
        </w:rPr>
        <w:t xml:space="preserve">. From careful study of the charters included in the collection, historians can trace the course of Anglo-Norman encroachment into Welsh territory, as well as the vicissitudes of Welsh resistance and </w:t>
      </w:r>
      <w:r w:rsidR="00265504">
        <w:rPr>
          <w:rFonts w:ascii="Arial" w:hAnsi="Arial" w:cs="Arial"/>
          <w:sz w:val="22"/>
        </w:rPr>
        <w:t>cooperation</w:t>
      </w:r>
      <w:r>
        <w:rPr>
          <w:rFonts w:ascii="Arial" w:hAnsi="Arial" w:cs="Arial"/>
          <w:sz w:val="22"/>
        </w:rPr>
        <w:t xml:space="preserve">. The charters are also important for researchers looking into the spread of monasticism in Wales in the wake of the Norman </w:t>
      </w:r>
      <w:r w:rsidR="00334FF7">
        <w:rPr>
          <w:rFonts w:ascii="Arial" w:hAnsi="Arial" w:cs="Arial"/>
          <w:sz w:val="22"/>
        </w:rPr>
        <w:t>invasion.</w:t>
      </w:r>
    </w:p>
    <w:p w14:paraId="08869CBF" w14:textId="77777777" w:rsidR="0078547A" w:rsidRDefault="0078547A" w:rsidP="00101547"/>
    <w:p w14:paraId="119D3789" w14:textId="77777777" w:rsidR="000D6FF5" w:rsidRDefault="000D6FF5" w:rsidP="000D6FF5">
      <w:proofErr w:type="gramStart"/>
      <w:r w:rsidRPr="00D5298F">
        <w:rPr>
          <w:i/>
        </w:rPr>
        <w:t>Calendar of the Charter Rolls Preserved in the Public Record Office</w:t>
      </w:r>
      <w:r>
        <w:t xml:space="preserve"> (London, 1903-1927), </w:t>
      </w:r>
      <w:r w:rsidRPr="00D5298F">
        <w:rPr>
          <w:i/>
        </w:rPr>
        <w:t>Calendar of the Patent Rolls preserved in the Public Record Office</w:t>
      </w:r>
      <w:r>
        <w:t xml:space="preserve"> (London, 1891- ).</w:t>
      </w:r>
      <w:proofErr w:type="gramEnd"/>
    </w:p>
    <w:p w14:paraId="57682D67" w14:textId="77777777" w:rsidR="000D6FF5" w:rsidRDefault="000D6FF5" w:rsidP="000D6FF5"/>
    <w:p w14:paraId="52A2AFD1" w14:textId="77777777" w:rsidR="000D6FF5" w:rsidRPr="001A197E" w:rsidRDefault="000D6FF5" w:rsidP="000D6FF5">
      <w:pPr>
        <w:rPr>
          <w:rFonts w:ascii="Arial" w:hAnsi="Arial" w:cs="Arial"/>
          <w:sz w:val="22"/>
        </w:rPr>
      </w:pPr>
      <w:r w:rsidRPr="001A197E">
        <w:rPr>
          <w:rFonts w:ascii="Arial" w:hAnsi="Arial" w:cs="Arial"/>
          <w:sz w:val="22"/>
        </w:rPr>
        <w:t xml:space="preserve">The published versions of the rolls offer important evidence regarding the relationship between medieval Wales and the English monarchy. Relationships between Welsh rulers and the English state were fluid throughout the medieval period, consisting of a mixture of conflict, diplomacy, patronage and even marriage. The rolls offer historians </w:t>
      </w:r>
      <w:r w:rsidRPr="001A197E">
        <w:rPr>
          <w:rFonts w:ascii="Arial" w:hAnsi="Arial" w:cs="Arial"/>
          <w:sz w:val="22"/>
        </w:rPr>
        <w:lastRenderedPageBreak/>
        <w:t>an essential and convenient source of evidence for researching the nature of those relationships.</w:t>
      </w:r>
      <w:r>
        <w:rPr>
          <w:rStyle w:val="a6"/>
          <w:rFonts w:ascii="Arial" w:hAnsi="Arial" w:cs="Arial"/>
          <w:sz w:val="22"/>
        </w:rPr>
        <w:footnoteReference w:id="1"/>
      </w:r>
    </w:p>
    <w:p w14:paraId="1822FEFF" w14:textId="77777777" w:rsidR="000D6FF5" w:rsidRDefault="000D6FF5" w:rsidP="00101547"/>
    <w:p w14:paraId="7D734415" w14:textId="5C0735FD" w:rsidR="00101547" w:rsidRDefault="00696D0C" w:rsidP="00101547">
      <w:r>
        <w:t xml:space="preserve">Emanuel, H.D., </w:t>
      </w:r>
      <w:r w:rsidR="007F42C1" w:rsidRPr="000D6FF5">
        <w:t xml:space="preserve">ed., </w:t>
      </w:r>
      <w:r w:rsidRPr="00696D0C">
        <w:rPr>
          <w:i/>
        </w:rPr>
        <w:t>Latin Texts of the Welsh Laws</w:t>
      </w:r>
      <w:r>
        <w:t xml:space="preserve"> (Cardiff</w:t>
      </w:r>
      <w:r w:rsidR="00101547">
        <w:t>: University of Wales Press</w:t>
      </w:r>
      <w:r>
        <w:t>,</w:t>
      </w:r>
      <w:r w:rsidR="00101547">
        <w:t xml:space="preserve"> 1967</w:t>
      </w:r>
      <w:r>
        <w:t>)</w:t>
      </w:r>
    </w:p>
    <w:p w14:paraId="1BAF07E6" w14:textId="77777777" w:rsidR="007F42C1" w:rsidRDefault="007F42C1" w:rsidP="00101547"/>
    <w:p w14:paraId="4A07D5DC" w14:textId="6323689F" w:rsidR="00101547" w:rsidRPr="00207ACE" w:rsidRDefault="0099552B" w:rsidP="003A7A4C">
      <w:pPr>
        <w:rPr>
          <w:rFonts w:ascii="Arial" w:hAnsi="Arial" w:cs="Arial"/>
          <w:sz w:val="22"/>
        </w:rPr>
      </w:pPr>
      <w:r w:rsidRPr="00207ACE">
        <w:rPr>
          <w:rFonts w:ascii="Arial" w:hAnsi="Arial" w:cs="Arial"/>
          <w:sz w:val="22"/>
        </w:rPr>
        <w:t xml:space="preserve">This volume provides scholars with a comprehensive </w:t>
      </w:r>
      <w:r w:rsidR="00207ACE" w:rsidRPr="00207ACE">
        <w:rPr>
          <w:rFonts w:ascii="Arial" w:hAnsi="Arial" w:cs="Arial"/>
          <w:sz w:val="22"/>
        </w:rPr>
        <w:t xml:space="preserve">printed </w:t>
      </w:r>
      <w:r w:rsidRPr="00207ACE">
        <w:rPr>
          <w:rFonts w:ascii="Arial" w:hAnsi="Arial" w:cs="Arial"/>
          <w:sz w:val="22"/>
        </w:rPr>
        <w:t xml:space="preserve">collection of the Latin versions of the Welsh laws, along with explanatory notes and discussion of </w:t>
      </w:r>
      <w:r w:rsidR="00207ACE" w:rsidRPr="00207ACE">
        <w:rPr>
          <w:rFonts w:ascii="Arial" w:hAnsi="Arial" w:cs="Arial"/>
          <w:sz w:val="22"/>
        </w:rPr>
        <w:t>the significant issues that the texts raise for students of medieval Wales and medieval law.</w:t>
      </w:r>
      <w:r w:rsidR="00207ACE">
        <w:rPr>
          <w:rFonts w:ascii="Arial" w:hAnsi="Arial" w:cs="Arial"/>
          <w:sz w:val="22"/>
        </w:rPr>
        <w:t xml:space="preserve"> The collection acts as an important companion piece to the Welsh language versions already published in earlier books. It also, according t</w:t>
      </w:r>
      <w:r w:rsidR="000063BB">
        <w:rPr>
          <w:rFonts w:ascii="Arial" w:hAnsi="Arial" w:cs="Arial"/>
          <w:sz w:val="22"/>
        </w:rPr>
        <w:t xml:space="preserve">o </w:t>
      </w:r>
      <w:r w:rsidR="00207ACE">
        <w:rPr>
          <w:rFonts w:ascii="Arial" w:hAnsi="Arial" w:cs="Arial"/>
          <w:sz w:val="22"/>
        </w:rPr>
        <w:t>one reviewer, helps to further eluc</w:t>
      </w:r>
      <w:r w:rsidR="009605ED">
        <w:rPr>
          <w:rFonts w:ascii="Arial" w:hAnsi="Arial" w:cs="Arial"/>
          <w:sz w:val="22"/>
        </w:rPr>
        <w:t>idate our understanding of the ‘flexible and dynamic character’</w:t>
      </w:r>
      <w:r w:rsidR="00207ACE">
        <w:rPr>
          <w:rFonts w:ascii="Arial" w:hAnsi="Arial" w:cs="Arial"/>
          <w:sz w:val="22"/>
        </w:rPr>
        <w:t xml:space="preserve"> of Welsh law, as well as its development through the twelfth and thirteenth centuries.</w:t>
      </w:r>
      <w:r w:rsidR="00FD7C86">
        <w:rPr>
          <w:rStyle w:val="a6"/>
          <w:rFonts w:ascii="Arial" w:hAnsi="Arial" w:cs="Arial"/>
          <w:sz w:val="22"/>
        </w:rPr>
        <w:footnoteReference w:id="2"/>
      </w:r>
      <w:r w:rsidR="00207ACE">
        <w:rPr>
          <w:rFonts w:ascii="Arial" w:hAnsi="Arial" w:cs="Arial"/>
          <w:sz w:val="22"/>
        </w:rPr>
        <w:t xml:space="preserve"> As such, it provides useful insight into the legal </w:t>
      </w:r>
      <w:r w:rsidR="000063BB">
        <w:rPr>
          <w:rFonts w:ascii="Arial" w:hAnsi="Arial" w:cs="Arial"/>
          <w:sz w:val="22"/>
        </w:rPr>
        <w:t>context</w:t>
      </w:r>
      <w:r w:rsidR="00207ACE">
        <w:rPr>
          <w:rFonts w:ascii="Arial" w:hAnsi="Arial" w:cs="Arial"/>
          <w:sz w:val="22"/>
        </w:rPr>
        <w:t xml:space="preserve"> in which the rulers of Gwynedd operated.</w:t>
      </w:r>
    </w:p>
    <w:p w14:paraId="21A2CC66" w14:textId="77777777" w:rsidR="0099552B" w:rsidRDefault="0099552B" w:rsidP="003A7A4C"/>
    <w:p w14:paraId="3E8F20B0" w14:textId="6A4A9F37" w:rsidR="008634C0" w:rsidRDefault="008634C0" w:rsidP="0042542D">
      <w:r>
        <w:t>Jones, T.,</w:t>
      </w:r>
      <w:r w:rsidRPr="000D6FF5">
        <w:t xml:space="preserve"> </w:t>
      </w:r>
      <w:r w:rsidR="007F42C1" w:rsidRPr="000D6FF5">
        <w:t>ed. and trans</w:t>
      </w:r>
      <w:proofErr w:type="gramStart"/>
      <w:r w:rsidR="007F42C1" w:rsidRPr="000D6FF5">
        <w:t>;,</w:t>
      </w:r>
      <w:proofErr w:type="gramEnd"/>
      <w:r w:rsidR="007F42C1" w:rsidRPr="000D6FF5">
        <w:t xml:space="preserve"> </w:t>
      </w:r>
      <w:r w:rsidRPr="000D6FF5">
        <w:rPr>
          <w:i/>
        </w:rPr>
        <w:t xml:space="preserve">Brut y </w:t>
      </w:r>
      <w:proofErr w:type="spellStart"/>
      <w:r w:rsidR="007F42C1" w:rsidRPr="000D6FF5">
        <w:rPr>
          <w:i/>
        </w:rPr>
        <w:t>T</w:t>
      </w:r>
      <w:r w:rsidRPr="0042542D">
        <w:rPr>
          <w:i/>
        </w:rPr>
        <w:t>ywysogyon</w:t>
      </w:r>
      <w:proofErr w:type="spellEnd"/>
      <w:r w:rsidRPr="0042542D">
        <w:rPr>
          <w:i/>
        </w:rPr>
        <w:t xml:space="preserve">; or, The chronicle of the princes: </w:t>
      </w:r>
      <w:proofErr w:type="spellStart"/>
      <w:r w:rsidRPr="0042542D">
        <w:rPr>
          <w:i/>
        </w:rPr>
        <w:t>Peniarth</w:t>
      </w:r>
      <w:proofErr w:type="spellEnd"/>
      <w:r w:rsidRPr="0042542D">
        <w:rPr>
          <w:i/>
        </w:rPr>
        <w:t xml:space="preserve"> MS. 20 version</w:t>
      </w:r>
      <w:r>
        <w:t xml:space="preserve"> (Cardiff : University of Wales Press, 1952).</w:t>
      </w:r>
      <w:r w:rsidR="00050223">
        <w:t xml:space="preserve"> </w:t>
      </w:r>
      <w:r w:rsidR="000B654C">
        <w:t xml:space="preserve"> </w:t>
      </w:r>
      <w:r>
        <w:t xml:space="preserve">Jones, T., </w:t>
      </w:r>
      <w:r w:rsidRPr="0042542D">
        <w:rPr>
          <w:i/>
        </w:rPr>
        <w:t xml:space="preserve">Brut y </w:t>
      </w:r>
      <w:proofErr w:type="spellStart"/>
      <w:r w:rsidR="007F42C1" w:rsidRPr="000D6FF5">
        <w:rPr>
          <w:i/>
        </w:rPr>
        <w:t>T</w:t>
      </w:r>
      <w:r w:rsidRPr="0042542D">
        <w:rPr>
          <w:i/>
        </w:rPr>
        <w:t>ywyso</w:t>
      </w:r>
      <w:r w:rsidR="000D6FF5">
        <w:rPr>
          <w:i/>
        </w:rPr>
        <w:t>gyon</w:t>
      </w:r>
      <w:proofErr w:type="spellEnd"/>
      <w:r w:rsidR="000D6FF5">
        <w:rPr>
          <w:i/>
        </w:rPr>
        <w:t xml:space="preserve">; or, The chronicle of the </w:t>
      </w:r>
      <w:r w:rsidR="000D6FF5">
        <w:rPr>
          <w:rFonts w:hint="eastAsia"/>
          <w:i/>
        </w:rPr>
        <w:t>p</w:t>
      </w:r>
      <w:r w:rsidRPr="0042542D">
        <w:rPr>
          <w:i/>
        </w:rPr>
        <w:t xml:space="preserve">rinces: </w:t>
      </w:r>
      <w:r>
        <w:rPr>
          <w:i/>
        </w:rPr>
        <w:t xml:space="preserve">Red Book of </w:t>
      </w:r>
      <w:proofErr w:type="spellStart"/>
      <w:r>
        <w:rPr>
          <w:i/>
        </w:rPr>
        <w:t>Hergest</w:t>
      </w:r>
      <w:proofErr w:type="spellEnd"/>
      <w:r>
        <w:rPr>
          <w:i/>
        </w:rPr>
        <w:t xml:space="preserve"> </w:t>
      </w:r>
      <w:r w:rsidRPr="0042542D">
        <w:rPr>
          <w:i/>
        </w:rPr>
        <w:t>version</w:t>
      </w:r>
      <w:r>
        <w:t xml:space="preserve"> (</w:t>
      </w:r>
      <w:proofErr w:type="gramStart"/>
      <w:r>
        <w:t>Cardiff :</w:t>
      </w:r>
      <w:proofErr w:type="gramEnd"/>
      <w:r>
        <w:t xml:space="preserve"> University of Wales Press, 1955).</w:t>
      </w:r>
    </w:p>
    <w:p w14:paraId="722425C3" w14:textId="77777777" w:rsidR="008634C0" w:rsidRDefault="008634C0" w:rsidP="0042542D"/>
    <w:p w14:paraId="0936A074" w14:textId="6F8645BB" w:rsidR="005951BE" w:rsidRPr="00E274F6" w:rsidRDefault="00643186" w:rsidP="0042542D">
      <w:pPr>
        <w:rPr>
          <w:rFonts w:ascii="Arial" w:hAnsi="Arial" w:cs="Arial"/>
          <w:sz w:val="22"/>
        </w:rPr>
      </w:pPr>
      <w:r w:rsidRPr="00E274F6">
        <w:rPr>
          <w:rFonts w:ascii="Arial" w:hAnsi="Arial" w:cs="Arial"/>
          <w:sz w:val="22"/>
        </w:rPr>
        <w:t xml:space="preserve">The </w:t>
      </w:r>
      <w:r w:rsidRPr="00E274F6">
        <w:rPr>
          <w:rFonts w:ascii="Arial" w:hAnsi="Arial" w:cs="Arial"/>
          <w:i/>
          <w:sz w:val="22"/>
        </w:rPr>
        <w:t>Brut</w:t>
      </w:r>
      <w:r w:rsidRPr="00E274F6">
        <w:rPr>
          <w:rFonts w:ascii="Arial" w:hAnsi="Arial" w:cs="Arial"/>
          <w:sz w:val="22"/>
        </w:rPr>
        <w:t xml:space="preserve"> is perhaps one of the most valuable primary sources for students of the history of Wales in the era of the </w:t>
      </w:r>
      <w:r w:rsidR="0005375A">
        <w:rPr>
          <w:rFonts w:ascii="Arial" w:hAnsi="Arial" w:cs="Arial"/>
          <w:sz w:val="22"/>
        </w:rPr>
        <w:t>Welsh</w:t>
      </w:r>
      <w:r w:rsidRPr="00E274F6">
        <w:rPr>
          <w:rFonts w:ascii="Arial" w:hAnsi="Arial" w:cs="Arial"/>
          <w:sz w:val="22"/>
        </w:rPr>
        <w:t xml:space="preserve"> princes</w:t>
      </w:r>
      <w:r w:rsidR="0005375A">
        <w:rPr>
          <w:rFonts w:ascii="Arial" w:hAnsi="Arial" w:cs="Arial"/>
          <w:sz w:val="22"/>
        </w:rPr>
        <w:t xml:space="preserve"> of </w:t>
      </w:r>
      <w:proofErr w:type="spellStart"/>
      <w:r w:rsidR="0005375A">
        <w:rPr>
          <w:rFonts w:ascii="Arial" w:hAnsi="Arial" w:cs="Arial"/>
          <w:sz w:val="22"/>
        </w:rPr>
        <w:t>Aberffraw</w:t>
      </w:r>
      <w:proofErr w:type="spellEnd"/>
      <w:r w:rsidRPr="00E274F6">
        <w:rPr>
          <w:rFonts w:ascii="Arial" w:hAnsi="Arial" w:cs="Arial"/>
          <w:sz w:val="22"/>
        </w:rPr>
        <w:t xml:space="preserve">, despite the fact that much of the text deals with earlier periods. It acts as a ‘sequel’ to Geoffrey of Monmouth’s </w:t>
      </w:r>
      <w:r w:rsidRPr="0005375A">
        <w:rPr>
          <w:rFonts w:ascii="Arial" w:hAnsi="Arial" w:cs="Arial"/>
          <w:i/>
          <w:sz w:val="22"/>
        </w:rPr>
        <w:t xml:space="preserve">Historia </w:t>
      </w:r>
      <w:proofErr w:type="spellStart"/>
      <w:r w:rsidRPr="0005375A">
        <w:rPr>
          <w:rFonts w:ascii="Arial" w:hAnsi="Arial" w:cs="Arial"/>
          <w:i/>
          <w:sz w:val="22"/>
        </w:rPr>
        <w:t>Regum</w:t>
      </w:r>
      <w:proofErr w:type="spellEnd"/>
      <w:r w:rsidRPr="0005375A">
        <w:rPr>
          <w:rFonts w:ascii="Arial" w:hAnsi="Arial" w:cs="Arial"/>
          <w:i/>
          <w:sz w:val="22"/>
        </w:rPr>
        <w:t xml:space="preserve"> Britan</w:t>
      </w:r>
      <w:r w:rsidR="009810B0">
        <w:rPr>
          <w:rFonts w:ascii="Arial" w:hAnsi="Arial" w:cs="Arial"/>
          <w:i/>
          <w:sz w:val="22"/>
        </w:rPr>
        <w:t>n</w:t>
      </w:r>
      <w:r w:rsidRPr="0005375A">
        <w:rPr>
          <w:rFonts w:ascii="Arial" w:hAnsi="Arial" w:cs="Arial"/>
          <w:i/>
          <w:sz w:val="22"/>
        </w:rPr>
        <w:t>iae</w:t>
      </w:r>
      <w:r w:rsidRPr="00E274F6">
        <w:rPr>
          <w:rFonts w:ascii="Arial" w:hAnsi="Arial" w:cs="Arial"/>
          <w:sz w:val="22"/>
        </w:rPr>
        <w:t xml:space="preserve">, starting with the </w:t>
      </w:r>
      <w:r w:rsidR="005951BE" w:rsidRPr="00E274F6">
        <w:rPr>
          <w:rFonts w:ascii="Arial" w:hAnsi="Arial" w:cs="Arial"/>
          <w:sz w:val="22"/>
        </w:rPr>
        <w:t xml:space="preserve">end of Cadwaladr’s rule in 682 and continuing through to the demise of </w:t>
      </w:r>
      <w:proofErr w:type="spellStart"/>
      <w:r w:rsidR="005951BE" w:rsidRPr="00E274F6">
        <w:rPr>
          <w:rFonts w:ascii="Arial" w:hAnsi="Arial" w:cs="Arial"/>
          <w:sz w:val="22"/>
        </w:rPr>
        <w:t>Llywelyn</w:t>
      </w:r>
      <w:proofErr w:type="spellEnd"/>
      <w:r w:rsidRPr="00E274F6">
        <w:rPr>
          <w:rFonts w:ascii="Arial" w:hAnsi="Arial" w:cs="Arial"/>
          <w:sz w:val="22"/>
        </w:rPr>
        <w:t xml:space="preserve"> </w:t>
      </w:r>
      <w:r w:rsidR="005951BE" w:rsidRPr="00E274F6">
        <w:rPr>
          <w:rFonts w:ascii="Arial" w:hAnsi="Arial" w:cs="Arial"/>
          <w:sz w:val="22"/>
        </w:rPr>
        <w:t xml:space="preserve">ap </w:t>
      </w:r>
      <w:proofErr w:type="spellStart"/>
      <w:r w:rsidR="005951BE" w:rsidRPr="00E274F6">
        <w:rPr>
          <w:rFonts w:ascii="Arial" w:hAnsi="Arial" w:cs="Arial"/>
          <w:sz w:val="22"/>
        </w:rPr>
        <w:t>Gruffydd</w:t>
      </w:r>
      <w:proofErr w:type="spellEnd"/>
      <w:r w:rsidR="005951BE" w:rsidRPr="00E274F6">
        <w:rPr>
          <w:rFonts w:ascii="Arial" w:hAnsi="Arial" w:cs="Arial"/>
          <w:sz w:val="22"/>
        </w:rPr>
        <w:t xml:space="preserve"> in 1282. There are several versions of the </w:t>
      </w:r>
      <w:r w:rsidR="005951BE" w:rsidRPr="00E274F6">
        <w:rPr>
          <w:rFonts w:ascii="Arial" w:hAnsi="Arial" w:cs="Arial"/>
          <w:i/>
          <w:sz w:val="22"/>
        </w:rPr>
        <w:t>Brut</w:t>
      </w:r>
      <w:r w:rsidR="005951BE" w:rsidRPr="00E274F6">
        <w:rPr>
          <w:rFonts w:ascii="Arial" w:hAnsi="Arial" w:cs="Arial"/>
          <w:sz w:val="22"/>
        </w:rPr>
        <w:t xml:space="preserve">, translated from an original Latin text, the </w:t>
      </w:r>
      <w:proofErr w:type="spellStart"/>
      <w:r w:rsidR="005951BE" w:rsidRPr="00E274F6">
        <w:rPr>
          <w:rFonts w:ascii="Arial" w:hAnsi="Arial" w:cs="Arial"/>
          <w:i/>
          <w:sz w:val="22"/>
        </w:rPr>
        <w:t>Cronica</w:t>
      </w:r>
      <w:proofErr w:type="spellEnd"/>
      <w:r w:rsidR="005951BE" w:rsidRPr="00E274F6">
        <w:rPr>
          <w:rFonts w:ascii="Arial" w:hAnsi="Arial" w:cs="Arial"/>
          <w:i/>
          <w:sz w:val="22"/>
        </w:rPr>
        <w:t xml:space="preserve"> Principium </w:t>
      </w:r>
      <w:proofErr w:type="spellStart"/>
      <w:r w:rsidR="005951BE" w:rsidRPr="00E274F6">
        <w:rPr>
          <w:rFonts w:ascii="Arial" w:hAnsi="Arial" w:cs="Arial"/>
          <w:i/>
          <w:sz w:val="22"/>
        </w:rPr>
        <w:t>Wallie</w:t>
      </w:r>
      <w:proofErr w:type="spellEnd"/>
      <w:r w:rsidR="005951BE" w:rsidRPr="00E274F6">
        <w:rPr>
          <w:rFonts w:ascii="Arial" w:hAnsi="Arial" w:cs="Arial"/>
          <w:sz w:val="22"/>
        </w:rPr>
        <w:t xml:space="preserve">, that is now lost. Professor Jones provides translations, as well as extensive notes and commentary, </w:t>
      </w:r>
      <w:r w:rsidR="00040211" w:rsidRPr="00E274F6">
        <w:rPr>
          <w:rFonts w:ascii="Arial" w:hAnsi="Arial" w:cs="Arial"/>
          <w:sz w:val="22"/>
        </w:rPr>
        <w:t xml:space="preserve">all of </w:t>
      </w:r>
      <w:r w:rsidR="005951BE" w:rsidRPr="00E274F6">
        <w:rPr>
          <w:rFonts w:ascii="Arial" w:hAnsi="Arial" w:cs="Arial"/>
          <w:sz w:val="22"/>
        </w:rPr>
        <w:t xml:space="preserve">which </w:t>
      </w:r>
      <w:r w:rsidR="00040211" w:rsidRPr="00E274F6">
        <w:rPr>
          <w:rFonts w:ascii="Arial" w:hAnsi="Arial" w:cs="Arial"/>
          <w:sz w:val="22"/>
        </w:rPr>
        <w:t xml:space="preserve">offer the reader a comprehensive overview of the chronology of the </w:t>
      </w:r>
      <w:r w:rsidR="00040211" w:rsidRPr="00E274F6">
        <w:rPr>
          <w:rFonts w:ascii="Arial" w:hAnsi="Arial" w:cs="Arial"/>
          <w:i/>
          <w:sz w:val="22"/>
        </w:rPr>
        <w:t>Brut</w:t>
      </w:r>
      <w:r w:rsidR="00040211" w:rsidRPr="00E274F6">
        <w:rPr>
          <w:rFonts w:ascii="Arial" w:hAnsi="Arial" w:cs="Arial"/>
          <w:sz w:val="22"/>
        </w:rPr>
        <w:t xml:space="preserve"> and the complex relationships between the different versions of the text. These translations allow scholars to cross-reference the various manuscripts of the work and to more easily trace their origins in the Latin annals of earlier centuries.</w:t>
      </w:r>
      <w:r w:rsidR="00FD7C86">
        <w:rPr>
          <w:rStyle w:val="a6"/>
          <w:rFonts w:ascii="Arial" w:hAnsi="Arial" w:cs="Arial"/>
          <w:sz w:val="22"/>
        </w:rPr>
        <w:footnoteReference w:id="3"/>
      </w:r>
    </w:p>
    <w:p w14:paraId="13855215" w14:textId="77777777" w:rsidR="000B654C" w:rsidRDefault="000B654C" w:rsidP="0042542D"/>
    <w:p w14:paraId="13E5E16C" w14:textId="247B7736" w:rsidR="008634C0" w:rsidRDefault="008634C0" w:rsidP="00A42411">
      <w:r>
        <w:t>Morris-Jones, J., Morris-Jones, R., and Parry-Williams, T.H.,</w:t>
      </w:r>
      <w:r w:rsidR="007F42C1" w:rsidRPr="000D6FF5">
        <w:t xml:space="preserve"> ed.,</w:t>
      </w:r>
      <w:r w:rsidR="007F42C1">
        <w:rPr>
          <w:color w:val="FF0000"/>
        </w:rPr>
        <w:t xml:space="preserve"> </w:t>
      </w:r>
      <w:proofErr w:type="spellStart"/>
      <w:r w:rsidRPr="001A17DC">
        <w:rPr>
          <w:i/>
        </w:rPr>
        <w:t>Llawysgrif</w:t>
      </w:r>
      <w:proofErr w:type="spellEnd"/>
      <w:r w:rsidRPr="001A17DC">
        <w:rPr>
          <w:i/>
        </w:rPr>
        <w:t xml:space="preserve"> </w:t>
      </w:r>
      <w:proofErr w:type="spellStart"/>
      <w:r w:rsidRPr="001A17DC">
        <w:rPr>
          <w:i/>
        </w:rPr>
        <w:t>Hendregadredd</w:t>
      </w:r>
      <w:proofErr w:type="spellEnd"/>
      <w:r>
        <w:t xml:space="preserve"> (</w:t>
      </w:r>
      <w:proofErr w:type="spellStart"/>
      <w:r>
        <w:t>Caerdydd</w:t>
      </w:r>
      <w:proofErr w:type="spellEnd"/>
      <w:r w:rsidRPr="00E15B51">
        <w:t xml:space="preserve">: </w:t>
      </w:r>
      <w:proofErr w:type="spellStart"/>
      <w:r w:rsidRPr="00E15B51">
        <w:t>Gwasg</w:t>
      </w:r>
      <w:proofErr w:type="spellEnd"/>
      <w:r w:rsidRPr="00E15B51">
        <w:t xml:space="preserve"> </w:t>
      </w:r>
      <w:proofErr w:type="spellStart"/>
      <w:r w:rsidRPr="00E15B51">
        <w:t>Prifysgol</w:t>
      </w:r>
      <w:proofErr w:type="spellEnd"/>
      <w:r w:rsidRPr="00E15B51">
        <w:t xml:space="preserve"> Cymru</w:t>
      </w:r>
      <w:r>
        <w:t>,</w:t>
      </w:r>
      <w:r w:rsidRPr="00E15B51">
        <w:t xml:space="preserve"> 1971</w:t>
      </w:r>
      <w:r>
        <w:t>)</w:t>
      </w:r>
    </w:p>
    <w:p w14:paraId="6FC9A911" w14:textId="77777777" w:rsidR="008634C0" w:rsidRDefault="008634C0" w:rsidP="00A42411"/>
    <w:p w14:paraId="37859C9D" w14:textId="16DD2F70" w:rsidR="00636CF1" w:rsidRPr="0076467F" w:rsidRDefault="00636CF1" w:rsidP="00A42411">
      <w:pPr>
        <w:rPr>
          <w:rFonts w:ascii="Arial" w:hAnsi="Arial" w:cs="Arial"/>
          <w:sz w:val="22"/>
        </w:rPr>
      </w:pPr>
      <w:r w:rsidRPr="0076467F">
        <w:rPr>
          <w:rFonts w:ascii="Arial" w:hAnsi="Arial" w:cs="Arial"/>
          <w:sz w:val="22"/>
        </w:rPr>
        <w:t xml:space="preserve">This </w:t>
      </w:r>
      <w:r w:rsidR="00A006AE">
        <w:rPr>
          <w:rFonts w:ascii="Arial" w:hAnsi="Arial" w:cs="Arial"/>
          <w:sz w:val="22"/>
        </w:rPr>
        <w:t>anthology</w:t>
      </w:r>
      <w:r w:rsidRPr="0076467F">
        <w:rPr>
          <w:rFonts w:ascii="Arial" w:hAnsi="Arial" w:cs="Arial"/>
          <w:sz w:val="22"/>
        </w:rPr>
        <w:t xml:space="preserve"> provides Welsh-speaking scholars with </w:t>
      </w:r>
      <w:r w:rsidR="00A006AE">
        <w:rPr>
          <w:rFonts w:ascii="Arial" w:hAnsi="Arial" w:cs="Arial"/>
          <w:sz w:val="22"/>
        </w:rPr>
        <w:t>annotated</w:t>
      </w:r>
      <w:r w:rsidRPr="0076467F">
        <w:rPr>
          <w:rFonts w:ascii="Arial" w:hAnsi="Arial" w:cs="Arial"/>
          <w:sz w:val="22"/>
        </w:rPr>
        <w:t xml:space="preserve"> texts of many court poems from the days of Gwyne</w:t>
      </w:r>
      <w:r w:rsidR="0076467F" w:rsidRPr="0076467F">
        <w:rPr>
          <w:rFonts w:ascii="Arial" w:hAnsi="Arial" w:cs="Arial"/>
          <w:sz w:val="22"/>
        </w:rPr>
        <w:t xml:space="preserve">dd’s supremacy and beyond. </w:t>
      </w:r>
      <w:r w:rsidRPr="0076467F">
        <w:rPr>
          <w:rFonts w:ascii="Arial" w:hAnsi="Arial" w:cs="Arial"/>
          <w:sz w:val="22"/>
        </w:rPr>
        <w:t xml:space="preserve">The </w:t>
      </w:r>
      <w:proofErr w:type="spellStart"/>
      <w:r w:rsidR="0076467F" w:rsidRPr="0076467F">
        <w:rPr>
          <w:rFonts w:ascii="Arial" w:hAnsi="Arial" w:cs="Arial"/>
          <w:sz w:val="22"/>
        </w:rPr>
        <w:t>Hendregadredd</w:t>
      </w:r>
      <w:proofErr w:type="spellEnd"/>
      <w:r w:rsidR="0076467F" w:rsidRPr="0076467F">
        <w:rPr>
          <w:rFonts w:ascii="Arial" w:hAnsi="Arial" w:cs="Arial"/>
          <w:sz w:val="22"/>
        </w:rPr>
        <w:t xml:space="preserve"> </w:t>
      </w:r>
      <w:r w:rsidRPr="0076467F">
        <w:rPr>
          <w:rFonts w:ascii="Arial" w:hAnsi="Arial" w:cs="Arial"/>
          <w:sz w:val="22"/>
        </w:rPr>
        <w:t>manuscript</w:t>
      </w:r>
      <w:r w:rsidR="0076467F" w:rsidRPr="0076467F">
        <w:rPr>
          <w:rFonts w:ascii="Arial" w:hAnsi="Arial" w:cs="Arial"/>
          <w:sz w:val="22"/>
        </w:rPr>
        <w:t>, which was thought</w:t>
      </w:r>
      <w:r w:rsidR="00485933">
        <w:rPr>
          <w:rFonts w:ascii="Arial" w:hAnsi="Arial" w:cs="Arial"/>
          <w:sz w:val="22"/>
        </w:rPr>
        <w:t xml:space="preserve"> to be</w:t>
      </w:r>
      <w:r w:rsidR="0076467F" w:rsidRPr="0076467F">
        <w:rPr>
          <w:rFonts w:ascii="Arial" w:hAnsi="Arial" w:cs="Arial"/>
          <w:sz w:val="22"/>
        </w:rPr>
        <w:t xml:space="preserve"> lost prior to its rediscovery in the twentieth </w:t>
      </w:r>
      <w:r w:rsidR="0076467F" w:rsidRPr="0076467F">
        <w:rPr>
          <w:rFonts w:ascii="Arial" w:hAnsi="Arial" w:cs="Arial"/>
          <w:sz w:val="22"/>
        </w:rPr>
        <w:lastRenderedPageBreak/>
        <w:t>century,</w:t>
      </w:r>
      <w:r w:rsidRPr="0076467F">
        <w:rPr>
          <w:rFonts w:ascii="Arial" w:hAnsi="Arial" w:cs="Arial"/>
          <w:sz w:val="22"/>
        </w:rPr>
        <w:t xml:space="preserve"> </w:t>
      </w:r>
      <w:r w:rsidR="0076467F" w:rsidRPr="0076467F">
        <w:rPr>
          <w:rFonts w:ascii="Arial" w:hAnsi="Arial" w:cs="Arial"/>
          <w:sz w:val="22"/>
        </w:rPr>
        <w:t xml:space="preserve">is of great significance for students of </w:t>
      </w:r>
      <w:r w:rsidR="003E630D">
        <w:rPr>
          <w:rFonts w:ascii="Arial" w:hAnsi="Arial" w:cs="Arial"/>
          <w:sz w:val="22"/>
        </w:rPr>
        <w:t xml:space="preserve">medieval </w:t>
      </w:r>
      <w:r w:rsidR="009810B0">
        <w:rPr>
          <w:rFonts w:ascii="Arial" w:hAnsi="Arial" w:cs="Arial"/>
          <w:sz w:val="22"/>
        </w:rPr>
        <w:t xml:space="preserve">Welsh poetry. </w:t>
      </w:r>
      <w:r w:rsidR="0076467F" w:rsidRPr="0076467F">
        <w:rPr>
          <w:rFonts w:ascii="Arial" w:hAnsi="Arial" w:cs="Arial"/>
          <w:sz w:val="22"/>
        </w:rPr>
        <w:t xml:space="preserve">The </w:t>
      </w:r>
      <w:proofErr w:type="spellStart"/>
      <w:r w:rsidR="0076467F" w:rsidRPr="0076467F">
        <w:rPr>
          <w:rFonts w:ascii="Arial" w:hAnsi="Arial" w:cs="Arial"/>
          <w:sz w:val="22"/>
        </w:rPr>
        <w:t>Gogynfeirdd</w:t>
      </w:r>
      <w:proofErr w:type="spellEnd"/>
      <w:r w:rsidR="0076467F" w:rsidRPr="0076467F">
        <w:rPr>
          <w:rFonts w:ascii="Arial" w:hAnsi="Arial" w:cs="Arial"/>
          <w:sz w:val="22"/>
        </w:rPr>
        <w:t>, often referred to as the ‘poets of the princes’, were important figures in medieval Welsh court</w:t>
      </w:r>
      <w:r w:rsidR="00A006AE">
        <w:rPr>
          <w:rFonts w:ascii="Arial" w:hAnsi="Arial" w:cs="Arial"/>
          <w:sz w:val="22"/>
        </w:rPr>
        <w:t>ly</w:t>
      </w:r>
      <w:r w:rsidR="0076467F" w:rsidRPr="0076467F">
        <w:rPr>
          <w:rFonts w:ascii="Arial" w:hAnsi="Arial" w:cs="Arial"/>
          <w:sz w:val="22"/>
        </w:rPr>
        <w:t xml:space="preserve"> culture, widely </w:t>
      </w:r>
      <w:proofErr w:type="spellStart"/>
      <w:r w:rsidR="0076467F" w:rsidRPr="0076467F">
        <w:rPr>
          <w:rFonts w:ascii="Arial" w:hAnsi="Arial" w:cs="Arial"/>
          <w:sz w:val="22"/>
        </w:rPr>
        <w:t>patronised</w:t>
      </w:r>
      <w:proofErr w:type="spellEnd"/>
      <w:r w:rsidR="0076467F" w:rsidRPr="0076467F">
        <w:rPr>
          <w:rFonts w:ascii="Arial" w:hAnsi="Arial" w:cs="Arial"/>
          <w:sz w:val="22"/>
        </w:rPr>
        <w:t xml:space="preserve"> by Welsh rulers and active in the life of the era. Further study of the poets’ works and backgrounds offers an additional avenue for understanding the world of the Gwynedd princes.</w:t>
      </w:r>
    </w:p>
    <w:p w14:paraId="1BD60815" w14:textId="77777777" w:rsidR="00636CF1" w:rsidRDefault="00636CF1" w:rsidP="00A42411"/>
    <w:p w14:paraId="7505ABC5" w14:textId="77777777" w:rsidR="008634C0" w:rsidRDefault="008634C0" w:rsidP="009E35A0">
      <w:r>
        <w:t xml:space="preserve">Pryce, H., ed., </w:t>
      </w:r>
      <w:r w:rsidRPr="000B6D28">
        <w:rPr>
          <w:i/>
        </w:rPr>
        <w:t>The Acts of Welsh Rulers, 1120-1283</w:t>
      </w:r>
      <w:r>
        <w:t xml:space="preserve"> (Cardiff: University of Wales Press, 2005).</w:t>
      </w:r>
    </w:p>
    <w:p w14:paraId="2667DB80" w14:textId="77777777" w:rsidR="008634C0" w:rsidRDefault="008634C0" w:rsidP="009E35A0"/>
    <w:p w14:paraId="2903F74A" w14:textId="36FA76E8" w:rsidR="00AA51DF" w:rsidRPr="00405565" w:rsidRDefault="00AA51DF" w:rsidP="009E35A0">
      <w:pPr>
        <w:rPr>
          <w:rFonts w:ascii="Arial" w:hAnsi="Arial" w:cs="Arial"/>
          <w:sz w:val="22"/>
        </w:rPr>
      </w:pPr>
      <w:r w:rsidRPr="00405565">
        <w:rPr>
          <w:rFonts w:ascii="Arial" w:hAnsi="Arial" w:cs="Arial"/>
          <w:sz w:val="22"/>
        </w:rPr>
        <w:t xml:space="preserve">This book, edited by Huw Pryce with the assistance of Charles </w:t>
      </w:r>
      <w:proofErr w:type="spellStart"/>
      <w:r w:rsidRPr="00405565">
        <w:rPr>
          <w:rFonts w:ascii="Arial" w:hAnsi="Arial" w:cs="Arial"/>
          <w:sz w:val="22"/>
        </w:rPr>
        <w:t>Insley</w:t>
      </w:r>
      <w:proofErr w:type="spellEnd"/>
      <w:r w:rsidRPr="00405565">
        <w:rPr>
          <w:rFonts w:ascii="Arial" w:hAnsi="Arial" w:cs="Arial"/>
          <w:sz w:val="22"/>
        </w:rPr>
        <w:t xml:space="preserve">, is perhaps the most important resource for scholars researching </w:t>
      </w:r>
      <w:r w:rsidR="0058129A" w:rsidRPr="00405565">
        <w:rPr>
          <w:rFonts w:ascii="Arial" w:hAnsi="Arial" w:cs="Arial"/>
          <w:sz w:val="22"/>
        </w:rPr>
        <w:t xml:space="preserve">medieval Gwynedd and the world of the Welsh princes, particularly those looking for documentary evidence of the acts and decisions of Welsh </w:t>
      </w:r>
      <w:r w:rsidR="005A4DF0" w:rsidRPr="00405565">
        <w:rPr>
          <w:rFonts w:ascii="Arial" w:hAnsi="Arial" w:cs="Arial"/>
          <w:sz w:val="22"/>
        </w:rPr>
        <w:t>rulers</w:t>
      </w:r>
      <w:r w:rsidR="0058129A" w:rsidRPr="00405565">
        <w:rPr>
          <w:rFonts w:ascii="Arial" w:hAnsi="Arial" w:cs="Arial"/>
          <w:sz w:val="22"/>
        </w:rPr>
        <w:t xml:space="preserve"> in the turbulent twelfth and thirteenth centuries. Crucially, it provides </w:t>
      </w:r>
      <w:r w:rsidR="005A4DF0" w:rsidRPr="00405565">
        <w:rPr>
          <w:rFonts w:ascii="Arial" w:hAnsi="Arial" w:cs="Arial"/>
          <w:sz w:val="22"/>
        </w:rPr>
        <w:t>a specifically Welsh focus on events</w:t>
      </w:r>
      <w:r w:rsidR="0058129A" w:rsidRPr="00405565">
        <w:rPr>
          <w:rFonts w:ascii="Arial" w:hAnsi="Arial" w:cs="Arial"/>
          <w:sz w:val="22"/>
        </w:rPr>
        <w:t xml:space="preserve">, greatly increasing our knowledge </w:t>
      </w:r>
      <w:r w:rsidR="005A4DF0" w:rsidRPr="00405565">
        <w:rPr>
          <w:rFonts w:ascii="Arial" w:hAnsi="Arial" w:cs="Arial"/>
          <w:sz w:val="22"/>
        </w:rPr>
        <w:t>of Welsh identity and perceptions during the struggle against Anglo-Norman encroachment. It also offers scholars an important body of evidence for the insular relationships between the various Welsh rulers themselves prior to the Edwardian conquest.</w:t>
      </w:r>
      <w:r w:rsidR="0070462E" w:rsidRPr="00405565">
        <w:rPr>
          <w:rFonts w:ascii="Arial" w:hAnsi="Arial" w:cs="Arial"/>
          <w:sz w:val="22"/>
        </w:rPr>
        <w:t xml:space="preserve"> In addition to conveniently bringing together a disparate collection of </w:t>
      </w:r>
      <w:r w:rsidR="009E5FE5" w:rsidRPr="00405565">
        <w:rPr>
          <w:rFonts w:ascii="Arial" w:hAnsi="Arial" w:cs="Arial"/>
          <w:sz w:val="22"/>
        </w:rPr>
        <w:t>primary sources</w:t>
      </w:r>
      <w:r w:rsidR="0070462E" w:rsidRPr="00405565">
        <w:rPr>
          <w:rFonts w:ascii="Arial" w:hAnsi="Arial" w:cs="Arial"/>
          <w:sz w:val="22"/>
        </w:rPr>
        <w:t>, the book also offers a detailed introduction and important background information</w:t>
      </w:r>
      <w:r w:rsidR="009E5FE5" w:rsidRPr="00405565">
        <w:rPr>
          <w:rFonts w:ascii="Arial" w:hAnsi="Arial" w:cs="Arial"/>
          <w:sz w:val="22"/>
        </w:rPr>
        <w:t xml:space="preserve"> about the period</w:t>
      </w:r>
      <w:r w:rsidR="0070462E" w:rsidRPr="00405565">
        <w:rPr>
          <w:rFonts w:ascii="Arial" w:hAnsi="Arial" w:cs="Arial"/>
          <w:sz w:val="22"/>
        </w:rPr>
        <w:t>.</w:t>
      </w:r>
      <w:r w:rsidR="00FD7C86">
        <w:rPr>
          <w:rStyle w:val="a6"/>
          <w:rFonts w:ascii="Arial" w:hAnsi="Arial" w:cs="Arial"/>
          <w:sz w:val="22"/>
        </w:rPr>
        <w:footnoteReference w:id="4"/>
      </w:r>
    </w:p>
    <w:p w14:paraId="18329971" w14:textId="77777777" w:rsidR="00AA51DF" w:rsidRDefault="00AA51DF" w:rsidP="009E35A0"/>
    <w:p w14:paraId="759BA5F7" w14:textId="66D77766" w:rsidR="008634C0" w:rsidRDefault="008634C0" w:rsidP="0039015F">
      <w:r>
        <w:t xml:space="preserve">Russell, P., ed., </w:t>
      </w:r>
      <w:r w:rsidR="006B3704">
        <w:rPr>
          <w:i/>
        </w:rPr>
        <w:t xml:space="preserve">Vita </w:t>
      </w:r>
      <w:proofErr w:type="spellStart"/>
      <w:r w:rsidR="006B3704">
        <w:rPr>
          <w:i/>
        </w:rPr>
        <w:t>Griffini</w:t>
      </w:r>
      <w:proofErr w:type="spellEnd"/>
      <w:r w:rsidR="006B3704">
        <w:rPr>
          <w:i/>
        </w:rPr>
        <w:t xml:space="preserve"> </w:t>
      </w:r>
      <w:proofErr w:type="spellStart"/>
      <w:r w:rsidR="006B3704">
        <w:rPr>
          <w:i/>
        </w:rPr>
        <w:t>filii</w:t>
      </w:r>
      <w:proofErr w:type="spellEnd"/>
      <w:r w:rsidR="006B3704">
        <w:rPr>
          <w:i/>
        </w:rPr>
        <w:t xml:space="preserve"> </w:t>
      </w:r>
      <w:proofErr w:type="spellStart"/>
      <w:r w:rsidR="006B3704">
        <w:rPr>
          <w:i/>
        </w:rPr>
        <w:t>Conani</w:t>
      </w:r>
      <w:proofErr w:type="spellEnd"/>
      <w:r w:rsidRPr="000B6D28">
        <w:rPr>
          <w:i/>
        </w:rPr>
        <w:t xml:space="preserve">: the medieval Latin life of </w:t>
      </w:r>
      <w:proofErr w:type="spellStart"/>
      <w:r w:rsidRPr="000B6D28">
        <w:rPr>
          <w:i/>
        </w:rPr>
        <w:t>Gruffudd</w:t>
      </w:r>
      <w:proofErr w:type="spellEnd"/>
      <w:r w:rsidRPr="000B6D28">
        <w:rPr>
          <w:i/>
        </w:rPr>
        <w:t xml:space="preserve"> ap </w:t>
      </w:r>
      <w:proofErr w:type="spellStart"/>
      <w:r w:rsidRPr="000B6D28">
        <w:rPr>
          <w:i/>
        </w:rPr>
        <w:t>Cynan</w:t>
      </w:r>
      <w:proofErr w:type="spellEnd"/>
      <w:r>
        <w:t xml:space="preserve"> (</w:t>
      </w:r>
      <w:proofErr w:type="gramStart"/>
      <w:r>
        <w:t>Cardiff :</w:t>
      </w:r>
      <w:proofErr w:type="gramEnd"/>
      <w:r>
        <w:t xml:space="preserve"> University of Wales Press, 2005).</w:t>
      </w:r>
    </w:p>
    <w:p w14:paraId="795C8DBF" w14:textId="77777777" w:rsidR="008634C0" w:rsidRDefault="008634C0" w:rsidP="0039015F"/>
    <w:p w14:paraId="3709DBD8" w14:textId="4A40FD03" w:rsidR="0009220C" w:rsidRPr="00405565" w:rsidRDefault="00626590" w:rsidP="0039015F">
      <w:pPr>
        <w:rPr>
          <w:rFonts w:ascii="Arial" w:eastAsiaTheme="majorEastAsia" w:hAnsi="Arial" w:cs="Arial"/>
          <w:sz w:val="22"/>
        </w:rPr>
      </w:pPr>
      <w:r w:rsidRPr="00405565">
        <w:rPr>
          <w:rFonts w:ascii="Arial" w:eastAsiaTheme="majorEastAsia" w:hAnsi="Arial" w:cs="Arial"/>
          <w:sz w:val="22"/>
        </w:rPr>
        <w:t xml:space="preserve">The </w:t>
      </w:r>
      <w:r w:rsidRPr="00405565">
        <w:rPr>
          <w:rFonts w:ascii="Arial" w:eastAsiaTheme="majorEastAsia" w:hAnsi="Arial" w:cs="Arial"/>
          <w:i/>
          <w:sz w:val="22"/>
        </w:rPr>
        <w:t xml:space="preserve">Vita </w:t>
      </w:r>
      <w:proofErr w:type="spellStart"/>
      <w:r w:rsidRPr="00405565">
        <w:rPr>
          <w:rFonts w:ascii="Arial" w:eastAsiaTheme="majorEastAsia" w:hAnsi="Arial" w:cs="Arial"/>
          <w:i/>
          <w:sz w:val="22"/>
        </w:rPr>
        <w:t>Griffini</w:t>
      </w:r>
      <w:proofErr w:type="spellEnd"/>
      <w:r w:rsidRPr="00405565">
        <w:rPr>
          <w:rFonts w:ascii="Arial" w:eastAsiaTheme="majorEastAsia" w:hAnsi="Arial" w:cs="Arial"/>
          <w:sz w:val="22"/>
        </w:rPr>
        <w:t xml:space="preserve"> is a significant document that provides a near contemporary biography of the </w:t>
      </w:r>
      <w:r w:rsidR="00405565">
        <w:rPr>
          <w:rFonts w:ascii="Arial" w:eastAsiaTheme="majorEastAsia" w:hAnsi="Arial" w:cs="Arial"/>
          <w:sz w:val="22"/>
        </w:rPr>
        <w:t>twelfth</w:t>
      </w:r>
      <w:r w:rsidRPr="00405565">
        <w:rPr>
          <w:rFonts w:ascii="Arial" w:eastAsiaTheme="majorEastAsia" w:hAnsi="Arial" w:cs="Arial"/>
          <w:sz w:val="22"/>
        </w:rPr>
        <w:t xml:space="preserve">-century Welsh ruler, </w:t>
      </w:r>
      <w:proofErr w:type="spellStart"/>
      <w:r w:rsidRPr="00405565">
        <w:rPr>
          <w:rFonts w:ascii="Arial" w:eastAsiaTheme="majorEastAsia" w:hAnsi="Arial" w:cs="Arial"/>
          <w:sz w:val="22"/>
        </w:rPr>
        <w:t>Gruffydd</w:t>
      </w:r>
      <w:proofErr w:type="spellEnd"/>
      <w:r w:rsidRPr="00405565">
        <w:rPr>
          <w:rFonts w:ascii="Arial" w:eastAsiaTheme="majorEastAsia" w:hAnsi="Arial" w:cs="Arial"/>
          <w:sz w:val="22"/>
        </w:rPr>
        <w:t xml:space="preserve"> ap </w:t>
      </w:r>
      <w:proofErr w:type="spellStart"/>
      <w:r w:rsidRPr="00405565">
        <w:rPr>
          <w:rFonts w:ascii="Arial" w:eastAsiaTheme="majorEastAsia" w:hAnsi="Arial" w:cs="Arial"/>
          <w:sz w:val="22"/>
        </w:rPr>
        <w:t>Cynan</w:t>
      </w:r>
      <w:proofErr w:type="spellEnd"/>
      <w:r w:rsidRPr="00405565">
        <w:rPr>
          <w:rFonts w:ascii="Arial" w:eastAsiaTheme="majorEastAsia" w:hAnsi="Arial" w:cs="Arial"/>
          <w:sz w:val="22"/>
        </w:rPr>
        <w:t xml:space="preserve">, helping to shed light on the life of one of the principal members of the House of </w:t>
      </w:r>
      <w:proofErr w:type="spellStart"/>
      <w:r w:rsidRPr="00405565">
        <w:rPr>
          <w:rFonts w:ascii="Arial" w:eastAsiaTheme="majorEastAsia" w:hAnsi="Arial" w:cs="Arial"/>
          <w:sz w:val="22"/>
        </w:rPr>
        <w:t>Aberffraw</w:t>
      </w:r>
      <w:proofErr w:type="spellEnd"/>
      <w:r w:rsidRPr="00405565">
        <w:rPr>
          <w:rFonts w:ascii="Arial" w:eastAsiaTheme="majorEastAsia" w:hAnsi="Arial" w:cs="Arial"/>
          <w:sz w:val="22"/>
        </w:rPr>
        <w:t>. Although there have been previous printed versions, Russell’s Latin</w:t>
      </w:r>
      <w:r w:rsidR="00405565">
        <w:rPr>
          <w:rFonts w:ascii="Arial" w:eastAsiaTheme="majorEastAsia" w:hAnsi="Arial" w:cs="Arial"/>
          <w:sz w:val="22"/>
        </w:rPr>
        <w:t xml:space="preserve"> edition</w:t>
      </w:r>
      <w:r w:rsidRPr="00405565">
        <w:rPr>
          <w:rFonts w:ascii="Arial" w:eastAsiaTheme="majorEastAsia" w:hAnsi="Arial" w:cs="Arial"/>
          <w:sz w:val="22"/>
        </w:rPr>
        <w:t xml:space="preserve"> is particularly important for </w:t>
      </w:r>
      <w:r w:rsidR="00485933">
        <w:rPr>
          <w:rFonts w:ascii="Arial" w:eastAsiaTheme="majorEastAsia" w:hAnsi="Arial" w:cs="Arial"/>
          <w:sz w:val="22"/>
        </w:rPr>
        <w:t>its focus</w:t>
      </w:r>
      <w:r w:rsidRPr="00405565">
        <w:rPr>
          <w:rFonts w:ascii="Arial" w:eastAsiaTheme="majorEastAsia" w:hAnsi="Arial" w:cs="Arial"/>
          <w:sz w:val="22"/>
        </w:rPr>
        <w:t xml:space="preserve"> on </w:t>
      </w:r>
      <w:proofErr w:type="spellStart"/>
      <w:r w:rsidRPr="00405565">
        <w:rPr>
          <w:rFonts w:ascii="Arial" w:eastAsiaTheme="majorEastAsia" w:hAnsi="Arial" w:cs="Arial"/>
          <w:sz w:val="22"/>
        </w:rPr>
        <w:t>Peniarth</w:t>
      </w:r>
      <w:proofErr w:type="spellEnd"/>
      <w:r w:rsidRPr="00405565">
        <w:rPr>
          <w:rFonts w:ascii="Arial" w:eastAsiaTheme="majorEastAsia" w:hAnsi="Arial" w:cs="Arial"/>
          <w:sz w:val="22"/>
        </w:rPr>
        <w:t xml:space="preserve"> MS 434. Russell argues </w:t>
      </w:r>
      <w:r w:rsidR="00765336" w:rsidRPr="00405565">
        <w:rPr>
          <w:rFonts w:ascii="Arial" w:eastAsiaTheme="majorEastAsia" w:hAnsi="Arial" w:cs="Arial"/>
          <w:sz w:val="22"/>
        </w:rPr>
        <w:t xml:space="preserve">in his introduction to the book </w:t>
      </w:r>
      <w:r w:rsidRPr="00405565">
        <w:rPr>
          <w:rFonts w:ascii="Arial" w:eastAsiaTheme="majorEastAsia" w:hAnsi="Arial" w:cs="Arial"/>
          <w:sz w:val="22"/>
        </w:rPr>
        <w:t xml:space="preserve">that </w:t>
      </w:r>
      <w:proofErr w:type="spellStart"/>
      <w:r w:rsidRPr="00405565">
        <w:rPr>
          <w:rFonts w:ascii="Arial" w:eastAsiaTheme="majorEastAsia" w:hAnsi="Arial" w:cs="Arial"/>
          <w:sz w:val="22"/>
        </w:rPr>
        <w:t>Peniarth</w:t>
      </w:r>
      <w:proofErr w:type="spellEnd"/>
      <w:r w:rsidRPr="00405565">
        <w:rPr>
          <w:rFonts w:ascii="Arial" w:eastAsiaTheme="majorEastAsia" w:hAnsi="Arial" w:cs="Arial"/>
          <w:sz w:val="22"/>
        </w:rPr>
        <w:t xml:space="preserve"> MS 434 </w:t>
      </w:r>
      <w:r w:rsidR="00765336" w:rsidRPr="00405565">
        <w:rPr>
          <w:rFonts w:ascii="Arial" w:eastAsiaTheme="majorEastAsia" w:hAnsi="Arial" w:cs="Arial"/>
          <w:sz w:val="22"/>
        </w:rPr>
        <w:t>is a copy of the twelfth-century Latin original, which</w:t>
      </w:r>
      <w:r w:rsidR="00485933">
        <w:rPr>
          <w:rFonts w:ascii="Arial" w:eastAsiaTheme="majorEastAsia" w:hAnsi="Arial" w:cs="Arial"/>
          <w:sz w:val="22"/>
        </w:rPr>
        <w:t>, if correct,</w:t>
      </w:r>
      <w:r w:rsidR="00765336" w:rsidRPr="00405565">
        <w:rPr>
          <w:rFonts w:ascii="Arial" w:eastAsiaTheme="majorEastAsia" w:hAnsi="Arial" w:cs="Arial"/>
          <w:sz w:val="22"/>
        </w:rPr>
        <w:t xml:space="preserve"> means this edition brings the earliest extant version of the work to the widest possible audience. The book also contains a wealth of information regarding </w:t>
      </w:r>
      <w:proofErr w:type="spellStart"/>
      <w:r w:rsidR="00765336" w:rsidRPr="00405565">
        <w:rPr>
          <w:rFonts w:ascii="Arial" w:eastAsiaTheme="majorEastAsia" w:hAnsi="Arial" w:cs="Arial"/>
          <w:sz w:val="22"/>
        </w:rPr>
        <w:t>Gruffydd</w:t>
      </w:r>
      <w:proofErr w:type="spellEnd"/>
      <w:r w:rsidR="00765336" w:rsidRPr="00405565">
        <w:rPr>
          <w:rFonts w:ascii="Arial" w:eastAsiaTheme="majorEastAsia" w:hAnsi="Arial" w:cs="Arial"/>
          <w:sz w:val="22"/>
        </w:rPr>
        <w:t xml:space="preserve"> ap </w:t>
      </w:r>
      <w:proofErr w:type="spellStart"/>
      <w:r w:rsidR="00765336" w:rsidRPr="00405565">
        <w:rPr>
          <w:rFonts w:ascii="Arial" w:eastAsiaTheme="majorEastAsia" w:hAnsi="Arial" w:cs="Arial"/>
          <w:sz w:val="22"/>
        </w:rPr>
        <w:t>Cynan’s</w:t>
      </w:r>
      <w:proofErr w:type="spellEnd"/>
      <w:r w:rsidR="00765336" w:rsidRPr="00405565">
        <w:rPr>
          <w:rFonts w:ascii="Arial" w:eastAsiaTheme="majorEastAsia" w:hAnsi="Arial" w:cs="Arial"/>
          <w:sz w:val="22"/>
        </w:rPr>
        <w:t xml:space="preserve"> recovery of Wales, offering scholars fresh insights into the relationships between Irish/Norse kingdoms and Wales</w:t>
      </w:r>
      <w:r w:rsidR="00405565">
        <w:rPr>
          <w:rFonts w:ascii="Arial" w:eastAsiaTheme="majorEastAsia" w:hAnsi="Arial" w:cs="Arial"/>
          <w:sz w:val="22"/>
        </w:rPr>
        <w:t xml:space="preserve"> in the twelfth century</w:t>
      </w:r>
      <w:r w:rsidR="00765336" w:rsidRPr="00405565">
        <w:rPr>
          <w:rFonts w:ascii="Arial" w:eastAsiaTheme="majorEastAsia" w:hAnsi="Arial" w:cs="Arial"/>
          <w:sz w:val="22"/>
        </w:rPr>
        <w:t>.</w:t>
      </w:r>
      <w:r w:rsidR="00DE1F77">
        <w:rPr>
          <w:rStyle w:val="a6"/>
          <w:rFonts w:ascii="Arial" w:eastAsiaTheme="majorEastAsia" w:hAnsi="Arial" w:cs="Arial"/>
          <w:sz w:val="22"/>
        </w:rPr>
        <w:footnoteReference w:id="5"/>
      </w:r>
    </w:p>
    <w:p w14:paraId="4A3ED1B6" w14:textId="77777777" w:rsidR="00485933" w:rsidRDefault="00485933" w:rsidP="003A7A4C"/>
    <w:p w14:paraId="4212DABF" w14:textId="77777777" w:rsidR="008634C0" w:rsidRDefault="008634C0" w:rsidP="003A7A4C">
      <w:r>
        <w:t xml:space="preserve">Thomas, G.C.G., ed., </w:t>
      </w:r>
      <w:r w:rsidRPr="001A17DC">
        <w:rPr>
          <w:i/>
        </w:rPr>
        <w:t xml:space="preserve">The Charters of the Abbey of </w:t>
      </w:r>
      <w:proofErr w:type="spellStart"/>
      <w:r w:rsidRPr="001A17DC">
        <w:rPr>
          <w:i/>
        </w:rPr>
        <w:t>Ystrad</w:t>
      </w:r>
      <w:proofErr w:type="spellEnd"/>
      <w:r w:rsidRPr="001A17DC">
        <w:rPr>
          <w:i/>
        </w:rPr>
        <w:t xml:space="preserve"> </w:t>
      </w:r>
      <w:proofErr w:type="spellStart"/>
      <w:r w:rsidRPr="001A17DC">
        <w:rPr>
          <w:i/>
        </w:rPr>
        <w:t>Marchell</w:t>
      </w:r>
      <w:proofErr w:type="spellEnd"/>
      <w:r>
        <w:t xml:space="preserve"> (</w:t>
      </w:r>
      <w:proofErr w:type="spellStart"/>
      <w:r>
        <w:t>Aberystwyth</w:t>
      </w:r>
      <w:proofErr w:type="spellEnd"/>
      <w:r>
        <w:t>:</w:t>
      </w:r>
      <w:r w:rsidRPr="00B37728">
        <w:t xml:space="preserve"> National Library of Wales, 1997).</w:t>
      </w:r>
    </w:p>
    <w:p w14:paraId="74F6A953" w14:textId="77777777" w:rsidR="008634C0" w:rsidRDefault="008634C0" w:rsidP="003A7A4C"/>
    <w:p w14:paraId="72EEBC81" w14:textId="5BCF1080" w:rsidR="00CB35BA" w:rsidRPr="00485933" w:rsidRDefault="00766860" w:rsidP="003A7A4C">
      <w:pPr>
        <w:rPr>
          <w:rFonts w:ascii="Arial" w:hAnsi="Arial" w:cs="Arial"/>
          <w:sz w:val="22"/>
        </w:rPr>
      </w:pPr>
      <w:r w:rsidRPr="00485933">
        <w:rPr>
          <w:rFonts w:ascii="Arial" w:hAnsi="Arial" w:cs="Arial"/>
          <w:sz w:val="22"/>
        </w:rPr>
        <w:t xml:space="preserve">This collection of the charters granted to the Abbey of Strata Marcella by native Welsh rulers makes available important evidence regarding the development of the principal religious houses in medieval Wales. The Welsh princes were great patrons of the </w:t>
      </w:r>
      <w:r w:rsidRPr="00485933">
        <w:rPr>
          <w:rFonts w:ascii="Arial" w:hAnsi="Arial" w:cs="Arial"/>
          <w:sz w:val="22"/>
        </w:rPr>
        <w:lastRenderedPageBreak/>
        <w:t xml:space="preserve">monasteries and supporters of the Welsh church. This can be clearly seen here in the documents of Strata Marcella, as well as its daughter abbey Valle Crucis. Control of the </w:t>
      </w:r>
      <w:r w:rsidR="00D559BD" w:rsidRPr="00485933">
        <w:rPr>
          <w:rFonts w:ascii="Arial" w:hAnsi="Arial" w:cs="Arial"/>
          <w:sz w:val="22"/>
        </w:rPr>
        <w:t>church in Wales, particularly in appointing bishops, was an important aspect of Welsh assertions of independence. However, it might also be argued that the spread of the church was also equally important for the Anglo-Norman invaders as a means of asserting control over Wales.</w:t>
      </w:r>
      <w:r w:rsidR="00DE1F77">
        <w:rPr>
          <w:rStyle w:val="a6"/>
          <w:rFonts w:ascii="Arial" w:hAnsi="Arial" w:cs="Arial"/>
          <w:sz w:val="22"/>
        </w:rPr>
        <w:footnoteReference w:id="6"/>
      </w:r>
    </w:p>
    <w:p w14:paraId="4BC2850B" w14:textId="77777777" w:rsidR="00CB35BA" w:rsidRDefault="00CB35BA" w:rsidP="003A7A4C"/>
    <w:p w14:paraId="685EA887" w14:textId="77777777" w:rsidR="008634C0" w:rsidRDefault="008634C0" w:rsidP="003A7A4C">
      <w:r>
        <w:t xml:space="preserve">Thorpe, L., trans., </w:t>
      </w:r>
      <w:r w:rsidRPr="001A17DC">
        <w:rPr>
          <w:i/>
        </w:rPr>
        <w:t>Gerald of Wales - The Journey Through Wales and The Description of Wales</w:t>
      </w:r>
      <w:r>
        <w:t xml:space="preserve"> </w:t>
      </w:r>
      <w:r w:rsidRPr="00B37728">
        <w:t>(Penguin Books: London, 1978).</w:t>
      </w:r>
    </w:p>
    <w:p w14:paraId="35CACE2A" w14:textId="77777777" w:rsidR="008634C0" w:rsidRDefault="008634C0" w:rsidP="003A7A4C"/>
    <w:p w14:paraId="0015D9B9" w14:textId="5569E29D" w:rsidR="00A41FFA" w:rsidRPr="000C2AFB" w:rsidRDefault="00A41FFA" w:rsidP="003A7A4C">
      <w:pPr>
        <w:rPr>
          <w:rFonts w:ascii="Arial" w:hAnsi="Arial" w:cs="Arial"/>
          <w:sz w:val="22"/>
        </w:rPr>
      </w:pPr>
      <w:r w:rsidRPr="000C2AFB">
        <w:rPr>
          <w:rFonts w:ascii="Arial" w:hAnsi="Arial" w:cs="Arial"/>
          <w:sz w:val="22"/>
        </w:rPr>
        <w:t xml:space="preserve">The two works of Gerald of Wales included in this volume provide scholars with a wealth of observations and detail about life in twelfth-century Wales from the pen of one of the most important </w:t>
      </w:r>
      <w:r w:rsidR="00D276D6" w:rsidRPr="000C2AFB">
        <w:rPr>
          <w:rFonts w:ascii="Arial" w:hAnsi="Arial" w:cs="Arial"/>
          <w:sz w:val="22"/>
        </w:rPr>
        <w:t>Cambro-Norman</w:t>
      </w:r>
      <w:r w:rsidRPr="000C2AFB">
        <w:rPr>
          <w:rFonts w:ascii="Arial" w:hAnsi="Arial" w:cs="Arial"/>
          <w:sz w:val="22"/>
        </w:rPr>
        <w:t xml:space="preserve"> scholars of the middle ages. The </w:t>
      </w:r>
      <w:r w:rsidRPr="000C2AFB">
        <w:rPr>
          <w:rFonts w:ascii="Arial" w:hAnsi="Arial" w:cs="Arial"/>
          <w:i/>
          <w:sz w:val="22"/>
        </w:rPr>
        <w:t>Journey</w:t>
      </w:r>
      <w:r w:rsidRPr="000C2AFB">
        <w:rPr>
          <w:rFonts w:ascii="Arial" w:hAnsi="Arial" w:cs="Arial"/>
          <w:sz w:val="22"/>
        </w:rPr>
        <w:t xml:space="preserve"> provides anecdotal evidence for the region of Gwynedd in the form of an account of Gerald’s visit to </w:t>
      </w:r>
      <w:r w:rsidR="00A43D90">
        <w:rPr>
          <w:rFonts w:ascii="Arial" w:hAnsi="Arial" w:cs="Arial"/>
          <w:sz w:val="22"/>
        </w:rPr>
        <w:t>Anglesey</w:t>
      </w:r>
      <w:r w:rsidRPr="000C2AFB">
        <w:rPr>
          <w:rFonts w:ascii="Arial" w:hAnsi="Arial" w:cs="Arial"/>
          <w:sz w:val="22"/>
        </w:rPr>
        <w:t xml:space="preserve">, while the </w:t>
      </w:r>
      <w:r w:rsidRPr="000C2AFB">
        <w:rPr>
          <w:rFonts w:ascii="Arial" w:hAnsi="Arial" w:cs="Arial"/>
          <w:i/>
          <w:sz w:val="22"/>
        </w:rPr>
        <w:t>Description</w:t>
      </w:r>
      <w:r w:rsidRPr="000C2AFB">
        <w:rPr>
          <w:rFonts w:ascii="Arial" w:hAnsi="Arial" w:cs="Arial"/>
          <w:sz w:val="22"/>
        </w:rPr>
        <w:t xml:space="preserve"> is an ethnographic treatise on the entire Welsh people, describing both their virtues and their faults. </w:t>
      </w:r>
      <w:r w:rsidR="00D276D6" w:rsidRPr="000C2AFB">
        <w:rPr>
          <w:rFonts w:ascii="Arial" w:hAnsi="Arial" w:cs="Arial"/>
          <w:sz w:val="22"/>
        </w:rPr>
        <w:t>This edition offers a translation of the Latin originals, as well as important notes and introductory material. There has been considerable debate amongst scholars regarding where Gerald’s true sympathies lay with regards to Welsh and Anglo-Norman culture. As such, this translation is an important contribution to the debate about the cultural dynamics of medieval Wales</w:t>
      </w:r>
      <w:r w:rsidR="000C2AFB" w:rsidRPr="000C2AFB">
        <w:rPr>
          <w:rFonts w:ascii="Arial" w:hAnsi="Arial" w:cs="Arial"/>
          <w:sz w:val="22"/>
        </w:rPr>
        <w:t>.</w:t>
      </w:r>
    </w:p>
    <w:p w14:paraId="614E2F53" w14:textId="77777777" w:rsidR="00A41FFA" w:rsidRDefault="00A41FFA" w:rsidP="003A7A4C"/>
    <w:p w14:paraId="12742667" w14:textId="0ABEB60D" w:rsidR="008634C0" w:rsidRDefault="008634C0" w:rsidP="00B0643F">
      <w:proofErr w:type="spellStart"/>
      <w:r>
        <w:t>Wiliam</w:t>
      </w:r>
      <w:proofErr w:type="spellEnd"/>
      <w:r>
        <w:t xml:space="preserve">, A. R., ed., </w:t>
      </w:r>
      <w:proofErr w:type="spellStart"/>
      <w:r w:rsidRPr="001A17DC">
        <w:rPr>
          <w:i/>
        </w:rPr>
        <w:t>Llyfr</w:t>
      </w:r>
      <w:proofErr w:type="spellEnd"/>
      <w:r w:rsidRPr="001A17DC">
        <w:rPr>
          <w:i/>
        </w:rPr>
        <w:t xml:space="preserve"> </w:t>
      </w:r>
      <w:proofErr w:type="spellStart"/>
      <w:r w:rsidRPr="001A17DC">
        <w:rPr>
          <w:i/>
        </w:rPr>
        <w:t>Io</w:t>
      </w:r>
      <w:r w:rsidR="009605ED">
        <w:rPr>
          <w:i/>
        </w:rPr>
        <w:t>rwerth</w:t>
      </w:r>
      <w:proofErr w:type="spellEnd"/>
      <w:r w:rsidR="009605ED">
        <w:rPr>
          <w:i/>
        </w:rPr>
        <w:t>: a critical text of the ‘</w:t>
      </w:r>
      <w:proofErr w:type="spellStart"/>
      <w:r w:rsidR="009605ED">
        <w:rPr>
          <w:i/>
        </w:rPr>
        <w:t>Venedotian</w:t>
      </w:r>
      <w:proofErr w:type="spellEnd"/>
      <w:r w:rsidR="009605ED">
        <w:rPr>
          <w:i/>
        </w:rPr>
        <w:t xml:space="preserve"> Code’</w:t>
      </w:r>
      <w:r w:rsidRPr="001A17DC">
        <w:rPr>
          <w:i/>
        </w:rPr>
        <w:t xml:space="preserve"> of medieval Welsh law,</w:t>
      </w:r>
      <w:r>
        <w:rPr>
          <w:i/>
        </w:rPr>
        <w:t xml:space="preserve"> </w:t>
      </w:r>
      <w:r w:rsidRPr="001A17DC">
        <w:rPr>
          <w:i/>
        </w:rPr>
        <w:t xml:space="preserve">mainly from </w:t>
      </w:r>
      <w:proofErr w:type="spellStart"/>
      <w:r w:rsidRPr="001A17DC">
        <w:rPr>
          <w:i/>
        </w:rPr>
        <w:t>B.M.Cotton</w:t>
      </w:r>
      <w:proofErr w:type="spellEnd"/>
      <w:r w:rsidRPr="001A17DC">
        <w:rPr>
          <w:i/>
        </w:rPr>
        <w:t xml:space="preserve"> </w:t>
      </w:r>
      <w:proofErr w:type="spellStart"/>
      <w:r w:rsidRPr="001A17DC">
        <w:rPr>
          <w:i/>
        </w:rPr>
        <w:t>ms.</w:t>
      </w:r>
      <w:proofErr w:type="spellEnd"/>
      <w:r w:rsidRPr="001A17DC">
        <w:rPr>
          <w:i/>
        </w:rPr>
        <w:t xml:space="preserve"> Titus </w:t>
      </w:r>
      <w:proofErr w:type="spellStart"/>
      <w:r w:rsidRPr="001A17DC">
        <w:rPr>
          <w:i/>
        </w:rPr>
        <w:t>Dii</w:t>
      </w:r>
      <w:proofErr w:type="spellEnd"/>
      <w:r>
        <w:t xml:space="preserve"> (</w:t>
      </w:r>
      <w:r w:rsidR="009605ED">
        <w:t>Cardiff</w:t>
      </w:r>
      <w:r w:rsidRPr="001A17DC">
        <w:t>: University of Wales Press</w:t>
      </w:r>
      <w:r>
        <w:t>,</w:t>
      </w:r>
      <w:r w:rsidRPr="001A17DC">
        <w:t xml:space="preserve"> 1960</w:t>
      </w:r>
      <w:r>
        <w:t>).</w:t>
      </w:r>
    </w:p>
    <w:p w14:paraId="3B529F8C" w14:textId="77777777" w:rsidR="009A3C89" w:rsidRDefault="009A3C89" w:rsidP="00B0643F"/>
    <w:p w14:paraId="2045875E" w14:textId="15519754" w:rsidR="009605ED" w:rsidRPr="000D6FF5" w:rsidRDefault="008278B2" w:rsidP="009A3C89">
      <w:pPr>
        <w:rPr>
          <w:rFonts w:ascii="Arial" w:hAnsi="Arial" w:cs="Arial"/>
          <w:sz w:val="22"/>
        </w:rPr>
      </w:pPr>
      <w:r w:rsidRPr="000D6FF5">
        <w:rPr>
          <w:rFonts w:ascii="Arial" w:hAnsi="Arial" w:cs="Arial"/>
          <w:sz w:val="22"/>
        </w:rPr>
        <w:t xml:space="preserve">The </w:t>
      </w:r>
      <w:proofErr w:type="spellStart"/>
      <w:r w:rsidRPr="000D6FF5">
        <w:rPr>
          <w:rFonts w:ascii="Arial" w:hAnsi="Arial" w:cs="Arial"/>
          <w:sz w:val="22"/>
        </w:rPr>
        <w:t>Venedotian</w:t>
      </w:r>
      <w:proofErr w:type="spellEnd"/>
      <w:r w:rsidRPr="000D6FF5">
        <w:rPr>
          <w:rFonts w:ascii="Arial" w:hAnsi="Arial" w:cs="Arial"/>
          <w:sz w:val="22"/>
        </w:rPr>
        <w:t xml:space="preserve"> Code is one of the three </w:t>
      </w:r>
      <w:r w:rsidR="0057350A" w:rsidRPr="000D6FF5">
        <w:rPr>
          <w:rFonts w:ascii="Arial" w:hAnsi="Arial" w:cs="Arial"/>
          <w:sz w:val="22"/>
        </w:rPr>
        <w:t xml:space="preserve">purported </w:t>
      </w:r>
      <w:r w:rsidRPr="000D6FF5">
        <w:rPr>
          <w:rFonts w:ascii="Arial" w:hAnsi="Arial" w:cs="Arial"/>
          <w:sz w:val="22"/>
        </w:rPr>
        <w:t xml:space="preserve">law codes of medieval Wales that developed from the laws established by Hywel </w:t>
      </w:r>
      <w:proofErr w:type="spellStart"/>
      <w:r w:rsidRPr="000D6FF5">
        <w:rPr>
          <w:rFonts w:ascii="Arial" w:hAnsi="Arial" w:cs="Arial"/>
          <w:sz w:val="22"/>
        </w:rPr>
        <w:t>Dda</w:t>
      </w:r>
      <w:proofErr w:type="spellEnd"/>
      <w:r w:rsidRPr="000D6FF5">
        <w:rPr>
          <w:rFonts w:ascii="Arial" w:hAnsi="Arial" w:cs="Arial"/>
          <w:sz w:val="22"/>
        </w:rPr>
        <w:t xml:space="preserve"> in the tenth century. </w:t>
      </w:r>
      <w:r w:rsidR="0014074B" w:rsidRPr="000D6FF5">
        <w:rPr>
          <w:rFonts w:ascii="Arial" w:hAnsi="Arial" w:cs="Arial"/>
          <w:sz w:val="22"/>
        </w:rPr>
        <w:t xml:space="preserve">It is associated in particular with the territory of Gwynedd and provides us with a picture of how Welsh laws may have been implemented in the region in the thirteenth and early fourteenth centuries. </w:t>
      </w:r>
      <w:r w:rsidR="0057350A" w:rsidRPr="000D6FF5">
        <w:rPr>
          <w:rFonts w:ascii="Arial" w:hAnsi="Arial" w:cs="Arial"/>
          <w:sz w:val="22"/>
        </w:rPr>
        <w:t xml:space="preserve">In </w:t>
      </w:r>
      <w:proofErr w:type="spellStart"/>
      <w:r w:rsidR="0057350A" w:rsidRPr="000D6FF5">
        <w:rPr>
          <w:rFonts w:ascii="Arial" w:hAnsi="Arial" w:cs="Arial"/>
          <w:i/>
          <w:sz w:val="22"/>
        </w:rPr>
        <w:t>Llyfr</w:t>
      </w:r>
      <w:proofErr w:type="spellEnd"/>
      <w:r w:rsidR="0057350A" w:rsidRPr="000D6FF5">
        <w:rPr>
          <w:rFonts w:ascii="Arial" w:hAnsi="Arial" w:cs="Arial"/>
          <w:i/>
          <w:sz w:val="22"/>
        </w:rPr>
        <w:t xml:space="preserve"> </w:t>
      </w:r>
      <w:proofErr w:type="spellStart"/>
      <w:r w:rsidR="0057350A" w:rsidRPr="000D6FF5">
        <w:rPr>
          <w:rFonts w:ascii="Arial" w:hAnsi="Arial" w:cs="Arial"/>
          <w:i/>
          <w:sz w:val="22"/>
        </w:rPr>
        <w:t>Iorwerth</w:t>
      </w:r>
      <w:proofErr w:type="spellEnd"/>
      <w:r w:rsidR="0057350A" w:rsidRPr="000D6FF5">
        <w:rPr>
          <w:rFonts w:ascii="Arial" w:hAnsi="Arial" w:cs="Arial"/>
          <w:sz w:val="22"/>
        </w:rPr>
        <w:t xml:space="preserve"> </w:t>
      </w:r>
      <w:proofErr w:type="spellStart"/>
      <w:r w:rsidR="0057350A" w:rsidRPr="000D6FF5">
        <w:rPr>
          <w:rFonts w:ascii="Arial" w:hAnsi="Arial" w:cs="Arial"/>
          <w:sz w:val="22"/>
        </w:rPr>
        <w:t>Wiliam</w:t>
      </w:r>
      <w:proofErr w:type="spellEnd"/>
      <w:r w:rsidR="0057350A" w:rsidRPr="000D6FF5">
        <w:rPr>
          <w:rFonts w:ascii="Arial" w:hAnsi="Arial" w:cs="Arial"/>
          <w:sz w:val="22"/>
        </w:rPr>
        <w:t xml:space="preserve"> offers an attempted reconstruction of the supposed original ‘Book of </w:t>
      </w:r>
      <w:proofErr w:type="spellStart"/>
      <w:r w:rsidR="0057350A" w:rsidRPr="000D6FF5">
        <w:rPr>
          <w:rFonts w:ascii="Arial" w:hAnsi="Arial" w:cs="Arial"/>
          <w:sz w:val="22"/>
        </w:rPr>
        <w:t>Iorwerth</w:t>
      </w:r>
      <w:proofErr w:type="spellEnd"/>
      <w:r w:rsidR="0057350A" w:rsidRPr="000D6FF5">
        <w:rPr>
          <w:rFonts w:ascii="Arial" w:hAnsi="Arial" w:cs="Arial"/>
          <w:sz w:val="22"/>
        </w:rPr>
        <w:t xml:space="preserve">’ through careful analysis and comparison of various manuscripts, focused on Cottonian MS Titus D ii. This text, along with other works on medieval welsh law, provides scholars with essential primary source material for the study of </w:t>
      </w:r>
      <w:r w:rsidR="00E3624A" w:rsidRPr="000D6FF5">
        <w:rPr>
          <w:rFonts w:ascii="Arial" w:hAnsi="Arial" w:cs="Arial"/>
          <w:sz w:val="22"/>
        </w:rPr>
        <w:t>legal affairs in medieval Wales.</w:t>
      </w:r>
      <w:r w:rsidR="00A43D90" w:rsidRPr="000D6FF5">
        <w:rPr>
          <w:rStyle w:val="a6"/>
          <w:rFonts w:ascii="Arial" w:hAnsi="Arial" w:cs="Arial"/>
          <w:sz w:val="22"/>
        </w:rPr>
        <w:footnoteReference w:id="7"/>
      </w:r>
    </w:p>
    <w:p w14:paraId="76272CA2" w14:textId="77777777" w:rsidR="009605ED" w:rsidRDefault="009605ED" w:rsidP="009A3C89"/>
    <w:p w14:paraId="2666E2A3" w14:textId="77777777" w:rsidR="009605ED" w:rsidRDefault="009605ED" w:rsidP="009A3C89"/>
    <w:p w14:paraId="7A4065D3" w14:textId="77777777" w:rsidR="009753F4" w:rsidRDefault="009753F4" w:rsidP="009A3C89"/>
    <w:p w14:paraId="138F4598" w14:textId="77777777" w:rsidR="009753F4" w:rsidRDefault="009753F4" w:rsidP="009A3C89"/>
    <w:p w14:paraId="09B6E8F2" w14:textId="01CA18A2" w:rsidR="000E4A15" w:rsidRDefault="000E4A15" w:rsidP="009A3C89">
      <w:r>
        <w:lastRenderedPageBreak/>
        <w:t>Works cited</w:t>
      </w:r>
    </w:p>
    <w:p w14:paraId="49133AF8" w14:textId="77777777" w:rsidR="000E4A15" w:rsidRDefault="000E4A15" w:rsidP="009A3C89"/>
    <w:p w14:paraId="411FBED7" w14:textId="3B4CF04D" w:rsidR="000E4A15" w:rsidRPr="000D6FF5" w:rsidRDefault="004B5AC5" w:rsidP="000E4A15">
      <w:proofErr w:type="gramStart"/>
      <w:r>
        <w:t>Anon., ‘</w:t>
      </w:r>
      <w:r w:rsidR="000E4A15" w:rsidRPr="004B5AC5">
        <w:t>Acts of Welsh Rulers</w:t>
      </w:r>
      <w:r>
        <w:t>,</w:t>
      </w:r>
      <w:r w:rsidR="000E4A15" w:rsidRPr="004B5AC5">
        <w:t xml:space="preserve"> 1120-1283</w:t>
      </w:r>
      <w:r>
        <w:t xml:space="preserve"> (Book Review)’, </w:t>
      </w:r>
      <w:r w:rsidR="000E4A15" w:rsidRPr="000D6FF5">
        <w:rPr>
          <w:i/>
        </w:rPr>
        <w:t>Medium Aevum</w:t>
      </w:r>
      <w:r w:rsidRPr="000D6FF5">
        <w:t xml:space="preserve">, </w:t>
      </w:r>
      <w:r w:rsidR="007F42C1" w:rsidRPr="000D6FF5">
        <w:t xml:space="preserve">74/2 (2005), </w:t>
      </w:r>
      <w:r w:rsidR="000E4A15" w:rsidRPr="000D6FF5">
        <w:t>377</w:t>
      </w:r>
      <w:r w:rsidRPr="000D6FF5">
        <w:t>.</w:t>
      </w:r>
      <w:proofErr w:type="gramEnd"/>
      <w:r w:rsidR="00FD6CB5" w:rsidRPr="000D6FF5">
        <w:t xml:space="preserve"> </w:t>
      </w:r>
    </w:p>
    <w:p w14:paraId="7216D223" w14:textId="77777777" w:rsidR="000E4A15" w:rsidRDefault="000E4A15" w:rsidP="000E4A15"/>
    <w:p w14:paraId="70888F95" w14:textId="2D037BDF" w:rsidR="000E4A15" w:rsidRDefault="004B5AC5" w:rsidP="000E4A15">
      <w:r>
        <w:t>Anon., ‘</w:t>
      </w:r>
      <w:r w:rsidR="000E4A15" w:rsidRPr="004B5AC5">
        <w:t>Cal</w:t>
      </w:r>
      <w:r>
        <w:t>endar of Patent Rolls, Edward I</w:t>
      </w:r>
      <w:r w:rsidR="000E4A15" w:rsidRPr="004B5AC5">
        <w:t>, 1272-81</w:t>
      </w:r>
      <w:r>
        <w:t xml:space="preserve"> (Book Review)’,</w:t>
      </w:r>
      <w:r w:rsidR="000E4A15" w:rsidRPr="000E4A15">
        <w:t xml:space="preserve"> </w:t>
      </w:r>
      <w:r w:rsidR="000E4A15" w:rsidRPr="004B5AC5">
        <w:rPr>
          <w:i/>
        </w:rPr>
        <w:t>The Athenaeum</w:t>
      </w:r>
      <w:r>
        <w:t>,</w:t>
      </w:r>
      <w:r w:rsidR="000E4A15" w:rsidRPr="000E4A15">
        <w:t xml:space="preserve"> 3834</w:t>
      </w:r>
      <w:r>
        <w:t xml:space="preserve"> (1901),</w:t>
      </w:r>
      <w:r w:rsidR="00040AF6">
        <w:t xml:space="preserve"> </w:t>
      </w:r>
      <w:r w:rsidR="000E4A15" w:rsidRPr="000E4A15">
        <w:t>498</w:t>
      </w:r>
      <w:r>
        <w:t>.</w:t>
      </w:r>
    </w:p>
    <w:p w14:paraId="224A682A" w14:textId="77777777" w:rsidR="000E4A15" w:rsidRDefault="000E4A15" w:rsidP="000E4A15"/>
    <w:p w14:paraId="1B8ACB75" w14:textId="4E7DD46B" w:rsidR="000E4A15" w:rsidRDefault="004B5AC5" w:rsidP="000E4A15">
      <w:r>
        <w:t>Carr, A.D., ‘</w:t>
      </w:r>
      <w:r w:rsidR="000E4A15">
        <w:t xml:space="preserve">The Charters of the Abbey of </w:t>
      </w:r>
      <w:proofErr w:type="spellStart"/>
      <w:r w:rsidR="000E4A15">
        <w:t>Ystrad</w:t>
      </w:r>
      <w:proofErr w:type="spellEnd"/>
      <w:r w:rsidR="000E4A15">
        <w:t xml:space="preserve"> </w:t>
      </w:r>
      <w:proofErr w:type="spellStart"/>
      <w:r w:rsidR="000E4A15">
        <w:t>Marchell</w:t>
      </w:r>
      <w:proofErr w:type="spellEnd"/>
      <w:r>
        <w:t xml:space="preserve"> by Graham C.G. Thomas (Book Review)’, </w:t>
      </w:r>
      <w:r w:rsidR="000E4A15" w:rsidRPr="004B5AC5">
        <w:rPr>
          <w:i/>
        </w:rPr>
        <w:t>The English Historical Review</w:t>
      </w:r>
      <w:r w:rsidR="000E4A15">
        <w:t xml:space="preserve">, </w:t>
      </w:r>
      <w:r w:rsidR="00A43D90" w:rsidRPr="00A43D90">
        <w:t>114 (455) (1999)</w:t>
      </w:r>
      <w:r w:rsidR="000E4A15">
        <w:t>,</w:t>
      </w:r>
      <w:r w:rsidR="00FD6CB5">
        <w:t xml:space="preserve"> </w:t>
      </w:r>
      <w:r w:rsidR="000E4A15">
        <w:t>153-154</w:t>
      </w:r>
      <w:r>
        <w:t>, &lt;</w:t>
      </w:r>
      <w:r w:rsidR="000E4A15">
        <w:t>https://www.jstor.org/stable/579939</w:t>
      </w:r>
      <w:r>
        <w:t>&gt;, [Accessed: 16-01-2019]</w:t>
      </w:r>
      <w:r w:rsidR="009605ED">
        <w:t>.</w:t>
      </w:r>
    </w:p>
    <w:p w14:paraId="3D3AD4EE" w14:textId="77777777" w:rsidR="000E4A15" w:rsidRDefault="000E4A15" w:rsidP="000E4A15"/>
    <w:p w14:paraId="15077A24" w14:textId="62282265" w:rsidR="000E4A15" w:rsidRDefault="00040AF6" w:rsidP="000E4A15">
      <w:r>
        <w:t>Evans, D.E</w:t>
      </w:r>
      <w:r w:rsidR="00B30A18">
        <w:t>., ‘</w:t>
      </w:r>
      <w:r w:rsidR="000E4A15" w:rsidRPr="000E4A15">
        <w:t>The Latin Texts of the Welsh Laws</w:t>
      </w:r>
      <w:r>
        <w:t xml:space="preserve"> by H.D. Emmanuel</w:t>
      </w:r>
      <w:r w:rsidR="000E4A15" w:rsidRPr="000E4A15">
        <w:t xml:space="preserve"> (Book Review)</w:t>
      </w:r>
      <w:r w:rsidR="00B30A18">
        <w:t>’,</w:t>
      </w:r>
      <w:r w:rsidR="000E4A15" w:rsidRPr="000E4A15">
        <w:t xml:space="preserve"> </w:t>
      </w:r>
      <w:r w:rsidR="000E4A15" w:rsidRPr="00040AF6">
        <w:rPr>
          <w:i/>
        </w:rPr>
        <w:t xml:space="preserve">Welsh History </w:t>
      </w:r>
      <w:r w:rsidR="00B30A18" w:rsidRPr="00040AF6">
        <w:rPr>
          <w:i/>
        </w:rPr>
        <w:t>Review</w:t>
      </w:r>
      <w:r w:rsidR="00B30A18">
        <w:t xml:space="preserve">, 4 (1968), </w:t>
      </w:r>
      <w:r w:rsidR="000E4A15" w:rsidRPr="000E4A15">
        <w:t>73</w:t>
      </w:r>
      <w:r w:rsidR="009605ED">
        <w:t>.</w:t>
      </w:r>
    </w:p>
    <w:p w14:paraId="63A89728" w14:textId="77777777" w:rsidR="000E4A15" w:rsidRDefault="000E4A15" w:rsidP="000E4A15"/>
    <w:p w14:paraId="55BBD4B6" w14:textId="5AC624A4" w:rsidR="000E4A15" w:rsidRDefault="00B30A18" w:rsidP="000E4A15">
      <w:r>
        <w:rPr>
          <w:rFonts w:hint="eastAsia"/>
        </w:rPr>
        <w:t>Fost</w:t>
      </w:r>
      <w:r>
        <w:t>er, I.</w:t>
      </w:r>
      <w:r w:rsidR="00A43D90">
        <w:t xml:space="preserve"> </w:t>
      </w:r>
      <w:r>
        <w:t>Ll., ‘</w:t>
      </w:r>
      <w:r w:rsidR="000E4A15">
        <w:t xml:space="preserve">Brut y </w:t>
      </w:r>
      <w:proofErr w:type="spellStart"/>
      <w:r w:rsidR="000E4A15">
        <w:t>Tywysogion</w:t>
      </w:r>
      <w:proofErr w:type="spellEnd"/>
      <w:r w:rsidR="000E4A15">
        <w:t xml:space="preserve"> or the Chronicle of the Princes, </w:t>
      </w:r>
      <w:proofErr w:type="spellStart"/>
      <w:r w:rsidR="000E4A15">
        <w:t>Peniarth</w:t>
      </w:r>
      <w:proofErr w:type="spellEnd"/>
      <w:r w:rsidR="000E4A15">
        <w:t xml:space="preserve"> MS. 20 Version by Thomas Jones</w:t>
      </w:r>
      <w:r>
        <w:t xml:space="preserve"> (Book Review)’, </w:t>
      </w:r>
      <w:r w:rsidR="000E4A15" w:rsidRPr="00B30A18">
        <w:rPr>
          <w:i/>
        </w:rPr>
        <w:t xml:space="preserve">The </w:t>
      </w:r>
      <w:r w:rsidRPr="00B30A18">
        <w:rPr>
          <w:i/>
        </w:rPr>
        <w:t>English Historical Review</w:t>
      </w:r>
      <w:r>
        <w:t xml:space="preserve">, </w:t>
      </w:r>
      <w:r w:rsidR="000E4A15">
        <w:t>70</w:t>
      </w:r>
      <w:r>
        <w:t xml:space="preserve"> (</w:t>
      </w:r>
      <w:r w:rsidR="000E4A15">
        <w:t>275</w:t>
      </w:r>
      <w:r>
        <w:t>)</w:t>
      </w:r>
      <w:r w:rsidR="000E4A15">
        <w:t xml:space="preserve"> </w:t>
      </w:r>
      <w:r>
        <w:t>(1955),</w:t>
      </w:r>
      <w:r w:rsidR="00FD6CB5">
        <w:t xml:space="preserve"> </w:t>
      </w:r>
      <w:r>
        <w:t>269-273, &lt;</w:t>
      </w:r>
      <w:hyperlink r:id="rId7" w:history="1">
        <w:r w:rsidRPr="0034353F">
          <w:rPr>
            <w:rStyle w:val="a3"/>
          </w:rPr>
          <w:t>https://www.jstor.org/stable/557470</w:t>
        </w:r>
      </w:hyperlink>
      <w:r>
        <w:t>&gt;, [</w:t>
      </w:r>
      <w:r w:rsidR="000E4A15">
        <w:t>Accessed: 16-01-2019</w:t>
      </w:r>
      <w:r>
        <w:t>]</w:t>
      </w:r>
      <w:r w:rsidR="009605ED">
        <w:t>.</w:t>
      </w:r>
    </w:p>
    <w:p w14:paraId="789D6892" w14:textId="77777777" w:rsidR="000E4A15" w:rsidRDefault="000E4A15" w:rsidP="000E4A15"/>
    <w:p w14:paraId="49C19DDA" w14:textId="71AB2E0B" w:rsidR="000E4A15" w:rsidRDefault="00040AF6" w:rsidP="000E4A15">
      <w:r>
        <w:rPr>
          <w:rFonts w:hint="eastAsia"/>
        </w:rPr>
        <w:t>Fost</w:t>
      </w:r>
      <w:r>
        <w:t xml:space="preserve">er, </w:t>
      </w:r>
      <w:proofErr w:type="spellStart"/>
      <w:r>
        <w:t>I.Ll</w:t>
      </w:r>
      <w:proofErr w:type="spellEnd"/>
      <w:r>
        <w:t>.,</w:t>
      </w:r>
      <w:r w:rsidR="000E4A15">
        <w:t xml:space="preserve"> </w:t>
      </w:r>
      <w:r>
        <w:t>‘</w:t>
      </w:r>
      <w:proofErr w:type="spellStart"/>
      <w:r w:rsidR="000E4A15">
        <w:t>Llyfr</w:t>
      </w:r>
      <w:proofErr w:type="spellEnd"/>
      <w:r w:rsidR="000E4A15">
        <w:t xml:space="preserve"> </w:t>
      </w:r>
      <w:proofErr w:type="spellStart"/>
      <w:r w:rsidR="000E4A15">
        <w:t>Io</w:t>
      </w:r>
      <w:r w:rsidR="009605ED">
        <w:t>rwerth</w:t>
      </w:r>
      <w:proofErr w:type="spellEnd"/>
      <w:r w:rsidR="009605ED">
        <w:t>, a Critical Text of the ‘</w:t>
      </w:r>
      <w:proofErr w:type="spellStart"/>
      <w:r w:rsidR="009605ED">
        <w:t>Venedotian</w:t>
      </w:r>
      <w:proofErr w:type="spellEnd"/>
      <w:r w:rsidR="009605ED">
        <w:t xml:space="preserve"> Code’</w:t>
      </w:r>
      <w:r w:rsidR="000E4A15">
        <w:t xml:space="preserve"> of Medieval Welsh Law by </w:t>
      </w:r>
      <w:proofErr w:type="spellStart"/>
      <w:r w:rsidR="000E4A15">
        <w:t>Aled</w:t>
      </w:r>
      <w:proofErr w:type="spellEnd"/>
      <w:r w:rsidR="000E4A15">
        <w:t xml:space="preserve"> Rhys </w:t>
      </w:r>
      <w:proofErr w:type="spellStart"/>
      <w:r w:rsidR="000E4A15">
        <w:t>Wiliam</w:t>
      </w:r>
      <w:proofErr w:type="spellEnd"/>
      <w:r>
        <w:t xml:space="preserve"> (Book Review)’, </w:t>
      </w:r>
      <w:r w:rsidR="000E4A15" w:rsidRPr="00040AF6">
        <w:rPr>
          <w:i/>
        </w:rPr>
        <w:t>The English Historical Review</w:t>
      </w:r>
      <w:r w:rsidR="000E4A15">
        <w:t>, 78</w:t>
      </w:r>
      <w:r>
        <w:t xml:space="preserve"> (</w:t>
      </w:r>
      <w:r w:rsidR="000E4A15">
        <w:t>306</w:t>
      </w:r>
      <w:r>
        <w:t>)</w:t>
      </w:r>
      <w:r w:rsidR="000E4A15">
        <w:t xml:space="preserve"> (</w:t>
      </w:r>
      <w:r>
        <w:t>1963), 150-151, &lt;</w:t>
      </w:r>
      <w:r w:rsidR="000E4A15">
        <w:t>https://www.jstor.org/stable/559820</w:t>
      </w:r>
      <w:r>
        <w:t>&gt;, [</w:t>
      </w:r>
      <w:r w:rsidR="000E4A15">
        <w:t>Accessed: 16-01-2019</w:t>
      </w:r>
      <w:r>
        <w:t>]</w:t>
      </w:r>
      <w:r w:rsidR="009605ED">
        <w:t>.</w:t>
      </w:r>
    </w:p>
    <w:p w14:paraId="1B6BB0A5" w14:textId="77777777" w:rsidR="000E4A15" w:rsidRDefault="000E4A15" w:rsidP="000E4A15"/>
    <w:p w14:paraId="0D6460A4" w14:textId="03774D78" w:rsidR="000E4A15" w:rsidRDefault="00040AF6" w:rsidP="000E4A15">
      <w:r>
        <w:t>Palmer, N.F., ‘</w:t>
      </w:r>
      <w:r w:rsidR="000E4A15">
        <w:t xml:space="preserve">Vita </w:t>
      </w:r>
      <w:proofErr w:type="spellStart"/>
      <w:r w:rsidR="000E4A15">
        <w:t>Griffini</w:t>
      </w:r>
      <w:proofErr w:type="spellEnd"/>
      <w:r w:rsidR="000E4A15">
        <w:t xml:space="preserve"> </w:t>
      </w:r>
      <w:proofErr w:type="spellStart"/>
      <w:r w:rsidR="000E4A15">
        <w:t>filii</w:t>
      </w:r>
      <w:proofErr w:type="spellEnd"/>
      <w:r w:rsidR="000E4A15">
        <w:t xml:space="preserve"> </w:t>
      </w:r>
      <w:proofErr w:type="spellStart"/>
      <w:r w:rsidR="000E4A15">
        <w:t>Conani</w:t>
      </w:r>
      <w:proofErr w:type="spellEnd"/>
      <w:r w:rsidR="000E4A15">
        <w:t xml:space="preserve">: The Medieval Latin Life of </w:t>
      </w:r>
      <w:proofErr w:type="spellStart"/>
      <w:r w:rsidR="000E4A15">
        <w:t>Gruffyd</w:t>
      </w:r>
      <w:proofErr w:type="spellEnd"/>
      <w:r w:rsidR="000E4A15">
        <w:t xml:space="preserve"> ap </w:t>
      </w:r>
      <w:proofErr w:type="spellStart"/>
      <w:r w:rsidR="000E4A15">
        <w:t>Cynan</w:t>
      </w:r>
      <w:proofErr w:type="spellEnd"/>
      <w:r>
        <w:t xml:space="preserve"> (Book Review)’, </w:t>
      </w:r>
      <w:r w:rsidR="000E4A15" w:rsidRPr="00040AF6">
        <w:rPr>
          <w:i/>
        </w:rPr>
        <w:t>Medium Aevum</w:t>
      </w:r>
      <w:r w:rsidR="000E4A15">
        <w:t xml:space="preserve">; </w:t>
      </w:r>
      <w:r>
        <w:t>76</w:t>
      </w:r>
      <w:r w:rsidR="000E4A15">
        <w:t xml:space="preserve"> </w:t>
      </w:r>
      <w:r>
        <w:t>(</w:t>
      </w:r>
      <w:r w:rsidR="000E4A15">
        <w:t>1</w:t>
      </w:r>
      <w:r>
        <w:t>) (2007)</w:t>
      </w:r>
      <w:r w:rsidR="009605ED">
        <w:t>,</w:t>
      </w:r>
      <w:r w:rsidR="000E4A15">
        <w:t xml:space="preserve"> 162</w:t>
      </w:r>
      <w:r w:rsidR="009605ED">
        <w:t>.</w:t>
      </w:r>
    </w:p>
    <w:p w14:paraId="12E3A90C" w14:textId="42D8EA88" w:rsidR="00FD6CB5" w:rsidRDefault="00FD6CB5" w:rsidP="000E4A15"/>
    <w:p w14:paraId="518BF3EB" w14:textId="0119675A" w:rsidR="003B6572" w:rsidRDefault="003B6572" w:rsidP="000E4A15">
      <w:pPr>
        <w:rPr>
          <w:color w:val="4F81BD" w:themeColor="accent1"/>
        </w:rPr>
      </w:pPr>
    </w:p>
    <w:p w14:paraId="469E92A1" w14:textId="77777777" w:rsidR="003B6572" w:rsidRPr="00FD6CB5" w:rsidRDefault="003B6572" w:rsidP="000E4A15">
      <w:pPr>
        <w:rPr>
          <w:color w:val="4F81BD" w:themeColor="accent1"/>
        </w:rPr>
      </w:pPr>
    </w:p>
    <w:sectPr w:rsidR="003B6572" w:rsidRPr="00FD6CB5" w:rsidSect="00BB34F2">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34348" w14:textId="77777777" w:rsidR="001F4422" w:rsidRDefault="001F4422" w:rsidP="00FD7C86">
      <w:r>
        <w:separator/>
      </w:r>
    </w:p>
  </w:endnote>
  <w:endnote w:type="continuationSeparator" w:id="0">
    <w:p w14:paraId="4E939C10" w14:textId="77777777" w:rsidR="001F4422" w:rsidRDefault="001F4422" w:rsidP="00FD7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87778" w14:textId="77777777" w:rsidR="001F4422" w:rsidRDefault="001F4422" w:rsidP="00FD7C86">
      <w:r>
        <w:separator/>
      </w:r>
    </w:p>
  </w:footnote>
  <w:footnote w:type="continuationSeparator" w:id="0">
    <w:p w14:paraId="12138434" w14:textId="77777777" w:rsidR="001F4422" w:rsidRDefault="001F4422" w:rsidP="00FD7C86">
      <w:r>
        <w:continuationSeparator/>
      </w:r>
    </w:p>
  </w:footnote>
  <w:footnote w:id="1">
    <w:p w14:paraId="463FD83E" w14:textId="77777777" w:rsidR="000D6FF5" w:rsidRDefault="000D6FF5" w:rsidP="000D6FF5">
      <w:pPr>
        <w:pStyle w:val="a4"/>
      </w:pPr>
      <w:r>
        <w:rPr>
          <w:rStyle w:val="a6"/>
        </w:rPr>
        <w:footnoteRef/>
      </w:r>
      <w:r>
        <w:t xml:space="preserve"> </w:t>
      </w:r>
      <w:r w:rsidRPr="00FD7C86">
        <w:t xml:space="preserve">Anon., ‘Calendar of Patent Rolls, Edward I, 1272-81 (Book Review)’, </w:t>
      </w:r>
      <w:r w:rsidRPr="00FD7C86">
        <w:rPr>
          <w:i/>
        </w:rPr>
        <w:t>The Athenaeum</w:t>
      </w:r>
      <w:r w:rsidRPr="00FD7C86">
        <w:t>, 3834 (1901), p. 498.</w:t>
      </w:r>
    </w:p>
  </w:footnote>
  <w:footnote w:id="2">
    <w:p w14:paraId="696B35CE" w14:textId="6E5C03B9" w:rsidR="009E4576" w:rsidRDefault="009E4576">
      <w:pPr>
        <w:pStyle w:val="a4"/>
      </w:pPr>
      <w:r>
        <w:rPr>
          <w:rStyle w:val="a6"/>
        </w:rPr>
        <w:footnoteRef/>
      </w:r>
      <w:r>
        <w:t xml:space="preserve"> </w:t>
      </w:r>
      <w:r>
        <w:rPr>
          <w:rFonts w:hint="eastAsia"/>
        </w:rPr>
        <w:t>D</w:t>
      </w:r>
      <w:r>
        <w:t>.E. Evans</w:t>
      </w:r>
      <w:r w:rsidRPr="00FD7C86">
        <w:t xml:space="preserve">, ‘The Latin Texts of the Welsh Laws by H.D. Emmanuel (Book Review)’, </w:t>
      </w:r>
      <w:r w:rsidRPr="00FD7C86">
        <w:rPr>
          <w:i/>
        </w:rPr>
        <w:t>Welsh History Review</w:t>
      </w:r>
      <w:r w:rsidRPr="00FD7C86">
        <w:t>, 4 (1968), p. 73</w:t>
      </w:r>
      <w:r>
        <w:t>.</w:t>
      </w:r>
    </w:p>
  </w:footnote>
  <w:footnote w:id="3">
    <w:p w14:paraId="28D53391" w14:textId="16484A6D" w:rsidR="009E4576" w:rsidRDefault="009E4576">
      <w:pPr>
        <w:pStyle w:val="a4"/>
      </w:pPr>
      <w:r>
        <w:rPr>
          <w:rStyle w:val="a6"/>
        </w:rPr>
        <w:footnoteRef/>
      </w:r>
      <w:r>
        <w:t xml:space="preserve"> I. Ll. </w:t>
      </w:r>
      <w:r w:rsidRPr="00FD7C86">
        <w:t xml:space="preserve">Foster, ‘Brut y Tywysogion or the Chronicle of the Princes, Peniarth MS. 20 Version by Thomas Jones (Book Review)’, </w:t>
      </w:r>
      <w:r w:rsidRPr="00FD7C86">
        <w:rPr>
          <w:i/>
        </w:rPr>
        <w:t>The English Historical Review</w:t>
      </w:r>
      <w:r w:rsidRPr="00FD7C86">
        <w:t>, 70 (275) (1955), pp. 269-273, &lt;https://www.jstor.org/stable/557470&gt;, [Accessed: 16-01-2019]</w:t>
      </w:r>
      <w:r>
        <w:t>.</w:t>
      </w:r>
    </w:p>
  </w:footnote>
  <w:footnote w:id="4">
    <w:p w14:paraId="41B0656B" w14:textId="3FD88FD3" w:rsidR="009E4576" w:rsidRDefault="009E4576">
      <w:pPr>
        <w:pStyle w:val="a4"/>
      </w:pPr>
      <w:r>
        <w:rPr>
          <w:rStyle w:val="a6"/>
        </w:rPr>
        <w:footnoteRef/>
      </w:r>
      <w:r>
        <w:t xml:space="preserve"> </w:t>
      </w:r>
      <w:r w:rsidRPr="00FD7C86">
        <w:t xml:space="preserve">Anon., ‘Acts of Welsh Rulers, 1120-1283 (Book Review)’, </w:t>
      </w:r>
      <w:r w:rsidRPr="00FD7C86">
        <w:rPr>
          <w:i/>
        </w:rPr>
        <w:t>Medium Aevum</w:t>
      </w:r>
      <w:r w:rsidRPr="00FD7C86">
        <w:t>, 2005; 74(2), p. 377.</w:t>
      </w:r>
    </w:p>
  </w:footnote>
  <w:footnote w:id="5">
    <w:p w14:paraId="3A372AEA" w14:textId="790395F1" w:rsidR="009E4576" w:rsidRDefault="009E4576">
      <w:pPr>
        <w:pStyle w:val="a4"/>
      </w:pPr>
      <w:r>
        <w:rPr>
          <w:rStyle w:val="a6"/>
        </w:rPr>
        <w:footnoteRef/>
      </w:r>
      <w:r>
        <w:t xml:space="preserve"> N.F. </w:t>
      </w:r>
      <w:r w:rsidRPr="00DE1F77">
        <w:t xml:space="preserve">Palmer, ‘Vita Griffini filii Conani: The Medieval Latin Life of Gruffyd ap Cynan (Book Review)’, </w:t>
      </w:r>
      <w:r w:rsidRPr="00DE1F77">
        <w:rPr>
          <w:i/>
        </w:rPr>
        <w:t>Medium Aevum</w:t>
      </w:r>
      <w:r w:rsidRPr="00DE1F77">
        <w:t>; 76 (1) (2007); p. 162</w:t>
      </w:r>
      <w:r>
        <w:t>.</w:t>
      </w:r>
    </w:p>
  </w:footnote>
  <w:footnote w:id="6">
    <w:p w14:paraId="31B8D604" w14:textId="09170AA9" w:rsidR="009E4576" w:rsidRDefault="009E4576">
      <w:pPr>
        <w:pStyle w:val="a4"/>
      </w:pPr>
      <w:r>
        <w:rPr>
          <w:rStyle w:val="a6"/>
        </w:rPr>
        <w:footnoteRef/>
      </w:r>
      <w:r>
        <w:t xml:space="preserve"> A.D. </w:t>
      </w:r>
      <w:r w:rsidRPr="00DE1F77">
        <w:t xml:space="preserve">Carr, ‘The Charters of the Abbey of Ystrad Marchell by Graham C.G. Thomas (Book Review)’, </w:t>
      </w:r>
      <w:r w:rsidRPr="00DE1F77">
        <w:rPr>
          <w:i/>
        </w:rPr>
        <w:t>The English Historical Review</w:t>
      </w:r>
      <w:r>
        <w:t>, 114 (</w:t>
      </w:r>
      <w:r w:rsidRPr="00DE1F77">
        <w:t>455</w:t>
      </w:r>
      <w:r>
        <w:t>) (</w:t>
      </w:r>
      <w:r w:rsidRPr="00DE1F77">
        <w:t>1999), pp. 153-154, &lt;https://www.jstor.org/stable/579939&gt;, [Accessed: 16-01-2019]</w:t>
      </w:r>
      <w:r>
        <w:t>.</w:t>
      </w:r>
    </w:p>
  </w:footnote>
  <w:footnote w:id="7">
    <w:p w14:paraId="64C75B94" w14:textId="26119CDA" w:rsidR="009E4576" w:rsidRDefault="009E4576">
      <w:pPr>
        <w:pStyle w:val="a4"/>
      </w:pPr>
      <w:r>
        <w:rPr>
          <w:rStyle w:val="a6"/>
        </w:rPr>
        <w:footnoteRef/>
      </w:r>
      <w:r>
        <w:t xml:space="preserve"> </w:t>
      </w:r>
      <w:r w:rsidRPr="00A43D90">
        <w:t>I.</w:t>
      </w:r>
      <w:r>
        <w:t xml:space="preserve"> </w:t>
      </w:r>
      <w:r w:rsidRPr="00A43D90">
        <w:t>Ll.</w:t>
      </w:r>
      <w:r>
        <w:t xml:space="preserve"> </w:t>
      </w:r>
      <w:r w:rsidRPr="00A43D90">
        <w:t>Foster, ‘Llyfr Io</w:t>
      </w:r>
      <w:r w:rsidR="009605ED">
        <w:t>rwerth, a Critical Text of the ‘Venedotian Code’</w:t>
      </w:r>
      <w:r w:rsidRPr="00A43D90">
        <w:t xml:space="preserve"> of Medieval Welsh Law by Aled Rhys Wiliam (Book Review)’, </w:t>
      </w:r>
      <w:r w:rsidRPr="00A43D90">
        <w:rPr>
          <w:i/>
        </w:rPr>
        <w:t>The English Historical Review</w:t>
      </w:r>
      <w:r w:rsidRPr="00A43D90">
        <w:t>, 78 (306) (1963), pp. 150-151, &lt;https://www.jstor.org/stable/559820&gt;, [Accessed: 16-01-2019]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15F"/>
    <w:rsid w:val="000063BB"/>
    <w:rsid w:val="00040211"/>
    <w:rsid w:val="00040AF6"/>
    <w:rsid w:val="00050223"/>
    <w:rsid w:val="0005375A"/>
    <w:rsid w:val="00053FFE"/>
    <w:rsid w:val="0009220C"/>
    <w:rsid w:val="000B654C"/>
    <w:rsid w:val="000B6D28"/>
    <w:rsid w:val="000C2AFB"/>
    <w:rsid w:val="000D6402"/>
    <w:rsid w:val="000D6FF5"/>
    <w:rsid w:val="000E037C"/>
    <w:rsid w:val="000E4A15"/>
    <w:rsid w:val="00101547"/>
    <w:rsid w:val="001065D6"/>
    <w:rsid w:val="0012403E"/>
    <w:rsid w:val="0014074B"/>
    <w:rsid w:val="001A17DC"/>
    <w:rsid w:val="001A197E"/>
    <w:rsid w:val="001D5041"/>
    <w:rsid w:val="001F4422"/>
    <w:rsid w:val="00207ACE"/>
    <w:rsid w:val="00265504"/>
    <w:rsid w:val="002816A5"/>
    <w:rsid w:val="00285683"/>
    <w:rsid w:val="00331682"/>
    <w:rsid w:val="00334FF7"/>
    <w:rsid w:val="00340413"/>
    <w:rsid w:val="00387A90"/>
    <w:rsid w:val="0039015F"/>
    <w:rsid w:val="003A7A4C"/>
    <w:rsid w:val="003B6572"/>
    <w:rsid w:val="003E630D"/>
    <w:rsid w:val="00405565"/>
    <w:rsid w:val="0042542D"/>
    <w:rsid w:val="00485933"/>
    <w:rsid w:val="004B5AC5"/>
    <w:rsid w:val="004F14F5"/>
    <w:rsid w:val="005008B2"/>
    <w:rsid w:val="00547751"/>
    <w:rsid w:val="00551C14"/>
    <w:rsid w:val="0057350A"/>
    <w:rsid w:val="0058129A"/>
    <w:rsid w:val="005951BE"/>
    <w:rsid w:val="005A4DF0"/>
    <w:rsid w:val="00626590"/>
    <w:rsid w:val="00636CF1"/>
    <w:rsid w:val="00643186"/>
    <w:rsid w:val="00654D81"/>
    <w:rsid w:val="00696D0C"/>
    <w:rsid w:val="006A471C"/>
    <w:rsid w:val="006B3704"/>
    <w:rsid w:val="0070462E"/>
    <w:rsid w:val="0076467F"/>
    <w:rsid w:val="00765336"/>
    <w:rsid w:val="00766860"/>
    <w:rsid w:val="00772ACB"/>
    <w:rsid w:val="0078547A"/>
    <w:rsid w:val="007B0E9F"/>
    <w:rsid w:val="007F42C1"/>
    <w:rsid w:val="008278B2"/>
    <w:rsid w:val="008634C0"/>
    <w:rsid w:val="008E3026"/>
    <w:rsid w:val="009069D4"/>
    <w:rsid w:val="009605ED"/>
    <w:rsid w:val="009753F4"/>
    <w:rsid w:val="009810B0"/>
    <w:rsid w:val="0099552B"/>
    <w:rsid w:val="009A3C89"/>
    <w:rsid w:val="009E35A0"/>
    <w:rsid w:val="009E4576"/>
    <w:rsid w:val="009E5FE5"/>
    <w:rsid w:val="00A006AE"/>
    <w:rsid w:val="00A246C4"/>
    <w:rsid w:val="00A41FFA"/>
    <w:rsid w:val="00A42411"/>
    <w:rsid w:val="00A43D90"/>
    <w:rsid w:val="00AA51DF"/>
    <w:rsid w:val="00B0643F"/>
    <w:rsid w:val="00B30A18"/>
    <w:rsid w:val="00B37728"/>
    <w:rsid w:val="00B416FB"/>
    <w:rsid w:val="00BB34F2"/>
    <w:rsid w:val="00BD5A27"/>
    <w:rsid w:val="00CB35BA"/>
    <w:rsid w:val="00D276D6"/>
    <w:rsid w:val="00D5298F"/>
    <w:rsid w:val="00D559BD"/>
    <w:rsid w:val="00DB2DC6"/>
    <w:rsid w:val="00DB7185"/>
    <w:rsid w:val="00DE1F77"/>
    <w:rsid w:val="00E15B51"/>
    <w:rsid w:val="00E274F6"/>
    <w:rsid w:val="00E3624A"/>
    <w:rsid w:val="00FD6CB5"/>
    <w:rsid w:val="00FD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44FF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B5AC5"/>
    <w:rPr>
      <w:color w:val="0000FF" w:themeColor="hyperlink"/>
      <w:u w:val="single"/>
    </w:rPr>
  </w:style>
  <w:style w:type="character" w:styleId="FollowedHyperlink">
    <w:name w:val="FollowedHyperlink"/>
    <w:basedOn w:val="a0"/>
    <w:uiPriority w:val="99"/>
    <w:semiHidden/>
    <w:unhideWhenUsed/>
    <w:rsid w:val="00B30A18"/>
    <w:rPr>
      <w:color w:val="800080" w:themeColor="followedHyperlink"/>
      <w:u w:val="single"/>
    </w:rPr>
  </w:style>
  <w:style w:type="paragraph" w:styleId="a4">
    <w:name w:val="footnote text"/>
    <w:basedOn w:val="a"/>
    <w:link w:val="a5"/>
    <w:uiPriority w:val="99"/>
    <w:unhideWhenUsed/>
    <w:rsid w:val="00FD7C86"/>
    <w:pPr>
      <w:snapToGrid w:val="0"/>
      <w:jc w:val="left"/>
    </w:pPr>
    <w:rPr>
      <w:sz w:val="18"/>
      <w:szCs w:val="18"/>
    </w:rPr>
  </w:style>
  <w:style w:type="character" w:customStyle="1" w:styleId="a5">
    <w:name w:val="脚注文本字符"/>
    <w:basedOn w:val="a0"/>
    <w:link w:val="a4"/>
    <w:uiPriority w:val="99"/>
    <w:rsid w:val="00FD7C86"/>
    <w:rPr>
      <w:sz w:val="18"/>
      <w:szCs w:val="18"/>
    </w:rPr>
  </w:style>
  <w:style w:type="character" w:styleId="a6">
    <w:name w:val="footnote reference"/>
    <w:basedOn w:val="a0"/>
    <w:uiPriority w:val="99"/>
    <w:unhideWhenUsed/>
    <w:rsid w:val="00FD7C8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B5AC5"/>
    <w:rPr>
      <w:color w:val="0000FF" w:themeColor="hyperlink"/>
      <w:u w:val="single"/>
    </w:rPr>
  </w:style>
  <w:style w:type="character" w:styleId="FollowedHyperlink">
    <w:name w:val="FollowedHyperlink"/>
    <w:basedOn w:val="a0"/>
    <w:uiPriority w:val="99"/>
    <w:semiHidden/>
    <w:unhideWhenUsed/>
    <w:rsid w:val="00B30A18"/>
    <w:rPr>
      <w:color w:val="800080" w:themeColor="followedHyperlink"/>
      <w:u w:val="single"/>
    </w:rPr>
  </w:style>
  <w:style w:type="paragraph" w:styleId="a4">
    <w:name w:val="footnote text"/>
    <w:basedOn w:val="a"/>
    <w:link w:val="a5"/>
    <w:uiPriority w:val="99"/>
    <w:unhideWhenUsed/>
    <w:rsid w:val="00FD7C86"/>
    <w:pPr>
      <w:snapToGrid w:val="0"/>
      <w:jc w:val="left"/>
    </w:pPr>
    <w:rPr>
      <w:sz w:val="18"/>
      <w:szCs w:val="18"/>
    </w:rPr>
  </w:style>
  <w:style w:type="character" w:customStyle="1" w:styleId="a5">
    <w:name w:val="脚注文本字符"/>
    <w:basedOn w:val="a0"/>
    <w:link w:val="a4"/>
    <w:uiPriority w:val="99"/>
    <w:rsid w:val="00FD7C86"/>
    <w:rPr>
      <w:sz w:val="18"/>
      <w:szCs w:val="18"/>
    </w:rPr>
  </w:style>
  <w:style w:type="character" w:styleId="a6">
    <w:name w:val="footnote reference"/>
    <w:basedOn w:val="a0"/>
    <w:uiPriority w:val="99"/>
    <w:unhideWhenUsed/>
    <w:rsid w:val="00FD7C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18359">
      <w:bodyDiv w:val="1"/>
      <w:marLeft w:val="0"/>
      <w:marRight w:val="0"/>
      <w:marTop w:val="0"/>
      <w:marBottom w:val="0"/>
      <w:divBdr>
        <w:top w:val="none" w:sz="0" w:space="0" w:color="auto"/>
        <w:left w:val="none" w:sz="0" w:space="0" w:color="auto"/>
        <w:bottom w:val="none" w:sz="0" w:space="0" w:color="auto"/>
        <w:right w:val="none" w:sz="0" w:space="0" w:color="auto"/>
      </w:divBdr>
    </w:div>
    <w:div w:id="157616984">
      <w:bodyDiv w:val="1"/>
      <w:marLeft w:val="0"/>
      <w:marRight w:val="0"/>
      <w:marTop w:val="0"/>
      <w:marBottom w:val="0"/>
      <w:divBdr>
        <w:top w:val="none" w:sz="0" w:space="0" w:color="auto"/>
        <w:left w:val="none" w:sz="0" w:space="0" w:color="auto"/>
        <w:bottom w:val="none" w:sz="0" w:space="0" w:color="auto"/>
        <w:right w:val="none" w:sz="0" w:space="0" w:color="auto"/>
      </w:divBdr>
      <w:divsChild>
        <w:div w:id="784429347">
          <w:marLeft w:val="0"/>
          <w:marRight w:val="0"/>
          <w:marTop w:val="0"/>
          <w:marBottom w:val="0"/>
          <w:divBdr>
            <w:top w:val="none" w:sz="0" w:space="0" w:color="auto"/>
            <w:left w:val="none" w:sz="0" w:space="0" w:color="auto"/>
            <w:bottom w:val="none" w:sz="0" w:space="0" w:color="auto"/>
            <w:right w:val="none" w:sz="0" w:space="0" w:color="auto"/>
          </w:divBdr>
        </w:div>
        <w:div w:id="1824850437">
          <w:marLeft w:val="0"/>
          <w:marRight w:val="0"/>
          <w:marTop w:val="0"/>
          <w:marBottom w:val="0"/>
          <w:divBdr>
            <w:top w:val="none" w:sz="0" w:space="0" w:color="auto"/>
            <w:left w:val="none" w:sz="0" w:space="0" w:color="auto"/>
            <w:bottom w:val="none" w:sz="0" w:space="0" w:color="auto"/>
            <w:right w:val="none" w:sz="0" w:space="0" w:color="auto"/>
          </w:divBdr>
        </w:div>
      </w:divsChild>
    </w:div>
    <w:div w:id="230166111">
      <w:bodyDiv w:val="1"/>
      <w:marLeft w:val="0"/>
      <w:marRight w:val="0"/>
      <w:marTop w:val="0"/>
      <w:marBottom w:val="0"/>
      <w:divBdr>
        <w:top w:val="none" w:sz="0" w:space="0" w:color="auto"/>
        <w:left w:val="none" w:sz="0" w:space="0" w:color="auto"/>
        <w:bottom w:val="none" w:sz="0" w:space="0" w:color="auto"/>
        <w:right w:val="none" w:sz="0" w:space="0" w:color="auto"/>
      </w:divBdr>
      <w:divsChild>
        <w:div w:id="903293207">
          <w:marLeft w:val="0"/>
          <w:marRight w:val="0"/>
          <w:marTop w:val="0"/>
          <w:marBottom w:val="0"/>
          <w:divBdr>
            <w:top w:val="none" w:sz="0" w:space="0" w:color="auto"/>
            <w:left w:val="none" w:sz="0" w:space="0" w:color="auto"/>
            <w:bottom w:val="none" w:sz="0" w:space="0" w:color="auto"/>
            <w:right w:val="none" w:sz="0" w:space="0" w:color="auto"/>
          </w:divBdr>
        </w:div>
        <w:div w:id="1777367743">
          <w:marLeft w:val="0"/>
          <w:marRight w:val="0"/>
          <w:marTop w:val="0"/>
          <w:marBottom w:val="0"/>
          <w:divBdr>
            <w:top w:val="none" w:sz="0" w:space="0" w:color="auto"/>
            <w:left w:val="none" w:sz="0" w:space="0" w:color="auto"/>
            <w:bottom w:val="none" w:sz="0" w:space="0" w:color="auto"/>
            <w:right w:val="none" w:sz="0" w:space="0" w:color="auto"/>
          </w:divBdr>
        </w:div>
      </w:divsChild>
    </w:div>
    <w:div w:id="272053516">
      <w:bodyDiv w:val="1"/>
      <w:marLeft w:val="0"/>
      <w:marRight w:val="0"/>
      <w:marTop w:val="0"/>
      <w:marBottom w:val="0"/>
      <w:divBdr>
        <w:top w:val="none" w:sz="0" w:space="0" w:color="auto"/>
        <w:left w:val="none" w:sz="0" w:space="0" w:color="auto"/>
        <w:bottom w:val="none" w:sz="0" w:space="0" w:color="auto"/>
        <w:right w:val="none" w:sz="0" w:space="0" w:color="auto"/>
      </w:divBdr>
    </w:div>
    <w:div w:id="407700417">
      <w:bodyDiv w:val="1"/>
      <w:marLeft w:val="0"/>
      <w:marRight w:val="0"/>
      <w:marTop w:val="0"/>
      <w:marBottom w:val="0"/>
      <w:divBdr>
        <w:top w:val="none" w:sz="0" w:space="0" w:color="auto"/>
        <w:left w:val="none" w:sz="0" w:space="0" w:color="auto"/>
        <w:bottom w:val="none" w:sz="0" w:space="0" w:color="auto"/>
        <w:right w:val="none" w:sz="0" w:space="0" w:color="auto"/>
      </w:divBdr>
      <w:divsChild>
        <w:div w:id="1613323548">
          <w:marLeft w:val="0"/>
          <w:marRight w:val="0"/>
          <w:marTop w:val="0"/>
          <w:marBottom w:val="0"/>
          <w:divBdr>
            <w:top w:val="none" w:sz="0" w:space="0" w:color="auto"/>
            <w:left w:val="none" w:sz="0" w:space="0" w:color="auto"/>
            <w:bottom w:val="none" w:sz="0" w:space="0" w:color="auto"/>
            <w:right w:val="none" w:sz="0" w:space="0" w:color="auto"/>
          </w:divBdr>
          <w:divsChild>
            <w:div w:id="1909607272">
              <w:marLeft w:val="0"/>
              <w:marRight w:val="0"/>
              <w:marTop w:val="0"/>
              <w:marBottom w:val="0"/>
              <w:divBdr>
                <w:top w:val="none" w:sz="0" w:space="0" w:color="auto"/>
                <w:left w:val="none" w:sz="0" w:space="0" w:color="auto"/>
                <w:bottom w:val="none" w:sz="0" w:space="0" w:color="auto"/>
                <w:right w:val="none" w:sz="0" w:space="0" w:color="auto"/>
              </w:divBdr>
              <w:divsChild>
                <w:div w:id="11228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33854">
      <w:bodyDiv w:val="1"/>
      <w:marLeft w:val="0"/>
      <w:marRight w:val="0"/>
      <w:marTop w:val="0"/>
      <w:marBottom w:val="0"/>
      <w:divBdr>
        <w:top w:val="none" w:sz="0" w:space="0" w:color="auto"/>
        <w:left w:val="none" w:sz="0" w:space="0" w:color="auto"/>
        <w:bottom w:val="none" w:sz="0" w:space="0" w:color="auto"/>
        <w:right w:val="none" w:sz="0" w:space="0" w:color="auto"/>
      </w:divBdr>
      <w:divsChild>
        <w:div w:id="508181132">
          <w:marLeft w:val="0"/>
          <w:marRight w:val="0"/>
          <w:marTop w:val="0"/>
          <w:marBottom w:val="0"/>
          <w:divBdr>
            <w:top w:val="none" w:sz="0" w:space="0" w:color="auto"/>
            <w:left w:val="none" w:sz="0" w:space="0" w:color="auto"/>
            <w:bottom w:val="none" w:sz="0" w:space="0" w:color="auto"/>
            <w:right w:val="none" w:sz="0" w:space="0" w:color="auto"/>
          </w:divBdr>
          <w:divsChild>
            <w:div w:id="578906640">
              <w:marLeft w:val="0"/>
              <w:marRight w:val="0"/>
              <w:marTop w:val="0"/>
              <w:marBottom w:val="0"/>
              <w:divBdr>
                <w:top w:val="none" w:sz="0" w:space="0" w:color="auto"/>
                <w:left w:val="none" w:sz="0" w:space="0" w:color="auto"/>
                <w:bottom w:val="none" w:sz="0" w:space="0" w:color="auto"/>
                <w:right w:val="none" w:sz="0" w:space="0" w:color="auto"/>
              </w:divBdr>
              <w:divsChild>
                <w:div w:id="6403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229064">
      <w:bodyDiv w:val="1"/>
      <w:marLeft w:val="0"/>
      <w:marRight w:val="0"/>
      <w:marTop w:val="0"/>
      <w:marBottom w:val="0"/>
      <w:divBdr>
        <w:top w:val="none" w:sz="0" w:space="0" w:color="auto"/>
        <w:left w:val="none" w:sz="0" w:space="0" w:color="auto"/>
        <w:bottom w:val="none" w:sz="0" w:space="0" w:color="auto"/>
        <w:right w:val="none" w:sz="0" w:space="0" w:color="auto"/>
      </w:divBdr>
      <w:divsChild>
        <w:div w:id="317153688">
          <w:marLeft w:val="0"/>
          <w:marRight w:val="0"/>
          <w:marTop w:val="0"/>
          <w:marBottom w:val="0"/>
          <w:divBdr>
            <w:top w:val="none" w:sz="0" w:space="0" w:color="auto"/>
            <w:left w:val="none" w:sz="0" w:space="0" w:color="auto"/>
            <w:bottom w:val="none" w:sz="0" w:space="0" w:color="auto"/>
            <w:right w:val="none" w:sz="0" w:space="0" w:color="auto"/>
          </w:divBdr>
        </w:div>
        <w:div w:id="611786538">
          <w:marLeft w:val="0"/>
          <w:marRight w:val="0"/>
          <w:marTop w:val="0"/>
          <w:marBottom w:val="0"/>
          <w:divBdr>
            <w:top w:val="none" w:sz="0" w:space="0" w:color="auto"/>
            <w:left w:val="none" w:sz="0" w:space="0" w:color="auto"/>
            <w:bottom w:val="none" w:sz="0" w:space="0" w:color="auto"/>
            <w:right w:val="none" w:sz="0" w:space="0" w:color="auto"/>
          </w:divBdr>
        </w:div>
      </w:divsChild>
    </w:div>
    <w:div w:id="774403849">
      <w:bodyDiv w:val="1"/>
      <w:marLeft w:val="0"/>
      <w:marRight w:val="0"/>
      <w:marTop w:val="0"/>
      <w:marBottom w:val="0"/>
      <w:divBdr>
        <w:top w:val="none" w:sz="0" w:space="0" w:color="auto"/>
        <w:left w:val="none" w:sz="0" w:space="0" w:color="auto"/>
        <w:bottom w:val="none" w:sz="0" w:space="0" w:color="auto"/>
        <w:right w:val="none" w:sz="0" w:space="0" w:color="auto"/>
      </w:divBdr>
    </w:div>
    <w:div w:id="880823268">
      <w:bodyDiv w:val="1"/>
      <w:marLeft w:val="0"/>
      <w:marRight w:val="0"/>
      <w:marTop w:val="0"/>
      <w:marBottom w:val="0"/>
      <w:divBdr>
        <w:top w:val="none" w:sz="0" w:space="0" w:color="auto"/>
        <w:left w:val="none" w:sz="0" w:space="0" w:color="auto"/>
        <w:bottom w:val="none" w:sz="0" w:space="0" w:color="auto"/>
        <w:right w:val="none" w:sz="0" w:space="0" w:color="auto"/>
      </w:divBdr>
    </w:div>
    <w:div w:id="892272734">
      <w:bodyDiv w:val="1"/>
      <w:marLeft w:val="0"/>
      <w:marRight w:val="0"/>
      <w:marTop w:val="0"/>
      <w:marBottom w:val="0"/>
      <w:divBdr>
        <w:top w:val="none" w:sz="0" w:space="0" w:color="auto"/>
        <w:left w:val="none" w:sz="0" w:space="0" w:color="auto"/>
        <w:bottom w:val="none" w:sz="0" w:space="0" w:color="auto"/>
        <w:right w:val="none" w:sz="0" w:space="0" w:color="auto"/>
      </w:divBdr>
      <w:divsChild>
        <w:div w:id="1667829450">
          <w:marLeft w:val="0"/>
          <w:marRight w:val="0"/>
          <w:marTop w:val="0"/>
          <w:marBottom w:val="0"/>
          <w:divBdr>
            <w:top w:val="none" w:sz="0" w:space="0" w:color="auto"/>
            <w:left w:val="none" w:sz="0" w:space="0" w:color="auto"/>
            <w:bottom w:val="none" w:sz="0" w:space="0" w:color="auto"/>
            <w:right w:val="none" w:sz="0" w:space="0" w:color="auto"/>
          </w:divBdr>
        </w:div>
        <w:div w:id="1809929337">
          <w:marLeft w:val="0"/>
          <w:marRight w:val="0"/>
          <w:marTop w:val="0"/>
          <w:marBottom w:val="0"/>
          <w:divBdr>
            <w:top w:val="none" w:sz="0" w:space="0" w:color="auto"/>
            <w:left w:val="none" w:sz="0" w:space="0" w:color="auto"/>
            <w:bottom w:val="none" w:sz="0" w:space="0" w:color="auto"/>
            <w:right w:val="none" w:sz="0" w:space="0" w:color="auto"/>
          </w:divBdr>
        </w:div>
      </w:divsChild>
    </w:div>
    <w:div w:id="909080435">
      <w:bodyDiv w:val="1"/>
      <w:marLeft w:val="0"/>
      <w:marRight w:val="0"/>
      <w:marTop w:val="0"/>
      <w:marBottom w:val="0"/>
      <w:divBdr>
        <w:top w:val="none" w:sz="0" w:space="0" w:color="auto"/>
        <w:left w:val="none" w:sz="0" w:space="0" w:color="auto"/>
        <w:bottom w:val="none" w:sz="0" w:space="0" w:color="auto"/>
        <w:right w:val="none" w:sz="0" w:space="0" w:color="auto"/>
      </w:divBdr>
      <w:divsChild>
        <w:div w:id="250361254">
          <w:marLeft w:val="0"/>
          <w:marRight w:val="0"/>
          <w:marTop w:val="0"/>
          <w:marBottom w:val="0"/>
          <w:divBdr>
            <w:top w:val="none" w:sz="0" w:space="0" w:color="auto"/>
            <w:left w:val="none" w:sz="0" w:space="0" w:color="auto"/>
            <w:bottom w:val="none" w:sz="0" w:space="0" w:color="auto"/>
            <w:right w:val="none" w:sz="0" w:space="0" w:color="auto"/>
          </w:divBdr>
          <w:divsChild>
            <w:div w:id="1933581541">
              <w:marLeft w:val="0"/>
              <w:marRight w:val="0"/>
              <w:marTop w:val="0"/>
              <w:marBottom w:val="0"/>
              <w:divBdr>
                <w:top w:val="none" w:sz="0" w:space="0" w:color="auto"/>
                <w:left w:val="none" w:sz="0" w:space="0" w:color="auto"/>
                <w:bottom w:val="none" w:sz="0" w:space="0" w:color="auto"/>
                <w:right w:val="none" w:sz="0" w:space="0" w:color="auto"/>
              </w:divBdr>
              <w:divsChild>
                <w:div w:id="104710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455401">
      <w:bodyDiv w:val="1"/>
      <w:marLeft w:val="0"/>
      <w:marRight w:val="0"/>
      <w:marTop w:val="0"/>
      <w:marBottom w:val="0"/>
      <w:divBdr>
        <w:top w:val="none" w:sz="0" w:space="0" w:color="auto"/>
        <w:left w:val="none" w:sz="0" w:space="0" w:color="auto"/>
        <w:bottom w:val="none" w:sz="0" w:space="0" w:color="auto"/>
        <w:right w:val="none" w:sz="0" w:space="0" w:color="auto"/>
      </w:divBdr>
      <w:divsChild>
        <w:div w:id="1139493057">
          <w:marLeft w:val="0"/>
          <w:marRight w:val="0"/>
          <w:marTop w:val="0"/>
          <w:marBottom w:val="0"/>
          <w:divBdr>
            <w:top w:val="none" w:sz="0" w:space="0" w:color="auto"/>
            <w:left w:val="none" w:sz="0" w:space="0" w:color="auto"/>
            <w:bottom w:val="none" w:sz="0" w:space="0" w:color="auto"/>
            <w:right w:val="none" w:sz="0" w:space="0" w:color="auto"/>
          </w:divBdr>
        </w:div>
      </w:divsChild>
    </w:div>
    <w:div w:id="1121536302">
      <w:bodyDiv w:val="1"/>
      <w:marLeft w:val="0"/>
      <w:marRight w:val="0"/>
      <w:marTop w:val="0"/>
      <w:marBottom w:val="0"/>
      <w:divBdr>
        <w:top w:val="none" w:sz="0" w:space="0" w:color="auto"/>
        <w:left w:val="none" w:sz="0" w:space="0" w:color="auto"/>
        <w:bottom w:val="none" w:sz="0" w:space="0" w:color="auto"/>
        <w:right w:val="none" w:sz="0" w:space="0" w:color="auto"/>
      </w:divBdr>
      <w:divsChild>
        <w:div w:id="830680606">
          <w:marLeft w:val="0"/>
          <w:marRight w:val="0"/>
          <w:marTop w:val="0"/>
          <w:marBottom w:val="0"/>
          <w:divBdr>
            <w:top w:val="none" w:sz="0" w:space="0" w:color="auto"/>
            <w:left w:val="none" w:sz="0" w:space="0" w:color="auto"/>
            <w:bottom w:val="none" w:sz="0" w:space="0" w:color="auto"/>
            <w:right w:val="none" w:sz="0" w:space="0" w:color="auto"/>
          </w:divBdr>
          <w:divsChild>
            <w:div w:id="499783096">
              <w:marLeft w:val="0"/>
              <w:marRight w:val="0"/>
              <w:marTop w:val="0"/>
              <w:marBottom w:val="0"/>
              <w:divBdr>
                <w:top w:val="none" w:sz="0" w:space="0" w:color="auto"/>
                <w:left w:val="none" w:sz="0" w:space="0" w:color="auto"/>
                <w:bottom w:val="none" w:sz="0" w:space="0" w:color="auto"/>
                <w:right w:val="none" w:sz="0" w:space="0" w:color="auto"/>
              </w:divBdr>
              <w:divsChild>
                <w:div w:id="66015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62991">
      <w:bodyDiv w:val="1"/>
      <w:marLeft w:val="0"/>
      <w:marRight w:val="0"/>
      <w:marTop w:val="0"/>
      <w:marBottom w:val="0"/>
      <w:divBdr>
        <w:top w:val="none" w:sz="0" w:space="0" w:color="auto"/>
        <w:left w:val="none" w:sz="0" w:space="0" w:color="auto"/>
        <w:bottom w:val="none" w:sz="0" w:space="0" w:color="auto"/>
        <w:right w:val="none" w:sz="0" w:space="0" w:color="auto"/>
      </w:divBdr>
      <w:divsChild>
        <w:div w:id="1908150954">
          <w:marLeft w:val="0"/>
          <w:marRight w:val="0"/>
          <w:marTop w:val="0"/>
          <w:marBottom w:val="0"/>
          <w:divBdr>
            <w:top w:val="none" w:sz="0" w:space="0" w:color="auto"/>
            <w:left w:val="none" w:sz="0" w:space="0" w:color="auto"/>
            <w:bottom w:val="none" w:sz="0" w:space="0" w:color="auto"/>
            <w:right w:val="none" w:sz="0" w:space="0" w:color="auto"/>
          </w:divBdr>
        </w:div>
        <w:div w:id="271058219">
          <w:marLeft w:val="0"/>
          <w:marRight w:val="0"/>
          <w:marTop w:val="0"/>
          <w:marBottom w:val="0"/>
          <w:divBdr>
            <w:top w:val="none" w:sz="0" w:space="0" w:color="auto"/>
            <w:left w:val="none" w:sz="0" w:space="0" w:color="auto"/>
            <w:bottom w:val="none" w:sz="0" w:space="0" w:color="auto"/>
            <w:right w:val="none" w:sz="0" w:space="0" w:color="auto"/>
          </w:divBdr>
        </w:div>
      </w:divsChild>
    </w:div>
    <w:div w:id="1250391124">
      <w:bodyDiv w:val="1"/>
      <w:marLeft w:val="0"/>
      <w:marRight w:val="0"/>
      <w:marTop w:val="0"/>
      <w:marBottom w:val="0"/>
      <w:divBdr>
        <w:top w:val="none" w:sz="0" w:space="0" w:color="auto"/>
        <w:left w:val="none" w:sz="0" w:space="0" w:color="auto"/>
        <w:bottom w:val="none" w:sz="0" w:space="0" w:color="auto"/>
        <w:right w:val="none" w:sz="0" w:space="0" w:color="auto"/>
      </w:divBdr>
      <w:divsChild>
        <w:div w:id="465049094">
          <w:marLeft w:val="0"/>
          <w:marRight w:val="0"/>
          <w:marTop w:val="0"/>
          <w:marBottom w:val="0"/>
          <w:divBdr>
            <w:top w:val="none" w:sz="0" w:space="0" w:color="auto"/>
            <w:left w:val="none" w:sz="0" w:space="0" w:color="auto"/>
            <w:bottom w:val="none" w:sz="0" w:space="0" w:color="auto"/>
            <w:right w:val="none" w:sz="0" w:space="0" w:color="auto"/>
          </w:divBdr>
        </w:div>
        <w:div w:id="1730150762">
          <w:marLeft w:val="0"/>
          <w:marRight w:val="0"/>
          <w:marTop w:val="0"/>
          <w:marBottom w:val="0"/>
          <w:divBdr>
            <w:top w:val="none" w:sz="0" w:space="0" w:color="auto"/>
            <w:left w:val="none" w:sz="0" w:space="0" w:color="auto"/>
            <w:bottom w:val="none" w:sz="0" w:space="0" w:color="auto"/>
            <w:right w:val="none" w:sz="0" w:space="0" w:color="auto"/>
          </w:divBdr>
        </w:div>
      </w:divsChild>
    </w:div>
    <w:div w:id="1278876670">
      <w:bodyDiv w:val="1"/>
      <w:marLeft w:val="0"/>
      <w:marRight w:val="0"/>
      <w:marTop w:val="0"/>
      <w:marBottom w:val="0"/>
      <w:divBdr>
        <w:top w:val="none" w:sz="0" w:space="0" w:color="auto"/>
        <w:left w:val="none" w:sz="0" w:space="0" w:color="auto"/>
        <w:bottom w:val="none" w:sz="0" w:space="0" w:color="auto"/>
        <w:right w:val="none" w:sz="0" w:space="0" w:color="auto"/>
      </w:divBdr>
      <w:divsChild>
        <w:div w:id="517045709">
          <w:marLeft w:val="0"/>
          <w:marRight w:val="0"/>
          <w:marTop w:val="0"/>
          <w:marBottom w:val="0"/>
          <w:divBdr>
            <w:top w:val="none" w:sz="0" w:space="0" w:color="auto"/>
            <w:left w:val="none" w:sz="0" w:space="0" w:color="auto"/>
            <w:bottom w:val="none" w:sz="0" w:space="0" w:color="auto"/>
            <w:right w:val="none" w:sz="0" w:space="0" w:color="auto"/>
          </w:divBdr>
        </w:div>
        <w:div w:id="1584678078">
          <w:marLeft w:val="0"/>
          <w:marRight w:val="0"/>
          <w:marTop w:val="0"/>
          <w:marBottom w:val="0"/>
          <w:divBdr>
            <w:top w:val="none" w:sz="0" w:space="0" w:color="auto"/>
            <w:left w:val="none" w:sz="0" w:space="0" w:color="auto"/>
            <w:bottom w:val="none" w:sz="0" w:space="0" w:color="auto"/>
            <w:right w:val="none" w:sz="0" w:space="0" w:color="auto"/>
          </w:divBdr>
        </w:div>
      </w:divsChild>
    </w:div>
    <w:div w:id="1339884964">
      <w:bodyDiv w:val="1"/>
      <w:marLeft w:val="0"/>
      <w:marRight w:val="0"/>
      <w:marTop w:val="0"/>
      <w:marBottom w:val="0"/>
      <w:divBdr>
        <w:top w:val="none" w:sz="0" w:space="0" w:color="auto"/>
        <w:left w:val="none" w:sz="0" w:space="0" w:color="auto"/>
        <w:bottom w:val="none" w:sz="0" w:space="0" w:color="auto"/>
        <w:right w:val="none" w:sz="0" w:space="0" w:color="auto"/>
      </w:divBdr>
    </w:div>
    <w:div w:id="1376587153">
      <w:bodyDiv w:val="1"/>
      <w:marLeft w:val="0"/>
      <w:marRight w:val="0"/>
      <w:marTop w:val="0"/>
      <w:marBottom w:val="0"/>
      <w:divBdr>
        <w:top w:val="none" w:sz="0" w:space="0" w:color="auto"/>
        <w:left w:val="none" w:sz="0" w:space="0" w:color="auto"/>
        <w:bottom w:val="none" w:sz="0" w:space="0" w:color="auto"/>
        <w:right w:val="none" w:sz="0" w:space="0" w:color="auto"/>
      </w:divBdr>
      <w:divsChild>
        <w:div w:id="242760994">
          <w:marLeft w:val="0"/>
          <w:marRight w:val="0"/>
          <w:marTop w:val="0"/>
          <w:marBottom w:val="0"/>
          <w:divBdr>
            <w:top w:val="none" w:sz="0" w:space="0" w:color="auto"/>
            <w:left w:val="none" w:sz="0" w:space="0" w:color="auto"/>
            <w:bottom w:val="none" w:sz="0" w:space="0" w:color="auto"/>
            <w:right w:val="none" w:sz="0" w:space="0" w:color="auto"/>
          </w:divBdr>
          <w:divsChild>
            <w:div w:id="1322277084">
              <w:marLeft w:val="0"/>
              <w:marRight w:val="0"/>
              <w:marTop w:val="0"/>
              <w:marBottom w:val="0"/>
              <w:divBdr>
                <w:top w:val="none" w:sz="0" w:space="0" w:color="auto"/>
                <w:left w:val="none" w:sz="0" w:space="0" w:color="auto"/>
                <w:bottom w:val="none" w:sz="0" w:space="0" w:color="auto"/>
                <w:right w:val="none" w:sz="0" w:space="0" w:color="auto"/>
              </w:divBdr>
              <w:divsChild>
                <w:div w:id="16947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29850">
      <w:bodyDiv w:val="1"/>
      <w:marLeft w:val="0"/>
      <w:marRight w:val="0"/>
      <w:marTop w:val="0"/>
      <w:marBottom w:val="0"/>
      <w:divBdr>
        <w:top w:val="none" w:sz="0" w:space="0" w:color="auto"/>
        <w:left w:val="none" w:sz="0" w:space="0" w:color="auto"/>
        <w:bottom w:val="none" w:sz="0" w:space="0" w:color="auto"/>
        <w:right w:val="none" w:sz="0" w:space="0" w:color="auto"/>
      </w:divBdr>
      <w:divsChild>
        <w:div w:id="183519801">
          <w:marLeft w:val="0"/>
          <w:marRight w:val="0"/>
          <w:marTop w:val="0"/>
          <w:marBottom w:val="0"/>
          <w:divBdr>
            <w:top w:val="none" w:sz="0" w:space="0" w:color="auto"/>
            <w:left w:val="none" w:sz="0" w:space="0" w:color="auto"/>
            <w:bottom w:val="none" w:sz="0" w:space="0" w:color="auto"/>
            <w:right w:val="none" w:sz="0" w:space="0" w:color="auto"/>
          </w:divBdr>
        </w:div>
        <w:div w:id="2043938915">
          <w:marLeft w:val="0"/>
          <w:marRight w:val="0"/>
          <w:marTop w:val="0"/>
          <w:marBottom w:val="0"/>
          <w:divBdr>
            <w:top w:val="none" w:sz="0" w:space="0" w:color="auto"/>
            <w:left w:val="none" w:sz="0" w:space="0" w:color="auto"/>
            <w:bottom w:val="none" w:sz="0" w:space="0" w:color="auto"/>
            <w:right w:val="none" w:sz="0" w:space="0" w:color="auto"/>
          </w:divBdr>
        </w:div>
      </w:divsChild>
    </w:div>
    <w:div w:id="1505899801">
      <w:bodyDiv w:val="1"/>
      <w:marLeft w:val="0"/>
      <w:marRight w:val="0"/>
      <w:marTop w:val="0"/>
      <w:marBottom w:val="0"/>
      <w:divBdr>
        <w:top w:val="none" w:sz="0" w:space="0" w:color="auto"/>
        <w:left w:val="none" w:sz="0" w:space="0" w:color="auto"/>
        <w:bottom w:val="none" w:sz="0" w:space="0" w:color="auto"/>
        <w:right w:val="none" w:sz="0" w:space="0" w:color="auto"/>
      </w:divBdr>
      <w:divsChild>
        <w:div w:id="587812902">
          <w:marLeft w:val="0"/>
          <w:marRight w:val="0"/>
          <w:marTop w:val="0"/>
          <w:marBottom w:val="0"/>
          <w:divBdr>
            <w:top w:val="none" w:sz="0" w:space="0" w:color="auto"/>
            <w:left w:val="none" w:sz="0" w:space="0" w:color="auto"/>
            <w:bottom w:val="none" w:sz="0" w:space="0" w:color="auto"/>
            <w:right w:val="none" w:sz="0" w:space="0" w:color="auto"/>
          </w:divBdr>
          <w:divsChild>
            <w:div w:id="1510754170">
              <w:marLeft w:val="0"/>
              <w:marRight w:val="0"/>
              <w:marTop w:val="0"/>
              <w:marBottom w:val="0"/>
              <w:divBdr>
                <w:top w:val="none" w:sz="0" w:space="0" w:color="auto"/>
                <w:left w:val="none" w:sz="0" w:space="0" w:color="auto"/>
                <w:bottom w:val="none" w:sz="0" w:space="0" w:color="auto"/>
                <w:right w:val="none" w:sz="0" w:space="0" w:color="auto"/>
              </w:divBdr>
              <w:divsChild>
                <w:div w:id="17215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479456">
      <w:bodyDiv w:val="1"/>
      <w:marLeft w:val="0"/>
      <w:marRight w:val="0"/>
      <w:marTop w:val="0"/>
      <w:marBottom w:val="0"/>
      <w:divBdr>
        <w:top w:val="none" w:sz="0" w:space="0" w:color="auto"/>
        <w:left w:val="none" w:sz="0" w:space="0" w:color="auto"/>
        <w:bottom w:val="none" w:sz="0" w:space="0" w:color="auto"/>
        <w:right w:val="none" w:sz="0" w:space="0" w:color="auto"/>
      </w:divBdr>
    </w:div>
    <w:div w:id="2104496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jstor.org/stable/557470"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1762</Words>
  <Characters>9534</Characters>
  <Application>Microsoft Macintosh Word</Application>
  <DocSecurity>0</DocSecurity>
  <Lines>183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Gina</cp:lastModifiedBy>
  <cp:revision>6</cp:revision>
  <dcterms:created xsi:type="dcterms:W3CDTF">2019-01-19T11:04:00Z</dcterms:created>
  <dcterms:modified xsi:type="dcterms:W3CDTF">2019-01-20T01:12:00Z</dcterms:modified>
</cp:coreProperties>
</file>